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header14.xml" ContentType="application/vnd.openxmlformats-officedocument.wordprocessingml.header+xml"/>
  <Override PartName="/word/footer13.xml" ContentType="application/vnd.openxmlformats-officedocument.wordprocessingml.footer+xml"/>
  <Override PartName="/word/header15.xml" ContentType="application/vnd.openxmlformats-officedocument.wordprocessingml.header+xml"/>
  <Override PartName="/word/footer14.xml" ContentType="application/vnd.openxmlformats-officedocument.wordprocessingml.footer+xml"/>
  <Override PartName="/word/header16.xml" ContentType="application/vnd.openxmlformats-officedocument.wordprocessingml.header+xml"/>
  <Override PartName="/word/footer15.xml" ContentType="application/vnd.openxmlformats-officedocument.wordprocessingml.footer+xml"/>
  <Override PartName="/word/header17.xml" ContentType="application/vnd.openxmlformats-officedocument.wordprocessingml.header+xml"/>
  <Override PartName="/word/footer16.xml" ContentType="application/vnd.openxmlformats-officedocument.wordprocessingml.footer+xml"/>
  <Override PartName="/word/header18.xml" ContentType="application/vnd.openxmlformats-officedocument.wordprocessingml.header+xml"/>
  <Override PartName="/word/footer17.xml" ContentType="application/vnd.openxmlformats-officedocument.wordprocessingml.footer+xml"/>
  <Override PartName="/word/header19.xml" ContentType="application/vnd.openxmlformats-officedocument.wordprocessingml.header+xml"/>
  <Override PartName="/word/footer18.xml" ContentType="application/vnd.openxmlformats-officedocument.wordprocessingml.footer+xml"/>
  <Override PartName="/word/header20.xml" ContentType="application/vnd.openxmlformats-officedocument.wordprocessingml.header+xml"/>
  <Override PartName="/word/footer19.xml" ContentType="application/vnd.openxmlformats-officedocument.wordprocessingml.footer+xml"/>
  <Override PartName="/word/header21.xml" ContentType="application/vnd.openxmlformats-officedocument.wordprocessingml.header+xml"/>
  <Override PartName="/word/footer20.xml" ContentType="application/vnd.openxmlformats-officedocument.wordprocessingml.footer+xml"/>
  <Override PartName="/word/header22.xml" ContentType="application/vnd.openxmlformats-officedocument.wordprocessingml.header+xml"/>
  <Override PartName="/word/footer21.xml" ContentType="application/vnd.openxmlformats-officedocument.wordprocessingml.footer+xml"/>
  <Override PartName="/word/header23.xml" ContentType="application/vnd.openxmlformats-officedocument.wordprocessingml.header+xml"/>
  <Override PartName="/word/footer22.xml" ContentType="application/vnd.openxmlformats-officedocument.wordprocessingml.footer+xml"/>
  <Override PartName="/word/header24.xml" ContentType="application/vnd.openxmlformats-officedocument.wordprocessingml.header+xml"/>
  <Override PartName="/word/footer23.xml" ContentType="application/vnd.openxmlformats-officedocument.wordprocessingml.footer+xml"/>
  <Override PartName="/word/header25.xml" ContentType="application/vnd.openxmlformats-officedocument.wordprocessingml.header+xml"/>
  <Override PartName="/word/footer24.xml" ContentType="application/vnd.openxmlformats-officedocument.wordprocessingml.footer+xml"/>
  <Override PartName="/word/header26.xml" ContentType="application/vnd.openxmlformats-officedocument.wordprocessingml.header+xml"/>
  <Override PartName="/word/footer2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A70" w:rsidRPr="008A0F36" w:rsidRDefault="00655A70" w:rsidP="00655A70">
      <w:pPr>
        <w:pStyle w:val="Titologenerale"/>
        <w:spacing w:line="320" w:lineRule="exact"/>
        <w:rPr>
          <w:sz w:val="32"/>
          <w:szCs w:val="32"/>
        </w:rPr>
      </w:pPr>
      <w:bookmarkStart w:id="0" w:name="OLE_LINK1"/>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B772D7" w:rsidRDefault="00655A70" w:rsidP="00655A70">
      <w:pPr>
        <w:pStyle w:val="Titologenerale"/>
        <w:spacing w:line="320" w:lineRule="exact"/>
        <w:rPr>
          <w:rStyle w:val="Enfasigrassetto"/>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7617D2" w:rsidRDefault="007617D2" w:rsidP="007617D2">
      <w:pPr>
        <w:pStyle w:val="Titologenerale"/>
        <w:spacing w:after="120" w:line="320" w:lineRule="exact"/>
        <w:rPr>
          <w:sz w:val="32"/>
          <w:szCs w:val="32"/>
        </w:rPr>
      </w:pPr>
      <w:r>
        <w:rPr>
          <w:sz w:val="32"/>
          <w:szCs w:val="32"/>
        </w:rPr>
        <w:t xml:space="preserve">LISTA DI CONTROLLO DEI PRINCIPI DI REDAZIONE </w:t>
      </w:r>
    </w:p>
    <w:p w:rsidR="007617D2" w:rsidRDefault="007617D2" w:rsidP="007617D2">
      <w:pPr>
        <w:pStyle w:val="Titologenerale"/>
        <w:spacing w:after="120" w:line="320" w:lineRule="exact"/>
        <w:rPr>
          <w:sz w:val="32"/>
          <w:szCs w:val="32"/>
        </w:rPr>
      </w:pPr>
      <w:r>
        <w:rPr>
          <w:sz w:val="32"/>
          <w:szCs w:val="32"/>
        </w:rPr>
        <w:t>DEL BILANCIO CONSOLIDATO</w:t>
      </w:r>
    </w:p>
    <w:p w:rsidR="007617D2" w:rsidRDefault="007617D2" w:rsidP="007617D2">
      <w:pPr>
        <w:pStyle w:val="Titologenerale"/>
        <w:spacing w:after="120" w:line="320" w:lineRule="exact"/>
        <w:rPr>
          <w:sz w:val="32"/>
          <w:szCs w:val="32"/>
        </w:rPr>
      </w:pPr>
      <w:r>
        <w:rPr>
          <w:sz w:val="32"/>
          <w:szCs w:val="32"/>
        </w:rPr>
        <w:t xml:space="preserve">(Società ai cui bilanci sono applicabili le disposizioni del </w:t>
      </w:r>
    </w:p>
    <w:p w:rsidR="007617D2" w:rsidRDefault="007617D2" w:rsidP="007617D2">
      <w:pPr>
        <w:pStyle w:val="Titologenerale"/>
        <w:spacing w:after="120" w:line="320" w:lineRule="exact"/>
        <w:rPr>
          <w:sz w:val="32"/>
          <w:szCs w:val="32"/>
        </w:rPr>
      </w:pPr>
      <w:r>
        <w:rPr>
          <w:sz w:val="32"/>
          <w:szCs w:val="32"/>
        </w:rPr>
        <w:t>Decreto Legislativo 9 aprile 1991, n. 127)</w:t>
      </w:r>
    </w:p>
    <w:p w:rsidR="007617D2" w:rsidRDefault="007617D2" w:rsidP="007617D2">
      <w:pPr>
        <w:jc w:val="center"/>
        <w:rPr>
          <w:b/>
          <w:sz w:val="24"/>
          <w:szCs w:val="24"/>
          <w:lang w:val="it-IT"/>
        </w:rPr>
      </w:pPr>
    </w:p>
    <w:p w:rsidR="007617D2" w:rsidRDefault="007617D2" w:rsidP="007617D2">
      <w:pPr>
        <w:pStyle w:val="Titologenerale"/>
      </w:pPr>
    </w:p>
    <w:p w:rsidR="007617D2" w:rsidRDefault="007617D2" w:rsidP="007617D2">
      <w:pPr>
        <w:pStyle w:val="Titologenerale"/>
        <w:spacing w:line="280" w:lineRule="exact"/>
      </w:pPr>
    </w:p>
    <w:p w:rsidR="007617D2" w:rsidRDefault="007617D2" w:rsidP="007617D2">
      <w:pPr>
        <w:pStyle w:val="Titologenerale"/>
        <w:spacing w:line="280" w:lineRule="exact"/>
      </w:pPr>
      <w:r>
        <w:t xml:space="preserve">SULLA BASE DEI PRINCIPI CONTABILI APPLICABILI AI BILANCI CHIUSI </w:t>
      </w:r>
    </w:p>
    <w:p w:rsidR="007617D2" w:rsidRDefault="007617D2" w:rsidP="007617D2">
      <w:pPr>
        <w:pStyle w:val="Titologenerale"/>
        <w:spacing w:line="280" w:lineRule="exact"/>
        <w:rPr>
          <w:sz w:val="28"/>
          <w:szCs w:val="28"/>
        </w:rPr>
      </w:pPr>
      <w:r>
        <w:t>A PARTIRE DAL 31 DICEMBRE 2016</w:t>
      </w: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Default="00655A70" w:rsidP="00655A70">
      <w:pPr>
        <w:pStyle w:val="Titologenerale"/>
        <w:spacing w:line="320" w:lineRule="exact"/>
        <w:rPr>
          <w:sz w:val="32"/>
          <w:szCs w:val="32"/>
        </w:rPr>
      </w:pPr>
    </w:p>
    <w:p w:rsidR="00655A70" w:rsidRDefault="00655A70" w:rsidP="00655A70">
      <w:pPr>
        <w:overflowPunct/>
        <w:autoSpaceDE/>
        <w:autoSpaceDN/>
        <w:adjustRightInd/>
        <w:spacing w:before="0" w:after="0" w:line="240" w:lineRule="auto"/>
        <w:jc w:val="left"/>
        <w:textAlignment w:val="auto"/>
        <w:rPr>
          <w:rFonts w:cs="Arial"/>
          <w:b/>
          <w:sz w:val="32"/>
          <w:szCs w:val="32"/>
          <w:lang w:val="it-IT" w:eastAsia="it-IT"/>
        </w:rPr>
      </w:pPr>
      <w:r w:rsidRPr="003771B5">
        <w:rPr>
          <w:sz w:val="32"/>
          <w:szCs w:val="32"/>
          <w:lang w:val="it-IT"/>
        </w:rPr>
        <w:br w:type="page"/>
      </w: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213034" w:rsidRDefault="00213034" w:rsidP="00655A70">
      <w:pPr>
        <w:pStyle w:val="Corpotesto"/>
        <w:rPr>
          <w:lang w:val="it-IT"/>
        </w:rPr>
      </w:pPr>
    </w:p>
    <w:p w:rsidR="00213034" w:rsidRDefault="00213034" w:rsidP="00655A70">
      <w:pPr>
        <w:pStyle w:val="Corpotesto"/>
        <w:rPr>
          <w:lang w:val="it-IT"/>
        </w:rPr>
      </w:pPr>
    </w:p>
    <w:p w:rsidR="00213034" w:rsidRDefault="00213034" w:rsidP="00655A70">
      <w:pPr>
        <w:pStyle w:val="Corpotesto"/>
        <w:rPr>
          <w:lang w:val="it-IT"/>
        </w:rPr>
      </w:pPr>
    </w:p>
    <w:p w:rsidR="00213034" w:rsidRDefault="00213034" w:rsidP="00655A70">
      <w:pPr>
        <w:pStyle w:val="Corpotesto"/>
        <w:rPr>
          <w:lang w:val="it-IT"/>
        </w:rPr>
      </w:pPr>
    </w:p>
    <w:p w:rsidR="006A167B" w:rsidRPr="009D5D23" w:rsidRDefault="006A167B" w:rsidP="006A167B">
      <w:pPr>
        <w:pStyle w:val="Corpotesto"/>
        <w:rPr>
          <w:lang w:val="it-IT"/>
        </w:rPr>
      </w:pPr>
      <w:r w:rsidRPr="009D5D23">
        <w:rPr>
          <w:lang w:val="it-IT"/>
        </w:rPr>
        <w:t>Le liste di controllo pubblicate sono state predisposte a scopo esemplificativo e di supporto alle società di revisione associate ad ASSIREVI, ai fini della preparazione da parte di queste ultime di check-list da utilizzare, opportunamente adattate, nello svolgimento dell’attività di revisione.</w:t>
      </w:r>
    </w:p>
    <w:p w:rsidR="006A167B" w:rsidRPr="009D5D23" w:rsidRDefault="006A167B" w:rsidP="006A167B">
      <w:pPr>
        <w:pStyle w:val="Corpotesto"/>
        <w:rPr>
          <w:lang w:val="it-IT"/>
        </w:rPr>
      </w:pPr>
      <w:r w:rsidRPr="009D5D23">
        <w:rPr>
          <w:lang w:val="it-IT"/>
        </w:rPr>
        <w:t>Ancorché tali liste di controllo rappresentino un utile strumento ai fini dell’analisi della conformità dell’informativa di bilancio con le norme ed i principi contabili e, in alcune circostanze, sulla base del giudizio professionale del revisore, per l’analisi della corretta applicazione dei criteri e metodi di valutazione delle voci di bilancio, avendo carattere generale, non necessariamente includono tutti gli aspetti significativi che possono emergere nel corso del lavoro di revisione e potrebbero contenere aspetti non rilevanti in tutte le fattispecie.</w:t>
      </w:r>
    </w:p>
    <w:p w:rsidR="006A167B" w:rsidRPr="009D5D23" w:rsidRDefault="006A167B" w:rsidP="006A167B">
      <w:pPr>
        <w:pStyle w:val="Corpotesto"/>
        <w:rPr>
          <w:lang w:val="it-IT"/>
        </w:rPr>
      </w:pPr>
      <w:r w:rsidRPr="009D5D23">
        <w:rPr>
          <w:lang w:val="it-IT"/>
        </w:rPr>
        <w:t xml:space="preserve">La forma, il contenuto e l’ampiezza delle check-list in concreto utilizzate nell’ambito della revisione dipendono, quindi, da vari fattori la cui valutazione compete al soggetto incaricato della revisione il quale </w:t>
      </w:r>
      <w:r w:rsidR="009D5D23">
        <w:rPr>
          <w:lang w:val="it-IT"/>
        </w:rPr>
        <w:t>provvede a farle proprie adatta</w:t>
      </w:r>
      <w:r w:rsidRPr="009D5D23">
        <w:rPr>
          <w:lang w:val="it-IT"/>
        </w:rPr>
        <w:t>ndole opportunamente alle particolarità dell’incarico, tenendo conto delle dimensioni aziendali, della natura dell’attività dell’impresa e della valutazione dei rischi di revisione, nonché di eventuali modifiche normative, regolamentari e nei principi contabili di riferimento intervenute. In concreto quindi le check-list utilizzate nell’ambito della revisione potranno differire anche significativamente da quelle pubblicate sul presente sito.</w:t>
      </w:r>
    </w:p>
    <w:p w:rsidR="006A167B" w:rsidRPr="009D5D23" w:rsidRDefault="006A167B" w:rsidP="006A167B">
      <w:pPr>
        <w:pStyle w:val="Corpotesto"/>
        <w:rPr>
          <w:lang w:val="it-IT"/>
        </w:rPr>
      </w:pPr>
      <w:r w:rsidRPr="009D5D23">
        <w:rPr>
          <w:lang w:val="it-IT"/>
        </w:rPr>
        <w:t xml:space="preserve">Le liste di controllo, che sono state elaborate e organizzare da ASSIREVI, che ne è pertanto l’autore e ne mantiene la proprietà, si riferiscono alle disposizioni normative, regolamentari nonché ai principi contabili vigenti alla data indicata sul documento stesso. </w:t>
      </w:r>
    </w:p>
    <w:p w:rsidR="006A167B" w:rsidRPr="009D5D23" w:rsidRDefault="006A167B" w:rsidP="006A167B">
      <w:pPr>
        <w:pStyle w:val="Corpotesto"/>
        <w:rPr>
          <w:lang w:val="it-IT"/>
        </w:rPr>
      </w:pPr>
      <w:r w:rsidRPr="009D5D23">
        <w:rPr>
          <w:lang w:val="it-IT"/>
        </w:rPr>
        <w:t>Le liste potranno essere citate, riprodotte e, in generale, utilizzate a condizione che ciò avvenga con menzione della fonte.</w:t>
      </w:r>
    </w:p>
    <w:p w:rsidR="006A167B" w:rsidRPr="009D5D23" w:rsidRDefault="006A167B" w:rsidP="006A167B">
      <w:pPr>
        <w:pStyle w:val="Corpotesto"/>
        <w:rPr>
          <w:lang w:val="it-IT"/>
        </w:rPr>
      </w:pPr>
      <w:r w:rsidRPr="009D5D23">
        <w:rPr>
          <w:lang w:val="it-IT"/>
        </w:rPr>
        <w:t>La rielaborazione, adattamento ed utilizzo dei contenuti delle liste da parte dei soggetti incaricati della revisione avviene in base al giudizio professionale di tali soggetti che se ne assumono ogni responsabilità.</w:t>
      </w:r>
    </w:p>
    <w:p w:rsidR="006A167B" w:rsidRPr="009D5D23" w:rsidRDefault="006A167B" w:rsidP="009D5D23">
      <w:pPr>
        <w:pStyle w:val="Corpotesto"/>
        <w:rPr>
          <w:lang w:val="it-IT"/>
        </w:rPr>
      </w:pPr>
      <w:r w:rsidRPr="009D5D23">
        <w:rPr>
          <w:lang w:val="it-IT"/>
        </w:rPr>
        <w:t>ASSIREVI non garantisce la completezza, l’aggiornamento, l’adeguatezza dei contenuti al raggiungimento di particolari scopi o risultati, né l’assenza di errori, inesattezze, imprecisioni delle liste stesse o dei contenuti delle stesse, essendo onere di chi le utilizzasse verificarle alla luce delle vigenti disposizioni normative e regolamentari, ovvero interpretazioni dottrinali e giurisprudenziali.</w:t>
      </w:r>
    </w:p>
    <w:p w:rsidR="00655A70" w:rsidRPr="009D5D23" w:rsidRDefault="006A167B" w:rsidP="009D5D23">
      <w:pPr>
        <w:pStyle w:val="Corpotesto"/>
        <w:rPr>
          <w:lang w:val="it-IT"/>
        </w:rPr>
      </w:pPr>
      <w:r w:rsidRPr="009D5D23">
        <w:rPr>
          <w:lang w:val="it-IT"/>
        </w:rPr>
        <w:t xml:space="preserve">Tutti i diritti riservati. </w:t>
      </w:r>
    </w:p>
    <w:p w:rsidR="00655A70" w:rsidRPr="003771B5" w:rsidRDefault="00655A70" w:rsidP="00655A70">
      <w:pPr>
        <w:pStyle w:val="Intestazione"/>
        <w:tabs>
          <w:tab w:val="right" w:pos="8497"/>
          <w:tab w:val="right" w:pos="12540"/>
        </w:tabs>
        <w:spacing w:after="390"/>
        <w:jc w:val="center"/>
        <w:rPr>
          <w:b/>
          <w:i/>
          <w:sz w:val="24"/>
          <w:szCs w:val="24"/>
          <w:lang w:val="it-IT"/>
        </w:rPr>
        <w:sectPr w:rsidR="00655A70" w:rsidRPr="003771B5" w:rsidSect="000D7E0A">
          <w:headerReference w:type="default" r:id="rId14"/>
          <w:footerReference w:type="default" r:id="rId15"/>
          <w:headerReference w:type="first" r:id="rId16"/>
          <w:footerReference w:type="first" r:id="rId17"/>
          <w:pgSz w:w="11906" w:h="16838" w:code="9"/>
          <w:pgMar w:top="1418" w:right="851" w:bottom="1134" w:left="851" w:header="709" w:footer="567" w:gutter="0"/>
          <w:cols w:space="708"/>
          <w:titlePg/>
          <w:docGrid w:linePitch="360"/>
        </w:sectPr>
      </w:pPr>
    </w:p>
    <w:p w:rsidR="00655A70" w:rsidRPr="003771B5" w:rsidRDefault="00655A70" w:rsidP="00655A70">
      <w:pPr>
        <w:pStyle w:val="Intestazione"/>
        <w:pBdr>
          <w:bottom w:val="none" w:sz="0" w:space="0" w:color="auto"/>
        </w:pBdr>
        <w:tabs>
          <w:tab w:val="right" w:pos="8497"/>
          <w:tab w:val="right" w:pos="12540"/>
        </w:tabs>
        <w:spacing w:after="0"/>
        <w:jc w:val="center"/>
        <w:rPr>
          <w:b/>
          <w:i/>
          <w:caps/>
          <w:sz w:val="24"/>
          <w:szCs w:val="24"/>
          <w:lang w:val="it-IT"/>
        </w:rPr>
      </w:pPr>
      <w:r w:rsidRPr="003771B5">
        <w:rPr>
          <w:b/>
          <w:caps/>
          <w:sz w:val="24"/>
          <w:szCs w:val="24"/>
          <w:lang w:val="it-IT"/>
        </w:rPr>
        <w:lastRenderedPageBreak/>
        <w:t xml:space="preserve">Lista di controllo dei principi di redazione del bilancio </w:t>
      </w:r>
      <w:r w:rsidR="00CC242B">
        <w:rPr>
          <w:b/>
          <w:caps/>
          <w:sz w:val="24"/>
          <w:szCs w:val="24"/>
          <w:lang w:val="it-IT"/>
        </w:rPr>
        <w:t>CONSOLIDATO</w:t>
      </w:r>
    </w:p>
    <w:p w:rsidR="00CC242B" w:rsidRPr="00AB0A7C" w:rsidRDefault="00CC242B" w:rsidP="00A130FE">
      <w:pPr>
        <w:pStyle w:val="Titologenerale"/>
        <w:spacing w:line="320" w:lineRule="exact"/>
        <w:rPr>
          <w:rFonts w:cs="Times New Roman"/>
          <w:b w:val="0"/>
          <w:caps/>
          <w:noProof/>
          <w:szCs w:val="24"/>
          <w:lang w:eastAsia="en-US"/>
        </w:rPr>
      </w:pPr>
      <w:r w:rsidRPr="00CC242B">
        <w:rPr>
          <w:sz w:val="32"/>
          <w:szCs w:val="32"/>
        </w:rPr>
        <w:t xml:space="preserve"> </w:t>
      </w:r>
      <w:r w:rsidRPr="00AB0A7C">
        <w:rPr>
          <w:rFonts w:cs="Times New Roman"/>
          <w:b w:val="0"/>
          <w:caps/>
          <w:noProof/>
          <w:szCs w:val="24"/>
          <w:lang w:eastAsia="en-US"/>
        </w:rPr>
        <w:t xml:space="preserve">Società ai cui bilanci sono applicabili le disposizioni del </w:t>
      </w:r>
    </w:p>
    <w:p w:rsidR="00655A70" w:rsidRPr="003771B5" w:rsidRDefault="00CC242B" w:rsidP="00AB0A7C">
      <w:pPr>
        <w:spacing w:before="0" w:after="0" w:line="240" w:lineRule="auto"/>
        <w:jc w:val="center"/>
        <w:rPr>
          <w:lang w:val="it-IT"/>
        </w:rPr>
      </w:pPr>
      <w:r w:rsidRPr="00AB0A7C">
        <w:rPr>
          <w:caps/>
          <w:noProof/>
          <w:sz w:val="24"/>
          <w:szCs w:val="24"/>
          <w:lang w:val="it-IT"/>
        </w:rPr>
        <w:t>Decreto Legislativo 9 aprile 1991, n. 127</w:t>
      </w:r>
    </w:p>
    <w:p w:rsidR="00AB0A7C" w:rsidRDefault="00AB0A7C" w:rsidP="00802DCF">
      <w:pPr>
        <w:pStyle w:val="Introduzioneint"/>
        <w:spacing w:line="220" w:lineRule="exact"/>
        <w:rPr>
          <w:rFonts w:ascii="Arial Narrow" w:hAnsi="Arial Narrow"/>
          <w:b/>
          <w:sz w:val="20"/>
        </w:rPr>
      </w:pPr>
    </w:p>
    <w:p w:rsidR="00655A70" w:rsidRPr="00061DEF" w:rsidRDefault="00655A70" w:rsidP="00655A70">
      <w:pPr>
        <w:pStyle w:val="Introduzioneint"/>
        <w:rPr>
          <w:rFonts w:ascii="Arial Narrow" w:hAnsi="Arial Narrow"/>
          <w:b/>
          <w:sz w:val="20"/>
        </w:rPr>
      </w:pPr>
      <w:r w:rsidRPr="00061DEF">
        <w:rPr>
          <w:rFonts w:ascii="Arial Narrow" w:hAnsi="Arial Narrow"/>
          <w:b/>
          <w:sz w:val="20"/>
        </w:rPr>
        <w:t>Ambito di applicazione e contenuti</w:t>
      </w:r>
    </w:p>
    <w:p w:rsidR="00655A70" w:rsidRDefault="00655A70" w:rsidP="00655A70">
      <w:pPr>
        <w:pStyle w:val="Testots"/>
        <w:rPr>
          <w:rFonts w:ascii="Arial Narrow" w:hAnsi="Arial Narrow"/>
        </w:rPr>
      </w:pPr>
      <w:r w:rsidRPr="00581EAC">
        <w:rPr>
          <w:rFonts w:ascii="Arial Narrow" w:hAnsi="Arial Narrow"/>
        </w:rPr>
        <w:t xml:space="preserve">La presente “Lista di controllo dei principi di redazione del bilancio </w:t>
      </w:r>
      <w:r w:rsidR="007617D2">
        <w:rPr>
          <w:rFonts w:ascii="Arial Narrow" w:hAnsi="Arial Narrow"/>
        </w:rPr>
        <w:t>consolidato</w:t>
      </w:r>
      <w:r w:rsidRPr="00581EAC">
        <w:rPr>
          <w:rFonts w:ascii="Arial Narrow" w:hAnsi="Arial Narrow"/>
        </w:rPr>
        <w:t>” inclu</w:t>
      </w:r>
      <w:r>
        <w:rPr>
          <w:rFonts w:ascii="Arial Narrow" w:hAnsi="Arial Narrow"/>
        </w:rPr>
        <w:t xml:space="preserve">de i riferimenti legislativi e </w:t>
      </w:r>
      <w:r w:rsidRPr="00581EAC">
        <w:rPr>
          <w:rFonts w:ascii="Arial Narrow" w:hAnsi="Arial Narrow"/>
        </w:rPr>
        <w:t xml:space="preserve">interpretativi per la redazione del bilancio </w:t>
      </w:r>
      <w:r w:rsidR="007617D2">
        <w:rPr>
          <w:rFonts w:ascii="Arial Narrow" w:hAnsi="Arial Narrow"/>
        </w:rPr>
        <w:t>consolidato</w:t>
      </w:r>
      <w:r w:rsidRPr="00581EAC">
        <w:rPr>
          <w:rFonts w:ascii="Arial Narrow" w:hAnsi="Arial Narrow"/>
        </w:rPr>
        <w:t xml:space="preserve"> delle</w:t>
      </w:r>
      <w:r>
        <w:rPr>
          <w:rFonts w:ascii="Arial Narrow" w:hAnsi="Arial Narrow"/>
        </w:rPr>
        <w:t xml:space="preserve"> società di capitali</w:t>
      </w:r>
      <w:r w:rsidRPr="00B260F6">
        <w:rPr>
          <w:rFonts w:ascii="Arial Narrow" w:hAnsi="Arial Narrow"/>
        </w:rPr>
        <w:t xml:space="preserve"> che redigono i bilanci</w:t>
      </w:r>
      <w:r>
        <w:rPr>
          <w:rFonts w:ascii="Arial Narrow" w:hAnsi="Arial Narrow"/>
        </w:rPr>
        <w:t xml:space="preserve"> in base alle disposizioni del </w:t>
      </w:r>
      <w:r w:rsidR="007617D2">
        <w:rPr>
          <w:rFonts w:ascii="Arial Narrow" w:hAnsi="Arial Narrow"/>
        </w:rPr>
        <w:t>D.Lgs.127/91</w:t>
      </w:r>
      <w:r w:rsidRPr="00B260F6">
        <w:rPr>
          <w:rFonts w:ascii="Arial Narrow" w:hAnsi="Arial Narrow"/>
        </w:rPr>
        <w:t>.</w:t>
      </w:r>
      <w:r>
        <w:rPr>
          <w:rFonts w:ascii="Arial Narrow" w:hAnsi="Arial Narrow"/>
        </w:rPr>
        <w:t xml:space="preserve"> </w:t>
      </w:r>
    </w:p>
    <w:p w:rsidR="00655A70" w:rsidRPr="001A5235" w:rsidRDefault="00655A70" w:rsidP="00655A70">
      <w:pPr>
        <w:pStyle w:val="Testots"/>
        <w:rPr>
          <w:rFonts w:ascii="Arial Narrow" w:hAnsi="Arial Narrow"/>
          <w:b/>
        </w:rPr>
      </w:pPr>
      <w:r w:rsidRPr="001A5235">
        <w:rPr>
          <w:rFonts w:ascii="Arial Narrow" w:hAnsi="Arial Narrow"/>
          <w:b/>
        </w:rPr>
        <w:t>Per quanto riguarda i documenti interpretativi, essi sono rappresentati dai principi contabili emessi dall’Organismo Italiano di Contabilità (OIC), la maggior parte dei quali sono stati oggetto di revisione e aggiornamento nel corso del 2016.</w:t>
      </w:r>
    </w:p>
    <w:p w:rsidR="00655A70" w:rsidRPr="001A5235" w:rsidRDefault="00655A70" w:rsidP="00655A70">
      <w:pPr>
        <w:pStyle w:val="Testots"/>
        <w:rPr>
          <w:rFonts w:ascii="Arial Narrow" w:hAnsi="Arial Narrow"/>
          <w:b/>
        </w:rPr>
      </w:pPr>
      <w:r w:rsidRPr="001A5235">
        <w:rPr>
          <w:rFonts w:ascii="Arial Narrow" w:hAnsi="Arial Narrow"/>
          <w:b/>
        </w:rPr>
        <w:t>Infatti il 22 dicembre 2016 l’OIC ha pubblicato la versione definitiva dei principi contabili nazionali aggiornati a seguito del processo di consultazione avviato nell’aprile del 2016 e resosi necessario alla luce della rilevanza delle novità introdotte dal D.Lgs. 139/2015, che ha modificato la disciplina del Codice Civile in materia di bilancio d’esercizio e</w:t>
      </w:r>
      <w:r>
        <w:rPr>
          <w:rFonts w:ascii="Arial Narrow" w:hAnsi="Arial Narrow"/>
          <w:b/>
        </w:rPr>
        <w:t xml:space="preserve"> di bilancio consolidato delle s</w:t>
      </w:r>
      <w:r w:rsidRPr="001A5235">
        <w:rPr>
          <w:rFonts w:ascii="Arial Narrow" w:hAnsi="Arial Narrow"/>
          <w:b/>
        </w:rPr>
        <w:t>ocietà commerciali.</w:t>
      </w:r>
    </w:p>
    <w:p w:rsidR="00655A70" w:rsidRPr="001A5235" w:rsidRDefault="00655A70" w:rsidP="00655A70">
      <w:pPr>
        <w:pStyle w:val="Testots"/>
        <w:rPr>
          <w:rFonts w:ascii="Arial Narrow" w:hAnsi="Arial Narrow"/>
          <w:b/>
        </w:rPr>
      </w:pPr>
      <w:r w:rsidRPr="001A5235">
        <w:rPr>
          <w:rFonts w:ascii="Arial Narrow" w:hAnsi="Arial Narrow"/>
          <w:b/>
        </w:rPr>
        <w:t xml:space="preserve">Le nuove disposizioni e i nuovi principi contabili sono applicabili a partire dal 1° gennaio 2016 e pertanto, per i soggetti con esercizio sociale coincidente con l’anno solare, trovano applicazione dal bilancio relativo all’esercizio 2016. </w:t>
      </w:r>
    </w:p>
    <w:p w:rsidR="00655A70" w:rsidRPr="002201E2" w:rsidRDefault="00655A70" w:rsidP="00655A70">
      <w:pPr>
        <w:pStyle w:val="Testots"/>
        <w:rPr>
          <w:rFonts w:ascii="Arial Narrow" w:hAnsi="Arial Narrow"/>
        </w:rPr>
      </w:pPr>
      <w:r>
        <w:rPr>
          <w:rFonts w:ascii="Arial Narrow" w:hAnsi="Arial Narrow"/>
        </w:rPr>
        <w:t>La</w:t>
      </w:r>
      <w:r w:rsidRPr="00581EAC">
        <w:rPr>
          <w:rFonts w:ascii="Arial Narrow" w:hAnsi="Arial Narrow"/>
        </w:rPr>
        <w:t xml:space="preserve"> Lista di controllo non intende sostituire i testi ufficiali che costituiscono le fonti di riferimento che devono essere consultate per la soluzione dei problemi applicativi. Per tale ragione, ogni domanda è corredata dai principali riferimenti ai documenti in cui la materia è trattata.</w:t>
      </w:r>
      <w:r>
        <w:rPr>
          <w:rFonts w:ascii="Arial Narrow" w:hAnsi="Arial Narrow"/>
        </w:rPr>
        <w:t xml:space="preserve"> </w:t>
      </w:r>
      <w:r w:rsidRPr="00A831E2">
        <w:rPr>
          <w:rFonts w:ascii="Arial Narrow" w:hAnsi="Arial Narrow"/>
        </w:rPr>
        <w:t>In alcuni casi, per facilitare l’uso del</w:t>
      </w:r>
      <w:r>
        <w:rPr>
          <w:rFonts w:ascii="Arial Narrow" w:hAnsi="Arial Narrow"/>
        </w:rPr>
        <w:t>la Lista di controllo</w:t>
      </w:r>
      <w:r w:rsidRPr="00A831E2">
        <w:rPr>
          <w:rFonts w:ascii="Arial Narrow" w:hAnsi="Arial Narrow"/>
        </w:rPr>
        <w:t xml:space="preserve">, </w:t>
      </w:r>
      <w:r>
        <w:rPr>
          <w:rFonts w:ascii="Arial Narrow" w:hAnsi="Arial Narrow"/>
        </w:rPr>
        <w:t>il contenuto dei paragrafi</w:t>
      </w:r>
      <w:r w:rsidRPr="00A831E2">
        <w:rPr>
          <w:rFonts w:ascii="Arial Narrow" w:hAnsi="Arial Narrow"/>
        </w:rPr>
        <w:t xml:space="preserve"> </w:t>
      </w:r>
      <w:r>
        <w:rPr>
          <w:rFonts w:ascii="Arial Narrow" w:hAnsi="Arial Narrow"/>
        </w:rPr>
        <w:t>previsti dal principio contabile è stato parafrasato e, i</w:t>
      </w:r>
      <w:r w:rsidRPr="00A831E2">
        <w:rPr>
          <w:rFonts w:ascii="Arial Narrow" w:hAnsi="Arial Narrow"/>
        </w:rPr>
        <w:t xml:space="preserve">n aggiunta, sono </w:t>
      </w:r>
      <w:r w:rsidRPr="002201E2">
        <w:rPr>
          <w:rFonts w:ascii="Arial Narrow" w:hAnsi="Arial Narrow"/>
        </w:rPr>
        <w:t xml:space="preserve">stati inclusi </w:t>
      </w:r>
      <w:r w:rsidRPr="002201E2">
        <w:rPr>
          <w:rFonts w:ascii="Arial Narrow" w:hAnsi="Arial Narrow"/>
          <w:bCs/>
          <w:bdr w:val="single" w:sz="4" w:space="0" w:color="auto"/>
        </w:rPr>
        <w:t>commenti in riquadri</w:t>
      </w:r>
      <w:r w:rsidRPr="002201E2">
        <w:rPr>
          <w:rFonts w:ascii="Arial Narrow" w:hAnsi="Arial Narrow"/>
        </w:rPr>
        <w:t xml:space="preserve"> che sintetizzano e/o si riferiscono a paragrafi esplicativi presenti nei singoli principi. </w:t>
      </w:r>
    </w:p>
    <w:p w:rsidR="00655A70" w:rsidRPr="00581EAC" w:rsidRDefault="00655A70" w:rsidP="00802DCF">
      <w:pPr>
        <w:pStyle w:val="Testots"/>
        <w:spacing w:line="220" w:lineRule="exact"/>
        <w:rPr>
          <w:rFonts w:ascii="Arial Narrow" w:hAnsi="Arial Narrow"/>
        </w:rPr>
      </w:pPr>
    </w:p>
    <w:p w:rsidR="00655A70" w:rsidRPr="00581EAC" w:rsidRDefault="00655A70" w:rsidP="00655A70">
      <w:pPr>
        <w:pStyle w:val="Testots"/>
        <w:rPr>
          <w:rFonts w:ascii="Arial Narrow" w:hAnsi="Arial Narrow"/>
          <w:b/>
        </w:rPr>
      </w:pPr>
      <w:r w:rsidRPr="00581EAC">
        <w:rPr>
          <w:rFonts w:ascii="Arial Narrow" w:hAnsi="Arial Narrow"/>
          <w:b/>
        </w:rPr>
        <w:t>Documenti di riferimento</w:t>
      </w:r>
    </w:p>
    <w:p w:rsidR="00655A70" w:rsidRPr="00840B93" w:rsidRDefault="00655A70" w:rsidP="00840B93">
      <w:pPr>
        <w:pStyle w:val="Testots"/>
        <w:rPr>
          <w:rFonts w:ascii="Arial Narrow" w:hAnsi="Arial Narrow"/>
        </w:rPr>
      </w:pPr>
      <w:r w:rsidRPr="00581EAC">
        <w:rPr>
          <w:rFonts w:ascii="Arial Narrow" w:hAnsi="Arial Narrow"/>
        </w:rPr>
        <w:t xml:space="preserve">La Lista di controllo, riferita alle società </w:t>
      </w:r>
      <w:r>
        <w:rPr>
          <w:rFonts w:ascii="Arial Narrow" w:hAnsi="Arial Narrow"/>
        </w:rPr>
        <w:t xml:space="preserve">di capitali </w:t>
      </w:r>
      <w:r w:rsidRPr="00581EAC">
        <w:rPr>
          <w:rFonts w:ascii="Arial Narrow" w:hAnsi="Arial Narrow"/>
        </w:rPr>
        <w:t xml:space="preserve">ai cui bilanci sono applicabili le disposizioni </w:t>
      </w:r>
      <w:r w:rsidR="007617D2">
        <w:rPr>
          <w:rFonts w:ascii="Arial Narrow" w:hAnsi="Arial Narrow"/>
        </w:rPr>
        <w:t>del D.Lgs.127/91</w:t>
      </w:r>
      <w:r w:rsidRPr="00581EAC">
        <w:rPr>
          <w:rFonts w:ascii="Arial Narrow" w:hAnsi="Arial Narrow"/>
        </w:rPr>
        <w:t xml:space="preserve">, è stata preparata tenendo in considerazione i riferimenti legislativi ed interpretativi applicabili per quanto riguarda sia i principi e criteri di redazione sia le informazioni aggiuntive da fornire nella </w:t>
      </w:r>
      <w:r w:rsidR="00104BFF">
        <w:rPr>
          <w:rFonts w:ascii="Arial Narrow" w:hAnsi="Arial Narrow"/>
        </w:rPr>
        <w:t>Nota Integrativa</w:t>
      </w:r>
      <w:r w:rsidRPr="00581EAC">
        <w:rPr>
          <w:rFonts w:ascii="Arial Narrow" w:hAnsi="Arial Narrow"/>
        </w:rPr>
        <w:t>. Quanto ai riferimenti interpretativi, la lista dei principi contabili nazionali considerati è di seguito riportata:</w:t>
      </w:r>
    </w:p>
    <w:p w:rsidR="00655A70" w:rsidRDefault="00655A70" w:rsidP="00802DCF">
      <w:pPr>
        <w:spacing w:line="180" w:lineRule="exact"/>
        <w:jc w:val="center"/>
        <w:rPr>
          <w:b/>
          <w:caps/>
          <w:lang w:val="it-IT"/>
        </w:rPr>
      </w:pPr>
    </w:p>
    <w:p w:rsidR="00655A70" w:rsidRDefault="00655A70" w:rsidP="00655A70">
      <w:pPr>
        <w:jc w:val="center"/>
        <w:rPr>
          <w:b/>
          <w:caps/>
          <w:lang w:val="it-IT"/>
        </w:rPr>
      </w:pPr>
      <w:r w:rsidRPr="00581EAC">
        <w:rPr>
          <w:b/>
          <w:caps/>
          <w:lang w:val="it-IT"/>
        </w:rPr>
        <w:t xml:space="preserve">Serie dei Principi Contabili </w:t>
      </w:r>
      <w:r>
        <w:rPr>
          <w:b/>
          <w:caps/>
          <w:lang w:val="it-IT"/>
        </w:rPr>
        <w:t>APPLICABILI AI BILANCI CHIUSI A PARTIRE DAL 31 DICEMBRE 2016</w:t>
      </w:r>
    </w:p>
    <w:p w:rsidR="00840B93" w:rsidRPr="00581EAC" w:rsidRDefault="00802DCF" w:rsidP="00802DCF">
      <w:pPr>
        <w:tabs>
          <w:tab w:val="left" w:pos="4094"/>
        </w:tabs>
        <w:spacing w:line="140" w:lineRule="exact"/>
        <w:rPr>
          <w:b/>
          <w:caps/>
          <w:lang w:val="it-IT"/>
        </w:rPr>
      </w:pPr>
      <w:r>
        <w:rPr>
          <w:b/>
          <w:caps/>
          <w:lang w:val="it-IT"/>
        </w:rPr>
        <w:tab/>
      </w:r>
    </w:p>
    <w:tbl>
      <w:tblPr>
        <w:tblW w:w="5061"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9"/>
        <w:gridCol w:w="6292"/>
        <w:gridCol w:w="12"/>
        <w:gridCol w:w="1916"/>
        <w:gridCol w:w="10"/>
      </w:tblGrid>
      <w:tr w:rsidR="00655A70" w:rsidRPr="00581EAC" w:rsidTr="000D7E0A">
        <w:trPr>
          <w:tblHeader/>
          <w:tblCellSpacing w:w="0" w:type="dxa"/>
        </w:trPr>
        <w:tc>
          <w:tcPr>
            <w:tcW w:w="1027" w:type="pct"/>
            <w:tcBorders>
              <w:top w:val="outset" w:sz="6" w:space="0" w:color="auto"/>
              <w:left w:val="outset" w:sz="6" w:space="0" w:color="auto"/>
              <w:bottom w:val="outset" w:sz="6" w:space="0" w:color="auto"/>
              <w:right w:val="outset" w:sz="6" w:space="0" w:color="auto"/>
            </w:tcBorders>
            <w:vAlign w:val="center"/>
            <w:hideMark/>
          </w:tcPr>
          <w:p w:rsidR="00655A70" w:rsidRPr="00581EAC" w:rsidRDefault="00655A70" w:rsidP="000D7E0A">
            <w:pPr>
              <w:ind w:left="142" w:right="94"/>
              <w:jc w:val="center"/>
              <w:rPr>
                <w:color w:val="000000"/>
              </w:rPr>
            </w:pPr>
            <w:r w:rsidRPr="00581EAC">
              <w:rPr>
                <w:rStyle w:val="Enfasigrassetto"/>
                <w:color w:val="000000"/>
              </w:rPr>
              <w:t>Documento</w:t>
            </w:r>
          </w:p>
        </w:tc>
        <w:tc>
          <w:tcPr>
            <w:tcW w:w="3043" w:type="pct"/>
            <w:gridSpan w:val="2"/>
            <w:tcBorders>
              <w:top w:val="outset" w:sz="6" w:space="0" w:color="auto"/>
              <w:left w:val="outset" w:sz="6" w:space="0" w:color="auto"/>
              <w:bottom w:val="outset" w:sz="6" w:space="0" w:color="auto"/>
              <w:right w:val="outset" w:sz="6" w:space="0" w:color="auto"/>
            </w:tcBorders>
            <w:vAlign w:val="center"/>
            <w:hideMark/>
          </w:tcPr>
          <w:p w:rsidR="00655A70" w:rsidRPr="00581EAC" w:rsidRDefault="00655A70" w:rsidP="000D7E0A">
            <w:pPr>
              <w:ind w:left="159" w:right="149"/>
              <w:jc w:val="center"/>
              <w:rPr>
                <w:color w:val="000000"/>
              </w:rPr>
            </w:pPr>
            <w:r w:rsidRPr="00581EAC">
              <w:rPr>
                <w:rStyle w:val="Enfasigrassetto"/>
                <w:color w:val="000000"/>
              </w:rPr>
              <w:t>Titolo</w:t>
            </w:r>
          </w:p>
        </w:tc>
        <w:tc>
          <w:tcPr>
            <w:tcW w:w="930" w:type="pct"/>
            <w:gridSpan w:val="2"/>
            <w:tcBorders>
              <w:top w:val="outset" w:sz="6" w:space="0" w:color="auto"/>
              <w:left w:val="outset" w:sz="6" w:space="0" w:color="auto"/>
              <w:bottom w:val="outset" w:sz="6" w:space="0" w:color="auto"/>
              <w:right w:val="outset" w:sz="6" w:space="0" w:color="auto"/>
            </w:tcBorders>
            <w:vAlign w:val="center"/>
            <w:hideMark/>
          </w:tcPr>
          <w:p w:rsidR="00655A70" w:rsidRPr="00581EAC" w:rsidRDefault="00655A70" w:rsidP="000D7E0A">
            <w:pPr>
              <w:ind w:left="104"/>
              <w:jc w:val="center"/>
              <w:rPr>
                <w:color w:val="000000"/>
              </w:rPr>
            </w:pPr>
            <w:r w:rsidRPr="00581EAC">
              <w:rPr>
                <w:rStyle w:val="Enfasigrassetto"/>
                <w:color w:val="000000"/>
              </w:rPr>
              <w:t xml:space="preserve">Data </w:t>
            </w:r>
          </w:p>
        </w:tc>
      </w:tr>
      <w:tr w:rsidR="00655A70" w:rsidRPr="00581EAC" w:rsidTr="000D7E0A">
        <w:trPr>
          <w:gridAfter w:val="1"/>
          <w:wAfter w:w="5" w:type="pct"/>
          <w:tblCellSpacing w:w="0" w:type="dxa"/>
        </w:trPr>
        <w:tc>
          <w:tcPr>
            <w:tcW w:w="1027" w:type="pct"/>
            <w:tcBorders>
              <w:top w:val="outset" w:sz="6" w:space="0" w:color="auto"/>
              <w:left w:val="outset" w:sz="6" w:space="0" w:color="auto"/>
              <w:bottom w:val="outset" w:sz="6" w:space="0" w:color="auto"/>
              <w:right w:val="outset" w:sz="6" w:space="0" w:color="auto"/>
            </w:tcBorders>
            <w:vAlign w:val="center"/>
            <w:hideMark/>
          </w:tcPr>
          <w:p w:rsidR="00655A70" w:rsidRPr="00581EAC" w:rsidRDefault="00655A70" w:rsidP="00427B3F">
            <w:pPr>
              <w:ind w:left="680"/>
              <w:rPr>
                <w:color w:val="000000"/>
              </w:rPr>
            </w:pPr>
            <w:r w:rsidRPr="00581EAC">
              <w:rPr>
                <w:color w:val="000000"/>
              </w:rPr>
              <w:t>OIC 2</w:t>
            </w:r>
          </w:p>
        </w:tc>
        <w:tc>
          <w:tcPr>
            <w:tcW w:w="3037" w:type="pct"/>
            <w:tcBorders>
              <w:top w:val="outset" w:sz="6" w:space="0" w:color="auto"/>
              <w:left w:val="outset" w:sz="6" w:space="0" w:color="auto"/>
              <w:bottom w:val="outset" w:sz="6" w:space="0" w:color="auto"/>
              <w:right w:val="outset" w:sz="6" w:space="0" w:color="auto"/>
            </w:tcBorders>
            <w:vAlign w:val="center"/>
            <w:hideMark/>
          </w:tcPr>
          <w:p w:rsidR="00655A70" w:rsidRPr="00581EAC" w:rsidRDefault="00655A70" w:rsidP="000D7E0A">
            <w:pPr>
              <w:ind w:left="155" w:right="126"/>
              <w:rPr>
                <w:color w:val="000000"/>
                <w:lang w:val="it-IT"/>
              </w:rPr>
            </w:pPr>
            <w:r w:rsidRPr="00581EAC">
              <w:rPr>
                <w:color w:val="000000"/>
                <w:lang w:val="it-IT"/>
              </w:rPr>
              <w:t>Patrimoni e finanziamenti destinati ad uno specifico affare</w:t>
            </w:r>
          </w:p>
        </w:tc>
        <w:tc>
          <w:tcPr>
            <w:tcW w:w="931" w:type="pct"/>
            <w:gridSpan w:val="2"/>
            <w:tcBorders>
              <w:top w:val="outset" w:sz="6" w:space="0" w:color="auto"/>
              <w:left w:val="outset" w:sz="6" w:space="0" w:color="auto"/>
              <w:bottom w:val="outset" w:sz="6" w:space="0" w:color="auto"/>
              <w:right w:val="outset" w:sz="6" w:space="0" w:color="auto"/>
            </w:tcBorders>
            <w:vAlign w:val="center"/>
            <w:hideMark/>
          </w:tcPr>
          <w:p w:rsidR="00655A70" w:rsidRPr="00581EAC" w:rsidRDefault="00655A70" w:rsidP="00840B93">
            <w:pPr>
              <w:tabs>
                <w:tab w:val="right" w:pos="1644"/>
              </w:tabs>
              <w:ind w:left="127"/>
              <w:rPr>
                <w:color w:val="000000"/>
              </w:rPr>
            </w:pPr>
            <w:r w:rsidRPr="00C14283">
              <w:rPr>
                <w:color w:val="000000"/>
                <w:lang w:val="it-IT"/>
              </w:rPr>
              <w:tab/>
            </w:r>
            <w:r w:rsidRPr="00581EAC">
              <w:rPr>
                <w:color w:val="000000"/>
              </w:rPr>
              <w:t>26 ottobre 2005</w:t>
            </w:r>
          </w:p>
        </w:tc>
      </w:tr>
      <w:tr w:rsidR="00655A70" w:rsidRPr="00922283" w:rsidTr="000D7E0A">
        <w:trPr>
          <w:gridAfter w:val="1"/>
          <w:wAfter w:w="5" w:type="pct"/>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922283" w:rsidRDefault="00655A70" w:rsidP="00427B3F">
            <w:pPr>
              <w:ind w:left="680"/>
              <w:rPr>
                <w:color w:val="000000"/>
                <w:lang w:val="it-IT"/>
              </w:rPr>
            </w:pPr>
            <w:r w:rsidRPr="00922283">
              <w:rPr>
                <w:color w:val="000000"/>
                <w:lang w:val="it-IT"/>
              </w:rPr>
              <w:t>OIC 4</w:t>
            </w:r>
          </w:p>
        </w:tc>
        <w:tc>
          <w:tcPr>
            <w:tcW w:w="3037" w:type="pct"/>
            <w:tcBorders>
              <w:top w:val="outset" w:sz="6" w:space="0" w:color="auto"/>
              <w:left w:val="outset" w:sz="6" w:space="0" w:color="auto"/>
              <w:bottom w:val="outset" w:sz="6" w:space="0" w:color="auto"/>
              <w:right w:val="outset" w:sz="6" w:space="0" w:color="auto"/>
            </w:tcBorders>
            <w:hideMark/>
          </w:tcPr>
          <w:p w:rsidR="00655A70" w:rsidRPr="00922283" w:rsidRDefault="00655A70" w:rsidP="000D7E0A">
            <w:pPr>
              <w:ind w:left="155" w:right="126"/>
              <w:rPr>
                <w:color w:val="000000"/>
                <w:lang w:val="it-IT"/>
              </w:rPr>
            </w:pPr>
            <w:r w:rsidRPr="00922283">
              <w:rPr>
                <w:color w:val="000000"/>
                <w:lang w:val="it-IT"/>
              </w:rPr>
              <w:t>Fusione e scissione</w:t>
            </w:r>
          </w:p>
        </w:tc>
        <w:tc>
          <w:tcPr>
            <w:tcW w:w="931" w:type="pct"/>
            <w:gridSpan w:val="2"/>
            <w:tcBorders>
              <w:top w:val="outset" w:sz="6" w:space="0" w:color="auto"/>
              <w:left w:val="outset" w:sz="6" w:space="0" w:color="auto"/>
              <w:bottom w:val="outset" w:sz="6" w:space="0" w:color="auto"/>
              <w:right w:val="outset" w:sz="6" w:space="0" w:color="auto"/>
            </w:tcBorders>
            <w:hideMark/>
          </w:tcPr>
          <w:p w:rsidR="00655A70" w:rsidRPr="00922283" w:rsidRDefault="00655A70" w:rsidP="00840B93">
            <w:pPr>
              <w:tabs>
                <w:tab w:val="right" w:pos="1644"/>
              </w:tabs>
              <w:ind w:left="127"/>
              <w:rPr>
                <w:color w:val="000000"/>
                <w:lang w:val="it-IT"/>
              </w:rPr>
            </w:pPr>
            <w:r>
              <w:rPr>
                <w:color w:val="000000"/>
                <w:lang w:val="it-IT"/>
              </w:rPr>
              <w:tab/>
            </w:r>
            <w:r w:rsidRPr="00922283">
              <w:rPr>
                <w:color w:val="000000"/>
                <w:lang w:val="it-IT"/>
              </w:rPr>
              <w:t>24 gennaio 2007</w:t>
            </w:r>
          </w:p>
        </w:tc>
      </w:tr>
      <w:tr w:rsidR="00655A70" w:rsidRPr="00581EAC" w:rsidTr="000D7E0A">
        <w:trPr>
          <w:gridAfter w:val="1"/>
          <w:wAfter w:w="5" w:type="pct"/>
          <w:tblCellSpacing w:w="0" w:type="dxa"/>
        </w:trPr>
        <w:tc>
          <w:tcPr>
            <w:tcW w:w="1027" w:type="pct"/>
            <w:tcBorders>
              <w:top w:val="outset" w:sz="6" w:space="0" w:color="auto"/>
              <w:left w:val="outset" w:sz="6" w:space="0" w:color="auto"/>
              <w:bottom w:val="outset" w:sz="6" w:space="0" w:color="auto"/>
              <w:right w:val="outset" w:sz="6" w:space="0" w:color="auto"/>
            </w:tcBorders>
          </w:tcPr>
          <w:p w:rsidR="00655A70" w:rsidRPr="00922283" w:rsidRDefault="00655A70" w:rsidP="00427B3F">
            <w:pPr>
              <w:ind w:left="680"/>
              <w:rPr>
                <w:color w:val="000000"/>
                <w:lang w:val="it-IT"/>
              </w:rPr>
            </w:pPr>
            <w:r w:rsidRPr="00922283">
              <w:rPr>
                <w:color w:val="000000"/>
                <w:lang w:val="it-IT"/>
              </w:rPr>
              <w:t>OIC 7</w:t>
            </w:r>
          </w:p>
        </w:tc>
        <w:tc>
          <w:tcPr>
            <w:tcW w:w="3037" w:type="pct"/>
            <w:tcBorders>
              <w:top w:val="outset" w:sz="6" w:space="0" w:color="auto"/>
              <w:left w:val="outset" w:sz="6" w:space="0" w:color="auto"/>
              <w:bottom w:val="outset" w:sz="6" w:space="0" w:color="auto"/>
              <w:right w:val="outset" w:sz="6" w:space="0" w:color="auto"/>
            </w:tcBorders>
          </w:tcPr>
          <w:p w:rsidR="00655A70" w:rsidRPr="00581EAC" w:rsidRDefault="00655A70" w:rsidP="000D7E0A">
            <w:pPr>
              <w:ind w:left="155" w:right="126"/>
              <w:rPr>
                <w:color w:val="000000"/>
              </w:rPr>
            </w:pPr>
            <w:r w:rsidRPr="00922283">
              <w:rPr>
                <w:color w:val="000000"/>
                <w:lang w:val="it-IT"/>
              </w:rPr>
              <w:t xml:space="preserve">I </w:t>
            </w:r>
            <w:r>
              <w:rPr>
                <w:color w:val="000000"/>
              </w:rPr>
              <w:t>certificati</w:t>
            </w:r>
            <w:r w:rsidRPr="00581EAC">
              <w:rPr>
                <w:color w:val="000000"/>
              </w:rPr>
              <w:t xml:space="preserve"> </w:t>
            </w:r>
            <w:r>
              <w:rPr>
                <w:color w:val="000000"/>
              </w:rPr>
              <w:t>verdi</w:t>
            </w:r>
          </w:p>
        </w:tc>
        <w:tc>
          <w:tcPr>
            <w:tcW w:w="931" w:type="pct"/>
            <w:gridSpan w:val="2"/>
            <w:tcBorders>
              <w:top w:val="outset" w:sz="6" w:space="0" w:color="auto"/>
              <w:left w:val="outset" w:sz="6" w:space="0" w:color="auto"/>
              <w:bottom w:val="outset" w:sz="6" w:space="0" w:color="auto"/>
              <w:right w:val="outset" w:sz="6" w:space="0" w:color="auto"/>
            </w:tcBorders>
          </w:tcPr>
          <w:p w:rsidR="00655A70" w:rsidRPr="00581EAC" w:rsidRDefault="00655A70" w:rsidP="00840B93">
            <w:pPr>
              <w:tabs>
                <w:tab w:val="right" w:pos="1644"/>
              </w:tabs>
              <w:ind w:left="127"/>
              <w:rPr>
                <w:color w:val="000000"/>
              </w:rPr>
            </w:pPr>
            <w:r>
              <w:rPr>
                <w:color w:val="000000"/>
              </w:rPr>
              <w:tab/>
            </w:r>
            <w:r w:rsidRPr="00581EAC">
              <w:rPr>
                <w:color w:val="000000"/>
              </w:rPr>
              <w:t>7 febbraio 2013</w:t>
            </w:r>
          </w:p>
        </w:tc>
      </w:tr>
      <w:tr w:rsidR="00655A70" w:rsidRPr="00581EAC" w:rsidTr="000D7E0A">
        <w:trPr>
          <w:gridAfter w:val="1"/>
          <w:wAfter w:w="5" w:type="pct"/>
          <w:tblCellSpacing w:w="0" w:type="dxa"/>
        </w:trPr>
        <w:tc>
          <w:tcPr>
            <w:tcW w:w="1027" w:type="pct"/>
            <w:tcBorders>
              <w:top w:val="outset" w:sz="6" w:space="0" w:color="auto"/>
              <w:left w:val="outset" w:sz="6" w:space="0" w:color="auto"/>
              <w:bottom w:val="outset" w:sz="6" w:space="0" w:color="auto"/>
              <w:right w:val="outset" w:sz="6" w:space="0" w:color="auto"/>
            </w:tcBorders>
          </w:tcPr>
          <w:p w:rsidR="00655A70" w:rsidRPr="00581EAC" w:rsidRDefault="00655A70" w:rsidP="00427B3F">
            <w:pPr>
              <w:ind w:left="680"/>
              <w:rPr>
                <w:color w:val="000000"/>
              </w:rPr>
            </w:pPr>
            <w:r w:rsidRPr="00581EAC">
              <w:rPr>
                <w:color w:val="000000"/>
              </w:rPr>
              <w:t>OIC 8</w:t>
            </w:r>
          </w:p>
        </w:tc>
        <w:tc>
          <w:tcPr>
            <w:tcW w:w="3037" w:type="pct"/>
            <w:tcBorders>
              <w:top w:val="outset" w:sz="6" w:space="0" w:color="auto"/>
              <w:left w:val="outset" w:sz="6" w:space="0" w:color="auto"/>
              <w:bottom w:val="outset" w:sz="6" w:space="0" w:color="auto"/>
              <w:right w:val="outset" w:sz="6" w:space="0" w:color="auto"/>
            </w:tcBorders>
          </w:tcPr>
          <w:p w:rsidR="00655A70" w:rsidRPr="00581EAC" w:rsidRDefault="00655A70" w:rsidP="000D7E0A">
            <w:pPr>
              <w:ind w:left="155" w:right="126"/>
              <w:rPr>
                <w:color w:val="000000"/>
                <w:lang w:val="it-IT"/>
              </w:rPr>
            </w:pPr>
            <w:r w:rsidRPr="00581EAC">
              <w:rPr>
                <w:color w:val="000000"/>
                <w:lang w:val="it-IT"/>
              </w:rPr>
              <w:t>Le quote di emissione dei gas ad effetto serra</w:t>
            </w:r>
          </w:p>
        </w:tc>
        <w:tc>
          <w:tcPr>
            <w:tcW w:w="931" w:type="pct"/>
            <w:gridSpan w:val="2"/>
            <w:tcBorders>
              <w:top w:val="outset" w:sz="6" w:space="0" w:color="auto"/>
              <w:left w:val="outset" w:sz="6" w:space="0" w:color="auto"/>
              <w:bottom w:val="outset" w:sz="6" w:space="0" w:color="auto"/>
              <w:right w:val="outset" w:sz="6" w:space="0" w:color="auto"/>
            </w:tcBorders>
          </w:tcPr>
          <w:p w:rsidR="00655A70" w:rsidRPr="00581EAC" w:rsidRDefault="00655A70" w:rsidP="00840B93">
            <w:pPr>
              <w:tabs>
                <w:tab w:val="right" w:pos="1644"/>
              </w:tabs>
              <w:ind w:left="127"/>
              <w:rPr>
                <w:color w:val="000000"/>
              </w:rPr>
            </w:pPr>
            <w:r w:rsidRPr="00C14283">
              <w:rPr>
                <w:color w:val="000000"/>
                <w:lang w:val="it-IT"/>
              </w:rPr>
              <w:tab/>
            </w:r>
            <w:r w:rsidRPr="00581EAC">
              <w:rPr>
                <w:color w:val="000000"/>
              </w:rPr>
              <w:t>7 febbraio 2013</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tcPr>
          <w:p w:rsidR="00655A70" w:rsidRPr="00581EAC" w:rsidRDefault="00655A70" w:rsidP="00427B3F">
            <w:pPr>
              <w:ind w:left="680" w:right="94"/>
              <w:rPr>
                <w:color w:val="000000"/>
              </w:rPr>
            </w:pPr>
            <w:r>
              <w:rPr>
                <w:color w:val="000000"/>
              </w:rPr>
              <w:t xml:space="preserve">OIC </w:t>
            </w:r>
            <w:r w:rsidRPr="00581EAC">
              <w:rPr>
                <w:color w:val="000000"/>
              </w:rPr>
              <w:t>9</w:t>
            </w:r>
          </w:p>
        </w:tc>
        <w:tc>
          <w:tcPr>
            <w:tcW w:w="3043" w:type="pct"/>
            <w:gridSpan w:val="2"/>
            <w:tcBorders>
              <w:top w:val="outset" w:sz="6" w:space="0" w:color="auto"/>
              <w:left w:val="outset" w:sz="6" w:space="0" w:color="auto"/>
              <w:bottom w:val="outset" w:sz="6" w:space="0" w:color="auto"/>
              <w:right w:val="outset" w:sz="6" w:space="0" w:color="auto"/>
            </w:tcBorders>
          </w:tcPr>
          <w:p w:rsidR="00655A70" w:rsidRPr="00581EAC" w:rsidRDefault="00655A70" w:rsidP="000D7E0A">
            <w:pPr>
              <w:ind w:left="159" w:right="149"/>
              <w:jc w:val="left"/>
              <w:rPr>
                <w:color w:val="000000"/>
                <w:lang w:val="it-IT"/>
              </w:rPr>
            </w:pPr>
            <w:r w:rsidRPr="00581EAC">
              <w:rPr>
                <w:color w:val="000000"/>
                <w:lang w:val="it-IT"/>
              </w:rPr>
              <w:t>Svalutazioni per perdite durevoli di valore delle immobilizzazioni materiali e immateriali</w:t>
            </w:r>
          </w:p>
        </w:tc>
        <w:tc>
          <w:tcPr>
            <w:tcW w:w="930" w:type="pct"/>
            <w:gridSpan w:val="2"/>
            <w:tcBorders>
              <w:top w:val="outset" w:sz="6" w:space="0" w:color="auto"/>
              <w:left w:val="outset" w:sz="6" w:space="0" w:color="auto"/>
              <w:bottom w:val="outset" w:sz="6" w:space="0" w:color="auto"/>
              <w:right w:val="outset" w:sz="6" w:space="0" w:color="auto"/>
            </w:tcBorders>
          </w:tcPr>
          <w:p w:rsidR="00655A70" w:rsidRDefault="00655A70" w:rsidP="00840B93">
            <w:pPr>
              <w:tabs>
                <w:tab w:val="right" w:pos="1647"/>
              </w:tabs>
              <w:jc w:val="center"/>
            </w:pPr>
            <w:r w:rsidRPr="00E64526">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tcPr>
          <w:p w:rsidR="00655A70" w:rsidRPr="00581EAC" w:rsidRDefault="00655A70" w:rsidP="00427B3F">
            <w:pPr>
              <w:ind w:left="680" w:right="94"/>
              <w:rPr>
                <w:color w:val="000000"/>
              </w:rPr>
            </w:pPr>
            <w:r>
              <w:rPr>
                <w:color w:val="000000"/>
              </w:rPr>
              <w:t>OIC 10</w:t>
            </w:r>
          </w:p>
        </w:tc>
        <w:tc>
          <w:tcPr>
            <w:tcW w:w="3043" w:type="pct"/>
            <w:gridSpan w:val="2"/>
            <w:tcBorders>
              <w:top w:val="outset" w:sz="6" w:space="0" w:color="auto"/>
              <w:left w:val="outset" w:sz="6" w:space="0" w:color="auto"/>
              <w:bottom w:val="outset" w:sz="6" w:space="0" w:color="auto"/>
              <w:right w:val="outset" w:sz="6" w:space="0" w:color="auto"/>
            </w:tcBorders>
          </w:tcPr>
          <w:p w:rsidR="00655A70" w:rsidRPr="00581EAC" w:rsidRDefault="00655A70" w:rsidP="000D7E0A">
            <w:pPr>
              <w:ind w:left="159" w:right="149"/>
              <w:jc w:val="left"/>
              <w:rPr>
                <w:color w:val="000000"/>
                <w:lang w:val="it-IT"/>
              </w:rPr>
            </w:pPr>
            <w:r>
              <w:rPr>
                <w:color w:val="000000"/>
                <w:lang w:val="it-IT"/>
              </w:rPr>
              <w:t>Rendiconto finanziario</w:t>
            </w:r>
          </w:p>
        </w:tc>
        <w:tc>
          <w:tcPr>
            <w:tcW w:w="930" w:type="pct"/>
            <w:gridSpan w:val="2"/>
            <w:tcBorders>
              <w:top w:val="outset" w:sz="6" w:space="0" w:color="auto"/>
              <w:left w:val="outset" w:sz="6" w:space="0" w:color="auto"/>
              <w:bottom w:val="outset" w:sz="6" w:space="0" w:color="auto"/>
              <w:right w:val="outset" w:sz="6" w:space="0" w:color="auto"/>
            </w:tcBorders>
          </w:tcPr>
          <w:p w:rsidR="00655A70" w:rsidRDefault="00655A70" w:rsidP="00840B93">
            <w:pPr>
              <w:tabs>
                <w:tab w:val="right" w:pos="1615"/>
              </w:tabs>
              <w:jc w:val="center"/>
            </w:pPr>
            <w:r w:rsidRPr="00E64526">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rPr>
                <w:color w:val="000000"/>
              </w:rPr>
            </w:pPr>
            <w:r>
              <w:rPr>
                <w:color w:val="000000"/>
              </w:rPr>
              <w:t xml:space="preserve">OIC </w:t>
            </w:r>
            <w:r w:rsidRPr="00581EAC">
              <w:rPr>
                <w:color w:val="000000"/>
              </w:rPr>
              <w:t>11</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ind w:left="159" w:right="149"/>
              <w:jc w:val="left"/>
              <w:rPr>
                <w:color w:val="000000"/>
                <w:lang w:val="it-IT"/>
              </w:rPr>
            </w:pPr>
            <w:r w:rsidRPr="00581EAC">
              <w:rPr>
                <w:color w:val="000000"/>
                <w:lang w:val="it-IT"/>
              </w:rPr>
              <w:t>Bilancio d</w:t>
            </w:r>
            <w:r>
              <w:rPr>
                <w:color w:val="000000"/>
                <w:lang w:val="it-IT"/>
              </w:rPr>
              <w:t>’</w:t>
            </w:r>
            <w:r w:rsidRPr="00581EAC">
              <w:rPr>
                <w:color w:val="000000"/>
                <w:lang w:val="it-IT"/>
              </w:rPr>
              <w:t>esercizio, finalità e postulati</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840B93">
            <w:pPr>
              <w:pStyle w:val="NormaleWeb"/>
              <w:tabs>
                <w:tab w:val="right" w:pos="1615"/>
              </w:tabs>
              <w:ind w:left="104"/>
              <w:rPr>
                <w:rFonts w:ascii="Arial Narrow" w:hAnsi="Arial Narrow" w:cs="Times New Roman"/>
                <w:color w:val="000000"/>
                <w:sz w:val="20"/>
                <w:szCs w:val="20"/>
              </w:rPr>
            </w:pPr>
            <w:r w:rsidRPr="00C14283">
              <w:rPr>
                <w:rFonts w:ascii="Arial Narrow" w:hAnsi="Arial Narrow" w:cs="Times New Roman"/>
                <w:color w:val="000000"/>
                <w:sz w:val="20"/>
                <w:szCs w:val="20"/>
                <w:lang w:val="it-IT"/>
              </w:rPr>
              <w:tab/>
            </w:r>
            <w:r w:rsidRPr="00581EAC">
              <w:rPr>
                <w:rFonts w:ascii="Arial Narrow" w:hAnsi="Arial Narrow" w:cs="Times New Roman"/>
                <w:color w:val="000000"/>
                <w:sz w:val="20"/>
                <w:szCs w:val="20"/>
              </w:rPr>
              <w:t>30 maggio 2005</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rPr>
                <w:color w:val="000000"/>
              </w:rPr>
            </w:pPr>
            <w:r>
              <w:rPr>
                <w:color w:val="000000"/>
              </w:rPr>
              <w:t xml:space="preserve">OIC </w:t>
            </w:r>
            <w:r w:rsidRPr="00581EAC">
              <w:rPr>
                <w:color w:val="000000"/>
              </w:rPr>
              <w:t>12</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ind w:left="159" w:right="149"/>
              <w:jc w:val="left"/>
              <w:rPr>
                <w:color w:val="000000"/>
                <w:lang w:val="it-IT"/>
              </w:rPr>
            </w:pPr>
            <w:r w:rsidRPr="00581EAC">
              <w:rPr>
                <w:color w:val="000000"/>
                <w:lang w:val="it-IT"/>
              </w:rPr>
              <w:t xml:space="preserve">Composizione e schemi del bilancio di esercizio </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840B93">
            <w:pPr>
              <w:tabs>
                <w:tab w:val="right" w:pos="1615"/>
              </w:tabs>
              <w:jc w:val="center"/>
            </w:pPr>
            <w:r w:rsidRPr="008E6030">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09007B" w:rsidRDefault="00655A70" w:rsidP="00427B3F">
            <w:pPr>
              <w:ind w:left="680" w:right="94"/>
              <w:rPr>
                <w:color w:val="000000"/>
              </w:rPr>
            </w:pPr>
            <w:r>
              <w:rPr>
                <w:color w:val="000000"/>
              </w:rPr>
              <w:t xml:space="preserve">OIC </w:t>
            </w:r>
            <w:r w:rsidRPr="0009007B">
              <w:rPr>
                <w:color w:val="000000"/>
              </w:rPr>
              <w:t>13</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ind w:left="159" w:right="149"/>
              <w:jc w:val="left"/>
              <w:rPr>
                <w:color w:val="000000"/>
              </w:rPr>
            </w:pPr>
            <w:r w:rsidRPr="00581EAC">
              <w:rPr>
                <w:color w:val="000000"/>
              </w:rPr>
              <w:t xml:space="preserve">Rimanenze </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840B93">
            <w:pPr>
              <w:tabs>
                <w:tab w:val="right" w:pos="1615"/>
              </w:tabs>
              <w:jc w:val="center"/>
            </w:pPr>
            <w:r w:rsidRPr="008E6030">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09007B" w:rsidRDefault="00655A70" w:rsidP="00427B3F">
            <w:pPr>
              <w:ind w:left="680" w:right="94"/>
              <w:rPr>
                <w:color w:val="000000"/>
              </w:rPr>
            </w:pPr>
            <w:r>
              <w:rPr>
                <w:color w:val="000000"/>
              </w:rPr>
              <w:t xml:space="preserve">OIC </w:t>
            </w:r>
            <w:r w:rsidRPr="0009007B">
              <w:rPr>
                <w:color w:val="000000"/>
              </w:rPr>
              <w:t>14</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ind w:left="159" w:right="149"/>
              <w:jc w:val="left"/>
              <w:rPr>
                <w:color w:val="000000"/>
              </w:rPr>
            </w:pPr>
            <w:r w:rsidRPr="00581EAC">
              <w:rPr>
                <w:color w:val="000000"/>
              </w:rPr>
              <w:t xml:space="preserve">Disponibilità </w:t>
            </w:r>
            <w:r>
              <w:rPr>
                <w:color w:val="000000"/>
              </w:rPr>
              <w:t>liquide</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840B93">
            <w:pPr>
              <w:tabs>
                <w:tab w:val="right" w:pos="1615"/>
              </w:tabs>
              <w:jc w:val="center"/>
            </w:pPr>
            <w:r w:rsidRPr="008E6030">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09007B" w:rsidRDefault="00655A70" w:rsidP="00427B3F">
            <w:pPr>
              <w:ind w:left="680" w:right="94"/>
              <w:rPr>
                <w:color w:val="000000"/>
              </w:rPr>
            </w:pPr>
            <w:r>
              <w:rPr>
                <w:color w:val="000000"/>
              </w:rPr>
              <w:t xml:space="preserve">OIC </w:t>
            </w:r>
            <w:r w:rsidRPr="0009007B">
              <w:rPr>
                <w:color w:val="000000"/>
              </w:rPr>
              <w:t>15</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pStyle w:val="NormaleWeb"/>
              <w:ind w:left="159" w:right="149"/>
              <w:rPr>
                <w:rFonts w:ascii="Arial Narrow" w:hAnsi="Arial Narrow" w:cs="Times New Roman"/>
                <w:color w:val="000000"/>
                <w:sz w:val="20"/>
                <w:szCs w:val="20"/>
                <w:lang w:val="it-IT"/>
              </w:rPr>
            </w:pPr>
            <w:r w:rsidRPr="00581EAC">
              <w:rPr>
                <w:rFonts w:ascii="Arial Narrow" w:hAnsi="Arial Narrow" w:cs="Times New Roman"/>
                <w:color w:val="000000"/>
                <w:sz w:val="20"/>
                <w:szCs w:val="20"/>
                <w:lang w:val="it-IT"/>
              </w:rPr>
              <w:t xml:space="preserve">Crediti </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840B93">
            <w:pPr>
              <w:tabs>
                <w:tab w:val="right" w:pos="1615"/>
              </w:tabs>
              <w:jc w:val="center"/>
            </w:pPr>
            <w:r w:rsidRPr="0050034F">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rPr>
                <w:color w:val="000000"/>
              </w:rPr>
            </w:pPr>
            <w:r>
              <w:rPr>
                <w:color w:val="000000"/>
              </w:rPr>
              <w:t xml:space="preserve">OIC </w:t>
            </w:r>
            <w:r w:rsidRPr="00581EAC">
              <w:rPr>
                <w:color w:val="000000"/>
              </w:rPr>
              <w:t>16</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ind w:left="159" w:right="149"/>
              <w:jc w:val="left"/>
              <w:rPr>
                <w:color w:val="000000"/>
              </w:rPr>
            </w:pPr>
            <w:r w:rsidRPr="00581EAC">
              <w:rPr>
                <w:color w:val="000000"/>
              </w:rPr>
              <w:t xml:space="preserve">Immobilizzazioni materiali </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840B93">
            <w:pPr>
              <w:tabs>
                <w:tab w:val="right" w:pos="1615"/>
              </w:tabs>
              <w:jc w:val="center"/>
            </w:pPr>
            <w:r w:rsidRPr="0050034F">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rPr>
                <w:color w:val="000000"/>
              </w:rPr>
            </w:pPr>
            <w:r>
              <w:rPr>
                <w:color w:val="000000"/>
              </w:rPr>
              <w:t xml:space="preserve">OIC </w:t>
            </w:r>
            <w:r w:rsidRPr="00581EAC">
              <w:rPr>
                <w:color w:val="000000"/>
              </w:rPr>
              <w:t>17</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pStyle w:val="NormaleWeb"/>
              <w:ind w:left="159" w:right="149"/>
              <w:rPr>
                <w:rFonts w:ascii="Arial Narrow" w:hAnsi="Arial Narrow" w:cs="Times New Roman"/>
                <w:color w:val="000000"/>
                <w:sz w:val="20"/>
                <w:szCs w:val="20"/>
                <w:lang w:val="it-IT"/>
              </w:rPr>
            </w:pPr>
            <w:r w:rsidRPr="00581EAC">
              <w:rPr>
                <w:rFonts w:ascii="Arial Narrow" w:hAnsi="Arial Narrow" w:cs="Times New Roman"/>
                <w:color w:val="000000"/>
                <w:sz w:val="20"/>
                <w:szCs w:val="20"/>
                <w:lang w:val="it-IT"/>
              </w:rPr>
              <w:t xml:space="preserve">Bilancio consolidato e metodo del patrimonio netto </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840B93">
            <w:pPr>
              <w:tabs>
                <w:tab w:val="right" w:pos="1615"/>
              </w:tabs>
              <w:jc w:val="center"/>
            </w:pPr>
            <w:r w:rsidRPr="0050034F">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rPr>
                <w:color w:val="000000"/>
              </w:rPr>
            </w:pPr>
            <w:r>
              <w:rPr>
                <w:color w:val="000000"/>
              </w:rPr>
              <w:t xml:space="preserve">OIC </w:t>
            </w:r>
            <w:r w:rsidRPr="00581EAC">
              <w:rPr>
                <w:color w:val="000000"/>
              </w:rPr>
              <w:t>18</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ind w:left="159" w:right="149"/>
              <w:jc w:val="left"/>
              <w:rPr>
                <w:color w:val="000000"/>
              </w:rPr>
            </w:pPr>
            <w:r w:rsidRPr="00581EAC">
              <w:rPr>
                <w:color w:val="000000"/>
              </w:rPr>
              <w:t xml:space="preserve">Ratei e risconti </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840B93">
            <w:pPr>
              <w:tabs>
                <w:tab w:val="right" w:pos="1615"/>
              </w:tabs>
              <w:jc w:val="center"/>
            </w:pPr>
            <w:r w:rsidRPr="0050034F">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rPr>
                <w:color w:val="000000"/>
              </w:rPr>
            </w:pPr>
            <w:r>
              <w:rPr>
                <w:color w:val="000000"/>
              </w:rPr>
              <w:t xml:space="preserve">OIC </w:t>
            </w:r>
            <w:r w:rsidRPr="00581EAC">
              <w:rPr>
                <w:color w:val="000000"/>
              </w:rPr>
              <w:t>19</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pStyle w:val="NormaleWeb"/>
              <w:ind w:left="159" w:right="149"/>
              <w:rPr>
                <w:rFonts w:ascii="Arial Narrow" w:hAnsi="Arial Narrow" w:cs="Times New Roman"/>
                <w:color w:val="000000"/>
                <w:sz w:val="20"/>
                <w:szCs w:val="20"/>
                <w:lang w:val="it-IT"/>
              </w:rPr>
            </w:pPr>
            <w:r w:rsidRPr="00581EAC">
              <w:rPr>
                <w:rFonts w:ascii="Arial Narrow" w:hAnsi="Arial Narrow" w:cs="Times New Roman"/>
                <w:color w:val="000000"/>
                <w:sz w:val="20"/>
                <w:szCs w:val="20"/>
                <w:lang w:val="it-IT"/>
              </w:rPr>
              <w:t>Debiti</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840B93">
            <w:pPr>
              <w:tabs>
                <w:tab w:val="right" w:pos="1615"/>
              </w:tabs>
              <w:jc w:val="center"/>
            </w:pPr>
            <w:r w:rsidRPr="000C70BB">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rPr>
                <w:color w:val="000000"/>
              </w:rPr>
            </w:pPr>
            <w:r>
              <w:rPr>
                <w:color w:val="000000"/>
              </w:rPr>
              <w:t xml:space="preserve">OIC </w:t>
            </w:r>
            <w:r w:rsidRPr="00581EAC">
              <w:rPr>
                <w:color w:val="000000"/>
              </w:rPr>
              <w:t>20</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CF4DCD" w:rsidRDefault="00655A70" w:rsidP="000D7E0A">
            <w:pPr>
              <w:ind w:left="159" w:right="149"/>
              <w:jc w:val="left"/>
              <w:rPr>
                <w:color w:val="000000"/>
                <w:lang w:val="it-IT"/>
              </w:rPr>
            </w:pPr>
            <w:r w:rsidRPr="00CF4DCD">
              <w:rPr>
                <w:color w:val="000000"/>
                <w:lang w:val="it-IT"/>
              </w:rPr>
              <w:t xml:space="preserve">Titoli di debito </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840B93">
            <w:pPr>
              <w:tabs>
                <w:tab w:val="right" w:pos="1615"/>
              </w:tabs>
              <w:jc w:val="center"/>
            </w:pPr>
            <w:r w:rsidRPr="000C70BB">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rPr>
                <w:color w:val="000000"/>
              </w:rPr>
            </w:pPr>
            <w:r>
              <w:rPr>
                <w:color w:val="000000"/>
              </w:rPr>
              <w:t xml:space="preserve">OIC </w:t>
            </w:r>
            <w:r w:rsidRPr="00581EAC">
              <w:rPr>
                <w:color w:val="000000"/>
              </w:rPr>
              <w:t>21</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ind w:left="159" w:right="149"/>
              <w:jc w:val="left"/>
              <w:rPr>
                <w:color w:val="000000"/>
                <w:lang w:val="it-IT"/>
              </w:rPr>
            </w:pPr>
            <w:r>
              <w:rPr>
                <w:color w:val="000000"/>
                <w:lang w:val="it-IT"/>
              </w:rPr>
              <w:t xml:space="preserve">Partecipazioni </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840B93">
            <w:pPr>
              <w:tabs>
                <w:tab w:val="right" w:pos="1615"/>
              </w:tabs>
              <w:jc w:val="center"/>
            </w:pPr>
            <w:r w:rsidRPr="001B798E">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jc w:val="left"/>
              <w:rPr>
                <w:color w:val="000000"/>
              </w:rPr>
            </w:pPr>
            <w:r>
              <w:rPr>
                <w:color w:val="000000"/>
              </w:rPr>
              <w:t xml:space="preserve">OIC </w:t>
            </w:r>
            <w:r w:rsidRPr="00581EAC">
              <w:rPr>
                <w:color w:val="000000"/>
              </w:rPr>
              <w:t>23</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ind w:left="159" w:right="149"/>
              <w:jc w:val="left"/>
              <w:rPr>
                <w:color w:val="000000"/>
                <w:lang w:val="it-IT"/>
              </w:rPr>
            </w:pPr>
            <w:r w:rsidRPr="00581EAC">
              <w:rPr>
                <w:color w:val="000000"/>
                <w:lang w:val="it-IT"/>
              </w:rPr>
              <w:t xml:space="preserve">Lavori </w:t>
            </w:r>
            <w:r w:rsidRPr="000B3625">
              <w:rPr>
                <w:color w:val="000000"/>
                <w:lang w:val="it-IT"/>
              </w:rPr>
              <w:t>in corso s</w:t>
            </w:r>
            <w:r w:rsidRPr="00581EAC">
              <w:rPr>
                <w:color w:val="000000"/>
                <w:lang w:val="it-IT"/>
              </w:rPr>
              <w:t>u ordinazione</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840B93">
            <w:pPr>
              <w:tabs>
                <w:tab w:val="right" w:pos="1615"/>
              </w:tabs>
              <w:jc w:val="center"/>
            </w:pPr>
            <w:r w:rsidRPr="001B798E">
              <w:rPr>
                <w:color w:val="000000"/>
                <w:lang w:val="en-US"/>
              </w:rPr>
              <w:t>22 dicembre 2016</w:t>
            </w:r>
          </w:p>
        </w:tc>
      </w:tr>
      <w:tr w:rsidR="00655A70" w:rsidRPr="005F29F0"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09007B" w:rsidRDefault="00655A70" w:rsidP="00427B3F">
            <w:pPr>
              <w:ind w:left="680" w:right="94"/>
              <w:jc w:val="left"/>
              <w:rPr>
                <w:color w:val="000000"/>
              </w:rPr>
            </w:pPr>
            <w:r w:rsidRPr="0009007B">
              <w:rPr>
                <w:color w:val="000000"/>
              </w:rPr>
              <w:t>OIC 24</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0B3625" w:rsidRDefault="00655A70" w:rsidP="000D7E0A">
            <w:pPr>
              <w:ind w:left="159" w:right="149"/>
              <w:jc w:val="left"/>
              <w:rPr>
                <w:color w:val="000000"/>
              </w:rPr>
            </w:pPr>
            <w:r w:rsidRPr="000B3625">
              <w:rPr>
                <w:color w:val="000000"/>
              </w:rPr>
              <w:t>Immobilizzazioni immateriali</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840B93">
            <w:pPr>
              <w:tabs>
                <w:tab w:val="right" w:pos="1615"/>
              </w:tabs>
              <w:jc w:val="center"/>
            </w:pPr>
            <w:r w:rsidRPr="00C94F28">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jc w:val="left"/>
              <w:rPr>
                <w:color w:val="000000"/>
              </w:rPr>
            </w:pPr>
            <w:r>
              <w:rPr>
                <w:color w:val="000000"/>
              </w:rPr>
              <w:t xml:space="preserve">OIC </w:t>
            </w:r>
            <w:r w:rsidRPr="00581EAC">
              <w:rPr>
                <w:color w:val="000000"/>
              </w:rPr>
              <w:t>25</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76606E" w:rsidP="000D7E0A">
            <w:pPr>
              <w:ind w:left="159" w:right="149"/>
              <w:jc w:val="left"/>
              <w:rPr>
                <w:color w:val="000000"/>
                <w:lang w:val="it-IT"/>
              </w:rPr>
            </w:pPr>
            <w:r>
              <w:rPr>
                <w:color w:val="000000"/>
                <w:lang w:val="it-IT"/>
              </w:rPr>
              <w:t xml:space="preserve">Imposte sul </w:t>
            </w:r>
            <w:r w:rsidR="00655A70" w:rsidRPr="00581EAC">
              <w:rPr>
                <w:color w:val="000000"/>
                <w:lang w:val="it-IT"/>
              </w:rPr>
              <w:t xml:space="preserve">reddito </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840B93">
            <w:pPr>
              <w:tabs>
                <w:tab w:val="right" w:pos="1615"/>
              </w:tabs>
              <w:jc w:val="center"/>
            </w:pPr>
            <w:r w:rsidRPr="00C94F28">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jc w:val="left"/>
              <w:rPr>
                <w:color w:val="000000"/>
              </w:rPr>
            </w:pPr>
            <w:r>
              <w:rPr>
                <w:color w:val="000000"/>
              </w:rPr>
              <w:t xml:space="preserve">OIC </w:t>
            </w:r>
            <w:r w:rsidRPr="00581EAC">
              <w:rPr>
                <w:color w:val="000000"/>
              </w:rPr>
              <w:t>26</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ind w:left="159" w:right="149"/>
              <w:jc w:val="left"/>
              <w:rPr>
                <w:color w:val="000000"/>
                <w:lang w:val="it-IT"/>
              </w:rPr>
            </w:pPr>
            <w:r w:rsidRPr="00581EAC">
              <w:rPr>
                <w:color w:val="000000"/>
                <w:lang w:val="it-IT"/>
              </w:rPr>
              <w:t>Operazioni, attività e passività in valuta estera</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840B93">
            <w:pPr>
              <w:tabs>
                <w:tab w:val="right" w:pos="1490"/>
              </w:tabs>
              <w:jc w:val="center"/>
            </w:pPr>
            <w:r w:rsidRPr="00C94F28">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jc w:val="left"/>
              <w:rPr>
                <w:color w:val="000000"/>
              </w:rPr>
            </w:pPr>
            <w:r>
              <w:rPr>
                <w:color w:val="000000"/>
              </w:rPr>
              <w:t xml:space="preserve">OIC </w:t>
            </w:r>
            <w:r w:rsidRPr="00581EAC">
              <w:rPr>
                <w:color w:val="000000"/>
              </w:rPr>
              <w:t>28</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ind w:left="159" w:right="149"/>
              <w:jc w:val="left"/>
              <w:rPr>
                <w:color w:val="000000"/>
              </w:rPr>
            </w:pPr>
            <w:r w:rsidRPr="00581EAC">
              <w:rPr>
                <w:color w:val="000000"/>
              </w:rPr>
              <w:t xml:space="preserve">Patrimonio netto </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840B93">
            <w:pPr>
              <w:tabs>
                <w:tab w:val="right" w:pos="1490"/>
              </w:tabs>
              <w:jc w:val="center"/>
            </w:pPr>
            <w:r w:rsidRPr="00546F38">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jc w:val="left"/>
              <w:rPr>
                <w:color w:val="000000"/>
              </w:rPr>
            </w:pPr>
            <w:r>
              <w:rPr>
                <w:color w:val="000000"/>
              </w:rPr>
              <w:t xml:space="preserve">OIC </w:t>
            </w:r>
            <w:r w:rsidRPr="00581EAC">
              <w:rPr>
                <w:color w:val="000000"/>
              </w:rPr>
              <w:t>29</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ind w:left="159" w:right="149"/>
              <w:jc w:val="left"/>
              <w:rPr>
                <w:color w:val="000000"/>
                <w:lang w:val="it-IT"/>
              </w:rPr>
            </w:pPr>
            <w:r w:rsidRPr="00581EAC">
              <w:rPr>
                <w:color w:val="000000"/>
                <w:lang w:val="it-IT"/>
              </w:rPr>
              <w:t>Cambiamenti di principi con</w:t>
            </w:r>
            <w:r w:rsidR="0076606E">
              <w:rPr>
                <w:color w:val="000000"/>
                <w:lang w:val="it-IT"/>
              </w:rPr>
              <w:t xml:space="preserve">tabili, cambiamenti di stime </w:t>
            </w:r>
            <w:r w:rsidRPr="00581EAC">
              <w:rPr>
                <w:color w:val="000000"/>
                <w:lang w:val="it-IT"/>
              </w:rPr>
              <w:t>co</w:t>
            </w:r>
            <w:r>
              <w:rPr>
                <w:color w:val="000000"/>
                <w:lang w:val="it-IT"/>
              </w:rPr>
              <w:t>ntabili, correzione di errori, fatti intervenuti dopo la chiusura dell’esercizio</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840B93">
            <w:pPr>
              <w:tabs>
                <w:tab w:val="right" w:pos="1490"/>
              </w:tabs>
              <w:jc w:val="center"/>
            </w:pPr>
            <w:r w:rsidRPr="00546F38">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tcPr>
          <w:p w:rsidR="00655A70" w:rsidRPr="00581EAC" w:rsidRDefault="00655A70" w:rsidP="00427B3F">
            <w:pPr>
              <w:ind w:left="680" w:right="94"/>
              <w:jc w:val="left"/>
              <w:rPr>
                <w:color w:val="000000"/>
              </w:rPr>
            </w:pPr>
            <w:r>
              <w:rPr>
                <w:color w:val="000000"/>
              </w:rPr>
              <w:t xml:space="preserve">OIC </w:t>
            </w:r>
            <w:r w:rsidRPr="00581EAC">
              <w:rPr>
                <w:color w:val="000000"/>
              </w:rPr>
              <w:t>31</w:t>
            </w:r>
          </w:p>
        </w:tc>
        <w:tc>
          <w:tcPr>
            <w:tcW w:w="3043" w:type="pct"/>
            <w:gridSpan w:val="2"/>
            <w:tcBorders>
              <w:top w:val="outset" w:sz="6" w:space="0" w:color="auto"/>
              <w:left w:val="outset" w:sz="6" w:space="0" w:color="auto"/>
              <w:bottom w:val="outset" w:sz="6" w:space="0" w:color="auto"/>
              <w:right w:val="outset" w:sz="6" w:space="0" w:color="auto"/>
            </w:tcBorders>
          </w:tcPr>
          <w:p w:rsidR="00655A70" w:rsidRPr="00581EAC" w:rsidRDefault="00655A70" w:rsidP="000D7E0A">
            <w:pPr>
              <w:ind w:left="159" w:right="149"/>
              <w:jc w:val="left"/>
              <w:rPr>
                <w:color w:val="000000"/>
                <w:lang w:val="it-IT"/>
              </w:rPr>
            </w:pPr>
            <w:r w:rsidRPr="00581EAC">
              <w:rPr>
                <w:color w:val="000000"/>
                <w:lang w:val="it-IT"/>
              </w:rPr>
              <w:t>Fondi per rischi e oneri e Trattamento di Fine Rapporto</w:t>
            </w:r>
          </w:p>
        </w:tc>
        <w:tc>
          <w:tcPr>
            <w:tcW w:w="930" w:type="pct"/>
            <w:gridSpan w:val="2"/>
            <w:tcBorders>
              <w:top w:val="outset" w:sz="6" w:space="0" w:color="auto"/>
              <w:left w:val="outset" w:sz="6" w:space="0" w:color="auto"/>
              <w:bottom w:val="outset" w:sz="6" w:space="0" w:color="auto"/>
              <w:right w:val="outset" w:sz="6" w:space="0" w:color="auto"/>
            </w:tcBorders>
          </w:tcPr>
          <w:p w:rsidR="00655A70" w:rsidRPr="00581EAC" w:rsidRDefault="00655A70" w:rsidP="000D7E0A">
            <w:pPr>
              <w:pStyle w:val="NormaleWeb"/>
              <w:tabs>
                <w:tab w:val="right" w:pos="1491"/>
              </w:tabs>
              <w:ind w:left="104"/>
              <w:jc w:val="center"/>
              <w:rPr>
                <w:rFonts w:ascii="Arial Narrow" w:hAnsi="Arial Narrow" w:cs="Times New Roman"/>
                <w:color w:val="000000"/>
                <w:sz w:val="20"/>
                <w:szCs w:val="20"/>
                <w:lang w:val="it-IT"/>
              </w:rPr>
            </w:pPr>
            <w:r w:rsidRPr="00BD2730">
              <w:rPr>
                <w:rFonts w:ascii="Arial Narrow" w:hAnsi="Arial Narrow" w:cs="Times New Roman"/>
                <w:color w:val="000000"/>
                <w:sz w:val="20"/>
                <w:szCs w:val="20"/>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tcPr>
          <w:p w:rsidR="00655A70" w:rsidRDefault="00655A70" w:rsidP="00427B3F">
            <w:pPr>
              <w:ind w:left="680" w:right="94"/>
              <w:jc w:val="left"/>
              <w:rPr>
                <w:color w:val="000000"/>
              </w:rPr>
            </w:pPr>
            <w:r>
              <w:rPr>
                <w:color w:val="000000"/>
              </w:rPr>
              <w:t>OIC 32</w:t>
            </w:r>
          </w:p>
        </w:tc>
        <w:tc>
          <w:tcPr>
            <w:tcW w:w="3043" w:type="pct"/>
            <w:gridSpan w:val="2"/>
            <w:tcBorders>
              <w:top w:val="outset" w:sz="6" w:space="0" w:color="auto"/>
              <w:left w:val="outset" w:sz="6" w:space="0" w:color="auto"/>
              <w:bottom w:val="outset" w:sz="6" w:space="0" w:color="auto"/>
              <w:right w:val="outset" w:sz="6" w:space="0" w:color="auto"/>
            </w:tcBorders>
          </w:tcPr>
          <w:p w:rsidR="00655A70" w:rsidRPr="00581EAC" w:rsidRDefault="00655A70" w:rsidP="000D7E0A">
            <w:pPr>
              <w:ind w:left="159" w:right="149"/>
              <w:jc w:val="left"/>
              <w:rPr>
                <w:color w:val="000000"/>
                <w:lang w:val="it-IT"/>
              </w:rPr>
            </w:pPr>
            <w:r>
              <w:rPr>
                <w:color w:val="000000"/>
                <w:lang w:val="it-IT"/>
              </w:rPr>
              <w:t>Strumenti finanziari</w:t>
            </w:r>
            <w:r w:rsidR="00F95632">
              <w:rPr>
                <w:color w:val="000000"/>
                <w:lang w:val="it-IT"/>
              </w:rPr>
              <w:t xml:space="preserve"> derivati</w:t>
            </w:r>
          </w:p>
        </w:tc>
        <w:tc>
          <w:tcPr>
            <w:tcW w:w="930" w:type="pct"/>
            <w:gridSpan w:val="2"/>
            <w:tcBorders>
              <w:top w:val="outset" w:sz="6" w:space="0" w:color="auto"/>
              <w:left w:val="outset" w:sz="6" w:space="0" w:color="auto"/>
              <w:bottom w:val="outset" w:sz="6" w:space="0" w:color="auto"/>
              <w:right w:val="outset" w:sz="6" w:space="0" w:color="auto"/>
            </w:tcBorders>
          </w:tcPr>
          <w:p w:rsidR="00655A70" w:rsidRPr="00C14283" w:rsidRDefault="00655A70" w:rsidP="000D7E0A">
            <w:pPr>
              <w:pStyle w:val="NormaleWeb"/>
              <w:tabs>
                <w:tab w:val="right" w:pos="1491"/>
              </w:tabs>
              <w:ind w:left="104"/>
              <w:jc w:val="center"/>
              <w:rPr>
                <w:rFonts w:ascii="Arial Narrow" w:hAnsi="Arial Narrow" w:cs="Times New Roman"/>
                <w:color w:val="000000"/>
                <w:sz w:val="20"/>
                <w:szCs w:val="20"/>
                <w:lang w:val="it-IT"/>
              </w:rPr>
            </w:pPr>
            <w:r w:rsidRPr="00BD2730">
              <w:rPr>
                <w:rFonts w:ascii="Arial Narrow" w:hAnsi="Arial Narrow" w:cs="Times New Roman"/>
                <w:color w:val="000000"/>
                <w:sz w:val="20"/>
                <w:szCs w:val="20"/>
              </w:rPr>
              <w:t>22 dicembre 2016</w:t>
            </w:r>
          </w:p>
        </w:tc>
      </w:tr>
    </w:tbl>
    <w:p w:rsidR="00655A70" w:rsidRDefault="00655A70" w:rsidP="00655A70">
      <w:pPr>
        <w:jc w:val="center"/>
        <w:rPr>
          <w:b/>
          <w:caps/>
        </w:rPr>
      </w:pPr>
    </w:p>
    <w:p w:rsidR="00655A70" w:rsidRPr="00581EAC" w:rsidRDefault="00655A70" w:rsidP="00655A70">
      <w:pPr>
        <w:jc w:val="center"/>
        <w:rPr>
          <w:b/>
          <w:caps/>
        </w:rPr>
      </w:pPr>
    </w:p>
    <w:p w:rsidR="00655A70" w:rsidRPr="00581EAC" w:rsidRDefault="00655A70" w:rsidP="00655A70">
      <w:pPr>
        <w:jc w:val="center"/>
        <w:rPr>
          <w:b/>
          <w:caps/>
        </w:rPr>
      </w:pPr>
      <w:r w:rsidRPr="00581EAC">
        <w:rPr>
          <w:b/>
          <w:caps/>
        </w:rPr>
        <w:t>Documenti interpretativi DI LEGGE</w:t>
      </w:r>
    </w:p>
    <w:tbl>
      <w:tblPr>
        <w:tblW w:w="5059"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35"/>
        <w:gridCol w:w="6294"/>
        <w:gridCol w:w="1926"/>
      </w:tblGrid>
      <w:tr w:rsidR="00655A70" w:rsidRPr="00581EAC" w:rsidTr="000D7E0A">
        <w:trPr>
          <w:tblCellSpacing w:w="0" w:type="dxa"/>
        </w:trPr>
        <w:tc>
          <w:tcPr>
            <w:tcW w:w="1031" w:type="pct"/>
            <w:tcBorders>
              <w:top w:val="outset" w:sz="6" w:space="0" w:color="auto"/>
              <w:left w:val="outset" w:sz="6" w:space="0" w:color="auto"/>
              <w:bottom w:val="outset" w:sz="6" w:space="0" w:color="auto"/>
              <w:right w:val="outset" w:sz="6" w:space="0" w:color="auto"/>
            </w:tcBorders>
            <w:vAlign w:val="center"/>
            <w:hideMark/>
          </w:tcPr>
          <w:p w:rsidR="00655A70" w:rsidRPr="00581EAC" w:rsidRDefault="00655A70" w:rsidP="000D7E0A">
            <w:pPr>
              <w:ind w:left="142"/>
              <w:jc w:val="center"/>
              <w:rPr>
                <w:color w:val="000000"/>
              </w:rPr>
            </w:pPr>
            <w:r w:rsidRPr="00581EAC">
              <w:rPr>
                <w:rStyle w:val="Enfasigrassetto"/>
                <w:color w:val="000000"/>
              </w:rPr>
              <w:t>Documento</w:t>
            </w:r>
          </w:p>
        </w:tc>
        <w:tc>
          <w:tcPr>
            <w:tcW w:w="3039" w:type="pct"/>
            <w:tcBorders>
              <w:top w:val="outset" w:sz="6" w:space="0" w:color="auto"/>
              <w:left w:val="outset" w:sz="6" w:space="0" w:color="auto"/>
              <w:bottom w:val="outset" w:sz="6" w:space="0" w:color="auto"/>
              <w:right w:val="outset" w:sz="6" w:space="0" w:color="auto"/>
            </w:tcBorders>
            <w:vAlign w:val="center"/>
            <w:hideMark/>
          </w:tcPr>
          <w:p w:rsidR="00655A70" w:rsidRPr="00581EAC" w:rsidRDefault="00655A70" w:rsidP="000D7E0A">
            <w:pPr>
              <w:ind w:left="155" w:right="126"/>
              <w:jc w:val="center"/>
              <w:rPr>
                <w:color w:val="000000"/>
              </w:rPr>
            </w:pPr>
            <w:r w:rsidRPr="00581EAC">
              <w:rPr>
                <w:rStyle w:val="Enfasigrassetto"/>
                <w:color w:val="000000"/>
              </w:rPr>
              <w:t>Titolo</w:t>
            </w:r>
          </w:p>
        </w:tc>
        <w:tc>
          <w:tcPr>
            <w:tcW w:w="930" w:type="pct"/>
            <w:tcBorders>
              <w:top w:val="outset" w:sz="6" w:space="0" w:color="auto"/>
              <w:left w:val="outset" w:sz="6" w:space="0" w:color="auto"/>
              <w:bottom w:val="outset" w:sz="6" w:space="0" w:color="auto"/>
              <w:right w:val="outset" w:sz="6" w:space="0" w:color="auto"/>
            </w:tcBorders>
            <w:vAlign w:val="center"/>
            <w:hideMark/>
          </w:tcPr>
          <w:p w:rsidR="00655A70" w:rsidRPr="00581EAC" w:rsidRDefault="00655A70" w:rsidP="000D7E0A">
            <w:pPr>
              <w:ind w:left="127"/>
              <w:jc w:val="center"/>
              <w:rPr>
                <w:color w:val="000000"/>
              </w:rPr>
            </w:pPr>
            <w:r w:rsidRPr="00581EAC">
              <w:rPr>
                <w:rStyle w:val="Enfasigrassetto"/>
                <w:color w:val="000000"/>
              </w:rPr>
              <w:t>Data di approvazione</w:t>
            </w:r>
          </w:p>
        </w:tc>
      </w:tr>
      <w:tr w:rsidR="00655A70" w:rsidRPr="00B665D7" w:rsidTr="000D7E0A">
        <w:trPr>
          <w:tblCellSpacing w:w="0" w:type="dxa"/>
        </w:trPr>
        <w:tc>
          <w:tcPr>
            <w:tcW w:w="1031" w:type="pct"/>
            <w:tcBorders>
              <w:top w:val="outset" w:sz="6" w:space="0" w:color="auto"/>
              <w:left w:val="outset" w:sz="6" w:space="0" w:color="auto"/>
              <w:bottom w:val="outset" w:sz="6" w:space="0" w:color="auto"/>
              <w:right w:val="outset" w:sz="6" w:space="0" w:color="auto"/>
            </w:tcBorders>
            <w:hideMark/>
          </w:tcPr>
          <w:p w:rsidR="00655A70" w:rsidRPr="009C08EC" w:rsidRDefault="00655A70" w:rsidP="00871879">
            <w:pPr>
              <w:ind w:left="142"/>
              <w:jc w:val="left"/>
              <w:rPr>
                <w:color w:val="000000"/>
              </w:rPr>
            </w:pPr>
            <w:r w:rsidRPr="009C08EC">
              <w:rPr>
                <w:color w:val="000000"/>
              </w:rPr>
              <w:t>Documento interpretativo n. 3</w:t>
            </w:r>
          </w:p>
        </w:tc>
        <w:tc>
          <w:tcPr>
            <w:tcW w:w="3039" w:type="pct"/>
            <w:tcBorders>
              <w:top w:val="outset" w:sz="6" w:space="0" w:color="auto"/>
              <w:left w:val="outset" w:sz="6" w:space="0" w:color="auto"/>
              <w:bottom w:val="outset" w:sz="6" w:space="0" w:color="auto"/>
              <w:right w:val="outset" w:sz="6" w:space="0" w:color="auto"/>
            </w:tcBorders>
            <w:hideMark/>
          </w:tcPr>
          <w:p w:rsidR="00655A70" w:rsidRPr="009C08EC" w:rsidRDefault="00655A70" w:rsidP="000D7E0A">
            <w:pPr>
              <w:ind w:left="155" w:right="126"/>
              <w:rPr>
                <w:color w:val="000000"/>
                <w:lang w:val="it-IT"/>
              </w:rPr>
            </w:pPr>
            <w:r w:rsidRPr="009C08EC">
              <w:rPr>
                <w:color w:val="000000"/>
                <w:lang w:val="it-IT"/>
              </w:rPr>
              <w:t>Le novità introdotte dal D.L. 29 novembre 2008, n. 185 (convertito nella Legge 28 gennaio 2009, n. 2). Aspetti contabili relativi alla valutazione dei titoli non immobilizzati, rivalutazione degli immobili e fiscalità differita delle operazioni di aggregazione aziendale</w:t>
            </w:r>
            <w:r w:rsidR="00871879">
              <w:rPr>
                <w:color w:val="000000"/>
                <w:lang w:val="it-IT"/>
              </w:rPr>
              <w:t>.</w:t>
            </w:r>
          </w:p>
          <w:p w:rsidR="00655A70" w:rsidRPr="009C08EC" w:rsidRDefault="00655A70" w:rsidP="009C08EC">
            <w:pPr>
              <w:ind w:left="155" w:right="126"/>
              <w:jc w:val="left"/>
              <w:rPr>
                <w:color w:val="000000"/>
                <w:lang w:val="it-IT"/>
              </w:rPr>
            </w:pPr>
            <w:r w:rsidRPr="009C08EC">
              <w:rPr>
                <w:color w:val="000000"/>
                <w:lang w:val="it-IT"/>
              </w:rPr>
              <w:t>(</w:t>
            </w:r>
            <w:r w:rsidR="009C08EC" w:rsidRPr="009C08EC">
              <w:rPr>
                <w:color w:val="000000"/>
                <w:lang w:val="it-IT"/>
              </w:rPr>
              <w:t>Il Documento interpretativo n.3 è da ritenersi ancora in vigore esclusivamente con riferimento al tema della rivalutazione degli immobili. Gli altri temi sono stati superati in quanto trattati nelle versioni aggiornate degli OIC</w:t>
            </w:r>
            <w:r w:rsidRPr="009C08EC">
              <w:rPr>
                <w:color w:val="000000"/>
                <w:lang w:val="it-IT"/>
              </w:rPr>
              <w:t>)</w:t>
            </w:r>
            <w:r w:rsidR="009C08EC">
              <w:rPr>
                <w:color w:val="000000"/>
                <w:lang w:val="it-IT"/>
              </w:rPr>
              <w:t>.</w:t>
            </w:r>
          </w:p>
        </w:tc>
        <w:tc>
          <w:tcPr>
            <w:tcW w:w="930" w:type="pct"/>
            <w:tcBorders>
              <w:top w:val="outset" w:sz="6" w:space="0" w:color="auto"/>
              <w:left w:val="outset" w:sz="6" w:space="0" w:color="auto"/>
              <w:bottom w:val="outset" w:sz="6" w:space="0" w:color="auto"/>
              <w:right w:val="outset" w:sz="6" w:space="0" w:color="auto"/>
            </w:tcBorders>
            <w:hideMark/>
          </w:tcPr>
          <w:p w:rsidR="00655A70" w:rsidRPr="00B665D7" w:rsidRDefault="00655A70" w:rsidP="00840B93">
            <w:pPr>
              <w:tabs>
                <w:tab w:val="right" w:pos="1636"/>
              </w:tabs>
              <w:ind w:left="127"/>
              <w:rPr>
                <w:color w:val="000000"/>
              </w:rPr>
            </w:pPr>
            <w:r w:rsidRPr="009C08EC">
              <w:rPr>
                <w:color w:val="000000"/>
                <w:lang w:val="it-IT"/>
              </w:rPr>
              <w:tab/>
            </w:r>
            <w:r w:rsidRPr="009C08EC">
              <w:rPr>
                <w:color w:val="000000"/>
              </w:rPr>
              <w:t>24 marzo 2009</w:t>
            </w:r>
          </w:p>
        </w:tc>
      </w:tr>
    </w:tbl>
    <w:p w:rsidR="00655A70" w:rsidRDefault="00655A70" w:rsidP="00655A70">
      <w:pPr>
        <w:pStyle w:val="Introduzioneint"/>
        <w:rPr>
          <w:rFonts w:ascii="Arial Narrow" w:hAnsi="Arial Narrow"/>
          <w:b/>
          <w:sz w:val="20"/>
        </w:rPr>
      </w:pPr>
    </w:p>
    <w:p w:rsidR="00655A70" w:rsidRPr="001A5235" w:rsidRDefault="00655A70" w:rsidP="00655A70">
      <w:pPr>
        <w:pStyle w:val="Introduzioneint"/>
        <w:rPr>
          <w:rFonts w:ascii="Arial Narrow" w:hAnsi="Arial Narrow"/>
          <w:sz w:val="20"/>
        </w:rPr>
      </w:pPr>
      <w:r>
        <w:rPr>
          <w:rFonts w:ascii="Arial Narrow" w:hAnsi="Arial Narrow"/>
          <w:sz w:val="20"/>
        </w:rPr>
        <w:t xml:space="preserve">Nella predisposizione della Lista di controllo non si è tenuto conto del documento </w:t>
      </w:r>
      <w:r w:rsidRPr="009C08EC">
        <w:rPr>
          <w:rFonts w:ascii="Arial Narrow" w:hAnsi="Arial Narrow"/>
          <w:b/>
          <w:sz w:val="20"/>
        </w:rPr>
        <w:t>OIC 6</w:t>
      </w:r>
      <w:r>
        <w:rPr>
          <w:rFonts w:ascii="Arial Narrow" w:hAnsi="Arial Narrow"/>
          <w:sz w:val="20"/>
        </w:rPr>
        <w:t xml:space="preserve"> Ristrutturazione del debito ed informativa di bilancio che, oltre ad essere stato in parte superato a seguito della pubblicazione del documento OIC 32 Strumenti finanziari, necessita comunque di un aggiornamento per allinearlo alle modifiche introdotte </w:t>
      </w:r>
      <w:r w:rsidRPr="0064487A">
        <w:rPr>
          <w:rFonts w:ascii="Arial Narrow" w:hAnsi="Arial Narrow"/>
          <w:sz w:val="20"/>
        </w:rPr>
        <w:t>dal D.Lgs. 139/2015</w:t>
      </w:r>
      <w:r>
        <w:rPr>
          <w:rFonts w:ascii="Arial Narrow" w:hAnsi="Arial Narrow"/>
          <w:sz w:val="20"/>
        </w:rPr>
        <w:t xml:space="preserve"> di cui sopra</w:t>
      </w:r>
      <w:r>
        <w:rPr>
          <w:rFonts w:ascii="Arial Narrow" w:hAnsi="Arial Narrow"/>
          <w:b/>
          <w:sz w:val="20"/>
        </w:rPr>
        <w:t>.</w:t>
      </w:r>
      <w:r>
        <w:rPr>
          <w:rFonts w:ascii="Arial Narrow" w:hAnsi="Arial Narrow"/>
          <w:sz w:val="20"/>
        </w:rPr>
        <w:t xml:space="preserve"> </w:t>
      </w:r>
    </w:p>
    <w:p w:rsidR="00655A70" w:rsidRPr="00061DEF" w:rsidRDefault="00655A70" w:rsidP="00655A70">
      <w:pPr>
        <w:pStyle w:val="Introduzioneint"/>
        <w:rPr>
          <w:rFonts w:ascii="Arial Narrow" w:hAnsi="Arial Narrow"/>
          <w:b/>
          <w:sz w:val="20"/>
        </w:rPr>
      </w:pPr>
      <w:r w:rsidRPr="00141819">
        <w:rPr>
          <w:rFonts w:ascii="Arial Narrow" w:hAnsi="Arial Narrow"/>
          <w:b/>
          <w:sz w:val="20"/>
        </w:rPr>
        <w:t>Istruzioni per l’utilizzo</w:t>
      </w:r>
    </w:p>
    <w:p w:rsidR="00655A70" w:rsidRPr="002453F3" w:rsidRDefault="00655A70" w:rsidP="00655A70">
      <w:pPr>
        <w:spacing w:after="80"/>
        <w:rPr>
          <w:lang w:val="it-IT"/>
        </w:rPr>
      </w:pPr>
      <w:r w:rsidRPr="002453F3">
        <w:rPr>
          <w:lang w:val="it-IT"/>
        </w:rPr>
        <w:t>Per ogni affermazione dovrà essere posta una spunta nella colonna appropriata:</w:t>
      </w:r>
    </w:p>
    <w:tbl>
      <w:tblPr>
        <w:tblW w:w="0" w:type="auto"/>
        <w:tblInd w:w="284" w:type="dxa"/>
        <w:tblLayout w:type="fixed"/>
        <w:tblLook w:val="0000" w:firstRow="0" w:lastRow="0" w:firstColumn="0" w:lastColumn="0" w:noHBand="0" w:noVBand="0"/>
      </w:tblPr>
      <w:tblGrid>
        <w:gridCol w:w="624"/>
        <w:gridCol w:w="8272"/>
      </w:tblGrid>
      <w:tr w:rsidR="00655A70" w:rsidRPr="00CC242B" w:rsidTr="000D7E0A">
        <w:tc>
          <w:tcPr>
            <w:tcW w:w="624" w:type="dxa"/>
          </w:tcPr>
          <w:p w:rsidR="00655A70" w:rsidRPr="002453F3" w:rsidRDefault="00655A70" w:rsidP="000D7E0A">
            <w:pPr>
              <w:spacing w:after="0"/>
            </w:pPr>
            <w:r w:rsidRPr="002453F3">
              <w:t>SI</w:t>
            </w:r>
          </w:p>
        </w:tc>
        <w:tc>
          <w:tcPr>
            <w:tcW w:w="8272" w:type="dxa"/>
          </w:tcPr>
          <w:p w:rsidR="00655A70" w:rsidRPr="002453F3" w:rsidRDefault="00655A70" w:rsidP="000D7E0A">
            <w:pPr>
              <w:spacing w:after="0"/>
              <w:rPr>
                <w:lang w:val="it-IT"/>
              </w:rPr>
            </w:pPr>
            <w:r w:rsidRPr="002453F3">
              <w:rPr>
                <w:lang w:val="it-IT"/>
              </w:rPr>
              <w:t>= la disposizione è applicabile/l’informativa è stata data</w:t>
            </w:r>
          </w:p>
        </w:tc>
      </w:tr>
      <w:tr w:rsidR="00655A70" w:rsidRPr="00CC242B" w:rsidTr="000D7E0A">
        <w:tc>
          <w:tcPr>
            <w:tcW w:w="624" w:type="dxa"/>
          </w:tcPr>
          <w:p w:rsidR="00655A70" w:rsidRPr="002453F3" w:rsidRDefault="00655A70" w:rsidP="000D7E0A">
            <w:pPr>
              <w:spacing w:after="0"/>
            </w:pPr>
            <w:r w:rsidRPr="002453F3">
              <w:t>NO</w:t>
            </w:r>
          </w:p>
        </w:tc>
        <w:tc>
          <w:tcPr>
            <w:tcW w:w="8272" w:type="dxa"/>
          </w:tcPr>
          <w:p w:rsidR="00655A70" w:rsidRPr="002453F3" w:rsidRDefault="00655A70" w:rsidP="000D7E0A">
            <w:pPr>
              <w:spacing w:after="0"/>
              <w:rPr>
                <w:lang w:val="it-IT"/>
              </w:rPr>
            </w:pPr>
            <w:r w:rsidRPr="002453F3">
              <w:rPr>
                <w:lang w:val="it-IT"/>
              </w:rPr>
              <w:t xml:space="preserve">= la disposizione non è stata applicata/l’informativa non è stata data, anche se è obbligatoria per l’entità </w:t>
            </w:r>
          </w:p>
        </w:tc>
      </w:tr>
      <w:tr w:rsidR="00655A70" w:rsidRPr="00CC242B" w:rsidTr="000D7E0A">
        <w:tc>
          <w:tcPr>
            <w:tcW w:w="624" w:type="dxa"/>
          </w:tcPr>
          <w:p w:rsidR="00655A70" w:rsidRPr="002453F3" w:rsidRDefault="00655A70" w:rsidP="000D7E0A">
            <w:pPr>
              <w:spacing w:after="0"/>
            </w:pPr>
            <w:r w:rsidRPr="002453F3">
              <w:t>N/A</w:t>
            </w:r>
          </w:p>
        </w:tc>
        <w:tc>
          <w:tcPr>
            <w:tcW w:w="8272" w:type="dxa"/>
          </w:tcPr>
          <w:p w:rsidR="00655A70" w:rsidRPr="002453F3" w:rsidRDefault="00655A70" w:rsidP="000D7E0A">
            <w:pPr>
              <w:spacing w:after="80"/>
              <w:rPr>
                <w:lang w:val="it-IT"/>
              </w:rPr>
            </w:pPr>
            <w:r w:rsidRPr="002453F3">
              <w:rPr>
                <w:lang w:val="it-IT"/>
              </w:rPr>
              <w:t xml:space="preserve">= la disposizione/l’informativa non è applicabile all’entità oppure non è obbligatoria. </w:t>
            </w:r>
          </w:p>
        </w:tc>
      </w:tr>
    </w:tbl>
    <w:p w:rsidR="00655A70" w:rsidRPr="003771B5" w:rsidRDefault="00655A70" w:rsidP="00655A70">
      <w:pPr>
        <w:spacing w:after="0"/>
        <w:rPr>
          <w:lang w:val="it-IT"/>
        </w:rPr>
      </w:pPr>
      <w:r w:rsidRPr="002453F3">
        <w:rPr>
          <w:lang w:val="it-IT"/>
        </w:rPr>
        <w:t>Ogni risposta NO dovrebbe essere accompagnata da una esauriente spiegazione o da un riferimento alle carte di lavoro in cui l’aspetto è stato esaminato.</w:t>
      </w: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6F3842" w:rsidRDefault="00655A70" w:rsidP="00655A70">
      <w:pPr>
        <w:rPr>
          <w:lang w:val="it-IT"/>
        </w:rPr>
      </w:pPr>
    </w:p>
    <w:p w:rsidR="00655A70" w:rsidRDefault="00655A70">
      <w:pPr>
        <w:overflowPunct/>
        <w:autoSpaceDE/>
        <w:autoSpaceDN/>
        <w:adjustRightInd/>
        <w:spacing w:before="0" w:after="0" w:line="240" w:lineRule="auto"/>
        <w:jc w:val="left"/>
        <w:textAlignment w:val="auto"/>
        <w:rPr>
          <w:rStyle w:val="Enfasigrassetto"/>
          <w:lang w:val="it-IT"/>
        </w:rPr>
        <w:sectPr w:rsidR="00655A70" w:rsidSect="008E5F3E">
          <w:headerReference w:type="default" r:id="rId18"/>
          <w:footerReference w:type="default" r:id="rId19"/>
          <w:pgSz w:w="11906" w:h="16838" w:code="9"/>
          <w:pgMar w:top="1134" w:right="851" w:bottom="851" w:left="851" w:header="709" w:footer="567" w:gutter="0"/>
          <w:cols w:space="708"/>
          <w:docGrid w:linePitch="360"/>
        </w:sectPr>
      </w:pPr>
    </w:p>
    <w:p w:rsidR="00080EE8" w:rsidRDefault="00080EE8" w:rsidP="00080EE8">
      <w:pPr>
        <w:spacing w:before="240" w:after="60" w:line="240" w:lineRule="auto"/>
        <w:outlineLvl w:val="0"/>
        <w:rPr>
          <w:b/>
          <w:caps/>
          <w:szCs w:val="24"/>
          <w:lang w:val="it-IT"/>
        </w:rPr>
      </w:pPr>
      <w:r w:rsidRPr="003B704A">
        <w:rPr>
          <w:b/>
          <w:caps/>
          <w:szCs w:val="24"/>
          <w:lang w:val="it-IT"/>
        </w:rPr>
        <w:t xml:space="preserve">indice </w:t>
      </w:r>
    </w:p>
    <w:p w:rsidR="00080EE8" w:rsidRPr="003B704A" w:rsidRDefault="00080EE8" w:rsidP="00080EE8">
      <w:pPr>
        <w:spacing w:before="240" w:after="60" w:line="240" w:lineRule="auto"/>
        <w:outlineLvl w:val="0"/>
        <w:rPr>
          <w:b/>
          <w:caps/>
          <w:szCs w:val="24"/>
          <w:lang w:val="it-IT"/>
        </w:rPr>
      </w:pPr>
    </w:p>
    <w:tbl>
      <w:tblPr>
        <w:tblW w:w="10287" w:type="dxa"/>
        <w:tblLook w:val="04A0" w:firstRow="1" w:lastRow="0" w:firstColumn="1" w:lastColumn="0" w:noHBand="0" w:noVBand="1"/>
      </w:tblPr>
      <w:tblGrid>
        <w:gridCol w:w="8384"/>
        <w:gridCol w:w="782"/>
        <w:gridCol w:w="354"/>
        <w:gridCol w:w="767"/>
      </w:tblGrid>
      <w:tr w:rsidR="000E0D95" w:rsidTr="000E0D95">
        <w:trPr>
          <w:trHeight w:val="170"/>
        </w:trPr>
        <w:tc>
          <w:tcPr>
            <w:tcW w:w="8384" w:type="dxa"/>
            <w:tcBorders>
              <w:top w:val="nil"/>
              <w:left w:val="nil"/>
              <w:bottom w:val="single" w:sz="4" w:space="0" w:color="auto"/>
              <w:right w:val="nil"/>
            </w:tcBorders>
            <w:noWrap/>
            <w:vAlign w:val="bottom"/>
            <w:hideMark/>
          </w:tcPr>
          <w:p w:rsidR="000E0D95" w:rsidRDefault="000E0D95">
            <w:pPr>
              <w:overflowPunct/>
              <w:autoSpaceDE/>
              <w:adjustRightInd/>
              <w:rPr>
                <w:lang w:val="it-IT"/>
              </w:rPr>
            </w:pPr>
            <w:r>
              <w:rPr>
                <w:lang w:val="it-IT"/>
              </w:rPr>
              <w:t>SEZIONE DEL BILANCIO CONSOLIDATO</w:t>
            </w:r>
          </w:p>
        </w:tc>
        <w:tc>
          <w:tcPr>
            <w:tcW w:w="782" w:type="dxa"/>
            <w:tcBorders>
              <w:top w:val="nil"/>
              <w:left w:val="nil"/>
              <w:bottom w:val="single" w:sz="4" w:space="0" w:color="auto"/>
              <w:right w:val="nil"/>
            </w:tcBorders>
            <w:noWrap/>
            <w:vAlign w:val="bottom"/>
          </w:tcPr>
          <w:p w:rsidR="000E0D95" w:rsidRDefault="000E0D95">
            <w:pPr>
              <w:overflowPunct/>
              <w:autoSpaceDE/>
              <w:adjustRightInd/>
              <w:jc w:val="right"/>
              <w:rPr>
                <w:b/>
                <w:bCs/>
                <w:lang w:val="it-IT"/>
              </w:rPr>
            </w:pPr>
          </w:p>
        </w:tc>
        <w:tc>
          <w:tcPr>
            <w:tcW w:w="354" w:type="dxa"/>
            <w:tcBorders>
              <w:top w:val="nil"/>
              <w:left w:val="nil"/>
              <w:bottom w:val="single" w:sz="4" w:space="0" w:color="auto"/>
              <w:right w:val="nil"/>
            </w:tcBorders>
            <w:noWrap/>
            <w:vAlign w:val="bottom"/>
            <w:hideMark/>
          </w:tcPr>
          <w:p w:rsidR="000E0D95" w:rsidRDefault="000E0D95">
            <w:pPr>
              <w:overflowPunct/>
              <w:autoSpaceDE/>
              <w:adjustRightInd/>
              <w:jc w:val="center"/>
              <w:rPr>
                <w:bCs/>
                <w:lang w:val="it-IT"/>
              </w:rPr>
            </w:pPr>
            <w:r>
              <w:rPr>
                <w:bCs/>
                <w:lang w:val="it-IT"/>
              </w:rPr>
              <w:t>p.</w:t>
            </w:r>
          </w:p>
        </w:tc>
        <w:tc>
          <w:tcPr>
            <w:tcW w:w="767" w:type="dxa"/>
            <w:tcBorders>
              <w:top w:val="nil"/>
              <w:left w:val="nil"/>
              <w:bottom w:val="single" w:sz="4" w:space="0" w:color="auto"/>
              <w:right w:val="nil"/>
            </w:tcBorders>
            <w:noWrap/>
            <w:vAlign w:val="bottom"/>
            <w:hideMark/>
          </w:tcPr>
          <w:p w:rsidR="000E0D95" w:rsidRPr="000E0D95" w:rsidRDefault="000E0D95">
            <w:pPr>
              <w:tabs>
                <w:tab w:val="right" w:pos="261"/>
              </w:tabs>
              <w:overflowPunct/>
              <w:autoSpaceDE/>
              <w:adjustRightInd/>
              <w:rPr>
                <w:b/>
                <w:bCs/>
                <w:highlight w:val="yellow"/>
                <w:lang w:val="it-IT"/>
              </w:rPr>
            </w:pPr>
            <w:r w:rsidRPr="00726756">
              <w:rPr>
                <w:b/>
                <w:bCs/>
                <w:lang w:val="it-IT"/>
              </w:rPr>
              <w:tab/>
              <w:t>6</w:t>
            </w:r>
          </w:p>
        </w:tc>
      </w:tr>
      <w:tr w:rsidR="000E0D95" w:rsidTr="000E0D95">
        <w:trPr>
          <w:trHeight w:val="170"/>
        </w:trPr>
        <w:tc>
          <w:tcPr>
            <w:tcW w:w="8384" w:type="dxa"/>
            <w:tcBorders>
              <w:top w:val="nil"/>
              <w:left w:val="nil"/>
              <w:bottom w:val="single" w:sz="4" w:space="0" w:color="auto"/>
              <w:right w:val="nil"/>
            </w:tcBorders>
            <w:noWrap/>
            <w:hideMark/>
          </w:tcPr>
          <w:p w:rsidR="000E0D95" w:rsidRDefault="000E0D95">
            <w:pPr>
              <w:ind w:left="318"/>
            </w:pPr>
            <w:r>
              <w:t>Definizioni</w:t>
            </w:r>
          </w:p>
        </w:tc>
        <w:tc>
          <w:tcPr>
            <w:tcW w:w="782" w:type="dxa"/>
            <w:tcBorders>
              <w:top w:val="nil"/>
              <w:left w:val="nil"/>
              <w:bottom w:val="single" w:sz="4" w:space="0" w:color="auto"/>
              <w:right w:val="nil"/>
            </w:tcBorders>
            <w:noWrap/>
            <w:vAlign w:val="bottom"/>
          </w:tcPr>
          <w:p w:rsidR="000E0D95" w:rsidRDefault="000E0D95">
            <w:pPr>
              <w:overflowPunct/>
              <w:autoSpaceDE/>
              <w:adjustRightInd/>
              <w:jc w:val="right"/>
              <w:rPr>
                <w:b/>
                <w:bCs/>
                <w:lang w:val="it-IT"/>
              </w:rPr>
            </w:pPr>
          </w:p>
        </w:tc>
        <w:tc>
          <w:tcPr>
            <w:tcW w:w="354" w:type="dxa"/>
            <w:tcBorders>
              <w:top w:val="nil"/>
              <w:left w:val="nil"/>
              <w:bottom w:val="single" w:sz="4" w:space="0" w:color="auto"/>
              <w:right w:val="nil"/>
            </w:tcBorders>
            <w:noWrap/>
            <w:vAlign w:val="bottom"/>
            <w:hideMark/>
          </w:tcPr>
          <w:p w:rsidR="000E0D95" w:rsidRDefault="000E0D95">
            <w:pPr>
              <w:overflowPunct/>
              <w:autoSpaceDE/>
              <w:adjustRightInd/>
              <w:jc w:val="center"/>
              <w:rPr>
                <w:bCs/>
                <w:lang w:val="it-IT"/>
              </w:rPr>
            </w:pPr>
            <w:r>
              <w:rPr>
                <w:bCs/>
                <w:lang w:val="it-IT"/>
              </w:rPr>
              <w:t>p.</w:t>
            </w:r>
          </w:p>
        </w:tc>
        <w:tc>
          <w:tcPr>
            <w:tcW w:w="767" w:type="dxa"/>
            <w:tcBorders>
              <w:top w:val="nil"/>
              <w:left w:val="nil"/>
              <w:bottom w:val="single" w:sz="4" w:space="0" w:color="auto"/>
              <w:right w:val="nil"/>
            </w:tcBorders>
            <w:noWrap/>
            <w:vAlign w:val="bottom"/>
            <w:hideMark/>
          </w:tcPr>
          <w:p w:rsidR="000E0D95" w:rsidRPr="000E0D95" w:rsidRDefault="000E0D95">
            <w:pPr>
              <w:tabs>
                <w:tab w:val="right" w:pos="261"/>
              </w:tabs>
              <w:overflowPunct/>
              <w:autoSpaceDE/>
              <w:adjustRightInd/>
              <w:rPr>
                <w:b/>
                <w:bCs/>
                <w:highlight w:val="yellow"/>
                <w:lang w:val="it-IT"/>
              </w:rPr>
            </w:pPr>
            <w:r w:rsidRPr="00726756">
              <w:rPr>
                <w:b/>
                <w:bCs/>
                <w:lang w:val="it-IT"/>
              </w:rPr>
              <w:tab/>
              <w:t>6</w:t>
            </w:r>
          </w:p>
        </w:tc>
      </w:tr>
      <w:tr w:rsidR="000E0D95" w:rsidTr="000E0D95">
        <w:trPr>
          <w:trHeight w:val="170"/>
        </w:trPr>
        <w:tc>
          <w:tcPr>
            <w:tcW w:w="8384" w:type="dxa"/>
            <w:tcBorders>
              <w:top w:val="nil"/>
              <w:left w:val="nil"/>
              <w:bottom w:val="single" w:sz="4" w:space="0" w:color="auto"/>
              <w:right w:val="nil"/>
            </w:tcBorders>
            <w:noWrap/>
            <w:hideMark/>
          </w:tcPr>
          <w:p w:rsidR="000E0D95" w:rsidRDefault="000E0D95">
            <w:pPr>
              <w:ind w:left="318"/>
              <w:rPr>
                <w:lang w:val="it-IT"/>
              </w:rPr>
            </w:pPr>
            <w:r>
              <w:rPr>
                <w:lang w:val="it-IT"/>
              </w:rPr>
              <w:t>Criteri generali per la redazione del bilancio consolidato</w:t>
            </w:r>
          </w:p>
        </w:tc>
        <w:tc>
          <w:tcPr>
            <w:tcW w:w="782" w:type="dxa"/>
            <w:tcBorders>
              <w:top w:val="nil"/>
              <w:left w:val="nil"/>
              <w:bottom w:val="single" w:sz="4" w:space="0" w:color="auto"/>
              <w:right w:val="nil"/>
            </w:tcBorders>
            <w:noWrap/>
            <w:vAlign w:val="bottom"/>
          </w:tcPr>
          <w:p w:rsidR="000E0D95" w:rsidRDefault="000E0D95">
            <w:pPr>
              <w:overflowPunct/>
              <w:autoSpaceDE/>
              <w:adjustRightInd/>
              <w:jc w:val="right"/>
              <w:rPr>
                <w:b/>
                <w:bCs/>
                <w:lang w:val="it-IT"/>
              </w:rPr>
            </w:pPr>
          </w:p>
        </w:tc>
        <w:tc>
          <w:tcPr>
            <w:tcW w:w="354" w:type="dxa"/>
            <w:tcBorders>
              <w:top w:val="nil"/>
              <w:left w:val="nil"/>
              <w:bottom w:val="single" w:sz="4" w:space="0" w:color="auto"/>
              <w:right w:val="nil"/>
            </w:tcBorders>
            <w:noWrap/>
            <w:vAlign w:val="bottom"/>
            <w:hideMark/>
          </w:tcPr>
          <w:p w:rsidR="000E0D95" w:rsidRDefault="000E0D95">
            <w:pPr>
              <w:overflowPunct/>
              <w:autoSpaceDE/>
              <w:adjustRightInd/>
              <w:jc w:val="center"/>
              <w:rPr>
                <w:b/>
                <w:bCs/>
                <w:lang w:val="it-IT"/>
              </w:rPr>
            </w:pPr>
            <w:r>
              <w:rPr>
                <w:bCs/>
                <w:lang w:val="it-IT"/>
              </w:rPr>
              <w:t>p.</w:t>
            </w:r>
          </w:p>
        </w:tc>
        <w:tc>
          <w:tcPr>
            <w:tcW w:w="767" w:type="dxa"/>
            <w:tcBorders>
              <w:top w:val="nil"/>
              <w:left w:val="nil"/>
              <w:bottom w:val="single" w:sz="4" w:space="0" w:color="auto"/>
              <w:right w:val="nil"/>
            </w:tcBorders>
            <w:noWrap/>
            <w:vAlign w:val="bottom"/>
            <w:hideMark/>
          </w:tcPr>
          <w:p w:rsidR="000E0D95" w:rsidRPr="000E0D95" w:rsidRDefault="000E0D95">
            <w:pPr>
              <w:tabs>
                <w:tab w:val="right" w:pos="261"/>
              </w:tabs>
              <w:overflowPunct/>
              <w:autoSpaceDE/>
              <w:adjustRightInd/>
              <w:rPr>
                <w:b/>
                <w:bCs/>
                <w:highlight w:val="yellow"/>
                <w:lang w:val="it-IT"/>
              </w:rPr>
            </w:pPr>
            <w:r w:rsidRPr="00726756">
              <w:rPr>
                <w:b/>
                <w:bCs/>
                <w:lang w:val="it-IT"/>
              </w:rPr>
              <w:tab/>
              <w:t>7</w:t>
            </w:r>
          </w:p>
        </w:tc>
      </w:tr>
      <w:tr w:rsidR="000E0D95" w:rsidTr="000E0D95">
        <w:trPr>
          <w:trHeight w:val="170"/>
        </w:trPr>
        <w:tc>
          <w:tcPr>
            <w:tcW w:w="8384" w:type="dxa"/>
            <w:tcBorders>
              <w:top w:val="nil"/>
              <w:left w:val="nil"/>
              <w:bottom w:val="single" w:sz="4" w:space="0" w:color="auto"/>
              <w:right w:val="nil"/>
            </w:tcBorders>
            <w:noWrap/>
            <w:hideMark/>
          </w:tcPr>
          <w:p w:rsidR="000E0D95" w:rsidRDefault="000E0D95">
            <w:pPr>
              <w:ind w:left="318"/>
              <w:rPr>
                <w:lang w:val="it-IT"/>
              </w:rPr>
            </w:pPr>
            <w:r>
              <w:rPr>
                <w:lang w:val="it-IT"/>
              </w:rPr>
              <w:t>Criteri di redazione del bilancio consolidato</w:t>
            </w:r>
          </w:p>
        </w:tc>
        <w:tc>
          <w:tcPr>
            <w:tcW w:w="782" w:type="dxa"/>
            <w:tcBorders>
              <w:top w:val="nil"/>
              <w:left w:val="nil"/>
              <w:bottom w:val="single" w:sz="4" w:space="0" w:color="auto"/>
              <w:right w:val="nil"/>
            </w:tcBorders>
            <w:noWrap/>
            <w:vAlign w:val="bottom"/>
          </w:tcPr>
          <w:p w:rsidR="000E0D95" w:rsidRDefault="000E0D95">
            <w:pPr>
              <w:overflowPunct/>
              <w:autoSpaceDE/>
              <w:adjustRightInd/>
              <w:jc w:val="right"/>
              <w:rPr>
                <w:b/>
                <w:bCs/>
                <w:lang w:val="it-IT"/>
              </w:rPr>
            </w:pPr>
          </w:p>
        </w:tc>
        <w:tc>
          <w:tcPr>
            <w:tcW w:w="354" w:type="dxa"/>
            <w:tcBorders>
              <w:top w:val="nil"/>
              <w:left w:val="nil"/>
              <w:bottom w:val="single" w:sz="4" w:space="0" w:color="auto"/>
              <w:right w:val="nil"/>
            </w:tcBorders>
            <w:noWrap/>
            <w:vAlign w:val="bottom"/>
            <w:hideMark/>
          </w:tcPr>
          <w:p w:rsidR="000E0D95" w:rsidRDefault="000E0D95">
            <w:pPr>
              <w:overflowPunct/>
              <w:autoSpaceDE/>
              <w:adjustRightInd/>
              <w:jc w:val="center"/>
              <w:rPr>
                <w:b/>
                <w:bCs/>
                <w:lang w:val="it-IT"/>
              </w:rPr>
            </w:pPr>
            <w:r>
              <w:rPr>
                <w:bCs/>
                <w:lang w:val="it-IT"/>
              </w:rPr>
              <w:t>p.</w:t>
            </w:r>
          </w:p>
        </w:tc>
        <w:tc>
          <w:tcPr>
            <w:tcW w:w="767" w:type="dxa"/>
            <w:tcBorders>
              <w:top w:val="nil"/>
              <w:left w:val="nil"/>
              <w:bottom w:val="single" w:sz="4" w:space="0" w:color="auto"/>
              <w:right w:val="nil"/>
            </w:tcBorders>
            <w:noWrap/>
            <w:vAlign w:val="bottom"/>
            <w:hideMark/>
          </w:tcPr>
          <w:p w:rsidR="000E0D95" w:rsidRPr="000E0D95" w:rsidRDefault="000E0D95">
            <w:pPr>
              <w:tabs>
                <w:tab w:val="right" w:pos="261"/>
              </w:tabs>
              <w:overflowPunct/>
              <w:autoSpaceDE/>
              <w:adjustRightInd/>
              <w:rPr>
                <w:b/>
                <w:bCs/>
                <w:highlight w:val="yellow"/>
                <w:lang w:val="it-IT"/>
              </w:rPr>
            </w:pPr>
            <w:r w:rsidRPr="00726756">
              <w:rPr>
                <w:b/>
                <w:bCs/>
                <w:lang w:val="it-IT"/>
              </w:rPr>
              <w:tab/>
              <w:t>8</w:t>
            </w:r>
          </w:p>
        </w:tc>
      </w:tr>
      <w:tr w:rsidR="000E0D95" w:rsidTr="000E0D95">
        <w:trPr>
          <w:trHeight w:val="170"/>
        </w:trPr>
        <w:tc>
          <w:tcPr>
            <w:tcW w:w="8384" w:type="dxa"/>
            <w:tcBorders>
              <w:top w:val="nil"/>
              <w:left w:val="nil"/>
              <w:bottom w:val="single" w:sz="4" w:space="0" w:color="auto"/>
              <w:right w:val="nil"/>
            </w:tcBorders>
            <w:noWrap/>
            <w:hideMark/>
          </w:tcPr>
          <w:p w:rsidR="000E0D95" w:rsidRDefault="000E0D95">
            <w:pPr>
              <w:ind w:left="318"/>
              <w:rPr>
                <w:lang w:val="it-IT"/>
              </w:rPr>
            </w:pPr>
            <w:r>
              <w:rPr>
                <w:lang w:val="it-IT"/>
              </w:rPr>
              <w:t>Il metodo del consolidamento integrale</w:t>
            </w:r>
          </w:p>
        </w:tc>
        <w:tc>
          <w:tcPr>
            <w:tcW w:w="782" w:type="dxa"/>
            <w:tcBorders>
              <w:top w:val="nil"/>
              <w:left w:val="nil"/>
              <w:bottom w:val="single" w:sz="4" w:space="0" w:color="auto"/>
              <w:right w:val="nil"/>
            </w:tcBorders>
            <w:noWrap/>
            <w:vAlign w:val="bottom"/>
          </w:tcPr>
          <w:p w:rsidR="000E0D95" w:rsidRDefault="000E0D95">
            <w:pPr>
              <w:overflowPunct/>
              <w:autoSpaceDE/>
              <w:adjustRightInd/>
              <w:jc w:val="right"/>
              <w:rPr>
                <w:b/>
                <w:bCs/>
                <w:lang w:val="it-IT"/>
              </w:rPr>
            </w:pPr>
          </w:p>
        </w:tc>
        <w:tc>
          <w:tcPr>
            <w:tcW w:w="354" w:type="dxa"/>
            <w:tcBorders>
              <w:top w:val="nil"/>
              <w:left w:val="nil"/>
              <w:bottom w:val="single" w:sz="4" w:space="0" w:color="auto"/>
              <w:right w:val="nil"/>
            </w:tcBorders>
            <w:noWrap/>
            <w:vAlign w:val="bottom"/>
            <w:hideMark/>
          </w:tcPr>
          <w:p w:rsidR="000E0D95" w:rsidRDefault="000E0D95">
            <w:pPr>
              <w:overflowPunct/>
              <w:autoSpaceDE/>
              <w:adjustRightInd/>
              <w:jc w:val="center"/>
              <w:rPr>
                <w:b/>
                <w:bCs/>
                <w:lang w:val="it-IT"/>
              </w:rPr>
            </w:pPr>
            <w:r>
              <w:rPr>
                <w:bCs/>
                <w:lang w:val="it-IT"/>
              </w:rPr>
              <w:t>p.</w:t>
            </w:r>
          </w:p>
        </w:tc>
        <w:tc>
          <w:tcPr>
            <w:tcW w:w="767" w:type="dxa"/>
            <w:tcBorders>
              <w:top w:val="nil"/>
              <w:left w:val="nil"/>
              <w:bottom w:val="single" w:sz="4" w:space="0" w:color="auto"/>
              <w:right w:val="nil"/>
            </w:tcBorders>
            <w:noWrap/>
            <w:vAlign w:val="bottom"/>
            <w:hideMark/>
          </w:tcPr>
          <w:p w:rsidR="000E0D95" w:rsidRPr="000E0D95" w:rsidRDefault="00726756">
            <w:pPr>
              <w:tabs>
                <w:tab w:val="right" w:pos="261"/>
              </w:tabs>
              <w:overflowPunct/>
              <w:autoSpaceDE/>
              <w:adjustRightInd/>
              <w:rPr>
                <w:b/>
                <w:bCs/>
                <w:highlight w:val="yellow"/>
                <w:lang w:val="it-IT"/>
              </w:rPr>
            </w:pPr>
            <w:r w:rsidRPr="00726756">
              <w:rPr>
                <w:b/>
                <w:bCs/>
                <w:lang w:val="it-IT"/>
              </w:rPr>
              <w:tab/>
              <w:t>9</w:t>
            </w:r>
          </w:p>
        </w:tc>
      </w:tr>
      <w:tr w:rsidR="000E0D95" w:rsidRPr="0017721C" w:rsidTr="000E0D95">
        <w:trPr>
          <w:trHeight w:val="170"/>
        </w:trPr>
        <w:tc>
          <w:tcPr>
            <w:tcW w:w="8384" w:type="dxa"/>
            <w:tcBorders>
              <w:top w:val="nil"/>
              <w:left w:val="nil"/>
              <w:bottom w:val="single" w:sz="4" w:space="0" w:color="auto"/>
              <w:right w:val="nil"/>
            </w:tcBorders>
            <w:noWrap/>
            <w:hideMark/>
          </w:tcPr>
          <w:p w:rsidR="000E0D95" w:rsidRDefault="000E0D95">
            <w:pPr>
              <w:ind w:left="318"/>
              <w:rPr>
                <w:lang w:val="it-IT"/>
              </w:rPr>
            </w:pPr>
            <w:r>
              <w:rPr>
                <w:lang w:val="it-IT"/>
              </w:rPr>
              <w:t>Il metodo del consolidamento proporzionale</w:t>
            </w:r>
          </w:p>
        </w:tc>
        <w:tc>
          <w:tcPr>
            <w:tcW w:w="782" w:type="dxa"/>
            <w:tcBorders>
              <w:top w:val="nil"/>
              <w:left w:val="nil"/>
              <w:bottom w:val="single" w:sz="4" w:space="0" w:color="auto"/>
              <w:right w:val="nil"/>
            </w:tcBorders>
            <w:noWrap/>
            <w:vAlign w:val="bottom"/>
          </w:tcPr>
          <w:p w:rsidR="000E0D95" w:rsidRDefault="000E0D95">
            <w:pPr>
              <w:overflowPunct/>
              <w:autoSpaceDE/>
              <w:adjustRightInd/>
              <w:jc w:val="right"/>
              <w:rPr>
                <w:b/>
                <w:bCs/>
                <w:lang w:val="it-IT"/>
              </w:rPr>
            </w:pPr>
          </w:p>
        </w:tc>
        <w:tc>
          <w:tcPr>
            <w:tcW w:w="354" w:type="dxa"/>
            <w:tcBorders>
              <w:top w:val="nil"/>
              <w:left w:val="nil"/>
              <w:bottom w:val="single" w:sz="4" w:space="0" w:color="auto"/>
              <w:right w:val="nil"/>
            </w:tcBorders>
            <w:noWrap/>
            <w:vAlign w:val="bottom"/>
          </w:tcPr>
          <w:p w:rsidR="000E0D95" w:rsidRDefault="00726756">
            <w:pPr>
              <w:overflowPunct/>
              <w:autoSpaceDE/>
              <w:adjustRightInd/>
              <w:jc w:val="center"/>
              <w:rPr>
                <w:bCs/>
                <w:lang w:val="it-IT"/>
              </w:rPr>
            </w:pPr>
            <w:r>
              <w:rPr>
                <w:bCs/>
                <w:lang w:val="it-IT"/>
              </w:rPr>
              <w:t>p.</w:t>
            </w:r>
          </w:p>
        </w:tc>
        <w:tc>
          <w:tcPr>
            <w:tcW w:w="767" w:type="dxa"/>
            <w:tcBorders>
              <w:top w:val="nil"/>
              <w:left w:val="nil"/>
              <w:bottom w:val="single" w:sz="4" w:space="0" w:color="auto"/>
              <w:right w:val="nil"/>
            </w:tcBorders>
            <w:noWrap/>
            <w:vAlign w:val="bottom"/>
          </w:tcPr>
          <w:p w:rsidR="000E0D95" w:rsidRPr="000E0D95" w:rsidRDefault="00150756" w:rsidP="00726756">
            <w:pPr>
              <w:tabs>
                <w:tab w:val="right" w:pos="261"/>
              </w:tabs>
              <w:overflowPunct/>
              <w:autoSpaceDE/>
              <w:adjustRightInd/>
              <w:rPr>
                <w:b/>
                <w:bCs/>
                <w:highlight w:val="yellow"/>
                <w:lang w:val="it-IT"/>
              </w:rPr>
            </w:pPr>
            <w:r>
              <w:rPr>
                <w:b/>
                <w:bCs/>
                <w:lang w:val="it-IT"/>
              </w:rPr>
              <w:tab/>
            </w:r>
            <w:r w:rsidR="00726756" w:rsidRPr="00726756">
              <w:rPr>
                <w:b/>
                <w:bCs/>
                <w:lang w:val="it-IT"/>
              </w:rPr>
              <w:t>16</w:t>
            </w:r>
          </w:p>
        </w:tc>
      </w:tr>
      <w:tr w:rsidR="000E0D95" w:rsidRPr="0017721C" w:rsidTr="000E0D95">
        <w:trPr>
          <w:trHeight w:val="170"/>
        </w:trPr>
        <w:tc>
          <w:tcPr>
            <w:tcW w:w="8384" w:type="dxa"/>
            <w:tcBorders>
              <w:top w:val="nil"/>
              <w:left w:val="nil"/>
              <w:bottom w:val="single" w:sz="4" w:space="0" w:color="auto"/>
              <w:right w:val="nil"/>
            </w:tcBorders>
            <w:noWrap/>
            <w:hideMark/>
          </w:tcPr>
          <w:p w:rsidR="000E0D95" w:rsidRDefault="000E0D95">
            <w:pPr>
              <w:ind w:left="318"/>
              <w:rPr>
                <w:lang w:val="it-IT"/>
              </w:rPr>
            </w:pPr>
            <w:r>
              <w:rPr>
                <w:lang w:val="it-IT"/>
              </w:rPr>
              <w:t xml:space="preserve">La traduzione dei bilanci </w:t>
            </w:r>
            <w:r w:rsidR="00726756">
              <w:rPr>
                <w:lang w:val="it-IT"/>
              </w:rPr>
              <w:t xml:space="preserve">non </w:t>
            </w:r>
            <w:r>
              <w:rPr>
                <w:lang w:val="it-IT"/>
              </w:rPr>
              <w:t>espressi in euro</w:t>
            </w:r>
          </w:p>
        </w:tc>
        <w:tc>
          <w:tcPr>
            <w:tcW w:w="782" w:type="dxa"/>
            <w:tcBorders>
              <w:top w:val="nil"/>
              <w:left w:val="nil"/>
              <w:bottom w:val="single" w:sz="4" w:space="0" w:color="auto"/>
              <w:right w:val="nil"/>
            </w:tcBorders>
            <w:noWrap/>
            <w:vAlign w:val="bottom"/>
          </w:tcPr>
          <w:p w:rsidR="000E0D95" w:rsidRDefault="000E0D95">
            <w:pPr>
              <w:overflowPunct/>
              <w:autoSpaceDE/>
              <w:adjustRightInd/>
              <w:jc w:val="right"/>
              <w:rPr>
                <w:b/>
                <w:bCs/>
                <w:lang w:val="it-IT"/>
              </w:rPr>
            </w:pPr>
          </w:p>
        </w:tc>
        <w:tc>
          <w:tcPr>
            <w:tcW w:w="354" w:type="dxa"/>
            <w:tcBorders>
              <w:top w:val="nil"/>
              <w:left w:val="nil"/>
              <w:bottom w:val="single" w:sz="4" w:space="0" w:color="auto"/>
              <w:right w:val="nil"/>
            </w:tcBorders>
            <w:noWrap/>
            <w:vAlign w:val="bottom"/>
          </w:tcPr>
          <w:p w:rsidR="000E0D95" w:rsidRDefault="00726756">
            <w:pPr>
              <w:overflowPunct/>
              <w:autoSpaceDE/>
              <w:adjustRightInd/>
              <w:jc w:val="center"/>
              <w:rPr>
                <w:bCs/>
                <w:lang w:val="it-IT"/>
              </w:rPr>
            </w:pPr>
            <w:r>
              <w:rPr>
                <w:bCs/>
                <w:lang w:val="it-IT"/>
              </w:rPr>
              <w:t>p.</w:t>
            </w:r>
          </w:p>
        </w:tc>
        <w:tc>
          <w:tcPr>
            <w:tcW w:w="767" w:type="dxa"/>
            <w:tcBorders>
              <w:top w:val="nil"/>
              <w:left w:val="nil"/>
              <w:bottom w:val="single" w:sz="4" w:space="0" w:color="auto"/>
              <w:right w:val="nil"/>
            </w:tcBorders>
            <w:noWrap/>
            <w:vAlign w:val="bottom"/>
          </w:tcPr>
          <w:p w:rsidR="000E0D95" w:rsidRPr="000E0D95" w:rsidRDefault="00150756">
            <w:pPr>
              <w:tabs>
                <w:tab w:val="right" w:pos="261"/>
              </w:tabs>
              <w:overflowPunct/>
              <w:autoSpaceDE/>
              <w:adjustRightInd/>
              <w:rPr>
                <w:b/>
                <w:bCs/>
                <w:highlight w:val="yellow"/>
                <w:lang w:val="it-IT"/>
              </w:rPr>
            </w:pPr>
            <w:r>
              <w:rPr>
                <w:b/>
                <w:bCs/>
                <w:lang w:val="it-IT"/>
              </w:rPr>
              <w:tab/>
            </w:r>
            <w:r w:rsidR="00726756" w:rsidRPr="00726756">
              <w:rPr>
                <w:b/>
                <w:bCs/>
                <w:lang w:val="it-IT"/>
              </w:rPr>
              <w:t>16</w:t>
            </w:r>
          </w:p>
        </w:tc>
      </w:tr>
      <w:tr w:rsidR="000E0D95" w:rsidRPr="0017721C" w:rsidTr="000E0D95">
        <w:trPr>
          <w:trHeight w:val="170"/>
        </w:trPr>
        <w:tc>
          <w:tcPr>
            <w:tcW w:w="8384" w:type="dxa"/>
            <w:tcBorders>
              <w:top w:val="nil"/>
              <w:left w:val="nil"/>
              <w:bottom w:val="single" w:sz="4" w:space="0" w:color="auto"/>
              <w:right w:val="nil"/>
            </w:tcBorders>
            <w:noWrap/>
            <w:hideMark/>
          </w:tcPr>
          <w:p w:rsidR="000E0D95" w:rsidRDefault="000E0D95">
            <w:pPr>
              <w:ind w:left="318"/>
              <w:rPr>
                <w:lang w:val="it-IT"/>
              </w:rPr>
            </w:pPr>
            <w:r>
              <w:rPr>
                <w:lang w:val="it-IT"/>
              </w:rPr>
              <w:t>Composizione e struttura del bilancio consolidato</w:t>
            </w:r>
          </w:p>
        </w:tc>
        <w:tc>
          <w:tcPr>
            <w:tcW w:w="782" w:type="dxa"/>
            <w:tcBorders>
              <w:top w:val="nil"/>
              <w:left w:val="nil"/>
              <w:bottom w:val="single" w:sz="4" w:space="0" w:color="auto"/>
              <w:right w:val="nil"/>
            </w:tcBorders>
            <w:noWrap/>
            <w:vAlign w:val="bottom"/>
          </w:tcPr>
          <w:p w:rsidR="000E0D95" w:rsidRDefault="000E0D95">
            <w:pPr>
              <w:overflowPunct/>
              <w:autoSpaceDE/>
              <w:adjustRightInd/>
              <w:jc w:val="right"/>
              <w:rPr>
                <w:b/>
                <w:bCs/>
                <w:lang w:val="it-IT"/>
              </w:rPr>
            </w:pPr>
          </w:p>
        </w:tc>
        <w:tc>
          <w:tcPr>
            <w:tcW w:w="354" w:type="dxa"/>
            <w:tcBorders>
              <w:top w:val="nil"/>
              <w:left w:val="nil"/>
              <w:bottom w:val="single" w:sz="4" w:space="0" w:color="auto"/>
              <w:right w:val="nil"/>
            </w:tcBorders>
            <w:noWrap/>
            <w:vAlign w:val="bottom"/>
          </w:tcPr>
          <w:p w:rsidR="000E0D95" w:rsidRDefault="00726756">
            <w:pPr>
              <w:overflowPunct/>
              <w:autoSpaceDE/>
              <w:adjustRightInd/>
              <w:jc w:val="center"/>
              <w:rPr>
                <w:bCs/>
                <w:lang w:val="it-IT"/>
              </w:rPr>
            </w:pPr>
            <w:r>
              <w:rPr>
                <w:bCs/>
                <w:lang w:val="it-IT"/>
              </w:rPr>
              <w:t>p.</w:t>
            </w:r>
          </w:p>
        </w:tc>
        <w:tc>
          <w:tcPr>
            <w:tcW w:w="767" w:type="dxa"/>
            <w:tcBorders>
              <w:top w:val="nil"/>
              <w:left w:val="nil"/>
              <w:bottom w:val="single" w:sz="4" w:space="0" w:color="auto"/>
              <w:right w:val="nil"/>
            </w:tcBorders>
            <w:noWrap/>
            <w:vAlign w:val="bottom"/>
          </w:tcPr>
          <w:p w:rsidR="000E0D95" w:rsidRPr="000E0D95" w:rsidRDefault="00150756">
            <w:pPr>
              <w:tabs>
                <w:tab w:val="right" w:pos="261"/>
              </w:tabs>
              <w:overflowPunct/>
              <w:autoSpaceDE/>
              <w:adjustRightInd/>
              <w:rPr>
                <w:b/>
                <w:bCs/>
                <w:highlight w:val="yellow"/>
                <w:lang w:val="it-IT"/>
              </w:rPr>
            </w:pPr>
            <w:r>
              <w:rPr>
                <w:b/>
                <w:bCs/>
                <w:lang w:val="it-IT"/>
              </w:rPr>
              <w:tab/>
            </w:r>
            <w:r w:rsidR="00726756" w:rsidRPr="00726756">
              <w:rPr>
                <w:b/>
                <w:bCs/>
                <w:lang w:val="it-IT"/>
              </w:rPr>
              <w:t>17</w:t>
            </w:r>
          </w:p>
        </w:tc>
      </w:tr>
      <w:tr w:rsidR="000E0D95" w:rsidTr="000E0D95">
        <w:trPr>
          <w:trHeight w:val="170"/>
        </w:trPr>
        <w:tc>
          <w:tcPr>
            <w:tcW w:w="8384" w:type="dxa"/>
            <w:tcBorders>
              <w:top w:val="nil"/>
              <w:left w:val="nil"/>
              <w:bottom w:val="single" w:sz="4" w:space="0" w:color="auto"/>
              <w:right w:val="nil"/>
            </w:tcBorders>
            <w:noWrap/>
            <w:hideMark/>
          </w:tcPr>
          <w:p w:rsidR="000E0D95" w:rsidRDefault="000E0D95">
            <w:pPr>
              <w:ind w:left="318"/>
              <w:rPr>
                <w:lang w:val="it-IT"/>
              </w:rPr>
            </w:pPr>
            <w:r>
              <w:rPr>
                <w:lang w:val="it-IT"/>
              </w:rPr>
              <w:t>Schema di stato patrimoniale</w:t>
            </w:r>
          </w:p>
        </w:tc>
        <w:tc>
          <w:tcPr>
            <w:tcW w:w="782" w:type="dxa"/>
            <w:tcBorders>
              <w:top w:val="nil"/>
              <w:left w:val="nil"/>
              <w:bottom w:val="single" w:sz="4" w:space="0" w:color="auto"/>
              <w:right w:val="nil"/>
            </w:tcBorders>
            <w:noWrap/>
            <w:vAlign w:val="bottom"/>
          </w:tcPr>
          <w:p w:rsidR="000E0D95" w:rsidRDefault="000E0D95">
            <w:pPr>
              <w:overflowPunct/>
              <w:autoSpaceDE/>
              <w:adjustRightInd/>
              <w:jc w:val="right"/>
              <w:rPr>
                <w:b/>
                <w:bCs/>
                <w:lang w:val="it-IT"/>
              </w:rPr>
            </w:pPr>
          </w:p>
        </w:tc>
        <w:tc>
          <w:tcPr>
            <w:tcW w:w="354" w:type="dxa"/>
            <w:tcBorders>
              <w:top w:val="nil"/>
              <w:left w:val="nil"/>
              <w:bottom w:val="single" w:sz="4" w:space="0" w:color="auto"/>
              <w:right w:val="nil"/>
            </w:tcBorders>
            <w:noWrap/>
            <w:vAlign w:val="bottom"/>
          </w:tcPr>
          <w:p w:rsidR="000E0D95" w:rsidRDefault="00726756">
            <w:pPr>
              <w:overflowPunct/>
              <w:autoSpaceDE/>
              <w:adjustRightInd/>
              <w:jc w:val="center"/>
              <w:rPr>
                <w:bCs/>
                <w:lang w:val="it-IT"/>
              </w:rPr>
            </w:pPr>
            <w:r>
              <w:rPr>
                <w:bCs/>
                <w:lang w:val="it-IT"/>
              </w:rPr>
              <w:t>p.</w:t>
            </w:r>
          </w:p>
        </w:tc>
        <w:tc>
          <w:tcPr>
            <w:tcW w:w="767" w:type="dxa"/>
            <w:tcBorders>
              <w:top w:val="nil"/>
              <w:left w:val="nil"/>
              <w:bottom w:val="single" w:sz="4" w:space="0" w:color="auto"/>
              <w:right w:val="nil"/>
            </w:tcBorders>
            <w:noWrap/>
            <w:vAlign w:val="bottom"/>
          </w:tcPr>
          <w:p w:rsidR="000E0D95" w:rsidRPr="000E0D95" w:rsidRDefault="00150756">
            <w:pPr>
              <w:tabs>
                <w:tab w:val="right" w:pos="261"/>
              </w:tabs>
              <w:overflowPunct/>
              <w:autoSpaceDE/>
              <w:adjustRightInd/>
              <w:rPr>
                <w:b/>
                <w:bCs/>
                <w:highlight w:val="yellow"/>
                <w:lang w:val="it-IT"/>
              </w:rPr>
            </w:pPr>
            <w:r>
              <w:rPr>
                <w:b/>
                <w:bCs/>
                <w:lang w:val="it-IT"/>
              </w:rPr>
              <w:tab/>
            </w:r>
            <w:r w:rsidR="00726756" w:rsidRPr="00726756">
              <w:rPr>
                <w:b/>
                <w:bCs/>
                <w:lang w:val="it-IT"/>
              </w:rPr>
              <w:t>17</w:t>
            </w:r>
          </w:p>
        </w:tc>
      </w:tr>
      <w:tr w:rsidR="000E0D95" w:rsidTr="000E0D95">
        <w:trPr>
          <w:trHeight w:val="170"/>
        </w:trPr>
        <w:tc>
          <w:tcPr>
            <w:tcW w:w="8384" w:type="dxa"/>
            <w:tcBorders>
              <w:top w:val="nil"/>
              <w:left w:val="nil"/>
              <w:bottom w:val="single" w:sz="4" w:space="0" w:color="auto"/>
              <w:right w:val="nil"/>
            </w:tcBorders>
            <w:noWrap/>
            <w:hideMark/>
          </w:tcPr>
          <w:p w:rsidR="000E0D95" w:rsidRDefault="000E0D95">
            <w:pPr>
              <w:ind w:left="318"/>
              <w:rPr>
                <w:lang w:val="it-IT"/>
              </w:rPr>
            </w:pPr>
            <w:r>
              <w:rPr>
                <w:lang w:val="it-IT"/>
              </w:rPr>
              <w:t>Schema di conto economico</w:t>
            </w:r>
          </w:p>
        </w:tc>
        <w:tc>
          <w:tcPr>
            <w:tcW w:w="782" w:type="dxa"/>
            <w:tcBorders>
              <w:top w:val="nil"/>
              <w:left w:val="nil"/>
              <w:bottom w:val="single" w:sz="4" w:space="0" w:color="auto"/>
              <w:right w:val="nil"/>
            </w:tcBorders>
            <w:noWrap/>
            <w:vAlign w:val="bottom"/>
          </w:tcPr>
          <w:p w:rsidR="000E0D95" w:rsidRDefault="000E0D95">
            <w:pPr>
              <w:overflowPunct/>
              <w:autoSpaceDE/>
              <w:adjustRightInd/>
              <w:jc w:val="right"/>
              <w:rPr>
                <w:b/>
                <w:bCs/>
                <w:lang w:val="it-IT"/>
              </w:rPr>
            </w:pPr>
          </w:p>
        </w:tc>
        <w:tc>
          <w:tcPr>
            <w:tcW w:w="354" w:type="dxa"/>
            <w:tcBorders>
              <w:top w:val="nil"/>
              <w:left w:val="nil"/>
              <w:bottom w:val="single" w:sz="4" w:space="0" w:color="auto"/>
              <w:right w:val="nil"/>
            </w:tcBorders>
            <w:noWrap/>
            <w:vAlign w:val="bottom"/>
          </w:tcPr>
          <w:p w:rsidR="000E0D95" w:rsidRDefault="00726756">
            <w:pPr>
              <w:overflowPunct/>
              <w:autoSpaceDE/>
              <w:adjustRightInd/>
              <w:jc w:val="center"/>
              <w:rPr>
                <w:bCs/>
                <w:lang w:val="it-IT"/>
              </w:rPr>
            </w:pPr>
            <w:r>
              <w:rPr>
                <w:bCs/>
                <w:lang w:val="it-IT"/>
              </w:rPr>
              <w:t>p.</w:t>
            </w:r>
          </w:p>
        </w:tc>
        <w:tc>
          <w:tcPr>
            <w:tcW w:w="767" w:type="dxa"/>
            <w:tcBorders>
              <w:top w:val="nil"/>
              <w:left w:val="nil"/>
              <w:bottom w:val="single" w:sz="4" w:space="0" w:color="auto"/>
              <w:right w:val="nil"/>
            </w:tcBorders>
            <w:noWrap/>
            <w:vAlign w:val="bottom"/>
          </w:tcPr>
          <w:p w:rsidR="000E0D95" w:rsidRPr="000E0D95" w:rsidRDefault="00150756">
            <w:pPr>
              <w:tabs>
                <w:tab w:val="right" w:pos="261"/>
              </w:tabs>
              <w:overflowPunct/>
              <w:autoSpaceDE/>
              <w:adjustRightInd/>
              <w:rPr>
                <w:b/>
                <w:bCs/>
                <w:highlight w:val="yellow"/>
                <w:lang w:val="it-IT"/>
              </w:rPr>
            </w:pPr>
            <w:r>
              <w:rPr>
                <w:b/>
                <w:bCs/>
                <w:lang w:val="it-IT"/>
              </w:rPr>
              <w:tab/>
            </w:r>
            <w:r w:rsidR="00726756" w:rsidRPr="00726756">
              <w:rPr>
                <w:b/>
                <w:bCs/>
                <w:lang w:val="it-IT"/>
              </w:rPr>
              <w:t>18</w:t>
            </w:r>
          </w:p>
        </w:tc>
      </w:tr>
      <w:tr w:rsidR="000E0D95" w:rsidTr="000E0D95">
        <w:trPr>
          <w:trHeight w:val="170"/>
        </w:trPr>
        <w:tc>
          <w:tcPr>
            <w:tcW w:w="8384" w:type="dxa"/>
            <w:tcBorders>
              <w:top w:val="nil"/>
              <w:left w:val="nil"/>
              <w:bottom w:val="single" w:sz="4" w:space="0" w:color="auto"/>
              <w:right w:val="nil"/>
            </w:tcBorders>
            <w:noWrap/>
            <w:hideMark/>
          </w:tcPr>
          <w:p w:rsidR="000E0D95" w:rsidRDefault="000E0D95">
            <w:r>
              <w:t>RENDICONTO FINANZIARIO</w:t>
            </w:r>
          </w:p>
        </w:tc>
        <w:tc>
          <w:tcPr>
            <w:tcW w:w="782" w:type="dxa"/>
            <w:tcBorders>
              <w:top w:val="nil"/>
              <w:left w:val="nil"/>
              <w:bottom w:val="single" w:sz="4" w:space="0" w:color="auto"/>
              <w:right w:val="nil"/>
            </w:tcBorders>
            <w:noWrap/>
            <w:vAlign w:val="bottom"/>
          </w:tcPr>
          <w:p w:rsidR="000E0D95" w:rsidRDefault="000E0D95">
            <w:pPr>
              <w:overflowPunct/>
              <w:autoSpaceDE/>
              <w:adjustRightInd/>
              <w:jc w:val="right"/>
              <w:rPr>
                <w:b/>
                <w:bCs/>
                <w:lang w:val="it-IT"/>
              </w:rPr>
            </w:pPr>
          </w:p>
        </w:tc>
        <w:tc>
          <w:tcPr>
            <w:tcW w:w="354" w:type="dxa"/>
            <w:tcBorders>
              <w:top w:val="nil"/>
              <w:left w:val="nil"/>
              <w:bottom w:val="single" w:sz="4" w:space="0" w:color="auto"/>
              <w:right w:val="nil"/>
            </w:tcBorders>
            <w:noWrap/>
            <w:vAlign w:val="bottom"/>
            <w:hideMark/>
          </w:tcPr>
          <w:p w:rsidR="000E0D95" w:rsidRDefault="000E0D95">
            <w:pPr>
              <w:overflowPunct/>
              <w:autoSpaceDE/>
              <w:adjustRightInd/>
              <w:jc w:val="center"/>
              <w:rPr>
                <w:b/>
                <w:bCs/>
                <w:lang w:val="it-IT"/>
              </w:rPr>
            </w:pPr>
            <w:r>
              <w:rPr>
                <w:bCs/>
                <w:lang w:val="it-IT"/>
              </w:rPr>
              <w:t>p.</w:t>
            </w:r>
          </w:p>
        </w:tc>
        <w:tc>
          <w:tcPr>
            <w:tcW w:w="767" w:type="dxa"/>
            <w:tcBorders>
              <w:top w:val="nil"/>
              <w:left w:val="nil"/>
              <w:bottom w:val="single" w:sz="4" w:space="0" w:color="auto"/>
              <w:right w:val="nil"/>
            </w:tcBorders>
            <w:noWrap/>
            <w:vAlign w:val="bottom"/>
            <w:hideMark/>
          </w:tcPr>
          <w:p w:rsidR="000E0D95" w:rsidRPr="00150756" w:rsidRDefault="000E0D95" w:rsidP="00726756">
            <w:pPr>
              <w:tabs>
                <w:tab w:val="right" w:pos="261"/>
              </w:tabs>
              <w:overflowPunct/>
              <w:autoSpaceDE/>
              <w:adjustRightInd/>
              <w:rPr>
                <w:b/>
                <w:bCs/>
                <w:lang w:val="it-IT"/>
              </w:rPr>
            </w:pPr>
            <w:r w:rsidRPr="00150756">
              <w:rPr>
                <w:b/>
                <w:bCs/>
                <w:lang w:val="it-IT"/>
              </w:rPr>
              <w:tab/>
              <w:t>2</w:t>
            </w:r>
            <w:r w:rsidR="00726756" w:rsidRPr="00150756">
              <w:rPr>
                <w:b/>
                <w:bCs/>
                <w:lang w:val="it-IT"/>
              </w:rPr>
              <w:t>7</w:t>
            </w:r>
          </w:p>
        </w:tc>
      </w:tr>
      <w:tr w:rsidR="000E0D95" w:rsidTr="000E0D95">
        <w:trPr>
          <w:trHeight w:val="170"/>
        </w:trPr>
        <w:tc>
          <w:tcPr>
            <w:tcW w:w="8384" w:type="dxa"/>
            <w:tcBorders>
              <w:top w:val="nil"/>
              <w:left w:val="nil"/>
              <w:bottom w:val="single" w:sz="4" w:space="0" w:color="auto"/>
              <w:right w:val="nil"/>
            </w:tcBorders>
            <w:noWrap/>
            <w:hideMark/>
          </w:tcPr>
          <w:p w:rsidR="000E0D95" w:rsidRDefault="000E0D95">
            <w:r>
              <w:t>NOTA INTEGRATIVA</w:t>
            </w:r>
          </w:p>
        </w:tc>
        <w:tc>
          <w:tcPr>
            <w:tcW w:w="782" w:type="dxa"/>
            <w:tcBorders>
              <w:top w:val="nil"/>
              <w:left w:val="nil"/>
              <w:bottom w:val="single" w:sz="4" w:space="0" w:color="auto"/>
              <w:right w:val="nil"/>
            </w:tcBorders>
            <w:noWrap/>
            <w:vAlign w:val="bottom"/>
          </w:tcPr>
          <w:p w:rsidR="000E0D95" w:rsidRDefault="000E0D95">
            <w:pPr>
              <w:overflowPunct/>
              <w:autoSpaceDE/>
              <w:adjustRightInd/>
              <w:jc w:val="right"/>
              <w:rPr>
                <w:b/>
                <w:bCs/>
                <w:lang w:val="it-IT"/>
              </w:rPr>
            </w:pPr>
          </w:p>
        </w:tc>
        <w:tc>
          <w:tcPr>
            <w:tcW w:w="354" w:type="dxa"/>
            <w:tcBorders>
              <w:top w:val="nil"/>
              <w:left w:val="nil"/>
              <w:bottom w:val="single" w:sz="4" w:space="0" w:color="auto"/>
              <w:right w:val="nil"/>
            </w:tcBorders>
            <w:noWrap/>
            <w:vAlign w:val="bottom"/>
            <w:hideMark/>
          </w:tcPr>
          <w:p w:rsidR="000E0D95" w:rsidRDefault="000E0D95">
            <w:pPr>
              <w:overflowPunct/>
              <w:autoSpaceDE/>
              <w:adjustRightInd/>
              <w:jc w:val="center"/>
              <w:rPr>
                <w:b/>
                <w:bCs/>
                <w:lang w:val="it-IT"/>
              </w:rPr>
            </w:pPr>
            <w:r>
              <w:rPr>
                <w:bCs/>
                <w:lang w:val="it-IT"/>
              </w:rPr>
              <w:t>p.</w:t>
            </w:r>
          </w:p>
        </w:tc>
        <w:tc>
          <w:tcPr>
            <w:tcW w:w="767" w:type="dxa"/>
            <w:tcBorders>
              <w:top w:val="nil"/>
              <w:left w:val="nil"/>
              <w:bottom w:val="single" w:sz="4" w:space="0" w:color="auto"/>
              <w:right w:val="nil"/>
            </w:tcBorders>
            <w:noWrap/>
            <w:vAlign w:val="bottom"/>
            <w:hideMark/>
          </w:tcPr>
          <w:p w:rsidR="000E0D95" w:rsidRPr="00150756" w:rsidRDefault="000E0D95" w:rsidP="00726756">
            <w:pPr>
              <w:tabs>
                <w:tab w:val="right" w:pos="261"/>
              </w:tabs>
              <w:overflowPunct/>
              <w:autoSpaceDE/>
              <w:adjustRightInd/>
              <w:rPr>
                <w:b/>
                <w:bCs/>
                <w:lang w:val="it-IT"/>
              </w:rPr>
            </w:pPr>
            <w:r w:rsidRPr="00150756">
              <w:rPr>
                <w:b/>
                <w:bCs/>
                <w:lang w:val="it-IT"/>
              </w:rPr>
              <w:tab/>
            </w:r>
            <w:r w:rsidR="00726756" w:rsidRPr="00150756">
              <w:rPr>
                <w:b/>
                <w:bCs/>
                <w:lang w:val="it-IT"/>
              </w:rPr>
              <w:t>31</w:t>
            </w:r>
          </w:p>
        </w:tc>
      </w:tr>
      <w:tr w:rsidR="00080EE8" w:rsidRPr="009D5D23"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080EE8" w:rsidRPr="003D36FB" w:rsidRDefault="00080EE8" w:rsidP="000D7E0A">
            <w:pPr>
              <w:rPr>
                <w:lang w:val="it-IT"/>
              </w:rPr>
            </w:pPr>
            <w:r>
              <w:rPr>
                <w:lang w:val="it-IT"/>
              </w:rPr>
              <w:t>OPERAZIONI DI LOCAZIONE FINANZIARIA E COMPRAVENDITA CON RETROLOCAZIONE FINANZIARIA</w:t>
            </w:r>
          </w:p>
        </w:tc>
        <w:tc>
          <w:tcPr>
            <w:tcW w:w="782" w:type="dxa"/>
            <w:tcBorders>
              <w:top w:val="nil"/>
              <w:left w:val="nil"/>
              <w:bottom w:val="single" w:sz="4" w:space="0" w:color="auto"/>
              <w:right w:val="nil"/>
            </w:tcBorders>
            <w:shd w:val="clear" w:color="auto" w:fill="auto"/>
            <w:noWrap/>
            <w:vAlign w:val="bottom"/>
          </w:tcPr>
          <w:p w:rsidR="00080EE8" w:rsidRPr="003D36FB" w:rsidRDefault="00080EE8" w:rsidP="000D7E0A">
            <w:pPr>
              <w:overflowPunct/>
              <w:autoSpaceDE/>
              <w:autoSpaceDN/>
              <w:adjustRightInd/>
              <w:jc w:val="center"/>
              <w:textAlignment w:val="auto"/>
              <w:rPr>
                <w:b/>
                <w:bCs/>
                <w:lang w:val="it-IT"/>
              </w:rPr>
            </w:pPr>
          </w:p>
        </w:tc>
        <w:tc>
          <w:tcPr>
            <w:tcW w:w="354" w:type="dxa"/>
            <w:tcBorders>
              <w:top w:val="nil"/>
              <w:left w:val="nil"/>
              <w:bottom w:val="single" w:sz="4" w:space="0" w:color="auto"/>
              <w:right w:val="nil"/>
            </w:tcBorders>
            <w:shd w:val="clear" w:color="auto" w:fill="auto"/>
            <w:noWrap/>
            <w:vAlign w:val="bottom"/>
          </w:tcPr>
          <w:p w:rsidR="00080EE8" w:rsidRPr="003D36FB" w:rsidRDefault="003F41BA" w:rsidP="000D7E0A">
            <w:pPr>
              <w:overflowPunct/>
              <w:autoSpaceDE/>
              <w:autoSpaceDN/>
              <w:adjustRightInd/>
              <w:jc w:val="center"/>
              <w:textAlignment w:val="auto"/>
              <w:rPr>
                <w:b/>
                <w:bCs/>
                <w:lang w:val="it-IT"/>
              </w:rPr>
            </w:pPr>
            <w:r w:rsidRPr="00680974">
              <w:rPr>
                <w:bCs/>
                <w:lang w:val="it-IT"/>
              </w:rPr>
              <w:t>p.</w:t>
            </w:r>
          </w:p>
        </w:tc>
        <w:tc>
          <w:tcPr>
            <w:tcW w:w="767" w:type="dxa"/>
            <w:tcBorders>
              <w:top w:val="nil"/>
              <w:left w:val="nil"/>
              <w:bottom w:val="single" w:sz="4" w:space="0" w:color="auto"/>
              <w:right w:val="nil"/>
            </w:tcBorders>
            <w:shd w:val="clear" w:color="auto" w:fill="auto"/>
            <w:noWrap/>
            <w:vAlign w:val="bottom"/>
          </w:tcPr>
          <w:p w:rsidR="00080EE8" w:rsidRPr="00150756" w:rsidRDefault="003F41BA" w:rsidP="00726756">
            <w:pPr>
              <w:tabs>
                <w:tab w:val="right" w:pos="261"/>
              </w:tabs>
              <w:overflowPunct/>
              <w:autoSpaceDE/>
              <w:autoSpaceDN/>
              <w:adjustRightInd/>
              <w:textAlignment w:val="auto"/>
              <w:rPr>
                <w:b/>
                <w:bCs/>
                <w:lang w:val="it-IT"/>
              </w:rPr>
            </w:pPr>
            <w:r w:rsidRPr="00150756">
              <w:rPr>
                <w:b/>
                <w:bCs/>
                <w:lang w:val="it-IT"/>
              </w:rPr>
              <w:tab/>
            </w:r>
            <w:r w:rsidR="00726756" w:rsidRPr="00150756">
              <w:rPr>
                <w:b/>
                <w:bCs/>
                <w:lang w:val="it-IT"/>
              </w:rPr>
              <w:t>35</w:t>
            </w:r>
          </w:p>
        </w:tc>
      </w:tr>
      <w:tr w:rsidR="003F41BA" w:rsidRPr="00CF495E"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rPr>
                <w:lang w:val="it-IT"/>
              </w:rPr>
            </w:pPr>
            <w:r w:rsidRPr="00CF495E">
              <w:rPr>
                <w:lang w:val="it-IT"/>
              </w:rPr>
              <w:t>OPERAZIONI DI COMPRAVENDITA CON OBBLIGO DI RETROCESSIONE</w:t>
            </w:r>
          </w:p>
        </w:tc>
        <w:tc>
          <w:tcPr>
            <w:tcW w:w="782" w:type="dxa"/>
            <w:tcBorders>
              <w:top w:val="nil"/>
              <w:left w:val="nil"/>
              <w:bottom w:val="single" w:sz="4" w:space="0" w:color="auto"/>
              <w:right w:val="nil"/>
            </w:tcBorders>
            <w:shd w:val="clear" w:color="auto" w:fill="auto"/>
            <w:noWrap/>
            <w:vAlign w:val="bottom"/>
          </w:tcPr>
          <w:p w:rsidR="003F41BA" w:rsidRPr="00CF495E"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3F41BA" w:rsidP="00726756">
            <w:pPr>
              <w:tabs>
                <w:tab w:val="right" w:pos="261"/>
              </w:tabs>
              <w:overflowPunct/>
              <w:autoSpaceDE/>
              <w:autoSpaceDN/>
              <w:adjustRightInd/>
              <w:textAlignment w:val="auto"/>
              <w:rPr>
                <w:b/>
                <w:bCs/>
                <w:lang w:val="it-IT"/>
              </w:rPr>
            </w:pPr>
            <w:r w:rsidRPr="00150756">
              <w:rPr>
                <w:b/>
                <w:bCs/>
                <w:lang w:val="it-IT"/>
              </w:rPr>
              <w:tab/>
            </w:r>
            <w:r w:rsidR="00726756" w:rsidRPr="00150756">
              <w:rPr>
                <w:b/>
                <w:bCs/>
                <w:lang w:val="it-IT"/>
              </w:rPr>
              <w:t>35</w:t>
            </w:r>
          </w:p>
        </w:tc>
      </w:tr>
      <w:tr w:rsidR="003F41BA" w:rsidRPr="00CF495E"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CF495E" w:rsidRDefault="00EB0A6D" w:rsidP="000D7E0A">
            <w:pPr>
              <w:jc w:val="left"/>
              <w:rPr>
                <w:lang w:val="it-IT"/>
              </w:rPr>
            </w:pPr>
            <w:r w:rsidRPr="00EB0A6D">
              <w:rPr>
                <w:lang w:val="it-IT"/>
              </w:rPr>
              <w:t>CAMBIAMENTI DI PRINCIPI CONTABILI, CAMBIAMENTI DI STIME CONTABILI, CORREZIONE DI ERRORI, FATTI INTERVENUTI DOPO LA CHIUSURA DELL’ESERCIZIO</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pPr>
              <w:rPr>
                <w:bCs/>
                <w:lang w:val="it-IT"/>
              </w:rPr>
            </w:pPr>
          </w:p>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3F41BA" w:rsidP="00726756">
            <w:pPr>
              <w:tabs>
                <w:tab w:val="right" w:pos="261"/>
              </w:tabs>
              <w:overflowPunct/>
              <w:autoSpaceDE/>
              <w:autoSpaceDN/>
              <w:adjustRightInd/>
              <w:textAlignment w:val="auto"/>
              <w:rPr>
                <w:b/>
                <w:bCs/>
                <w:lang w:val="it-IT"/>
              </w:rPr>
            </w:pPr>
            <w:r w:rsidRPr="00150756">
              <w:rPr>
                <w:b/>
                <w:bCs/>
                <w:lang w:val="it-IT"/>
              </w:rPr>
              <w:tab/>
            </w:r>
            <w:r w:rsidR="00726756" w:rsidRPr="00150756">
              <w:rPr>
                <w:b/>
                <w:bCs/>
                <w:lang w:val="it-IT"/>
              </w:rPr>
              <w:t>37</w:t>
            </w:r>
          </w:p>
        </w:tc>
      </w:tr>
      <w:tr w:rsidR="003F41BA" w:rsidRPr="00CF495E"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jc w:val="left"/>
            </w:pPr>
            <w:r w:rsidRPr="00CF495E">
              <w:t>IMMOBILIZZAZIONI IMMATERIALI</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center"/>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150756" w:rsidP="00150756">
            <w:pPr>
              <w:tabs>
                <w:tab w:val="right" w:pos="261"/>
              </w:tabs>
              <w:overflowPunct/>
              <w:autoSpaceDE/>
              <w:autoSpaceDN/>
              <w:adjustRightInd/>
              <w:textAlignment w:val="auto"/>
              <w:rPr>
                <w:b/>
                <w:bCs/>
                <w:lang w:val="it-IT"/>
              </w:rPr>
            </w:pPr>
            <w:r w:rsidRPr="00150756">
              <w:rPr>
                <w:b/>
                <w:bCs/>
                <w:lang w:val="it-IT"/>
              </w:rPr>
              <w:tab/>
            </w:r>
            <w:r w:rsidR="00726756" w:rsidRPr="00150756">
              <w:rPr>
                <w:b/>
                <w:bCs/>
                <w:lang w:val="it-IT"/>
              </w:rPr>
              <w:t>41</w:t>
            </w:r>
          </w:p>
        </w:tc>
      </w:tr>
      <w:tr w:rsidR="003F41BA" w:rsidRPr="00CF495E"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jc w:val="left"/>
            </w:pPr>
            <w:r w:rsidRPr="00CF495E">
              <w:t>IMMOBILIZZAZIONI MATERIALI</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3F41BA" w:rsidP="00726756">
            <w:pPr>
              <w:tabs>
                <w:tab w:val="right" w:pos="261"/>
              </w:tabs>
              <w:overflowPunct/>
              <w:autoSpaceDE/>
              <w:autoSpaceDN/>
              <w:adjustRightInd/>
              <w:textAlignment w:val="auto"/>
              <w:rPr>
                <w:b/>
                <w:bCs/>
                <w:lang w:val="it-IT"/>
              </w:rPr>
            </w:pPr>
            <w:r w:rsidRPr="00150756">
              <w:rPr>
                <w:b/>
                <w:bCs/>
                <w:lang w:val="it-IT"/>
              </w:rPr>
              <w:tab/>
            </w:r>
            <w:r w:rsidR="00726756" w:rsidRPr="00150756">
              <w:rPr>
                <w:b/>
                <w:bCs/>
                <w:lang w:val="it-IT"/>
              </w:rPr>
              <w:t>51</w:t>
            </w:r>
          </w:p>
        </w:tc>
      </w:tr>
      <w:tr w:rsidR="003F41BA" w:rsidRPr="00CF495E"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rPr>
                <w:lang w:val="it-IT"/>
              </w:rPr>
            </w:pPr>
            <w:r w:rsidRPr="00CF495E">
              <w:rPr>
                <w:lang w:val="it-IT"/>
              </w:rPr>
              <w:t>SVALUTAZIONI PER PERDITE DUREVOLI DI VALORE DELLE IMMOBILIZZAZIONI MATERIALI E IMMATERIALI</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pPr>
              <w:rPr>
                <w:bCs/>
                <w:lang w:val="it-IT"/>
              </w:rPr>
            </w:pPr>
          </w:p>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3F41BA" w:rsidP="00726756">
            <w:pPr>
              <w:tabs>
                <w:tab w:val="right" w:pos="261"/>
              </w:tabs>
              <w:overflowPunct/>
              <w:autoSpaceDE/>
              <w:autoSpaceDN/>
              <w:adjustRightInd/>
              <w:textAlignment w:val="auto"/>
              <w:rPr>
                <w:b/>
                <w:bCs/>
                <w:lang w:val="it-IT"/>
              </w:rPr>
            </w:pPr>
            <w:r w:rsidRPr="00150756">
              <w:rPr>
                <w:b/>
                <w:bCs/>
                <w:lang w:val="it-IT"/>
              </w:rPr>
              <w:tab/>
            </w:r>
            <w:r w:rsidR="00726756" w:rsidRPr="00150756">
              <w:rPr>
                <w:b/>
                <w:bCs/>
                <w:lang w:val="it-IT"/>
              </w:rPr>
              <w:t>62</w:t>
            </w:r>
          </w:p>
        </w:tc>
      </w:tr>
      <w:tr w:rsidR="003F41BA" w:rsidRPr="00CF495E"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r w:rsidRPr="00CF495E">
              <w:t>TITOLI DI DEBITO</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3F41BA" w:rsidP="00726756">
            <w:pPr>
              <w:tabs>
                <w:tab w:val="right" w:pos="261"/>
              </w:tabs>
              <w:overflowPunct/>
              <w:autoSpaceDE/>
              <w:autoSpaceDN/>
              <w:adjustRightInd/>
              <w:textAlignment w:val="auto"/>
              <w:rPr>
                <w:b/>
                <w:bCs/>
                <w:lang w:val="it-IT"/>
              </w:rPr>
            </w:pPr>
            <w:r w:rsidRPr="00150756">
              <w:rPr>
                <w:b/>
                <w:bCs/>
                <w:lang w:val="it-IT"/>
              </w:rPr>
              <w:tab/>
            </w:r>
            <w:r w:rsidR="00726756" w:rsidRPr="00150756">
              <w:rPr>
                <w:b/>
                <w:bCs/>
                <w:lang w:val="it-IT"/>
              </w:rPr>
              <w:t>67</w:t>
            </w:r>
          </w:p>
        </w:tc>
      </w:tr>
      <w:tr w:rsidR="003F41BA" w:rsidRPr="00CF495E"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tabs>
                <w:tab w:val="right" w:pos="10206"/>
              </w:tabs>
            </w:pPr>
            <w:r w:rsidRPr="00CF495E">
              <w:t xml:space="preserve">PARTECIPAZIONI </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3F41BA" w:rsidP="00726756">
            <w:pPr>
              <w:tabs>
                <w:tab w:val="right" w:pos="261"/>
              </w:tabs>
              <w:overflowPunct/>
              <w:autoSpaceDE/>
              <w:autoSpaceDN/>
              <w:adjustRightInd/>
              <w:textAlignment w:val="auto"/>
              <w:rPr>
                <w:b/>
                <w:bCs/>
                <w:lang w:val="it-IT"/>
              </w:rPr>
            </w:pPr>
            <w:r w:rsidRPr="00150756">
              <w:rPr>
                <w:b/>
                <w:bCs/>
                <w:lang w:val="it-IT"/>
              </w:rPr>
              <w:tab/>
            </w:r>
            <w:r w:rsidR="00726756" w:rsidRPr="00150756">
              <w:rPr>
                <w:b/>
                <w:bCs/>
                <w:lang w:val="it-IT"/>
              </w:rPr>
              <w:t>77</w:t>
            </w:r>
          </w:p>
        </w:tc>
      </w:tr>
      <w:tr w:rsidR="003F41BA" w:rsidRPr="00CF495E"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tabs>
                <w:tab w:val="right" w:pos="10206"/>
              </w:tabs>
              <w:rPr>
                <w:lang w:val="it-IT"/>
              </w:rPr>
            </w:pPr>
            <w:r w:rsidRPr="00CF495E">
              <w:rPr>
                <w:lang w:val="it-IT"/>
              </w:rPr>
              <w:t xml:space="preserve">PARTECIPAZIONI – </w:t>
            </w:r>
            <w:r>
              <w:rPr>
                <w:lang w:val="it-IT"/>
              </w:rPr>
              <w:t>SEZIONE DE</w:t>
            </w:r>
            <w:r w:rsidRPr="00CF495E">
              <w:rPr>
                <w:lang w:val="it-IT"/>
              </w:rPr>
              <w:t>L METODO DEL PATRIMONIO NETTO</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3F41BA" w:rsidP="00726756">
            <w:pPr>
              <w:tabs>
                <w:tab w:val="right" w:pos="261"/>
              </w:tabs>
              <w:overflowPunct/>
              <w:autoSpaceDE/>
              <w:autoSpaceDN/>
              <w:adjustRightInd/>
              <w:textAlignment w:val="auto"/>
              <w:rPr>
                <w:b/>
                <w:bCs/>
                <w:lang w:val="it-IT"/>
              </w:rPr>
            </w:pPr>
            <w:r w:rsidRPr="00150756">
              <w:rPr>
                <w:b/>
                <w:bCs/>
                <w:lang w:val="it-IT"/>
              </w:rPr>
              <w:tab/>
            </w:r>
            <w:r w:rsidR="00726756" w:rsidRPr="00150756">
              <w:rPr>
                <w:b/>
                <w:bCs/>
                <w:lang w:val="it-IT"/>
              </w:rPr>
              <w:t>84</w:t>
            </w:r>
          </w:p>
        </w:tc>
      </w:tr>
      <w:tr w:rsidR="003F41BA" w:rsidRPr="00CF495E"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r w:rsidRPr="00CF495E">
              <w:t>RIMANENZE</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3F41BA" w:rsidP="00726756">
            <w:pPr>
              <w:tabs>
                <w:tab w:val="right" w:pos="261"/>
              </w:tabs>
              <w:overflowPunct/>
              <w:autoSpaceDE/>
              <w:autoSpaceDN/>
              <w:adjustRightInd/>
              <w:textAlignment w:val="auto"/>
              <w:rPr>
                <w:b/>
                <w:bCs/>
                <w:lang w:val="it-IT"/>
              </w:rPr>
            </w:pPr>
            <w:r w:rsidRPr="00150756">
              <w:rPr>
                <w:b/>
                <w:bCs/>
                <w:lang w:val="it-IT"/>
              </w:rPr>
              <w:tab/>
            </w:r>
            <w:r w:rsidR="00726756" w:rsidRPr="00150756">
              <w:rPr>
                <w:b/>
                <w:bCs/>
                <w:lang w:val="it-IT"/>
              </w:rPr>
              <w:t>88</w:t>
            </w:r>
          </w:p>
        </w:tc>
      </w:tr>
      <w:tr w:rsidR="003F41BA" w:rsidRPr="00CF495E"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rPr>
                <w:lang w:val="it-IT"/>
              </w:rPr>
            </w:pPr>
            <w:r w:rsidRPr="00CF495E">
              <w:rPr>
                <w:lang w:val="it-IT"/>
              </w:rPr>
              <w:t>LAVORI IN CORSO SU ORDINAZIONE</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3F41BA" w:rsidP="000D3C28">
            <w:pPr>
              <w:tabs>
                <w:tab w:val="right" w:pos="261"/>
              </w:tabs>
              <w:overflowPunct/>
              <w:autoSpaceDE/>
              <w:autoSpaceDN/>
              <w:adjustRightInd/>
              <w:textAlignment w:val="auto"/>
              <w:rPr>
                <w:b/>
                <w:bCs/>
                <w:lang w:val="it-IT"/>
              </w:rPr>
            </w:pPr>
            <w:r w:rsidRPr="00150756">
              <w:rPr>
                <w:b/>
                <w:bCs/>
                <w:lang w:val="it-IT"/>
              </w:rPr>
              <w:tab/>
            </w:r>
            <w:r w:rsidR="000D3C28" w:rsidRPr="00150756">
              <w:rPr>
                <w:b/>
                <w:bCs/>
                <w:lang w:val="it-IT"/>
              </w:rPr>
              <w:t>93</w:t>
            </w:r>
          </w:p>
        </w:tc>
      </w:tr>
      <w:tr w:rsidR="003F41BA" w:rsidRPr="00CF495E"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r w:rsidRPr="00CF495E">
              <w:t>CREDITI</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3F41BA" w:rsidP="000D3C28">
            <w:pPr>
              <w:tabs>
                <w:tab w:val="right" w:pos="261"/>
              </w:tabs>
              <w:overflowPunct/>
              <w:autoSpaceDE/>
              <w:autoSpaceDN/>
              <w:adjustRightInd/>
              <w:textAlignment w:val="auto"/>
              <w:rPr>
                <w:b/>
                <w:bCs/>
                <w:lang w:val="it-IT"/>
              </w:rPr>
            </w:pPr>
            <w:r w:rsidRPr="00150756">
              <w:rPr>
                <w:b/>
                <w:bCs/>
                <w:lang w:val="it-IT"/>
              </w:rPr>
              <w:tab/>
            </w:r>
            <w:r w:rsidR="000D3C28" w:rsidRPr="00150756">
              <w:rPr>
                <w:b/>
                <w:bCs/>
                <w:lang w:val="it-IT"/>
              </w:rPr>
              <w:t>101</w:t>
            </w:r>
          </w:p>
        </w:tc>
      </w:tr>
      <w:tr w:rsidR="003F41BA" w:rsidRPr="00CF495E"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r w:rsidRPr="00CF495E">
              <w:t>RATEI E RISCONTI</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3F41BA" w:rsidP="000D3C28">
            <w:pPr>
              <w:tabs>
                <w:tab w:val="right" w:pos="261"/>
              </w:tabs>
              <w:overflowPunct/>
              <w:autoSpaceDE/>
              <w:autoSpaceDN/>
              <w:adjustRightInd/>
              <w:textAlignment w:val="auto"/>
              <w:rPr>
                <w:b/>
                <w:bCs/>
                <w:lang w:val="it-IT"/>
              </w:rPr>
            </w:pPr>
            <w:r w:rsidRPr="00150756">
              <w:rPr>
                <w:b/>
                <w:bCs/>
                <w:lang w:val="it-IT"/>
              </w:rPr>
              <w:tab/>
            </w:r>
            <w:r w:rsidR="000D3C28" w:rsidRPr="00150756">
              <w:rPr>
                <w:b/>
                <w:bCs/>
                <w:lang w:val="it-IT"/>
              </w:rPr>
              <w:t>111</w:t>
            </w:r>
          </w:p>
        </w:tc>
      </w:tr>
      <w:tr w:rsidR="003F41BA" w:rsidRPr="00CF495E"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3C28">
            <w:r w:rsidRPr="00CF495E">
              <w:t>DISPONIBILIT</w:t>
            </w:r>
            <w:r w:rsidR="000D3C28">
              <w:t>À</w:t>
            </w:r>
            <w:r w:rsidR="000D3C28" w:rsidRPr="00CF495E">
              <w:t xml:space="preserve"> </w:t>
            </w:r>
            <w:r w:rsidRPr="00CF495E">
              <w:t>LIQUIDE</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3F41BA" w:rsidP="000D3C28">
            <w:pPr>
              <w:tabs>
                <w:tab w:val="right" w:pos="261"/>
              </w:tabs>
              <w:overflowPunct/>
              <w:autoSpaceDE/>
              <w:autoSpaceDN/>
              <w:adjustRightInd/>
              <w:textAlignment w:val="auto"/>
              <w:rPr>
                <w:b/>
                <w:bCs/>
                <w:lang w:val="it-IT"/>
              </w:rPr>
            </w:pPr>
            <w:r w:rsidRPr="00150756">
              <w:rPr>
                <w:b/>
                <w:bCs/>
                <w:lang w:val="it-IT"/>
              </w:rPr>
              <w:t>1</w:t>
            </w:r>
            <w:r w:rsidR="000D3C28" w:rsidRPr="00150756">
              <w:rPr>
                <w:b/>
                <w:bCs/>
                <w:lang w:val="it-IT"/>
              </w:rPr>
              <w:t>13</w:t>
            </w:r>
          </w:p>
        </w:tc>
      </w:tr>
      <w:tr w:rsidR="003F41BA" w:rsidRPr="00CF495E"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r w:rsidRPr="00CF495E">
              <w:t>PATRIMONIO NETTO</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3F41BA" w:rsidP="000D3C28">
            <w:pPr>
              <w:tabs>
                <w:tab w:val="right" w:pos="261"/>
              </w:tabs>
              <w:overflowPunct/>
              <w:autoSpaceDE/>
              <w:autoSpaceDN/>
              <w:adjustRightInd/>
              <w:textAlignment w:val="auto"/>
              <w:rPr>
                <w:b/>
                <w:bCs/>
                <w:lang w:val="it-IT"/>
              </w:rPr>
            </w:pPr>
            <w:r w:rsidRPr="00150756">
              <w:rPr>
                <w:b/>
                <w:bCs/>
                <w:lang w:val="it-IT"/>
              </w:rPr>
              <w:t>1</w:t>
            </w:r>
            <w:r w:rsidR="000D3C28" w:rsidRPr="00150756">
              <w:rPr>
                <w:b/>
                <w:bCs/>
                <w:lang w:val="it-IT"/>
              </w:rPr>
              <w:t>16</w:t>
            </w:r>
          </w:p>
        </w:tc>
      </w:tr>
      <w:tr w:rsidR="003F41BA" w:rsidRPr="00CF495E"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8A0BCD" w:rsidRDefault="003F41BA" w:rsidP="000D7E0A">
            <w:pPr>
              <w:rPr>
                <w:lang w:val="it-IT"/>
              </w:rPr>
            </w:pPr>
            <w:r w:rsidRPr="00CF495E">
              <w:rPr>
                <w:lang w:val="it-IT"/>
              </w:rPr>
              <w:t xml:space="preserve">FONDI PER RISCHI E ONERI </w:t>
            </w:r>
            <w:r w:rsidRPr="005718D1">
              <w:rPr>
                <w:lang w:val="it-IT"/>
              </w:rPr>
              <w:t>E TRATTAMENTO DI FINE RAPPORTO</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3F41BA" w:rsidP="000D3C28">
            <w:pPr>
              <w:tabs>
                <w:tab w:val="right" w:pos="261"/>
              </w:tabs>
              <w:overflowPunct/>
              <w:autoSpaceDE/>
              <w:autoSpaceDN/>
              <w:adjustRightInd/>
              <w:textAlignment w:val="auto"/>
              <w:rPr>
                <w:b/>
                <w:bCs/>
                <w:lang w:val="it-IT"/>
              </w:rPr>
            </w:pPr>
            <w:r w:rsidRPr="00150756">
              <w:rPr>
                <w:b/>
                <w:bCs/>
                <w:lang w:val="it-IT"/>
              </w:rPr>
              <w:t>1</w:t>
            </w:r>
            <w:r w:rsidR="000D3C28" w:rsidRPr="00150756">
              <w:rPr>
                <w:b/>
                <w:bCs/>
                <w:lang w:val="it-IT"/>
              </w:rPr>
              <w:t>22</w:t>
            </w:r>
          </w:p>
        </w:tc>
      </w:tr>
      <w:tr w:rsidR="003F41BA" w:rsidRPr="00CF495E"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tabs>
                <w:tab w:val="right" w:pos="10206"/>
              </w:tabs>
              <w:rPr>
                <w:i/>
              </w:rPr>
            </w:pPr>
            <w:r w:rsidRPr="00CF495E">
              <w:t>DEBITI</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center"/>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3F41BA" w:rsidP="000D3C28">
            <w:pPr>
              <w:tabs>
                <w:tab w:val="right" w:pos="261"/>
              </w:tabs>
              <w:overflowPunct/>
              <w:autoSpaceDE/>
              <w:autoSpaceDN/>
              <w:adjustRightInd/>
              <w:textAlignment w:val="auto"/>
              <w:rPr>
                <w:b/>
                <w:bCs/>
                <w:lang w:val="it-IT"/>
              </w:rPr>
            </w:pPr>
            <w:r w:rsidRPr="00150756">
              <w:rPr>
                <w:b/>
                <w:bCs/>
                <w:lang w:val="it-IT"/>
              </w:rPr>
              <w:t>1</w:t>
            </w:r>
            <w:r w:rsidR="000D3C28" w:rsidRPr="00150756">
              <w:rPr>
                <w:b/>
                <w:bCs/>
                <w:lang w:val="it-IT"/>
              </w:rPr>
              <w:t>28</w:t>
            </w:r>
          </w:p>
        </w:tc>
      </w:tr>
      <w:tr w:rsidR="003F41BA" w:rsidRPr="00CF495E"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tabs>
                <w:tab w:val="right" w:pos="10206"/>
              </w:tabs>
            </w:pPr>
            <w:r w:rsidRPr="00762C8D">
              <w:t>STRUMENTI FINANZIARI DERIVATI</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0D3C28" w:rsidP="003F41BA">
            <w:pPr>
              <w:tabs>
                <w:tab w:val="right" w:pos="261"/>
              </w:tabs>
              <w:overflowPunct/>
              <w:autoSpaceDE/>
              <w:autoSpaceDN/>
              <w:adjustRightInd/>
              <w:textAlignment w:val="auto"/>
              <w:rPr>
                <w:b/>
                <w:bCs/>
                <w:lang w:val="it-IT"/>
              </w:rPr>
            </w:pPr>
            <w:r w:rsidRPr="00150756">
              <w:rPr>
                <w:b/>
                <w:bCs/>
                <w:lang w:val="it-IT"/>
              </w:rPr>
              <w:t>139</w:t>
            </w:r>
          </w:p>
        </w:tc>
      </w:tr>
      <w:tr w:rsidR="003F41BA" w:rsidRPr="00CF495E"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102A62">
            <w:pPr>
              <w:tabs>
                <w:tab w:val="right" w:pos="10206"/>
              </w:tabs>
              <w:rPr>
                <w:lang w:val="it-IT"/>
              </w:rPr>
            </w:pPr>
            <w:r w:rsidRPr="00CF495E">
              <w:rPr>
                <w:lang w:val="it-IT"/>
              </w:rPr>
              <w:t>OPERAZIONI, ATTIVIT</w:t>
            </w:r>
            <w:r w:rsidR="00102A62">
              <w:rPr>
                <w:lang w:val="it-IT"/>
              </w:rPr>
              <w:t>À</w:t>
            </w:r>
            <w:r w:rsidR="00102A62" w:rsidRPr="00CF495E">
              <w:rPr>
                <w:lang w:val="it-IT"/>
              </w:rPr>
              <w:t xml:space="preserve"> </w:t>
            </w:r>
            <w:r w:rsidRPr="00CF495E">
              <w:rPr>
                <w:lang w:val="it-IT"/>
              </w:rPr>
              <w:t>E PASSIVIT</w:t>
            </w:r>
            <w:r w:rsidR="00102A62">
              <w:rPr>
                <w:lang w:val="it-IT"/>
              </w:rPr>
              <w:t>À</w:t>
            </w:r>
            <w:r w:rsidRPr="00CF495E">
              <w:rPr>
                <w:lang w:val="it-IT"/>
              </w:rPr>
              <w:t xml:space="preserve"> IN VALUTA ESTERA</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0D3C28" w:rsidP="003F41BA">
            <w:pPr>
              <w:tabs>
                <w:tab w:val="right" w:pos="261"/>
              </w:tabs>
              <w:overflowPunct/>
              <w:autoSpaceDE/>
              <w:autoSpaceDN/>
              <w:adjustRightInd/>
              <w:textAlignment w:val="auto"/>
              <w:rPr>
                <w:b/>
                <w:bCs/>
                <w:lang w:val="it-IT"/>
              </w:rPr>
            </w:pPr>
            <w:r w:rsidRPr="00150756">
              <w:rPr>
                <w:b/>
                <w:bCs/>
                <w:lang w:val="it-IT"/>
              </w:rPr>
              <w:t>153</w:t>
            </w:r>
          </w:p>
        </w:tc>
      </w:tr>
      <w:tr w:rsidR="003F41BA" w:rsidRPr="00CF495E"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tabs>
                <w:tab w:val="right" w:pos="10206"/>
              </w:tabs>
              <w:rPr>
                <w:i/>
              </w:rPr>
            </w:pPr>
            <w:r w:rsidRPr="00CF495E">
              <w:t>IMPOSTE SUL REDDITO</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0D3C28" w:rsidP="003F41BA">
            <w:pPr>
              <w:tabs>
                <w:tab w:val="right" w:pos="261"/>
              </w:tabs>
              <w:overflowPunct/>
              <w:autoSpaceDE/>
              <w:autoSpaceDN/>
              <w:adjustRightInd/>
              <w:textAlignment w:val="auto"/>
              <w:rPr>
                <w:b/>
                <w:bCs/>
                <w:lang w:val="it-IT"/>
              </w:rPr>
            </w:pPr>
            <w:r w:rsidRPr="00150756">
              <w:rPr>
                <w:b/>
                <w:bCs/>
                <w:lang w:val="it-IT"/>
              </w:rPr>
              <w:t>157</w:t>
            </w:r>
          </w:p>
        </w:tc>
      </w:tr>
      <w:tr w:rsidR="003F41BA" w:rsidRPr="00CF495E"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rPr>
                <w:lang w:val="it-IT"/>
              </w:rPr>
            </w:pPr>
            <w:r w:rsidRPr="00CF495E">
              <w:rPr>
                <w:lang w:val="it-IT"/>
              </w:rPr>
              <w:t>PATRIMONI DESTINATI AD UNO SPECIFICO AFFARE</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center"/>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150756" w:rsidP="003F41BA">
            <w:pPr>
              <w:tabs>
                <w:tab w:val="right" w:pos="261"/>
              </w:tabs>
              <w:overflowPunct/>
              <w:autoSpaceDE/>
              <w:autoSpaceDN/>
              <w:adjustRightInd/>
              <w:textAlignment w:val="auto"/>
              <w:rPr>
                <w:b/>
                <w:bCs/>
                <w:lang w:val="it-IT"/>
              </w:rPr>
            </w:pPr>
            <w:r w:rsidRPr="00150756">
              <w:rPr>
                <w:b/>
                <w:bCs/>
                <w:lang w:val="it-IT"/>
              </w:rPr>
              <w:t>166</w:t>
            </w:r>
          </w:p>
        </w:tc>
      </w:tr>
      <w:tr w:rsidR="003F41BA" w:rsidRPr="00CF495E"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r w:rsidRPr="00CF495E">
              <w:t>FUSIONE E SCISSIONE</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3F41BA" w:rsidP="00150756">
            <w:pPr>
              <w:tabs>
                <w:tab w:val="right" w:pos="261"/>
              </w:tabs>
              <w:overflowPunct/>
              <w:autoSpaceDE/>
              <w:autoSpaceDN/>
              <w:adjustRightInd/>
              <w:textAlignment w:val="auto"/>
              <w:rPr>
                <w:b/>
                <w:bCs/>
                <w:lang w:val="it-IT"/>
              </w:rPr>
            </w:pPr>
            <w:r w:rsidRPr="00150756">
              <w:rPr>
                <w:b/>
                <w:bCs/>
                <w:lang w:val="it-IT"/>
              </w:rPr>
              <w:t>1</w:t>
            </w:r>
            <w:r w:rsidR="00150756" w:rsidRPr="00150756">
              <w:rPr>
                <w:b/>
                <w:bCs/>
                <w:lang w:val="it-IT"/>
              </w:rPr>
              <w:t>67</w:t>
            </w:r>
          </w:p>
        </w:tc>
      </w:tr>
      <w:tr w:rsidR="003F41BA" w:rsidRPr="00CF495E"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tabs>
                <w:tab w:val="right" w:pos="10206"/>
              </w:tabs>
            </w:pPr>
            <w:r w:rsidRPr="00CF495E">
              <w:t>CERTIFICATI VERDI</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F90377" w:rsidP="00150756">
            <w:pPr>
              <w:tabs>
                <w:tab w:val="right" w:pos="261"/>
              </w:tabs>
              <w:overflowPunct/>
              <w:autoSpaceDE/>
              <w:autoSpaceDN/>
              <w:adjustRightInd/>
              <w:textAlignment w:val="auto"/>
              <w:rPr>
                <w:b/>
                <w:bCs/>
                <w:lang w:val="it-IT"/>
              </w:rPr>
            </w:pPr>
            <w:r w:rsidRPr="00150756">
              <w:rPr>
                <w:b/>
                <w:bCs/>
                <w:lang w:val="it-IT"/>
              </w:rPr>
              <w:t>1</w:t>
            </w:r>
            <w:r w:rsidR="00150756" w:rsidRPr="00150756">
              <w:rPr>
                <w:b/>
                <w:bCs/>
                <w:lang w:val="it-IT"/>
              </w:rPr>
              <w:t>68</w:t>
            </w:r>
          </w:p>
        </w:tc>
      </w:tr>
      <w:tr w:rsidR="003F41BA" w:rsidRPr="00DC5A4D" w:rsidTr="003F41BA">
        <w:tblPrEx>
          <w:tblLook w:val="0000" w:firstRow="0" w:lastRow="0" w:firstColumn="0" w:lastColumn="0" w:noHBand="0" w:noVBand="0"/>
        </w:tblPrEx>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tabs>
                <w:tab w:val="right" w:pos="10206"/>
              </w:tabs>
              <w:rPr>
                <w:lang w:val="it-IT"/>
              </w:rPr>
            </w:pPr>
            <w:r w:rsidRPr="00CF495E">
              <w:rPr>
                <w:lang w:val="it-IT"/>
              </w:rPr>
              <w:t>QUOTE DI EMISSIONE DI GAS AD EFFETTO SERRA</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150756" w:rsidRDefault="00F90377" w:rsidP="00150756">
            <w:pPr>
              <w:tabs>
                <w:tab w:val="right" w:pos="261"/>
              </w:tabs>
              <w:overflowPunct/>
              <w:autoSpaceDE/>
              <w:autoSpaceDN/>
              <w:adjustRightInd/>
              <w:textAlignment w:val="auto"/>
              <w:rPr>
                <w:b/>
                <w:bCs/>
                <w:lang w:val="it-IT"/>
              </w:rPr>
            </w:pPr>
            <w:r w:rsidRPr="00150756">
              <w:rPr>
                <w:b/>
                <w:bCs/>
                <w:lang w:val="it-IT"/>
              </w:rPr>
              <w:t>1</w:t>
            </w:r>
            <w:r w:rsidR="00150756" w:rsidRPr="00150756">
              <w:rPr>
                <w:b/>
                <w:bCs/>
                <w:lang w:val="it-IT"/>
              </w:rPr>
              <w:t>71</w:t>
            </w:r>
          </w:p>
        </w:tc>
      </w:tr>
    </w:tbl>
    <w:p w:rsidR="00965663" w:rsidRDefault="00965663">
      <w:pPr>
        <w:overflowPunct/>
        <w:autoSpaceDE/>
        <w:autoSpaceDN/>
        <w:adjustRightInd/>
        <w:spacing w:before="0" w:after="0" w:line="240" w:lineRule="auto"/>
        <w:jc w:val="left"/>
        <w:textAlignment w:val="auto"/>
        <w:rPr>
          <w:rStyle w:val="Enfasigrassetto"/>
          <w:lang w:val="it-IT"/>
        </w:rPr>
      </w:pPr>
    </w:p>
    <w:p w:rsidR="00655A70" w:rsidRDefault="00655A70">
      <w:pPr>
        <w:overflowPunct/>
        <w:autoSpaceDE/>
        <w:autoSpaceDN/>
        <w:adjustRightInd/>
        <w:spacing w:before="0" w:after="0" w:line="240" w:lineRule="auto"/>
        <w:jc w:val="left"/>
        <w:textAlignment w:val="auto"/>
        <w:rPr>
          <w:rStyle w:val="Enfasigrassetto"/>
          <w:lang w:val="it-IT"/>
        </w:rPr>
      </w:pPr>
    </w:p>
    <w:p w:rsidR="00655A70" w:rsidRDefault="00655A70">
      <w:pPr>
        <w:overflowPunct/>
        <w:autoSpaceDE/>
        <w:autoSpaceDN/>
        <w:adjustRightInd/>
        <w:spacing w:before="0" w:after="0" w:line="240" w:lineRule="auto"/>
        <w:jc w:val="left"/>
        <w:textAlignment w:val="auto"/>
        <w:rPr>
          <w:rStyle w:val="Enfasigrassetto"/>
          <w:lang w:val="it-IT"/>
        </w:rPr>
      </w:pPr>
    </w:p>
    <w:p w:rsidR="00655A70" w:rsidRDefault="00655A70">
      <w:pPr>
        <w:overflowPunct/>
        <w:autoSpaceDE/>
        <w:autoSpaceDN/>
        <w:adjustRightInd/>
        <w:spacing w:before="0" w:after="0" w:line="240" w:lineRule="auto"/>
        <w:jc w:val="left"/>
        <w:textAlignment w:val="auto"/>
        <w:rPr>
          <w:rStyle w:val="Enfasigrassetto"/>
          <w:lang w:val="it-IT"/>
        </w:rPr>
      </w:pPr>
    </w:p>
    <w:p w:rsidR="00655A70" w:rsidRDefault="00655A70">
      <w:pPr>
        <w:overflowPunct/>
        <w:autoSpaceDE/>
        <w:autoSpaceDN/>
        <w:adjustRightInd/>
        <w:spacing w:before="0" w:after="0" w:line="240" w:lineRule="auto"/>
        <w:jc w:val="left"/>
        <w:textAlignment w:val="auto"/>
        <w:rPr>
          <w:rStyle w:val="Enfasigrassetto"/>
          <w:lang w:val="it-IT"/>
        </w:rPr>
      </w:pPr>
    </w:p>
    <w:p w:rsidR="00655A70" w:rsidRDefault="00655A70">
      <w:pPr>
        <w:overflowPunct/>
        <w:autoSpaceDE/>
        <w:autoSpaceDN/>
        <w:adjustRightInd/>
        <w:spacing w:before="0" w:after="0" w:line="240" w:lineRule="auto"/>
        <w:jc w:val="left"/>
        <w:textAlignment w:val="auto"/>
        <w:rPr>
          <w:rStyle w:val="Enfasigrassetto"/>
          <w:lang w:val="it-IT"/>
        </w:rPr>
      </w:pPr>
    </w:p>
    <w:p w:rsidR="00655A70" w:rsidRDefault="00655A70">
      <w:pPr>
        <w:overflowPunct/>
        <w:autoSpaceDE/>
        <w:autoSpaceDN/>
        <w:adjustRightInd/>
        <w:spacing w:before="0" w:after="0" w:line="240" w:lineRule="auto"/>
        <w:jc w:val="left"/>
        <w:textAlignment w:val="auto"/>
        <w:rPr>
          <w:rStyle w:val="Enfasigrassetto"/>
          <w:lang w:val="it-IT"/>
        </w:rPr>
        <w:sectPr w:rsidR="00655A70" w:rsidSect="008E5F3E">
          <w:pgSz w:w="11906" w:h="16838" w:code="9"/>
          <w:pgMar w:top="1134" w:right="851" w:bottom="851" w:left="851" w:header="709" w:footer="567" w:gutter="0"/>
          <w:cols w:space="708"/>
          <w:docGrid w:linePitch="360"/>
        </w:sectPr>
      </w:pPr>
    </w:p>
    <w:bookmarkEnd w:id="0"/>
    <w:p w:rsidR="0017721C" w:rsidRPr="0017721C" w:rsidRDefault="0017721C" w:rsidP="0017721C">
      <w:pPr>
        <w:spacing w:line="260" w:lineRule="exact"/>
        <w:ind w:left="990" w:hanging="990"/>
        <w:jc w:val="left"/>
      </w:pPr>
    </w:p>
    <w:p w:rsidR="0017721C" w:rsidRPr="0017721C" w:rsidRDefault="0017721C" w:rsidP="0017721C">
      <w:pPr>
        <w:spacing w:line="260" w:lineRule="exact"/>
        <w:ind w:left="990" w:hanging="990"/>
        <w:jc w:val="left"/>
        <w:rPr>
          <w:b/>
          <w:color w:val="0070C0"/>
          <w:sz w:val="28"/>
        </w:rPr>
      </w:pPr>
      <w:r w:rsidRPr="0017721C">
        <w:rPr>
          <w:b/>
          <w:color w:val="0070C0"/>
          <w:sz w:val="28"/>
        </w:rPr>
        <w:t>Sezione del bilancio consolidato</w:t>
      </w:r>
    </w:p>
    <w:p w:rsidR="0017721C" w:rsidRPr="0017721C" w:rsidRDefault="0017721C" w:rsidP="0017721C"/>
    <w:p w:rsidR="0017721C" w:rsidRPr="0017721C" w:rsidRDefault="0017721C" w:rsidP="0017721C"/>
    <w:tbl>
      <w:tblPr>
        <w:tblW w:w="10157" w:type="dxa"/>
        <w:tblInd w:w="13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726"/>
        <w:gridCol w:w="836"/>
        <w:gridCol w:w="6912"/>
        <w:gridCol w:w="554"/>
        <w:gridCol w:w="565"/>
        <w:gridCol w:w="564"/>
      </w:tblGrid>
      <w:tr w:rsidR="0017721C" w:rsidRPr="0017721C" w:rsidTr="003464AE">
        <w:trPr>
          <w:trHeight w:val="20"/>
          <w:tblHeader/>
        </w:trPr>
        <w:tc>
          <w:tcPr>
            <w:tcW w:w="726" w:type="dxa"/>
            <w:shd w:val="clear" w:color="auto" w:fill="F2F2F2" w:themeFill="background1" w:themeFillShade="F2"/>
          </w:tcPr>
          <w:p w:rsidR="0017721C" w:rsidRPr="0017721C" w:rsidRDefault="0017721C" w:rsidP="0017721C">
            <w:pPr>
              <w:rPr>
                <w:lang w:val="it-IT"/>
              </w:rPr>
            </w:pPr>
          </w:p>
        </w:tc>
        <w:tc>
          <w:tcPr>
            <w:tcW w:w="836" w:type="dxa"/>
            <w:shd w:val="clear" w:color="auto" w:fill="F2F2F2" w:themeFill="background1" w:themeFillShade="F2"/>
            <w:tcMar>
              <w:left w:w="108" w:type="dxa"/>
              <w:right w:w="0" w:type="dxa"/>
            </w:tcMar>
          </w:tcPr>
          <w:p w:rsidR="0017721C" w:rsidRPr="0017721C" w:rsidRDefault="0017721C" w:rsidP="0017721C">
            <w:pPr>
              <w:jc w:val="left"/>
              <w:rPr>
                <w:b/>
                <w:lang w:val="it-IT"/>
              </w:rPr>
            </w:pPr>
          </w:p>
        </w:tc>
        <w:tc>
          <w:tcPr>
            <w:tcW w:w="6912" w:type="dxa"/>
            <w:shd w:val="clear" w:color="auto" w:fill="F2F2F2" w:themeFill="background1" w:themeFillShade="F2"/>
            <w:tcMar>
              <w:left w:w="108" w:type="dxa"/>
            </w:tcMar>
          </w:tcPr>
          <w:p w:rsidR="0017721C" w:rsidRPr="0017721C" w:rsidRDefault="0017721C" w:rsidP="0017721C">
            <w:pPr>
              <w:rPr>
                <w:b/>
                <w:lang w:val="it-IT"/>
              </w:rPr>
            </w:pPr>
          </w:p>
        </w:tc>
        <w:tc>
          <w:tcPr>
            <w:tcW w:w="554" w:type="dxa"/>
            <w:shd w:val="clear" w:color="auto" w:fill="F2F2F2" w:themeFill="background1" w:themeFillShade="F2"/>
            <w:tcMar>
              <w:left w:w="85" w:type="dxa"/>
              <w:right w:w="85" w:type="dxa"/>
            </w:tcMar>
            <w:vAlign w:val="bottom"/>
          </w:tcPr>
          <w:p w:rsidR="0017721C" w:rsidRPr="0017721C" w:rsidRDefault="0017721C" w:rsidP="0017721C">
            <w:pPr>
              <w:jc w:val="center"/>
              <w:rPr>
                <w:b/>
                <w:lang w:val="it-IT"/>
              </w:rPr>
            </w:pPr>
            <w:r w:rsidRPr="0017721C">
              <w:rPr>
                <w:b/>
                <w:lang w:val="it-IT"/>
              </w:rPr>
              <w:t>SI</w:t>
            </w:r>
          </w:p>
        </w:tc>
        <w:tc>
          <w:tcPr>
            <w:tcW w:w="565" w:type="dxa"/>
            <w:shd w:val="clear" w:color="auto" w:fill="F2F2F2" w:themeFill="background1" w:themeFillShade="F2"/>
            <w:tcMar>
              <w:left w:w="108" w:type="dxa"/>
            </w:tcMar>
            <w:vAlign w:val="bottom"/>
          </w:tcPr>
          <w:p w:rsidR="0017721C" w:rsidRPr="0017721C" w:rsidRDefault="0017721C" w:rsidP="0017721C">
            <w:pPr>
              <w:jc w:val="center"/>
              <w:rPr>
                <w:b/>
                <w:lang w:val="it-IT"/>
              </w:rPr>
            </w:pPr>
            <w:r w:rsidRPr="0017721C">
              <w:rPr>
                <w:b/>
                <w:lang w:val="it-IT"/>
              </w:rPr>
              <w:t>NO</w:t>
            </w:r>
          </w:p>
        </w:tc>
        <w:tc>
          <w:tcPr>
            <w:tcW w:w="564" w:type="dxa"/>
            <w:shd w:val="clear" w:color="auto" w:fill="F2F2F2" w:themeFill="background1" w:themeFillShade="F2"/>
            <w:tcMar>
              <w:left w:w="108" w:type="dxa"/>
            </w:tcMar>
            <w:vAlign w:val="bottom"/>
          </w:tcPr>
          <w:p w:rsidR="0017721C" w:rsidRPr="0017721C" w:rsidRDefault="0017721C" w:rsidP="0017721C">
            <w:pPr>
              <w:jc w:val="center"/>
              <w:rPr>
                <w:b/>
                <w:lang w:val="it-IT"/>
              </w:rPr>
            </w:pPr>
            <w:r w:rsidRPr="0017721C">
              <w:rPr>
                <w:b/>
                <w:lang w:val="it-IT"/>
              </w:rPr>
              <w:t>N/A</w:t>
            </w:r>
          </w:p>
        </w:tc>
      </w:tr>
      <w:tr w:rsidR="0017721C" w:rsidRPr="0017721C" w:rsidTr="003464AE">
        <w:trPr>
          <w:trHeight w:val="20"/>
        </w:trPr>
        <w:tc>
          <w:tcPr>
            <w:tcW w:w="726" w:type="dxa"/>
            <w:vAlign w:val="center"/>
          </w:tcPr>
          <w:p w:rsidR="0017721C" w:rsidRPr="0017721C" w:rsidRDefault="0017721C" w:rsidP="0017721C">
            <w:pPr>
              <w:rPr>
                <w:lang w:val="it-IT"/>
              </w:rPr>
            </w:pPr>
          </w:p>
        </w:tc>
        <w:tc>
          <w:tcPr>
            <w:tcW w:w="836" w:type="dxa"/>
            <w:tcMar>
              <w:left w:w="108" w:type="dxa"/>
              <w:right w:w="0" w:type="dxa"/>
            </w:tcMar>
            <w:vAlign w:val="cente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17721C">
            <w:pPr>
              <w:keepNext/>
              <w:overflowPunct/>
              <w:autoSpaceDE/>
              <w:autoSpaceDN/>
              <w:adjustRightInd/>
              <w:spacing w:before="0" w:after="0" w:line="240" w:lineRule="exact"/>
              <w:jc w:val="left"/>
              <w:textAlignment w:val="auto"/>
              <w:outlineLvl w:val="0"/>
              <w:rPr>
                <w:b/>
                <w:caps/>
                <w:kern w:val="28"/>
                <w:sz w:val="22"/>
                <w:szCs w:val="22"/>
                <w:lang w:val="it-IT"/>
              </w:rPr>
            </w:pPr>
            <w:r w:rsidRPr="0017721C">
              <w:rPr>
                <w:b/>
                <w:caps/>
                <w:kern w:val="28"/>
                <w:sz w:val="22"/>
                <w:szCs w:val="22"/>
                <w:lang w:val="it-IT"/>
              </w:rPr>
              <w:t>PARTE GENERALE</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vAlign w:val="center"/>
          </w:tcPr>
          <w:p w:rsidR="0017721C" w:rsidRPr="0017721C" w:rsidRDefault="0017721C" w:rsidP="0017721C">
            <w:pPr>
              <w:rPr>
                <w:lang w:val="it-IT"/>
              </w:rPr>
            </w:pPr>
          </w:p>
        </w:tc>
        <w:tc>
          <w:tcPr>
            <w:tcW w:w="836" w:type="dxa"/>
            <w:tcMar>
              <w:left w:w="108" w:type="dxa"/>
              <w:right w:w="0" w:type="dxa"/>
            </w:tcMar>
            <w:vAlign w:val="cente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Definizioni</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vAlign w:val="center"/>
          </w:tcPr>
          <w:p w:rsidR="0017721C" w:rsidRPr="0017721C" w:rsidRDefault="0017721C" w:rsidP="0017721C">
            <w:pP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17.5</w:t>
            </w:r>
          </w:p>
        </w:tc>
        <w:tc>
          <w:tcPr>
            <w:tcW w:w="6912" w:type="dxa"/>
            <w:tcMar>
              <w:left w:w="108" w:type="dxa"/>
            </w:tcMar>
            <w:vAlign w:val="center"/>
          </w:tcPr>
          <w:p w:rsidR="0017721C" w:rsidRPr="0017721C" w:rsidRDefault="0017721C" w:rsidP="00E26C24">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Il </w:t>
            </w:r>
            <w:r w:rsidRPr="0017721C">
              <w:rPr>
                <w:i/>
                <w:iCs/>
                <w:sz w:val="16"/>
                <w:szCs w:val="16"/>
                <w:lang w:val="it-IT"/>
              </w:rPr>
              <w:t xml:space="preserve">bilancio consolidato </w:t>
            </w:r>
            <w:r w:rsidRPr="0017721C">
              <w:rPr>
                <w:sz w:val="16"/>
                <w:szCs w:val="16"/>
                <w:lang w:val="it-IT"/>
              </w:rPr>
              <w:t>è il bilancio che espone la situazione patrimoniale, finanziaria e il risultato economico di un gruppo di imprese considerate come un’unica impresa, superando così le distinte personalità giuridiche delle imprese del gruppo. Il bilancio consolidato è il documento che prevede il consolidamento dei valori delle attività, delle passività, dei costi, dei ricavi e dei flussi finanziari delle imprese controllate direttamente e indirettamente dalla controllante secondo il metodo del consolidamento integrale.</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vAlign w:val="center"/>
          </w:tcPr>
          <w:p w:rsidR="0017721C" w:rsidRPr="0017721C" w:rsidRDefault="0017721C" w:rsidP="0017721C">
            <w:pP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17.6</w:t>
            </w:r>
          </w:p>
        </w:tc>
        <w:tc>
          <w:tcPr>
            <w:tcW w:w="6912" w:type="dxa"/>
            <w:tcMar>
              <w:left w:w="108" w:type="dxa"/>
            </w:tcMar>
            <w:vAlign w:val="center"/>
          </w:tcPr>
          <w:p w:rsidR="0017721C" w:rsidRPr="0017721C" w:rsidRDefault="0017721C" w:rsidP="00E26C24">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Il </w:t>
            </w:r>
            <w:r w:rsidRPr="0017721C">
              <w:rPr>
                <w:i/>
                <w:iCs/>
                <w:sz w:val="16"/>
                <w:szCs w:val="16"/>
                <w:lang w:val="it-IT"/>
              </w:rPr>
              <w:t xml:space="preserve">gruppo di imprese </w:t>
            </w:r>
            <w:r w:rsidRPr="0017721C">
              <w:rPr>
                <w:sz w:val="16"/>
                <w:szCs w:val="16"/>
                <w:lang w:val="it-IT"/>
              </w:rPr>
              <w:t>è un insieme di imprese delle quali una, la capogruppo, detiene il controllo delle altre. L’elemento determinante nella configurazione di gruppo è, quindi, il controllo, come definito dalle norme del D.lgs. 127/1991.</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vAlign w:val="center"/>
          </w:tcPr>
          <w:p w:rsidR="0017721C" w:rsidRPr="0017721C" w:rsidRDefault="0017721C" w:rsidP="0017721C">
            <w:pP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17.7</w:t>
            </w:r>
          </w:p>
        </w:tc>
        <w:tc>
          <w:tcPr>
            <w:tcW w:w="6912" w:type="dxa"/>
            <w:tcMar>
              <w:left w:w="108" w:type="dxa"/>
            </w:tcMar>
            <w:vAlign w:val="center"/>
          </w:tcPr>
          <w:p w:rsidR="0017721C" w:rsidRPr="0017721C" w:rsidRDefault="0017721C" w:rsidP="00E26C24">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L’articolo 26 del D.lgs. 127/1991 dà contenuto alla nozione di </w:t>
            </w:r>
            <w:r w:rsidRPr="0017721C">
              <w:rPr>
                <w:i/>
                <w:iCs/>
                <w:sz w:val="16"/>
                <w:szCs w:val="16"/>
                <w:lang w:val="it-IT"/>
              </w:rPr>
              <w:t>controllo</w:t>
            </w:r>
            <w:r w:rsidRPr="0017721C">
              <w:rPr>
                <w:sz w:val="16"/>
                <w:szCs w:val="16"/>
                <w:lang w:val="it-IT"/>
              </w:rPr>
              <w:t>, in parte rinviando ai numeri 1 (controllo di diritto) e 2 (controllo di fatto) del comma 1 dell’articolo 2359 codice civile, e in parte prevedendo le due ulteriori fattispecie dell’influenza dominante sulla controllata derivante dalle clausole contrattuali o statutarie e del controllo dei diritti di voto basato su accordi con altri soci.</w:t>
            </w:r>
          </w:p>
          <w:p w:rsidR="0017721C" w:rsidRPr="0017721C" w:rsidRDefault="0017721C" w:rsidP="00E26C24">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Ai fini dell’applicazione del controllo, si computano anche i voti spettanti a imprese controllate, a società fiduciarie e a persone interposte.</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vAlign w:val="center"/>
          </w:tcPr>
          <w:p w:rsidR="0017721C" w:rsidRPr="0017721C" w:rsidRDefault="0017721C" w:rsidP="0017721C">
            <w:pP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17.8</w:t>
            </w:r>
          </w:p>
        </w:tc>
        <w:tc>
          <w:tcPr>
            <w:tcW w:w="6912" w:type="dxa"/>
            <w:tcMar>
              <w:left w:w="108" w:type="dxa"/>
            </w:tcMar>
            <w:vAlign w:val="center"/>
          </w:tcPr>
          <w:p w:rsidR="0017721C" w:rsidRPr="0017721C" w:rsidRDefault="0017721C" w:rsidP="00E26C24">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Il </w:t>
            </w:r>
            <w:r w:rsidRPr="0017721C">
              <w:rPr>
                <w:i/>
                <w:iCs/>
                <w:sz w:val="16"/>
                <w:szCs w:val="16"/>
                <w:lang w:val="it-IT"/>
              </w:rPr>
              <w:t xml:space="preserve">controllo </w:t>
            </w:r>
            <w:r w:rsidRPr="0017721C">
              <w:rPr>
                <w:sz w:val="16"/>
                <w:szCs w:val="16"/>
                <w:lang w:val="it-IT"/>
              </w:rPr>
              <w:t>“</w:t>
            </w:r>
            <w:r w:rsidRPr="0017721C">
              <w:rPr>
                <w:i/>
                <w:iCs/>
                <w:sz w:val="16"/>
                <w:szCs w:val="16"/>
                <w:lang w:val="it-IT"/>
              </w:rPr>
              <w:t>di diritto</w:t>
            </w:r>
            <w:r w:rsidRPr="0017721C">
              <w:rPr>
                <w:sz w:val="16"/>
                <w:szCs w:val="16"/>
                <w:lang w:val="it-IT"/>
              </w:rPr>
              <w:t>” si presume quando una controllante dispone della maggioranza dei diritti di voto esercitabili nell’assemblea ordinaria di un’altra impresa (controllata) ai sensi dell’articolo 2359, comma 1, numero 1.</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vAlign w:val="center"/>
          </w:tcPr>
          <w:p w:rsidR="0017721C" w:rsidRPr="0017721C" w:rsidRDefault="0017721C" w:rsidP="0017721C">
            <w:pP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17.9</w:t>
            </w:r>
          </w:p>
        </w:tc>
        <w:tc>
          <w:tcPr>
            <w:tcW w:w="6912" w:type="dxa"/>
            <w:tcMar>
              <w:left w:w="108" w:type="dxa"/>
            </w:tcMar>
            <w:vAlign w:val="center"/>
          </w:tcPr>
          <w:p w:rsidR="0017721C" w:rsidRPr="0017721C" w:rsidRDefault="0017721C" w:rsidP="00E26C24">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Il </w:t>
            </w:r>
            <w:r w:rsidRPr="0017721C">
              <w:rPr>
                <w:i/>
                <w:iCs/>
                <w:sz w:val="16"/>
                <w:szCs w:val="16"/>
                <w:lang w:val="it-IT"/>
              </w:rPr>
              <w:t xml:space="preserve">controllo </w:t>
            </w:r>
            <w:r w:rsidRPr="0017721C">
              <w:rPr>
                <w:sz w:val="16"/>
                <w:szCs w:val="16"/>
                <w:lang w:val="it-IT"/>
              </w:rPr>
              <w:t>“</w:t>
            </w:r>
            <w:r w:rsidRPr="0017721C">
              <w:rPr>
                <w:i/>
                <w:iCs/>
                <w:sz w:val="16"/>
                <w:szCs w:val="16"/>
                <w:lang w:val="it-IT"/>
              </w:rPr>
              <w:t>di fatto</w:t>
            </w:r>
            <w:r w:rsidRPr="0017721C">
              <w:rPr>
                <w:sz w:val="16"/>
                <w:szCs w:val="16"/>
                <w:lang w:val="it-IT"/>
              </w:rPr>
              <w:t>” si configura nella disponibilità di voti sufficienti per esercitare un’influenza dominante nelle deliberazioni in assemblea ordinaria ai sensi dell’articolo 2359, comma 1, numero 2.</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vAlign w:val="center"/>
          </w:tcPr>
          <w:p w:rsidR="0017721C" w:rsidRPr="0017721C" w:rsidRDefault="0017721C" w:rsidP="0017721C">
            <w:pP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17.10</w:t>
            </w:r>
          </w:p>
        </w:tc>
        <w:tc>
          <w:tcPr>
            <w:tcW w:w="6912" w:type="dxa"/>
            <w:tcMar>
              <w:left w:w="108" w:type="dxa"/>
            </w:tcMar>
            <w:vAlign w:val="center"/>
          </w:tcPr>
          <w:p w:rsidR="0017721C" w:rsidRPr="0017721C" w:rsidRDefault="0017721C" w:rsidP="00E26C24">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Il controllo basato su specifiche ipotesi di influenza dominante individuate dal comma 2 dell’articolo 26 del D.lgs. 127/1991 è quello in cui l’impresa “</w:t>
            </w:r>
            <w:r w:rsidRPr="0017721C">
              <w:rPr>
                <w:i/>
                <w:iCs/>
                <w:sz w:val="16"/>
                <w:szCs w:val="16"/>
                <w:lang w:val="it-IT"/>
              </w:rPr>
              <w:t>ha il diritto, in virtù di un contratto</w:t>
            </w:r>
            <w:r w:rsidRPr="0017721C">
              <w:rPr>
                <w:sz w:val="16"/>
                <w:szCs w:val="16"/>
                <w:lang w:val="it-IT"/>
              </w:rPr>
              <w:t xml:space="preserve"> </w:t>
            </w:r>
            <w:r w:rsidRPr="0017721C">
              <w:rPr>
                <w:i/>
                <w:iCs/>
                <w:sz w:val="16"/>
                <w:szCs w:val="16"/>
                <w:lang w:val="it-IT"/>
              </w:rPr>
              <w:t>o di una clausola statutaria, di esercitare un’influenza dominante, quando la legge applicabile</w:t>
            </w:r>
            <w:r w:rsidRPr="0017721C">
              <w:rPr>
                <w:sz w:val="16"/>
                <w:szCs w:val="16"/>
                <w:lang w:val="it-IT"/>
              </w:rPr>
              <w:t xml:space="preserve"> </w:t>
            </w:r>
            <w:r w:rsidRPr="0017721C">
              <w:rPr>
                <w:i/>
                <w:iCs/>
                <w:sz w:val="16"/>
                <w:szCs w:val="16"/>
                <w:lang w:val="it-IT"/>
              </w:rPr>
              <w:t xml:space="preserve">consenta tali contratti o clausole” </w:t>
            </w:r>
            <w:r w:rsidRPr="0017721C">
              <w:rPr>
                <w:sz w:val="16"/>
                <w:szCs w:val="16"/>
                <w:lang w:val="it-IT"/>
              </w:rPr>
              <w:t>oppure quando “</w:t>
            </w:r>
            <w:r w:rsidRPr="0017721C">
              <w:rPr>
                <w:i/>
                <w:iCs/>
                <w:sz w:val="16"/>
                <w:szCs w:val="16"/>
                <w:lang w:val="it-IT"/>
              </w:rPr>
              <w:t>in base ad accordi con altri soci, controlla da</w:t>
            </w:r>
            <w:r w:rsidRPr="0017721C">
              <w:rPr>
                <w:sz w:val="16"/>
                <w:szCs w:val="16"/>
                <w:lang w:val="it-IT"/>
              </w:rPr>
              <w:t xml:space="preserve"> </w:t>
            </w:r>
            <w:r w:rsidRPr="0017721C">
              <w:rPr>
                <w:i/>
                <w:iCs/>
                <w:sz w:val="16"/>
                <w:szCs w:val="16"/>
                <w:lang w:val="it-IT"/>
              </w:rPr>
              <w:t>sola la maggioranza dei diritti di voto</w:t>
            </w:r>
            <w:r w:rsidRPr="0017721C">
              <w:rPr>
                <w:sz w:val="16"/>
                <w:szCs w:val="16"/>
                <w:lang w:val="it-IT"/>
              </w:rPr>
              <w:t>”.</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vAlign w:val="center"/>
          </w:tcPr>
          <w:p w:rsidR="0017721C" w:rsidRPr="0017721C" w:rsidRDefault="0017721C" w:rsidP="0017721C">
            <w:pP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17.11</w:t>
            </w:r>
          </w:p>
        </w:tc>
        <w:tc>
          <w:tcPr>
            <w:tcW w:w="6912" w:type="dxa"/>
            <w:tcMar>
              <w:left w:w="108" w:type="dxa"/>
            </w:tcMar>
            <w:vAlign w:val="center"/>
          </w:tcPr>
          <w:p w:rsidR="0017721C" w:rsidRPr="0017721C" w:rsidRDefault="0017721C" w:rsidP="00E26C24">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Un’</w:t>
            </w:r>
            <w:r w:rsidRPr="0017721C">
              <w:rPr>
                <w:i/>
                <w:iCs/>
                <w:sz w:val="16"/>
                <w:szCs w:val="16"/>
                <w:lang w:val="it-IT"/>
              </w:rPr>
              <w:t xml:space="preserve">impresa controllata </w:t>
            </w:r>
            <w:r w:rsidRPr="0017721C">
              <w:rPr>
                <w:sz w:val="16"/>
                <w:szCs w:val="16"/>
                <w:lang w:val="it-IT"/>
              </w:rPr>
              <w:t>è l’impresa soggetta al controllo ai sensi dell’articolo 26 del D.lgs.127/1991. Ai fini della determinazione dell’area di consolidamento, si consolidano anche imprese non costituite sotto forma di società di capitali.</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vAlign w:val="center"/>
          </w:tcPr>
          <w:p w:rsidR="0017721C" w:rsidRPr="0017721C" w:rsidRDefault="0017721C" w:rsidP="0017721C">
            <w:pPr>
              <w:rPr>
                <w:lang w:val="it-IT"/>
              </w:rPr>
            </w:pPr>
          </w:p>
        </w:tc>
        <w:tc>
          <w:tcPr>
            <w:tcW w:w="836" w:type="dxa"/>
            <w:tcMar>
              <w:left w:w="108" w:type="dxa"/>
              <w:right w:w="0" w:type="dxa"/>
            </w:tcMar>
          </w:tcPr>
          <w:p w:rsidR="0017721C" w:rsidRPr="0017721C" w:rsidRDefault="0017721C" w:rsidP="0017721C">
            <w:pPr>
              <w:spacing w:before="40" w:line="240" w:lineRule="auto"/>
              <w:ind w:left="-48" w:right="28"/>
              <w:jc w:val="left"/>
              <w:rPr>
                <w:sz w:val="13"/>
                <w:szCs w:val="13"/>
                <w:lang w:val="it-IT"/>
              </w:rPr>
            </w:pPr>
            <w:r w:rsidRPr="0017721C">
              <w:rPr>
                <w:sz w:val="13"/>
                <w:szCs w:val="13"/>
                <w:lang w:val="it-IT"/>
              </w:rPr>
              <w:t>OIC 17.12</w:t>
            </w:r>
          </w:p>
        </w:tc>
        <w:tc>
          <w:tcPr>
            <w:tcW w:w="6912" w:type="dxa"/>
            <w:tcMar>
              <w:left w:w="108" w:type="dxa"/>
            </w:tcMar>
            <w:vAlign w:val="center"/>
          </w:tcPr>
          <w:p w:rsidR="0017721C" w:rsidRPr="0017721C" w:rsidRDefault="0017721C" w:rsidP="00E26C24">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Le </w:t>
            </w:r>
            <w:r w:rsidRPr="0017721C">
              <w:rPr>
                <w:i/>
                <w:iCs/>
                <w:sz w:val="16"/>
                <w:szCs w:val="16"/>
                <w:lang w:val="it-IT"/>
              </w:rPr>
              <w:t xml:space="preserve">partecipazioni delle minoranze o interessenze di terzi </w:t>
            </w:r>
            <w:r w:rsidRPr="0017721C">
              <w:rPr>
                <w:sz w:val="16"/>
                <w:szCs w:val="16"/>
                <w:lang w:val="it-IT"/>
              </w:rPr>
              <w:t>sono costituite dal patrimonio netto di una controllata non posseduto, direttamente o indirettamente, dalla controllante e, quindi, non attribuibile ad essa.</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vAlign w:val="center"/>
          </w:tcPr>
          <w:p w:rsidR="0017721C" w:rsidRPr="0017721C" w:rsidRDefault="0017721C" w:rsidP="0017721C">
            <w:pP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17.13</w:t>
            </w:r>
          </w:p>
        </w:tc>
        <w:tc>
          <w:tcPr>
            <w:tcW w:w="6912" w:type="dxa"/>
            <w:tcMar>
              <w:left w:w="108" w:type="dxa"/>
            </w:tcMar>
            <w:vAlign w:val="center"/>
          </w:tcPr>
          <w:p w:rsidR="0017721C" w:rsidRPr="0017721C" w:rsidRDefault="0017721C" w:rsidP="00E26C24">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Il </w:t>
            </w:r>
            <w:r w:rsidRPr="0017721C">
              <w:rPr>
                <w:i/>
                <w:iCs/>
                <w:sz w:val="16"/>
                <w:szCs w:val="16"/>
                <w:lang w:val="it-IT"/>
              </w:rPr>
              <w:t xml:space="preserve">controllo congiunto </w:t>
            </w:r>
            <w:r w:rsidRPr="0017721C">
              <w:rPr>
                <w:sz w:val="16"/>
                <w:szCs w:val="16"/>
                <w:lang w:val="it-IT"/>
              </w:rPr>
              <w:t>si ha quando un soggetto esercita su un’impresa il controllo congiuntamente con altri soci e in base ad accordi con essi.</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vAlign w:val="center"/>
          </w:tcPr>
          <w:p w:rsidR="0017721C" w:rsidRPr="0017721C" w:rsidRDefault="0017721C" w:rsidP="0017721C">
            <w:pP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17.14</w:t>
            </w:r>
          </w:p>
        </w:tc>
        <w:tc>
          <w:tcPr>
            <w:tcW w:w="6912" w:type="dxa"/>
            <w:tcMar>
              <w:left w:w="108" w:type="dxa"/>
            </w:tcMar>
            <w:vAlign w:val="center"/>
          </w:tcPr>
          <w:p w:rsidR="0017721C" w:rsidRPr="0017721C" w:rsidRDefault="0017721C" w:rsidP="00E26C24">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Un’impresa si definisce </w:t>
            </w:r>
            <w:r w:rsidRPr="0017721C">
              <w:rPr>
                <w:i/>
                <w:iCs/>
                <w:sz w:val="16"/>
                <w:szCs w:val="16"/>
                <w:lang w:val="it-IT"/>
              </w:rPr>
              <w:t xml:space="preserve">collegata </w:t>
            </w:r>
            <w:r w:rsidRPr="0017721C">
              <w:rPr>
                <w:sz w:val="16"/>
                <w:szCs w:val="16"/>
                <w:lang w:val="it-IT"/>
              </w:rPr>
              <w:t>quando esiste un’altra impresa che esercita su di essa un’influenza notevole senza averne il controllo o il controllo congiunto.</w:t>
            </w:r>
          </w:p>
          <w:p w:rsidR="0017721C" w:rsidRPr="0017721C" w:rsidRDefault="0017721C" w:rsidP="00E26C24">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Ai sensi dell’articolo 2359, comma 3, codice civile si presume la sussistenza di un’influenza notevole quando nell’assemblea ordinaria la partecipante esercita il 20% dei diritti di voto, ovvero il 10% se la società partecipata ha azioni quotate in mercati regolamentati</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vAlign w:val="center"/>
          </w:tcPr>
          <w:p w:rsidR="0017721C" w:rsidRPr="0017721C" w:rsidRDefault="0017721C" w:rsidP="0017721C">
            <w:pP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17.15</w:t>
            </w:r>
          </w:p>
        </w:tc>
        <w:tc>
          <w:tcPr>
            <w:tcW w:w="6912" w:type="dxa"/>
            <w:tcMar>
              <w:left w:w="108" w:type="dxa"/>
            </w:tcMar>
            <w:vAlign w:val="center"/>
          </w:tcPr>
          <w:p w:rsidR="0017721C" w:rsidRPr="0017721C" w:rsidRDefault="0017721C" w:rsidP="00E26C24">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Il </w:t>
            </w:r>
            <w:r w:rsidRPr="0017721C">
              <w:rPr>
                <w:i/>
                <w:iCs/>
                <w:sz w:val="16"/>
                <w:szCs w:val="16"/>
                <w:lang w:val="it-IT"/>
              </w:rPr>
              <w:t xml:space="preserve">metodo del consolidamento integrale </w:t>
            </w:r>
            <w:r w:rsidRPr="0017721C">
              <w:rPr>
                <w:sz w:val="16"/>
                <w:szCs w:val="16"/>
                <w:lang w:val="it-IT"/>
              </w:rPr>
              <w:t>prevede l’integrale inclusione nel bilancio consolidato delle attività, delle passività, dei costi, dei ricavi e dei flussi finanziari delle imprese appartenenti all’area di consolidamento, salve le elisioni dei saldi e delle operazioni tra imprese incluse nell’area di consolidamento. Ciascuna attività e passività si considera per la totalità del suo valore, ai fini del consolidamento.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vAlign w:val="center"/>
          </w:tcPr>
          <w:p w:rsidR="0017721C" w:rsidRPr="0017721C" w:rsidRDefault="0017721C" w:rsidP="0017721C">
            <w:pP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17.16</w:t>
            </w:r>
          </w:p>
        </w:tc>
        <w:tc>
          <w:tcPr>
            <w:tcW w:w="6912" w:type="dxa"/>
            <w:tcMar>
              <w:left w:w="108" w:type="dxa"/>
            </w:tcMar>
            <w:vAlign w:val="center"/>
          </w:tcPr>
          <w:p w:rsidR="0017721C" w:rsidRPr="0017721C" w:rsidRDefault="0017721C" w:rsidP="00E26C24">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Il </w:t>
            </w:r>
            <w:r w:rsidRPr="0017721C">
              <w:rPr>
                <w:i/>
                <w:iCs/>
                <w:sz w:val="16"/>
                <w:szCs w:val="16"/>
                <w:lang w:val="it-IT"/>
              </w:rPr>
              <w:t xml:space="preserve">metodo del consolidamento proporzionale </w:t>
            </w:r>
            <w:r w:rsidRPr="0017721C">
              <w:rPr>
                <w:sz w:val="16"/>
                <w:szCs w:val="16"/>
                <w:lang w:val="it-IT"/>
              </w:rPr>
              <w:t>prevede l’inclusione proporzionale nel bilancio consolidato delle attività, delle passività, dei costi, dei ricavi e dei flussi finanziari delle imprese sulle quali una delle imprese incluse nell’area di consolidamento esercita un controllo congiunto con soci non appartenenti al gruppo, considerando la sola parte del loro valore corrispondente alla quota di interessenza detenuta direttamente o indirettamente dalla controllante.</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vAlign w:val="center"/>
          </w:tcPr>
          <w:p w:rsidR="0017721C" w:rsidRPr="0017721C" w:rsidRDefault="0017721C" w:rsidP="0017721C">
            <w:pP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17.17</w:t>
            </w:r>
          </w:p>
        </w:tc>
        <w:tc>
          <w:tcPr>
            <w:tcW w:w="6912" w:type="dxa"/>
            <w:tcMar>
              <w:left w:w="108" w:type="dxa"/>
            </w:tcMar>
            <w:vAlign w:val="center"/>
          </w:tcPr>
          <w:p w:rsidR="0017721C" w:rsidRPr="0017721C" w:rsidRDefault="0017721C" w:rsidP="00E26C24">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w:t>
            </w:r>
            <w:r w:rsidRPr="0017721C">
              <w:rPr>
                <w:i/>
                <w:iCs/>
                <w:sz w:val="16"/>
                <w:szCs w:val="16"/>
                <w:lang w:val="it-IT"/>
              </w:rPr>
              <w:t xml:space="preserve">area di consolidamento </w:t>
            </w:r>
            <w:r w:rsidRPr="0017721C">
              <w:rPr>
                <w:sz w:val="16"/>
                <w:szCs w:val="16"/>
                <w:lang w:val="it-IT"/>
              </w:rPr>
              <w:t>è l’insieme delle imprese oggetto di consolidamento nel bilancio consolidato predisposto dalla società controllante.</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vAlign w:val="center"/>
          </w:tcPr>
          <w:p w:rsidR="0017721C" w:rsidRPr="0017721C" w:rsidRDefault="0017721C" w:rsidP="0017721C">
            <w:pP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17.18</w:t>
            </w:r>
          </w:p>
        </w:tc>
        <w:tc>
          <w:tcPr>
            <w:tcW w:w="6912" w:type="dxa"/>
            <w:tcMar>
              <w:left w:w="108" w:type="dxa"/>
            </w:tcMar>
            <w:vAlign w:val="center"/>
          </w:tcPr>
          <w:p w:rsidR="0017721C" w:rsidRPr="0017721C" w:rsidRDefault="0017721C" w:rsidP="00E26C24">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La </w:t>
            </w:r>
            <w:r w:rsidRPr="0017721C">
              <w:rPr>
                <w:i/>
                <w:iCs/>
                <w:sz w:val="16"/>
                <w:szCs w:val="16"/>
                <w:lang w:val="it-IT"/>
              </w:rPr>
              <w:t>differenza da annullamento</w:t>
            </w:r>
            <w:r w:rsidRPr="0017721C">
              <w:rPr>
                <w:sz w:val="16"/>
                <w:szCs w:val="16"/>
                <w:lang w:val="it-IT"/>
              </w:rPr>
              <w:t>, di cui all’articolo 33 del D.lgs. 127/1991, è la differenza tra il valore contabile della partecipazione iscritto nel bilancio d’esercizio della controllante e di altre società del gruppo e il valore della corrispondente frazione di patrimonio netto contabile dell’impresa controllata di pertinenza del gruppo.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vAlign w:val="center"/>
          </w:tcPr>
          <w:p w:rsidR="0017721C" w:rsidRPr="0017721C" w:rsidRDefault="0017721C" w:rsidP="000A0D66">
            <w:pPr>
              <w:rPr>
                <w:lang w:val="it-IT"/>
              </w:rPr>
            </w:pPr>
          </w:p>
        </w:tc>
        <w:tc>
          <w:tcPr>
            <w:tcW w:w="836" w:type="dxa"/>
            <w:tcMar>
              <w:left w:w="108" w:type="dxa"/>
              <w:right w:w="0" w:type="dxa"/>
            </w:tcMar>
          </w:tcPr>
          <w:p w:rsidR="0017721C" w:rsidRPr="0017721C" w:rsidRDefault="0017721C" w:rsidP="000A0D66">
            <w:pPr>
              <w:spacing w:before="40" w:line="240" w:lineRule="auto"/>
              <w:ind w:left="-57"/>
              <w:jc w:val="left"/>
              <w:rPr>
                <w:sz w:val="13"/>
                <w:szCs w:val="13"/>
                <w:lang w:val="it-IT"/>
              </w:rPr>
            </w:pPr>
            <w:r w:rsidRPr="0017721C">
              <w:rPr>
                <w:sz w:val="13"/>
                <w:szCs w:val="13"/>
                <w:lang w:val="en-US"/>
              </w:rPr>
              <w:t>OIC 17.19</w:t>
            </w:r>
          </w:p>
        </w:tc>
        <w:tc>
          <w:tcPr>
            <w:tcW w:w="6912" w:type="dxa"/>
            <w:tcMar>
              <w:left w:w="108" w:type="dxa"/>
            </w:tcMar>
            <w:vAlign w:val="center"/>
          </w:tcPr>
          <w:p w:rsidR="0017721C" w:rsidRPr="0017721C" w:rsidRDefault="0017721C" w:rsidP="000A0D66">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La </w:t>
            </w:r>
            <w:r w:rsidRPr="0017721C">
              <w:rPr>
                <w:i/>
                <w:iCs/>
                <w:sz w:val="16"/>
                <w:szCs w:val="16"/>
                <w:lang w:val="it-IT"/>
              </w:rPr>
              <w:t xml:space="preserve">data di consolidamento </w:t>
            </w:r>
            <w:r w:rsidRPr="0017721C">
              <w:rPr>
                <w:sz w:val="16"/>
                <w:szCs w:val="16"/>
                <w:lang w:val="it-IT"/>
              </w:rPr>
              <w:t>è la data in cui si calcola la differenza da annullamento per poi procedere all’imputazione di tale differenza. Ai sensi dell’art. 33, comma 1, del D.lgs. 127/1991 la differenza di annullamento è calcolata “</w:t>
            </w:r>
            <w:r w:rsidRPr="0017721C">
              <w:rPr>
                <w:i/>
                <w:iCs/>
                <w:sz w:val="16"/>
                <w:szCs w:val="16"/>
                <w:lang w:val="it-IT"/>
              </w:rPr>
              <w:t>sulla base dei valori contabili riferiti alla data di</w:t>
            </w:r>
            <w:r w:rsidRPr="0017721C">
              <w:rPr>
                <w:sz w:val="16"/>
                <w:szCs w:val="16"/>
                <w:lang w:val="it-IT"/>
              </w:rPr>
              <w:t xml:space="preserve"> </w:t>
            </w:r>
            <w:r w:rsidRPr="0017721C">
              <w:rPr>
                <w:i/>
                <w:iCs/>
                <w:sz w:val="16"/>
                <w:szCs w:val="16"/>
                <w:lang w:val="it-IT"/>
              </w:rPr>
              <w:t>acquisizione o alla data in cui l’impresa è inclusa per la prima volta nel consolidamento</w:t>
            </w:r>
            <w:r w:rsidRPr="0017721C">
              <w:rPr>
                <w:sz w:val="16"/>
                <w:szCs w:val="16"/>
                <w:lang w:val="it-IT"/>
              </w:rPr>
              <w:t>”.</w:t>
            </w:r>
          </w:p>
        </w:tc>
        <w:tc>
          <w:tcPr>
            <w:tcW w:w="554" w:type="dxa"/>
            <w:tcMar>
              <w:left w:w="85" w:type="dxa"/>
              <w:right w:w="85" w:type="dxa"/>
            </w:tcMar>
            <w:vAlign w:val="center"/>
          </w:tcPr>
          <w:p w:rsidR="0017721C" w:rsidRPr="0017721C" w:rsidRDefault="0017721C" w:rsidP="000A0D66">
            <w:pPr>
              <w:jc w:val="center"/>
              <w:rPr>
                <w:lang w:val="it-IT"/>
              </w:rPr>
            </w:pPr>
          </w:p>
        </w:tc>
        <w:tc>
          <w:tcPr>
            <w:tcW w:w="565" w:type="dxa"/>
            <w:tcMar>
              <w:left w:w="108" w:type="dxa"/>
            </w:tcMar>
            <w:vAlign w:val="center"/>
          </w:tcPr>
          <w:p w:rsidR="0017721C" w:rsidRPr="0017721C" w:rsidRDefault="0017721C" w:rsidP="000A0D66">
            <w:pPr>
              <w:jc w:val="center"/>
              <w:rPr>
                <w:lang w:val="it-IT"/>
              </w:rPr>
            </w:pPr>
          </w:p>
        </w:tc>
        <w:tc>
          <w:tcPr>
            <w:tcW w:w="564" w:type="dxa"/>
            <w:tcMar>
              <w:left w:w="108" w:type="dxa"/>
            </w:tcMar>
            <w:vAlign w:val="center"/>
          </w:tcPr>
          <w:p w:rsidR="0017721C" w:rsidRPr="0017721C" w:rsidRDefault="0017721C" w:rsidP="000A0D66">
            <w:pPr>
              <w:jc w:val="center"/>
              <w:rPr>
                <w:lang w:val="it-IT"/>
              </w:rPr>
            </w:pPr>
          </w:p>
        </w:tc>
      </w:tr>
      <w:tr w:rsidR="0017721C" w:rsidRPr="00CC242B" w:rsidTr="003464AE">
        <w:trPr>
          <w:trHeight w:val="20"/>
        </w:trPr>
        <w:tc>
          <w:tcPr>
            <w:tcW w:w="726" w:type="dxa"/>
            <w:vAlign w:val="center"/>
          </w:tcPr>
          <w:p w:rsidR="0017721C" w:rsidRPr="0017721C" w:rsidRDefault="0017721C" w:rsidP="000A0D66">
            <w:pPr>
              <w:pageBreakBefore/>
              <w:rPr>
                <w:lang w:val="it-IT"/>
              </w:rPr>
            </w:pPr>
          </w:p>
        </w:tc>
        <w:tc>
          <w:tcPr>
            <w:tcW w:w="836" w:type="dxa"/>
            <w:tcMar>
              <w:left w:w="108" w:type="dxa"/>
              <w:right w:w="0" w:type="dxa"/>
            </w:tcMar>
          </w:tcPr>
          <w:p w:rsidR="0017721C" w:rsidRPr="0017721C" w:rsidRDefault="0017721C" w:rsidP="000A0D66">
            <w:pPr>
              <w:pageBreakBefore/>
              <w:spacing w:before="40" w:line="240" w:lineRule="auto"/>
              <w:ind w:left="-57"/>
              <w:jc w:val="left"/>
              <w:rPr>
                <w:sz w:val="13"/>
                <w:szCs w:val="13"/>
                <w:lang w:val="it-IT"/>
              </w:rPr>
            </w:pPr>
            <w:r w:rsidRPr="0017721C">
              <w:rPr>
                <w:sz w:val="13"/>
                <w:szCs w:val="13"/>
                <w:lang w:val="en-US"/>
              </w:rPr>
              <w:t xml:space="preserve">OIC </w:t>
            </w:r>
            <w:r w:rsidRPr="0017721C">
              <w:rPr>
                <w:sz w:val="13"/>
                <w:szCs w:val="13"/>
                <w:lang w:val="it-IT"/>
              </w:rPr>
              <w:t>17</w:t>
            </w:r>
            <w:r w:rsidRPr="0017721C">
              <w:rPr>
                <w:sz w:val="13"/>
                <w:szCs w:val="13"/>
                <w:lang w:val="en-US"/>
              </w:rPr>
              <w:t>.20</w:t>
            </w:r>
          </w:p>
        </w:tc>
        <w:tc>
          <w:tcPr>
            <w:tcW w:w="6912" w:type="dxa"/>
            <w:tcMar>
              <w:left w:w="108" w:type="dxa"/>
            </w:tcMar>
            <w:vAlign w:val="center"/>
          </w:tcPr>
          <w:p w:rsidR="0017721C" w:rsidRPr="0017721C" w:rsidRDefault="0017721C" w:rsidP="000A0D66">
            <w:pPr>
              <w:pageBreakBefore/>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Le </w:t>
            </w:r>
            <w:r w:rsidRPr="0017721C">
              <w:rPr>
                <w:i/>
                <w:iCs/>
                <w:sz w:val="16"/>
                <w:szCs w:val="16"/>
                <w:lang w:val="it-IT"/>
              </w:rPr>
              <w:t xml:space="preserve">partecipazioni </w:t>
            </w:r>
            <w:r w:rsidRPr="0017721C">
              <w:rPr>
                <w:sz w:val="16"/>
                <w:szCs w:val="16"/>
                <w:lang w:val="it-IT"/>
              </w:rPr>
              <w:t>costituiscono investimenti nel capitale di altre imprese.</w:t>
            </w:r>
          </w:p>
        </w:tc>
        <w:tc>
          <w:tcPr>
            <w:tcW w:w="554" w:type="dxa"/>
            <w:tcMar>
              <w:left w:w="85" w:type="dxa"/>
              <w:right w:w="85" w:type="dxa"/>
            </w:tcMar>
            <w:vAlign w:val="center"/>
          </w:tcPr>
          <w:p w:rsidR="0017721C" w:rsidRPr="0017721C" w:rsidRDefault="0017721C" w:rsidP="000A0D66">
            <w:pPr>
              <w:pageBreakBefore/>
              <w:jc w:val="center"/>
              <w:rPr>
                <w:lang w:val="it-IT"/>
              </w:rPr>
            </w:pPr>
          </w:p>
        </w:tc>
        <w:tc>
          <w:tcPr>
            <w:tcW w:w="565" w:type="dxa"/>
            <w:tcMar>
              <w:left w:w="108" w:type="dxa"/>
            </w:tcMar>
            <w:vAlign w:val="center"/>
          </w:tcPr>
          <w:p w:rsidR="0017721C" w:rsidRPr="0017721C" w:rsidRDefault="0017721C" w:rsidP="000A0D66">
            <w:pPr>
              <w:pageBreakBefore/>
              <w:jc w:val="center"/>
              <w:rPr>
                <w:lang w:val="it-IT"/>
              </w:rPr>
            </w:pPr>
          </w:p>
        </w:tc>
        <w:tc>
          <w:tcPr>
            <w:tcW w:w="564" w:type="dxa"/>
            <w:tcMar>
              <w:left w:w="108" w:type="dxa"/>
            </w:tcMar>
            <w:vAlign w:val="center"/>
          </w:tcPr>
          <w:p w:rsidR="0017721C" w:rsidRPr="0017721C" w:rsidRDefault="0017721C" w:rsidP="000A0D66">
            <w:pPr>
              <w:pageBreakBefore/>
              <w:jc w:val="center"/>
              <w:rPr>
                <w:lang w:val="it-IT"/>
              </w:rPr>
            </w:pPr>
          </w:p>
        </w:tc>
      </w:tr>
      <w:tr w:rsidR="0017721C" w:rsidRPr="00CC242B" w:rsidTr="003464AE">
        <w:trPr>
          <w:trHeight w:val="20"/>
        </w:trPr>
        <w:tc>
          <w:tcPr>
            <w:tcW w:w="726" w:type="dxa"/>
            <w:vAlign w:val="center"/>
          </w:tcPr>
          <w:p w:rsidR="0017721C" w:rsidRPr="0017721C" w:rsidRDefault="0017721C" w:rsidP="000A0D66">
            <w:pPr>
              <w:widowControl w:val="0"/>
              <w:rPr>
                <w:lang w:val="it-IT"/>
              </w:rPr>
            </w:pPr>
          </w:p>
        </w:tc>
        <w:tc>
          <w:tcPr>
            <w:tcW w:w="836" w:type="dxa"/>
            <w:tcMar>
              <w:left w:w="108" w:type="dxa"/>
              <w:right w:w="0" w:type="dxa"/>
            </w:tcMar>
          </w:tcPr>
          <w:p w:rsidR="0017721C" w:rsidRPr="0017721C" w:rsidRDefault="0017721C" w:rsidP="000A0D66">
            <w:pPr>
              <w:widowControl w:val="0"/>
              <w:spacing w:before="40" w:line="240" w:lineRule="auto"/>
              <w:ind w:left="-57"/>
              <w:jc w:val="left"/>
              <w:rPr>
                <w:sz w:val="13"/>
                <w:szCs w:val="13"/>
                <w:lang w:val="it-IT"/>
              </w:rPr>
            </w:pPr>
            <w:r w:rsidRPr="0017721C">
              <w:rPr>
                <w:sz w:val="13"/>
                <w:szCs w:val="13"/>
                <w:lang w:val="en-US"/>
              </w:rPr>
              <w:t xml:space="preserve">OIC </w:t>
            </w:r>
            <w:r w:rsidRPr="0017721C">
              <w:rPr>
                <w:sz w:val="13"/>
                <w:szCs w:val="13"/>
                <w:lang w:val="it-IT"/>
              </w:rPr>
              <w:t>17</w:t>
            </w:r>
            <w:r w:rsidRPr="0017721C">
              <w:rPr>
                <w:sz w:val="13"/>
                <w:szCs w:val="13"/>
                <w:lang w:val="en-US"/>
              </w:rPr>
              <w:t>.21</w:t>
            </w:r>
          </w:p>
        </w:tc>
        <w:tc>
          <w:tcPr>
            <w:tcW w:w="6912" w:type="dxa"/>
            <w:tcMar>
              <w:left w:w="108" w:type="dxa"/>
            </w:tcMar>
            <w:vAlign w:val="center"/>
          </w:tcPr>
          <w:p w:rsidR="0017721C" w:rsidRPr="0017721C" w:rsidRDefault="0017721C" w:rsidP="000A0D66">
            <w:pPr>
              <w:widowControl w:val="0"/>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Il </w:t>
            </w:r>
            <w:r w:rsidRPr="0017721C">
              <w:rPr>
                <w:i/>
                <w:iCs/>
                <w:sz w:val="16"/>
                <w:szCs w:val="16"/>
                <w:lang w:val="it-IT"/>
              </w:rPr>
              <w:t xml:space="preserve">costo di acquisto o di costituzione di una partecipazione </w:t>
            </w:r>
            <w:r w:rsidRPr="0017721C">
              <w:rPr>
                <w:sz w:val="16"/>
                <w:szCs w:val="16"/>
                <w:lang w:val="it-IT"/>
              </w:rPr>
              <w:t>è costituito dal prezzo pagato, al quale sono aggiunti i costi accessori direttamente imputabili all’operazione di acquisto o di costituzione.</w:t>
            </w:r>
          </w:p>
        </w:tc>
        <w:tc>
          <w:tcPr>
            <w:tcW w:w="554" w:type="dxa"/>
            <w:tcMar>
              <w:left w:w="85" w:type="dxa"/>
              <w:right w:w="85" w:type="dxa"/>
            </w:tcMar>
            <w:vAlign w:val="center"/>
          </w:tcPr>
          <w:p w:rsidR="0017721C" w:rsidRPr="0017721C" w:rsidRDefault="0017721C" w:rsidP="000A0D66">
            <w:pPr>
              <w:widowControl w:val="0"/>
              <w:jc w:val="center"/>
              <w:rPr>
                <w:lang w:val="it-IT"/>
              </w:rPr>
            </w:pPr>
          </w:p>
        </w:tc>
        <w:tc>
          <w:tcPr>
            <w:tcW w:w="565" w:type="dxa"/>
            <w:tcMar>
              <w:left w:w="108" w:type="dxa"/>
            </w:tcMar>
            <w:vAlign w:val="center"/>
          </w:tcPr>
          <w:p w:rsidR="0017721C" w:rsidRPr="0017721C" w:rsidRDefault="0017721C" w:rsidP="000A0D66">
            <w:pPr>
              <w:widowControl w:val="0"/>
              <w:jc w:val="center"/>
              <w:rPr>
                <w:lang w:val="it-IT"/>
              </w:rPr>
            </w:pPr>
          </w:p>
        </w:tc>
        <w:tc>
          <w:tcPr>
            <w:tcW w:w="564" w:type="dxa"/>
            <w:tcMar>
              <w:left w:w="108" w:type="dxa"/>
            </w:tcMar>
            <w:vAlign w:val="center"/>
          </w:tcPr>
          <w:p w:rsidR="0017721C" w:rsidRPr="0017721C" w:rsidRDefault="0017721C" w:rsidP="000A0D66">
            <w:pPr>
              <w:widowControl w:val="0"/>
              <w:jc w:val="center"/>
              <w:rPr>
                <w:lang w:val="it-IT"/>
              </w:rPr>
            </w:pPr>
          </w:p>
        </w:tc>
      </w:tr>
      <w:tr w:rsidR="0017721C" w:rsidRPr="00CC242B" w:rsidTr="003464AE">
        <w:trPr>
          <w:trHeight w:val="20"/>
        </w:trPr>
        <w:tc>
          <w:tcPr>
            <w:tcW w:w="726" w:type="dxa"/>
            <w:vAlign w:val="center"/>
          </w:tcPr>
          <w:p w:rsidR="0017721C" w:rsidRPr="0017721C" w:rsidRDefault="0017721C" w:rsidP="0017721C">
            <w:pP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17.22</w:t>
            </w:r>
          </w:p>
        </w:tc>
        <w:tc>
          <w:tcPr>
            <w:tcW w:w="6912" w:type="dxa"/>
            <w:tcMar>
              <w:left w:w="108" w:type="dxa"/>
            </w:tcMar>
            <w:vAlign w:val="cente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I </w:t>
            </w:r>
            <w:r w:rsidRPr="0017721C">
              <w:rPr>
                <w:i/>
                <w:iCs/>
                <w:sz w:val="16"/>
                <w:szCs w:val="16"/>
                <w:lang w:val="it-IT"/>
              </w:rPr>
              <w:t xml:space="preserve">costi accessori del costo di acquisto di una partecipazione </w:t>
            </w:r>
            <w:r w:rsidRPr="0017721C">
              <w:rPr>
                <w:sz w:val="16"/>
                <w:szCs w:val="16"/>
                <w:lang w:val="it-IT"/>
              </w:rPr>
              <w:t>sono costituiti da costi direttamente imputabili all’operazione, quali, ad esempio, i costi di intermediazione bancaria e finanziaria, le commissioni, le spese e le imposte. Possono comprendere costi di consulenza corrisposti a professionisti per la predisposizione di contratti e di studi di convenienza all’acquisto.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vAlign w:val="center"/>
          </w:tcPr>
          <w:p w:rsidR="0017721C" w:rsidRPr="0017721C" w:rsidRDefault="0017721C" w:rsidP="0017721C">
            <w:pP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17.23</w:t>
            </w:r>
          </w:p>
        </w:tc>
        <w:tc>
          <w:tcPr>
            <w:tcW w:w="6912" w:type="dxa"/>
            <w:tcMar>
              <w:left w:w="108" w:type="dxa"/>
            </w:tcMar>
            <w:vAlign w:val="cente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Il </w:t>
            </w:r>
            <w:r w:rsidRPr="0017721C">
              <w:rPr>
                <w:i/>
                <w:iCs/>
                <w:sz w:val="16"/>
                <w:szCs w:val="16"/>
                <w:lang w:val="it-IT"/>
              </w:rPr>
              <w:t xml:space="preserve">metodo del patrimonio netto </w:t>
            </w:r>
            <w:r w:rsidRPr="0017721C">
              <w:rPr>
                <w:sz w:val="16"/>
                <w:szCs w:val="16"/>
                <w:lang w:val="it-IT"/>
              </w:rPr>
              <w:t>è il criterio di valutazione di una partecipazione di controllo o di collegamento con il quale il costo originario della partecipazione si modifica nei periodi successivi all’acquisizione della partecipazione per tener conto delle quote di pertinenza degli utili e delle perdite e di altre variazioni del patrimonio netto della partecipata.</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vAlign w:val="center"/>
          </w:tcPr>
          <w:p w:rsidR="0017721C" w:rsidRPr="0017721C" w:rsidRDefault="0017721C" w:rsidP="0017721C">
            <w:pP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17.24</w:t>
            </w:r>
          </w:p>
        </w:tc>
        <w:tc>
          <w:tcPr>
            <w:tcW w:w="6912" w:type="dxa"/>
            <w:tcMar>
              <w:left w:w="108" w:type="dxa"/>
            </w:tcMar>
            <w:vAlign w:val="cente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Similmente alla disciplina applicabile al bilancio d’esercizio (art. 2423, comma 4, c.c.), per il bilancio consolidato l’art. 29, comma 3</w:t>
            </w:r>
            <w:r w:rsidRPr="0017721C">
              <w:rPr>
                <w:i/>
                <w:iCs/>
                <w:sz w:val="16"/>
                <w:szCs w:val="16"/>
                <w:lang w:val="it-IT"/>
              </w:rPr>
              <w:t>-bis</w:t>
            </w:r>
            <w:r w:rsidRPr="0017721C">
              <w:rPr>
                <w:sz w:val="16"/>
                <w:szCs w:val="16"/>
                <w:lang w:val="it-IT"/>
              </w:rPr>
              <w:t>, del D.lgs. 127/1991 prevede che “</w:t>
            </w:r>
            <w:r w:rsidRPr="0017721C">
              <w:rPr>
                <w:i/>
                <w:iCs/>
                <w:sz w:val="16"/>
                <w:szCs w:val="16"/>
                <w:lang w:val="it-IT"/>
              </w:rPr>
              <w:t>non occorre</w:t>
            </w:r>
            <w:r w:rsidRPr="0017721C">
              <w:rPr>
                <w:sz w:val="16"/>
                <w:szCs w:val="16"/>
                <w:lang w:val="it-IT"/>
              </w:rPr>
              <w:t xml:space="preserve"> </w:t>
            </w:r>
            <w:r w:rsidRPr="0017721C">
              <w:rPr>
                <w:i/>
                <w:iCs/>
                <w:sz w:val="16"/>
                <w:szCs w:val="16"/>
                <w:lang w:val="it-IT"/>
              </w:rPr>
              <w:t>rispettare gli obblighi in tema di rilevazione, valutazione, presentazione, informativa e</w:t>
            </w:r>
            <w:r w:rsidRPr="0017721C">
              <w:rPr>
                <w:sz w:val="16"/>
                <w:szCs w:val="16"/>
                <w:lang w:val="it-IT"/>
              </w:rPr>
              <w:t xml:space="preserve"> </w:t>
            </w:r>
            <w:r w:rsidRPr="0017721C">
              <w:rPr>
                <w:i/>
                <w:iCs/>
                <w:sz w:val="16"/>
                <w:szCs w:val="16"/>
                <w:lang w:val="it-IT"/>
              </w:rPr>
              <w:t>consolidamento quando la loro osservanza abbia effetti irrilevanti al fine di dare una</w:t>
            </w:r>
            <w:r w:rsidRPr="0017721C">
              <w:rPr>
                <w:sz w:val="16"/>
                <w:szCs w:val="16"/>
                <w:lang w:val="it-IT"/>
              </w:rPr>
              <w:t xml:space="preserve"> </w:t>
            </w:r>
            <w:r w:rsidRPr="0017721C">
              <w:rPr>
                <w:i/>
                <w:iCs/>
                <w:sz w:val="16"/>
                <w:szCs w:val="16"/>
                <w:lang w:val="it-IT"/>
              </w:rPr>
              <w:t>rappresentazione veritiera e corretta. Rimangono fermi gli obblighi in tema di regolare tenuta</w:t>
            </w:r>
            <w:r w:rsidRPr="0017721C">
              <w:rPr>
                <w:sz w:val="16"/>
                <w:szCs w:val="16"/>
                <w:lang w:val="it-IT"/>
              </w:rPr>
              <w:t xml:space="preserve"> </w:t>
            </w:r>
            <w:r w:rsidRPr="0017721C">
              <w:rPr>
                <w:i/>
                <w:iCs/>
                <w:sz w:val="16"/>
                <w:szCs w:val="16"/>
                <w:lang w:val="it-IT"/>
              </w:rPr>
              <w:t>delle scritture contabili. Le società illustrano nella nota integrativa i criteri con i quali hanno</w:t>
            </w:r>
            <w:r w:rsidRPr="0017721C">
              <w:rPr>
                <w:sz w:val="16"/>
                <w:szCs w:val="16"/>
                <w:lang w:val="it-IT"/>
              </w:rPr>
              <w:t xml:space="preserve"> </w:t>
            </w:r>
            <w:r w:rsidRPr="0017721C">
              <w:rPr>
                <w:i/>
                <w:iCs/>
                <w:sz w:val="16"/>
                <w:szCs w:val="16"/>
                <w:lang w:val="it-IT"/>
              </w:rPr>
              <w:t>dato attuazione alla presente disposizione</w:t>
            </w:r>
            <w:r w:rsidRPr="0017721C">
              <w:rPr>
                <w:sz w:val="16"/>
                <w:szCs w:val="16"/>
                <w:lang w:val="it-IT"/>
              </w:rPr>
              <w:t xml:space="preserve">”. </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Per l’interpretazione del concetto di </w:t>
            </w:r>
            <w:r w:rsidRPr="0017721C">
              <w:rPr>
                <w:i/>
                <w:iCs/>
                <w:sz w:val="16"/>
                <w:szCs w:val="16"/>
                <w:lang w:val="it-IT"/>
              </w:rPr>
              <w:t xml:space="preserve">rilevanza </w:t>
            </w:r>
            <w:r w:rsidRPr="0017721C">
              <w:rPr>
                <w:sz w:val="16"/>
                <w:szCs w:val="16"/>
                <w:lang w:val="it-IT"/>
              </w:rPr>
              <w:t>si rimanda all’OIC 11 “Bilancio d’esercizio: finalità e postulati”, i cui principi sono applicati con riferimento ai saldi di bilancio e alle informazioni del gruppo nel suo complesso, come rappresentati nel bilancio consolidato. In via del tutto generale, si forniscono alcune indicazioni sui parametri che possono essere presi in considerazione in sede di applicazione degli aspetti quantitativi della nozione di rilevanza ai fini del bilancio consolidato. I seguenti parametri non assumono pertanto natura esaustiva rispetto ai parametri che potrebbe essere opportuno considerare nelle specifiche circostanze: a) l’indebitamento complessivo, b) il totale dell’attivo di stato patrimoniale, c) il totale del ricavi intesi (normalmente) come valore della produzione d) il risultato prima delle imposte.</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vAlign w:val="center"/>
          </w:tcPr>
          <w:p w:rsidR="0017721C" w:rsidRPr="0017721C" w:rsidRDefault="0017721C" w:rsidP="0017721C">
            <w:pP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 xml:space="preserve">Criteri generali per la redazione del bilancio consolidato </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Pr>
          <w:p w:rsidR="0017721C" w:rsidRPr="0017721C" w:rsidRDefault="0017721C" w:rsidP="0017721C">
            <w:pPr>
              <w:jc w:val="center"/>
              <w:rPr>
                <w:lang w:val="it-IT"/>
              </w:rPr>
            </w:pPr>
            <w:r w:rsidRPr="0017721C">
              <w:rPr>
                <w:b/>
                <w:lang w:val="it-IT"/>
              </w:rPr>
              <w:t>1)</w:t>
            </w:r>
          </w:p>
        </w:tc>
        <w:tc>
          <w:tcPr>
            <w:tcW w:w="836" w:type="dxa"/>
            <w:tcMar>
              <w:left w:w="108" w:type="dxa"/>
              <w:right w:w="0" w:type="dxa"/>
            </w:tcMar>
          </w:tcPr>
          <w:p w:rsidR="0017721C" w:rsidRPr="0017721C" w:rsidRDefault="0017721C" w:rsidP="0017721C">
            <w:pPr>
              <w:spacing w:before="40" w:line="240" w:lineRule="auto"/>
              <w:ind w:left="-57"/>
              <w:jc w:val="left"/>
              <w:rPr>
                <w:sz w:val="13"/>
                <w:szCs w:val="13"/>
              </w:rPr>
            </w:pPr>
            <w:r w:rsidRPr="0017721C">
              <w:rPr>
                <w:sz w:val="13"/>
                <w:szCs w:val="13"/>
              </w:rPr>
              <w:t>Art. 2423-bis, c.1, CC</w:t>
            </w:r>
          </w:p>
        </w:tc>
        <w:tc>
          <w:tcPr>
            <w:tcW w:w="6912" w:type="dxa"/>
            <w:tcMar>
              <w:left w:w="108" w:type="dxa"/>
            </w:tcMar>
            <w:vAlign w:val="center"/>
          </w:tcPr>
          <w:p w:rsidR="0017721C" w:rsidRPr="0017721C" w:rsidRDefault="0017721C" w:rsidP="009B6ABC">
            <w:pPr>
              <w:spacing w:line="240" w:lineRule="exact"/>
              <w:jc w:val="left"/>
              <w:rPr>
                <w:szCs w:val="22"/>
                <w:lang w:val="it-IT"/>
              </w:rPr>
            </w:pPr>
            <w:r w:rsidRPr="0017721C">
              <w:rPr>
                <w:lang w:val="it-IT"/>
              </w:rPr>
              <w:t>Nella redazione del bilancio sono stati seguiti i seguenti principi:</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840B93" w:rsidRDefault="00313E98" w:rsidP="009B6ABC">
            <w:pPr>
              <w:pStyle w:val="rientrotrattinook"/>
              <w:numPr>
                <w:ilvl w:val="0"/>
                <w:numId w:val="0"/>
              </w:numPr>
              <w:spacing w:line="240" w:lineRule="exact"/>
              <w:ind w:left="426" w:hanging="284"/>
            </w:pPr>
            <w:r>
              <w:t>-</w:t>
            </w:r>
            <w:r>
              <w:tab/>
            </w:r>
            <w:r w:rsidR="0017721C" w:rsidRPr="00840B93">
              <w:t xml:space="preserve">la valutazione delle voci deve essere fatta secondo prudenza e nella prospettiva della continuazione dell’attività, </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rPr>
            </w:pPr>
          </w:p>
        </w:tc>
        <w:tc>
          <w:tcPr>
            <w:tcW w:w="6912" w:type="dxa"/>
            <w:tcMar>
              <w:left w:w="108" w:type="dxa"/>
            </w:tcMar>
          </w:tcPr>
          <w:p w:rsidR="0017721C" w:rsidRPr="00E26C24" w:rsidRDefault="00313E98" w:rsidP="009B6ABC">
            <w:pPr>
              <w:pStyle w:val="rientrotrattinook"/>
              <w:numPr>
                <w:ilvl w:val="0"/>
                <w:numId w:val="0"/>
              </w:numPr>
              <w:spacing w:line="240" w:lineRule="exact"/>
              <w:ind w:left="426" w:hanging="284"/>
            </w:pPr>
            <w:r>
              <w:t>-</w:t>
            </w:r>
            <w:r>
              <w:tab/>
            </w:r>
            <w:r w:rsidR="0017721C" w:rsidRPr="00E26C24">
              <w:t>la rilevazione e la presentazione delle voci è effettuata tenendo conto della sostanza dell’operazione o del contratto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E26C24" w:rsidRDefault="00313E98" w:rsidP="009B6ABC">
            <w:pPr>
              <w:pStyle w:val="rientrotrattinook"/>
              <w:numPr>
                <w:ilvl w:val="0"/>
                <w:numId w:val="0"/>
              </w:numPr>
              <w:spacing w:line="240" w:lineRule="exact"/>
              <w:ind w:left="426" w:hanging="284"/>
            </w:pPr>
            <w:r>
              <w:t>-</w:t>
            </w:r>
            <w:r>
              <w:tab/>
            </w:r>
            <w:r w:rsidR="0017721C" w:rsidRPr="00E26C24">
              <w:t>si possono indicare esclusivamente gli utili realizzati alla data di chiusura dell’esercizio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E26C24" w:rsidRDefault="00313E98" w:rsidP="009B6ABC">
            <w:pPr>
              <w:pStyle w:val="rientrotrattinook"/>
              <w:numPr>
                <w:ilvl w:val="0"/>
                <w:numId w:val="0"/>
              </w:numPr>
              <w:spacing w:line="240" w:lineRule="exact"/>
              <w:ind w:left="426" w:hanging="284"/>
            </w:pPr>
            <w:r>
              <w:t>-</w:t>
            </w:r>
            <w:r>
              <w:tab/>
            </w:r>
            <w:r w:rsidR="0017721C" w:rsidRPr="00E26C24">
              <w:t>si deve tener conto dei proventi e degli oneri di competenza dell’esercizio, indipendentemente dalla data dell’incasso o del pagamento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E26C24" w:rsidRDefault="00313E98" w:rsidP="009B6ABC">
            <w:pPr>
              <w:pStyle w:val="rientrotrattinook"/>
              <w:numPr>
                <w:ilvl w:val="0"/>
                <w:numId w:val="0"/>
              </w:numPr>
              <w:spacing w:line="240" w:lineRule="exact"/>
              <w:ind w:left="426" w:hanging="284"/>
            </w:pPr>
            <w:r>
              <w:t>-</w:t>
            </w:r>
            <w:r>
              <w:tab/>
            </w:r>
            <w:r w:rsidR="0017721C" w:rsidRPr="00E26C24">
              <w:t>si deve tener conto dei rischi e delle perdite di competenza dell’esercizio, anche se conosciuti dopo la chiusura di questo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Art.35, c.2, D.Lgs.127/91</w:t>
            </w:r>
          </w:p>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Possono tuttavia essere utilizzati, dandone motivazione nella </w:t>
            </w:r>
            <w:r w:rsidR="005B7E0D">
              <w:rPr>
                <w:sz w:val="16"/>
                <w:szCs w:val="16"/>
                <w:lang w:val="it-IT"/>
              </w:rPr>
              <w:t>Nota Integrativa</w:t>
            </w:r>
            <w:r w:rsidRPr="0017721C">
              <w:rPr>
                <w:sz w:val="16"/>
                <w:szCs w:val="16"/>
                <w:lang w:val="it-IT"/>
              </w:rPr>
              <w:t>, altri criteri, purché ammessi dagli articoli. 2423 e seguenti del codice civile”.</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29.59</w:t>
            </w:r>
          </w:p>
        </w:tc>
        <w:tc>
          <w:tcPr>
            <w:tcW w:w="6912" w:type="dxa"/>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22"/>
                <w:lang w:val="it-IT"/>
              </w:rPr>
            </w:pPr>
            <w:r w:rsidRPr="0017721C">
              <w:rPr>
                <w:sz w:val="16"/>
                <w:szCs w:val="16"/>
                <w:lang w:val="it-IT"/>
              </w:rPr>
              <w:t>Si ricorda che i fatti successivi che devono essere recepiti nei valori di bilancio sono quei fatti che evidenziano condizioni già esistenti alla data di riferimento del bilancio, ma che si manifestano solo dopo la chiusura dell’esercizio e che richiedono modifiche ai valori delle attività e passività in bilancio, in conformità al postulato della competenza.</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rPr>
            </w:pPr>
            <w:r w:rsidRPr="0017721C">
              <w:rPr>
                <w:sz w:val="13"/>
                <w:szCs w:val="13"/>
              </w:rPr>
              <w:t>Art.34, D.Lgs.127/91</w:t>
            </w:r>
          </w:p>
        </w:tc>
        <w:tc>
          <w:tcPr>
            <w:tcW w:w="6912" w:type="dxa"/>
            <w:tcMar>
              <w:left w:w="108" w:type="dxa"/>
            </w:tcMar>
          </w:tcPr>
          <w:p w:rsidR="0017721C" w:rsidRPr="0017721C" w:rsidRDefault="00313E98" w:rsidP="00313E98">
            <w:pPr>
              <w:pStyle w:val="rientrotrattinook"/>
              <w:numPr>
                <w:ilvl w:val="0"/>
                <w:numId w:val="0"/>
              </w:numPr>
              <w:spacing w:line="230" w:lineRule="exact"/>
              <w:ind w:left="426" w:hanging="284"/>
            </w:pPr>
            <w:r>
              <w:t>-</w:t>
            </w:r>
            <w:r>
              <w:tab/>
            </w:r>
            <w:r w:rsidR="0017721C" w:rsidRPr="0017721C">
              <w:t>gli elementi eterogenei compresi nelle singole voci devono essere valutati separatamente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313E98" w:rsidP="00313E98">
            <w:pPr>
              <w:pStyle w:val="rientrotrattinook"/>
              <w:numPr>
                <w:ilvl w:val="0"/>
                <w:numId w:val="0"/>
              </w:numPr>
              <w:spacing w:line="230" w:lineRule="exact"/>
              <w:ind w:left="426" w:hanging="284"/>
            </w:pPr>
            <w:r>
              <w:t>-</w:t>
            </w:r>
            <w:r>
              <w:tab/>
            </w:r>
            <w:r w:rsidR="0017721C" w:rsidRPr="0017721C">
              <w:t>i criteri di valutazione non possono essere modificati da un esercizio all’altro?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rPr>
            </w:pPr>
            <w:r w:rsidRPr="0017721C">
              <w:rPr>
                <w:sz w:val="13"/>
                <w:szCs w:val="13"/>
              </w:rPr>
              <w:t>Art.34, c.2bis,   D.Lgs.127/91</w:t>
            </w:r>
          </w:p>
        </w:tc>
        <w:tc>
          <w:tcPr>
            <w:tcW w:w="6912" w:type="dxa"/>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22"/>
                <w:lang w:val="it-IT"/>
              </w:rPr>
            </w:pPr>
            <w:r w:rsidRPr="0017721C">
              <w:rPr>
                <w:sz w:val="16"/>
                <w:szCs w:val="16"/>
                <w:lang w:val="it-IT"/>
              </w:rPr>
              <w:t>Si ricorda che deroghe al principio di immodificabilità sono consentite in casi eccezionali.</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Pr>
          <w:p w:rsidR="0017721C" w:rsidRPr="0017721C" w:rsidRDefault="0017721C" w:rsidP="0017721C">
            <w:pPr>
              <w:jc w:val="center"/>
              <w:rPr>
                <w:lang w:val="it-IT"/>
              </w:rPr>
            </w:pPr>
            <w:r w:rsidRPr="0017721C">
              <w:rPr>
                <w:b/>
                <w:lang w:val="it-IT"/>
              </w:rPr>
              <w:t>2)</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Art.34, c.2bis, D.Lgs.127/91</w:t>
            </w:r>
          </w:p>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B971FE">
            <w:pPr>
              <w:spacing w:line="230" w:lineRule="exact"/>
              <w:rPr>
                <w:szCs w:val="22"/>
                <w:lang w:val="it-IT"/>
              </w:rPr>
            </w:pPr>
            <w:r w:rsidRPr="0017721C">
              <w:rPr>
                <w:lang w:val="it-IT"/>
              </w:rPr>
              <w:t xml:space="preserve">In caso di deroghe al principio di immodificabilità dei criteri di valutazione da un esercizio all’altro, la </w:t>
            </w:r>
            <w:r w:rsidR="005B7E0D">
              <w:rPr>
                <w:lang w:val="it-IT"/>
              </w:rPr>
              <w:t>Nota Integrativa</w:t>
            </w:r>
            <w:r w:rsidRPr="0017721C">
              <w:rPr>
                <w:lang w:val="it-IT"/>
              </w:rPr>
              <w:t xml:space="preserve"> riporta: </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313E98" w:rsidP="00313E98">
            <w:pPr>
              <w:pStyle w:val="rientrotrattinook"/>
              <w:numPr>
                <w:ilvl w:val="0"/>
                <w:numId w:val="0"/>
              </w:numPr>
              <w:spacing w:line="230" w:lineRule="exact"/>
              <w:ind w:left="426" w:hanging="284"/>
            </w:pPr>
            <w:r>
              <w:t>-</w:t>
            </w:r>
            <w:r>
              <w:tab/>
            </w:r>
            <w:r w:rsidR="0017721C" w:rsidRPr="0017721C">
              <w:t xml:space="preserve">i motivi della deroga, </w:t>
            </w:r>
            <w:r w:rsidR="00840B93">
              <w:t>e</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rPr>
            </w:pPr>
          </w:p>
        </w:tc>
        <w:tc>
          <w:tcPr>
            <w:tcW w:w="6912" w:type="dxa"/>
            <w:tcMar>
              <w:left w:w="108" w:type="dxa"/>
            </w:tcMar>
          </w:tcPr>
          <w:p w:rsidR="0017721C" w:rsidRPr="0017721C" w:rsidRDefault="00313E98" w:rsidP="00313E98">
            <w:pPr>
              <w:pStyle w:val="rientrotrattinook"/>
              <w:numPr>
                <w:ilvl w:val="0"/>
                <w:numId w:val="0"/>
              </w:numPr>
              <w:spacing w:line="230" w:lineRule="exact"/>
              <w:ind w:left="426" w:hanging="284"/>
            </w:pPr>
            <w:r>
              <w:t>-</w:t>
            </w:r>
            <w:r>
              <w:tab/>
            </w:r>
            <w:r w:rsidR="0017721C" w:rsidRPr="0017721C">
              <w:t>l’indicazione dell’influenza sulla rappresentazione patrimoniale e finanziaria e sul risultato economico?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390"/>
        </w:trPr>
        <w:tc>
          <w:tcPr>
            <w:tcW w:w="726" w:type="dxa"/>
          </w:tcPr>
          <w:p w:rsidR="0017721C" w:rsidRPr="0017721C" w:rsidRDefault="0017721C" w:rsidP="0017721C">
            <w:pPr>
              <w:jc w:val="center"/>
              <w:rPr>
                <w:lang w:val="it-IT"/>
              </w:rPr>
            </w:pPr>
            <w:r w:rsidRPr="0017721C">
              <w:rPr>
                <w:b/>
                <w:lang w:val="it-IT"/>
              </w:rPr>
              <w:t>3)</w:t>
            </w:r>
          </w:p>
        </w:tc>
        <w:tc>
          <w:tcPr>
            <w:tcW w:w="836" w:type="dxa"/>
            <w:tcMar>
              <w:left w:w="108" w:type="dxa"/>
              <w:right w:w="0" w:type="dxa"/>
            </w:tcMar>
          </w:tcPr>
          <w:p w:rsidR="0017721C" w:rsidRPr="0017721C" w:rsidRDefault="00B971FE" w:rsidP="00B971FE">
            <w:pPr>
              <w:spacing w:before="40" w:line="240" w:lineRule="auto"/>
              <w:ind w:left="-57"/>
              <w:jc w:val="left"/>
              <w:rPr>
                <w:sz w:val="13"/>
                <w:szCs w:val="13"/>
                <w:lang w:val="it-IT"/>
              </w:rPr>
            </w:pPr>
            <w:r>
              <w:rPr>
                <w:sz w:val="13"/>
                <w:szCs w:val="13"/>
                <w:lang w:val="it-IT"/>
              </w:rPr>
              <w:t>Art.34, c. 4, D.Lgs.127/91</w:t>
            </w:r>
          </w:p>
        </w:tc>
        <w:tc>
          <w:tcPr>
            <w:tcW w:w="6912" w:type="dxa"/>
            <w:tcMar>
              <w:left w:w="108" w:type="dxa"/>
            </w:tcMar>
          </w:tcPr>
          <w:p w:rsidR="0017721C" w:rsidRPr="0017721C" w:rsidRDefault="0017721C" w:rsidP="00B971FE">
            <w:pPr>
              <w:spacing w:line="240" w:lineRule="exact"/>
              <w:rPr>
                <w:szCs w:val="22"/>
                <w:lang w:val="it-IT"/>
              </w:rPr>
            </w:pPr>
            <w:r w:rsidRPr="0017721C">
              <w:rPr>
                <w:lang w:val="it-IT"/>
              </w:rPr>
              <w:t>Se, in casi eccezionali, l’applicazione di una disposizione di legge è incompatibile con la rappresentazione veritiera e corretta, si è derogato a tale disposizione?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CC242B" w:rsidTr="003464AE">
        <w:trPr>
          <w:trHeight w:val="20"/>
        </w:trPr>
        <w:tc>
          <w:tcPr>
            <w:tcW w:w="726" w:type="dxa"/>
            <w:vAlign w:val="center"/>
          </w:tcPr>
          <w:p w:rsidR="0017721C" w:rsidRPr="0017721C" w:rsidRDefault="0017721C" w:rsidP="0017721C">
            <w:pPr>
              <w:jc w:val="center"/>
              <w:rPr>
                <w:b/>
                <w:lang w:val="it-IT"/>
              </w:rPr>
            </w:pPr>
            <w:r w:rsidRPr="0017721C">
              <w:rPr>
                <w:b/>
                <w:lang w:val="it-IT"/>
              </w:rPr>
              <w:t>4)</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17.31                     OIC 11</w:t>
            </w:r>
          </w:p>
        </w:tc>
        <w:tc>
          <w:tcPr>
            <w:tcW w:w="6912" w:type="dxa"/>
            <w:tcMar>
              <w:left w:w="108" w:type="dxa"/>
            </w:tcMar>
            <w:vAlign w:val="center"/>
          </w:tcPr>
          <w:p w:rsidR="0017721C" w:rsidRPr="0017721C" w:rsidRDefault="0017721C" w:rsidP="000A0D66">
            <w:pPr>
              <w:spacing w:line="230" w:lineRule="exact"/>
              <w:rPr>
                <w:lang w:val="it-IT"/>
              </w:rPr>
            </w:pPr>
            <w:r w:rsidRPr="0017721C">
              <w:rPr>
                <w:lang w:val="it-IT"/>
              </w:rPr>
              <w:t>Nella redazione del bilancio consolidato sono stati inoltre seguiti i seguenti postulati:</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313E98" w:rsidP="00313E98">
            <w:pPr>
              <w:pStyle w:val="rientrotrattinook"/>
              <w:numPr>
                <w:ilvl w:val="0"/>
                <w:numId w:val="0"/>
              </w:numPr>
              <w:spacing w:line="230" w:lineRule="exact"/>
              <w:ind w:left="426" w:hanging="284"/>
            </w:pPr>
            <w:r>
              <w:t>-</w:t>
            </w:r>
            <w:r>
              <w:tab/>
            </w:r>
            <w:r w:rsidR="0017721C" w:rsidRPr="0017721C">
              <w:t>utilità del bilancio d'esercizio per i destinatari e completezza ell'informazione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313E98" w:rsidP="00313E98">
            <w:pPr>
              <w:pStyle w:val="rientrotrattinook"/>
              <w:numPr>
                <w:ilvl w:val="0"/>
                <w:numId w:val="0"/>
              </w:numPr>
              <w:spacing w:line="230" w:lineRule="exact"/>
              <w:ind w:left="426" w:hanging="284"/>
            </w:pPr>
            <w:r>
              <w:t>-</w:t>
            </w:r>
            <w:r>
              <w:tab/>
            </w:r>
            <w:r w:rsidR="0017721C" w:rsidRPr="0017721C">
              <w:t>prevalenza degli aspetti sostanziali su quelli formali</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313E98" w:rsidP="00313E98">
            <w:pPr>
              <w:pStyle w:val="rientrotrattinook"/>
              <w:numPr>
                <w:ilvl w:val="0"/>
                <w:numId w:val="0"/>
              </w:numPr>
              <w:spacing w:line="230" w:lineRule="exact"/>
              <w:ind w:left="426" w:hanging="284"/>
            </w:pPr>
            <w:r>
              <w:t>-</w:t>
            </w:r>
            <w:r>
              <w:tab/>
            </w:r>
            <w:r w:rsidR="0017721C" w:rsidRPr="0017721C">
              <w:t>comprensibilità (chiarezza)</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313E98" w:rsidP="00313E98">
            <w:pPr>
              <w:pStyle w:val="rientrotrattinook"/>
              <w:numPr>
                <w:ilvl w:val="0"/>
                <w:numId w:val="0"/>
              </w:numPr>
              <w:spacing w:line="230" w:lineRule="exact"/>
              <w:ind w:left="426" w:hanging="284"/>
            </w:pPr>
            <w:r>
              <w:t>-</w:t>
            </w:r>
            <w:r>
              <w:tab/>
            </w:r>
            <w:r w:rsidR="0017721C" w:rsidRPr="0017721C">
              <w:t>prudenza</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313E98" w:rsidP="00313E98">
            <w:pPr>
              <w:pStyle w:val="rientrotrattinook"/>
              <w:numPr>
                <w:ilvl w:val="0"/>
                <w:numId w:val="0"/>
              </w:numPr>
              <w:spacing w:line="230" w:lineRule="exact"/>
              <w:ind w:left="426" w:hanging="284"/>
            </w:pPr>
            <w:r>
              <w:t>-</w:t>
            </w:r>
            <w:r>
              <w:tab/>
            </w:r>
            <w:r w:rsidR="0017721C" w:rsidRPr="0017721C">
              <w:t>neutralità (imparzialità)</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313E98" w:rsidP="00313E98">
            <w:pPr>
              <w:pStyle w:val="rientrotrattinook"/>
              <w:numPr>
                <w:ilvl w:val="0"/>
                <w:numId w:val="0"/>
              </w:numPr>
              <w:spacing w:line="230" w:lineRule="exact"/>
              <w:ind w:left="426" w:hanging="284"/>
            </w:pPr>
            <w:r>
              <w:t>-</w:t>
            </w:r>
            <w:r>
              <w:tab/>
            </w:r>
            <w:r w:rsidR="0017721C" w:rsidRPr="0017721C">
              <w:t>periodicità della misurazione del risultato economico e del patrimonio aziendale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313E98" w:rsidP="00313E98">
            <w:pPr>
              <w:pStyle w:val="rientrotrattinook"/>
              <w:numPr>
                <w:ilvl w:val="0"/>
                <w:numId w:val="0"/>
              </w:numPr>
              <w:spacing w:line="230" w:lineRule="exact"/>
              <w:ind w:left="426" w:hanging="284"/>
            </w:pPr>
            <w:r>
              <w:t>-</w:t>
            </w:r>
            <w:r>
              <w:tab/>
            </w:r>
            <w:r w:rsidR="0017721C" w:rsidRPr="0017721C">
              <w:t>comparabilità</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313E98" w:rsidP="00313E98">
            <w:pPr>
              <w:pStyle w:val="rientrotrattinook"/>
              <w:numPr>
                <w:ilvl w:val="0"/>
                <w:numId w:val="0"/>
              </w:numPr>
              <w:spacing w:line="230" w:lineRule="exact"/>
              <w:ind w:left="426" w:hanging="284"/>
            </w:pPr>
            <w:r>
              <w:t>-</w:t>
            </w:r>
            <w:r>
              <w:tab/>
            </w:r>
            <w:r w:rsidR="0017721C" w:rsidRPr="0017721C">
              <w:t>omogeneità</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313E98" w:rsidP="00313E98">
            <w:pPr>
              <w:pStyle w:val="rientrotrattinook"/>
              <w:numPr>
                <w:ilvl w:val="0"/>
                <w:numId w:val="0"/>
              </w:numPr>
              <w:spacing w:line="230" w:lineRule="exact"/>
              <w:ind w:left="426" w:hanging="284"/>
            </w:pPr>
            <w:r>
              <w:t>-</w:t>
            </w:r>
            <w:r>
              <w:tab/>
            </w:r>
            <w:r w:rsidR="0017721C" w:rsidRPr="0017721C">
              <w:t>continuità (costanza) di applicazione dei principi contabili ed in particolare dei criteri di valutazione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313E98" w:rsidP="00313E98">
            <w:pPr>
              <w:pStyle w:val="rientrotrattinook"/>
              <w:numPr>
                <w:ilvl w:val="0"/>
                <w:numId w:val="0"/>
              </w:numPr>
              <w:spacing w:line="230" w:lineRule="exact"/>
              <w:ind w:left="426" w:hanging="284"/>
            </w:pPr>
            <w:r>
              <w:t>-</w:t>
            </w:r>
            <w:r>
              <w:tab/>
            </w:r>
            <w:r w:rsidR="0017721C" w:rsidRPr="0017721C">
              <w:t>competenza</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313E98" w:rsidP="00313E98">
            <w:pPr>
              <w:pStyle w:val="rientrotrattinook"/>
              <w:numPr>
                <w:ilvl w:val="0"/>
                <w:numId w:val="0"/>
              </w:numPr>
              <w:spacing w:line="230" w:lineRule="exact"/>
              <w:ind w:left="426" w:hanging="284"/>
            </w:pPr>
            <w:r>
              <w:t>-</w:t>
            </w:r>
            <w:r>
              <w:tab/>
            </w:r>
            <w:r w:rsidR="0017721C" w:rsidRPr="0017721C">
              <w:t>significatività e rilevanza dei fatti economici ai fini della loro presentazione in bilancio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313E98" w:rsidP="00313E98">
            <w:pPr>
              <w:pStyle w:val="rientrotrattinook"/>
              <w:numPr>
                <w:ilvl w:val="0"/>
                <w:numId w:val="0"/>
              </w:numPr>
              <w:spacing w:line="230" w:lineRule="exact"/>
              <w:ind w:left="426" w:hanging="284"/>
            </w:pPr>
            <w:r>
              <w:t>-</w:t>
            </w:r>
            <w:r>
              <w:tab/>
            </w:r>
            <w:r w:rsidR="0017721C" w:rsidRPr="0017721C">
              <w:t>costo come criterio base delle valutazioni di bilancio dell’impresa in funzionamento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313E98" w:rsidP="00313E98">
            <w:pPr>
              <w:pStyle w:val="rientrotrattinook"/>
              <w:numPr>
                <w:ilvl w:val="0"/>
                <w:numId w:val="0"/>
              </w:numPr>
              <w:spacing w:line="230" w:lineRule="exact"/>
              <w:ind w:left="426" w:hanging="284"/>
            </w:pPr>
            <w:r>
              <w:t>-</w:t>
            </w:r>
            <w:r>
              <w:tab/>
            </w:r>
            <w:r w:rsidR="0017721C" w:rsidRPr="0017721C">
              <w:t>conformità del complessivo procedimento di formazione del bilancio ai principi contabili</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313E98" w:rsidP="00313E98">
            <w:pPr>
              <w:pStyle w:val="rientrotrattinook"/>
              <w:numPr>
                <w:ilvl w:val="0"/>
                <w:numId w:val="0"/>
              </w:numPr>
              <w:spacing w:line="230" w:lineRule="exact"/>
              <w:ind w:left="426" w:hanging="284"/>
            </w:pPr>
            <w:r>
              <w:t>-</w:t>
            </w:r>
            <w:r>
              <w:tab/>
            </w:r>
            <w:r w:rsidR="0017721C" w:rsidRPr="0017721C">
              <w:t xml:space="preserve">funzione informativa e completezza della </w:t>
            </w:r>
            <w:r w:rsidR="005B7E0D">
              <w:t>Nota Integrativa</w:t>
            </w:r>
            <w:r w:rsidR="0017721C" w:rsidRPr="0017721C">
              <w:t xml:space="preserve"> al bilancio e delle altre informazioni necessarie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313E98" w:rsidP="00313E98">
            <w:pPr>
              <w:pStyle w:val="rientrotrattinook"/>
              <w:numPr>
                <w:ilvl w:val="0"/>
                <w:numId w:val="0"/>
              </w:numPr>
              <w:spacing w:line="230" w:lineRule="exact"/>
              <w:ind w:left="426" w:hanging="284"/>
            </w:pPr>
            <w:r>
              <w:t>-</w:t>
            </w:r>
            <w:r>
              <w:tab/>
            </w:r>
            <w:r w:rsidR="0017721C" w:rsidRPr="0017721C">
              <w:t>verificabilità dell’informazione?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r w:rsidRPr="0017721C">
              <w:rPr>
                <w:b/>
                <w:lang w:val="it-IT"/>
              </w:rPr>
              <w:t>5)</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Art.29, c. 3, D.Lgs.127/91</w:t>
            </w:r>
          </w:p>
        </w:tc>
        <w:tc>
          <w:tcPr>
            <w:tcW w:w="6912" w:type="dxa"/>
            <w:tcMar>
              <w:left w:w="108" w:type="dxa"/>
            </w:tcMar>
          </w:tcPr>
          <w:p w:rsidR="0017721C" w:rsidRPr="0017721C" w:rsidRDefault="0017721C" w:rsidP="0017721C">
            <w:pPr>
              <w:rPr>
                <w:lang w:val="it-IT"/>
              </w:rPr>
            </w:pPr>
            <w:r w:rsidRPr="0017721C">
              <w:rPr>
                <w:lang w:val="it-IT"/>
              </w:rPr>
              <w:t>Se le informazioni richieste da specifiche disposizioni di legge non sono sufficienti a dare una rappresentazione veritiera e corretta, sono state fornite le informazioni supplemenetari necessarie allo scopo?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r w:rsidRPr="0017721C">
              <w:rPr>
                <w:b/>
                <w:lang w:val="it-IT"/>
              </w:rPr>
              <w:t>6)</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Art.29, D.Lgs.127/91</w:t>
            </w:r>
          </w:p>
        </w:tc>
        <w:tc>
          <w:tcPr>
            <w:tcW w:w="6912" w:type="dxa"/>
            <w:tcMar>
              <w:left w:w="108" w:type="dxa"/>
            </w:tcMar>
          </w:tcPr>
          <w:p w:rsidR="0017721C" w:rsidRPr="0017721C" w:rsidRDefault="0017721C" w:rsidP="0017721C">
            <w:pPr>
              <w:rPr>
                <w:lang w:val="it-IT"/>
              </w:rPr>
            </w:pPr>
            <w:r w:rsidRPr="0017721C">
              <w:rPr>
                <w:lang w:val="it-IT"/>
              </w:rPr>
              <w:t xml:space="preserve">Se la società non ha rispettato gli obblighi in tema di rilevazione, valutazione, presentazione e informativa perché la loro osservanza ha avuto effetti irrilevanti al fine di dare una rappresentazione veritiera e corretta, Le società ha illustrato nella </w:t>
            </w:r>
            <w:r w:rsidR="005B7E0D">
              <w:rPr>
                <w:lang w:val="it-IT"/>
              </w:rPr>
              <w:t>Nota Integrativa</w:t>
            </w:r>
            <w:r w:rsidRPr="0017721C">
              <w:rPr>
                <w:lang w:val="it-IT"/>
              </w:rPr>
              <w:t xml:space="preserve"> i criteri con i quali ha dato attuazione alla presente disposizione?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7)</w:t>
            </w: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r w:rsidRPr="0017721C">
              <w:rPr>
                <w:sz w:val="13"/>
                <w:szCs w:val="13"/>
                <w:lang w:val="en-US"/>
              </w:rPr>
              <w:t xml:space="preserve">Art. 2423-ter, c.5, CC </w:t>
            </w:r>
          </w:p>
          <w:p w:rsidR="0017721C" w:rsidRPr="0017721C" w:rsidRDefault="0017721C" w:rsidP="0017721C">
            <w:pPr>
              <w:spacing w:before="40" w:line="240" w:lineRule="auto"/>
              <w:ind w:left="-57"/>
              <w:jc w:val="left"/>
              <w:rPr>
                <w:sz w:val="13"/>
                <w:szCs w:val="13"/>
                <w:lang w:val="en-US"/>
              </w:rPr>
            </w:pPr>
            <w:r w:rsidRPr="0017721C">
              <w:rPr>
                <w:sz w:val="13"/>
                <w:szCs w:val="13"/>
                <w:lang w:val="en-US"/>
              </w:rPr>
              <w:t>OIC 12.17</w:t>
            </w:r>
          </w:p>
        </w:tc>
        <w:tc>
          <w:tcPr>
            <w:tcW w:w="6912" w:type="dxa"/>
            <w:tcMar>
              <w:left w:w="108" w:type="dxa"/>
            </w:tcMar>
          </w:tcPr>
          <w:p w:rsidR="0017721C" w:rsidRPr="0017721C" w:rsidRDefault="0017721C" w:rsidP="0017721C">
            <w:pPr>
              <w:rPr>
                <w:lang w:val="it-IT"/>
              </w:rPr>
            </w:pPr>
            <w:r w:rsidRPr="0017721C">
              <w:rPr>
                <w:lang w:val="it-IT"/>
              </w:rPr>
              <w:t>Se le voci dello stato patrimoniale e del conto economico non sono comparabili, sono adattate quelle relative all’esercizio precedente?</w:t>
            </w:r>
          </w:p>
        </w:tc>
        <w:bookmarkStart w:id="1" w:name="_GoBack"/>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ed w:val="0"/>
                  </w:checkBox>
                </w:ffData>
              </w:fldChar>
            </w:r>
            <w:r w:rsidRPr="0017721C">
              <w:rPr>
                <w:lang w:val="it-IT"/>
              </w:rPr>
              <w:instrText xml:space="preserve"> FORMCHECKBOX </w:instrText>
            </w:r>
            <w:r w:rsidR="00CA1681">
              <w:fldChar w:fldCharType="separate"/>
            </w:r>
            <w:r w:rsidRPr="0017721C">
              <w:fldChar w:fldCharType="end"/>
            </w:r>
            <w:bookmarkEnd w:id="1"/>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ed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ed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8)</w:t>
            </w: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r w:rsidRPr="0017721C">
              <w:rPr>
                <w:sz w:val="13"/>
                <w:szCs w:val="13"/>
                <w:lang w:val="en-US"/>
              </w:rPr>
              <w:t xml:space="preserve">Art. 2423-ter, c.5, CC </w:t>
            </w:r>
          </w:p>
          <w:p w:rsidR="0017721C" w:rsidRPr="0017721C" w:rsidRDefault="0017721C" w:rsidP="0017721C">
            <w:pPr>
              <w:spacing w:before="40" w:line="240" w:lineRule="auto"/>
              <w:ind w:left="-57"/>
              <w:jc w:val="left"/>
              <w:rPr>
                <w:sz w:val="13"/>
                <w:szCs w:val="13"/>
                <w:lang w:val="en-US"/>
              </w:rPr>
            </w:pPr>
            <w:r w:rsidRPr="0017721C">
              <w:rPr>
                <w:sz w:val="13"/>
                <w:szCs w:val="13"/>
                <w:lang w:val="en-US"/>
              </w:rPr>
              <w:t xml:space="preserve"> OIC 12.17</w:t>
            </w:r>
          </w:p>
        </w:tc>
        <w:tc>
          <w:tcPr>
            <w:tcW w:w="6912" w:type="dxa"/>
            <w:tcMar>
              <w:left w:w="108" w:type="dxa"/>
            </w:tcMar>
          </w:tcPr>
          <w:p w:rsidR="0017721C" w:rsidRPr="0017721C" w:rsidRDefault="0017721C" w:rsidP="0017721C">
            <w:pPr>
              <w:rPr>
                <w:lang w:val="it-IT"/>
              </w:rPr>
            </w:pPr>
            <w:r w:rsidRPr="0017721C">
              <w:rPr>
                <w:lang w:val="it-IT"/>
              </w:rPr>
              <w:t xml:space="preserve">La non comparabilità e l’adattamento o l’impossibilità di adattamento sono segnalati e commentati nella </w:t>
            </w:r>
            <w:r w:rsidR="005B7E0D">
              <w:rPr>
                <w:lang w:val="it-IT"/>
              </w:rPr>
              <w:t>Nota Integrativa</w:t>
            </w:r>
            <w:r w:rsidRPr="0017721C">
              <w:rPr>
                <w:lang w:val="it-IT"/>
              </w:rPr>
              <w:t xml:space="preserve"> per ciascuna delle voci interessate?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9)</w:t>
            </w: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r w:rsidRPr="0017721C">
              <w:rPr>
                <w:sz w:val="13"/>
                <w:szCs w:val="13"/>
                <w:lang w:val="en-US"/>
              </w:rPr>
              <w:t xml:space="preserve">Art. 2423-ter, c.6, CC </w:t>
            </w:r>
          </w:p>
          <w:p w:rsidR="0017721C" w:rsidRPr="0017721C" w:rsidRDefault="0017721C" w:rsidP="0017721C">
            <w:pPr>
              <w:spacing w:before="40" w:line="240" w:lineRule="auto"/>
              <w:ind w:left="-57"/>
              <w:jc w:val="left"/>
              <w:rPr>
                <w:sz w:val="13"/>
                <w:szCs w:val="13"/>
                <w:lang w:val="en-US"/>
              </w:rPr>
            </w:pPr>
            <w:r w:rsidRPr="0017721C">
              <w:rPr>
                <w:sz w:val="13"/>
                <w:szCs w:val="13"/>
                <w:lang w:val="en-US"/>
              </w:rPr>
              <w:t>OIC 12.18</w:t>
            </w:r>
          </w:p>
        </w:tc>
        <w:tc>
          <w:tcPr>
            <w:tcW w:w="6912" w:type="dxa"/>
            <w:tcMar>
              <w:left w:w="108" w:type="dxa"/>
            </w:tcMar>
          </w:tcPr>
          <w:p w:rsidR="0017721C" w:rsidRPr="0017721C" w:rsidRDefault="0017721C" w:rsidP="0017721C">
            <w:pPr>
              <w:rPr>
                <w:lang w:val="it-IT"/>
              </w:rPr>
            </w:pPr>
            <w:r w:rsidRPr="0017721C">
              <w:rPr>
                <w:lang w:val="it-IT"/>
              </w:rPr>
              <w:t>E’ rispettato il divieto di effettuare compensi di partite non espressamente previsti da disposizioni legislative o contrattuali?</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Criteri di redazione del bilancio consolidato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utlineLvl w:val="2"/>
              <w:rPr>
                <w:b/>
                <w:bCs/>
                <w:i/>
                <w:lang w:val="it-IT"/>
              </w:rPr>
            </w:pPr>
            <w:bookmarkStart w:id="2" w:name="_Toc265589738"/>
            <w:bookmarkStart w:id="3" w:name="_Toc311136481"/>
            <w:r w:rsidRPr="0017721C">
              <w:rPr>
                <w:b/>
                <w:bCs/>
                <w:i/>
                <w:lang w:val="it-IT"/>
              </w:rPr>
              <w:t>La determinazione dell’area di consolidamento</w:t>
            </w:r>
            <w:bookmarkEnd w:id="2"/>
            <w:bookmarkEnd w:id="3"/>
            <w:r w:rsidRPr="0017721C">
              <w:rPr>
                <w:b/>
                <w:bCs/>
                <w:i/>
                <w:lang w:val="it-IT"/>
              </w:rPr>
              <w:t xml:space="preserve">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10)</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Art. 26,     D.Lgs. 127/91          OIC 17.38</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 xml:space="preserve">Ai fini del consolidamento, sono state considerate società controllate quelle in cui direttamente o indirettamente, si dispone: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Art. 2359, c. 1, n. 1, CC</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313E98" w:rsidP="00313E98">
            <w:pPr>
              <w:pStyle w:val="rientrotrattinook"/>
              <w:numPr>
                <w:ilvl w:val="0"/>
                <w:numId w:val="0"/>
              </w:numPr>
              <w:ind w:left="426" w:hanging="284"/>
            </w:pPr>
            <w:r>
              <w:t>-</w:t>
            </w:r>
            <w:r>
              <w:tab/>
            </w:r>
            <w:r w:rsidR="0017721C" w:rsidRPr="0017721C">
              <w:t xml:space="preserve">della maggioranza dei voti esercitabili </w:t>
            </w:r>
            <w:r w:rsidR="0017721C" w:rsidRPr="0017721C">
              <w:tab/>
              <w:t>nell’assemblea ordinaria (controllo “di diritto”)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Art. 2359, c. 1, n. 2, CC</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313E98" w:rsidP="00313E98">
            <w:pPr>
              <w:pStyle w:val="rientrotrattinook"/>
              <w:numPr>
                <w:ilvl w:val="0"/>
                <w:numId w:val="0"/>
              </w:numPr>
              <w:ind w:left="426" w:hanging="284"/>
            </w:pPr>
            <w:r>
              <w:t>-</w:t>
            </w:r>
            <w:r>
              <w:tab/>
            </w:r>
            <w:r w:rsidR="0017721C" w:rsidRPr="0017721C">
              <w:t xml:space="preserve">di voti sufficienti per esercitare </w:t>
            </w:r>
            <w:r w:rsidR="0017721C" w:rsidRPr="0017721C">
              <w:tab/>
              <w:t xml:space="preserve">un’influenza </w:t>
            </w:r>
            <w:r w:rsidR="0017721C" w:rsidRPr="0017721C">
              <w:tab/>
              <w:t>dominante nell’assemblea ordinaria (controllo “di fatto”)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Art. 26, c. 2 a), D.Lgs. 127/91</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313E98" w:rsidP="00313E98">
            <w:pPr>
              <w:pStyle w:val="rientrotrattinook"/>
              <w:numPr>
                <w:ilvl w:val="0"/>
                <w:numId w:val="0"/>
              </w:numPr>
              <w:ind w:left="426" w:hanging="284"/>
            </w:pPr>
            <w:r>
              <w:t>-</w:t>
            </w:r>
            <w:r>
              <w:tab/>
            </w:r>
            <w:r w:rsidR="0017721C" w:rsidRPr="0017721C">
              <w:t>del diritto, in virtù di un contratto o di una clausola statutaria, di esercitare un’influenza dominante, quando la legge applicabile consente tali contratti o clausole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Art. 26, c. 2 b), D.Lgs. 127/91</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313E98" w:rsidP="00313E98">
            <w:pPr>
              <w:pStyle w:val="rientrotrattinook"/>
              <w:numPr>
                <w:ilvl w:val="0"/>
                <w:numId w:val="0"/>
              </w:numPr>
              <w:ind w:left="426" w:hanging="284"/>
            </w:pPr>
            <w:r>
              <w:t>-</w:t>
            </w:r>
            <w:r>
              <w:tab/>
            </w:r>
            <w:r w:rsidR="0017721C" w:rsidRPr="0017721C">
              <w:t xml:space="preserve">della maggioranza dei diritti di voto, in base ad accordi con altri soci?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Art. 26, c. 2 a), D.Lgs. 127/91</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Al fine dell’applicazione dei numeri 1 e 2 del primo comma dell’art. 2359 CC., si considerano anche i voti spettanti a società controllate, a società fiduciarie e a persona interposta; non si computano i voti spettanti per conto di terzi.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13E98">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11)</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Art. 28,      D.Lgs. 127/91         OIC 17.39</w:t>
            </w:r>
          </w:p>
        </w:tc>
        <w:tc>
          <w:tcPr>
            <w:tcW w:w="6912"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313E98">
            <w:pPr>
              <w:jc w:val="left"/>
              <w:rPr>
                <w:lang w:val="it-IT"/>
              </w:rPr>
            </w:pPr>
            <w:r w:rsidRPr="0017721C">
              <w:rPr>
                <w:lang w:val="it-IT"/>
              </w:rPr>
              <w:t xml:space="preserve">Sono state facoltativamente escluse dal consolidamento le imprese controllate per le quali: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17.39 a)</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313E98">
            <w:pPr>
              <w:pStyle w:val="rientrotrattinook"/>
              <w:tabs>
                <w:tab w:val="clear" w:pos="704"/>
              </w:tabs>
              <w:ind w:left="426" w:hanging="284"/>
            </w:pPr>
            <w:r w:rsidRPr="0017721C">
              <w:t>l</w:t>
            </w:r>
            <w:r w:rsidRPr="00840B93">
              <w:rPr>
                <w:rStyle w:val="rientrotrattinookCarattere"/>
              </w:rPr>
              <w:t>’inclusione sia irrilevante ai fini della rappresentazione veritiera e corretta della situazione patrimoniale e finanziaria e del risultato economico del gruppo?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17.39 a)</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190" w:lineRule="exact"/>
              <w:ind w:left="57" w:right="57"/>
              <w:rPr>
                <w:sz w:val="16"/>
                <w:szCs w:val="16"/>
                <w:lang w:val="it-IT"/>
              </w:rPr>
            </w:pPr>
            <w:r w:rsidRPr="0017721C">
              <w:rPr>
                <w:sz w:val="16"/>
                <w:szCs w:val="16"/>
                <w:lang w:val="it-IT"/>
              </w:rPr>
              <w:t>Si ricorda che si procede tuttavia al consolidamento nel caso in cui più controllate, singolarmente irrilevanti ai fini della corretta rappresentazione del gruppo nel suo complesso, complessivamente considerate non siano più irrilevanti ai fini della rappresentazione stessa.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17.39 b)</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313E98">
            <w:pPr>
              <w:pStyle w:val="rientrotrattinook"/>
              <w:tabs>
                <w:tab w:val="clear" w:pos="704"/>
              </w:tabs>
              <w:ind w:left="426" w:hanging="284"/>
            </w:pPr>
            <w:r w:rsidRPr="0017721C">
              <w:t xml:space="preserve">l’esercizio effettivo dei diritti della controllante sia soggetto a gravi e durature restrizioni?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17.39 c)</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313E98">
            <w:pPr>
              <w:pStyle w:val="rientrotrattinook"/>
              <w:tabs>
                <w:tab w:val="clear" w:pos="704"/>
              </w:tabs>
              <w:ind w:left="426" w:hanging="284"/>
            </w:pPr>
            <w:r w:rsidRPr="0017721C">
              <w:t>non sia possibile ottenere tempestivamente le informazioni necessarie al consolidamento in tempi ragionevoli e senza spese sproporzionate, solo in casi eccezionali?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17.39 d)</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313E98">
            <w:pPr>
              <w:pStyle w:val="rientrotrattinook"/>
              <w:tabs>
                <w:tab w:val="clear" w:pos="704"/>
              </w:tabs>
              <w:ind w:left="426" w:hanging="284"/>
            </w:pPr>
            <w:r w:rsidRPr="0017721C">
              <w:t>le azioni o quote possedute siano destinate fin dall’inizio a una successiva alienazione?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0A0D66">
            <w:pPr>
              <w:pageBreakBefore/>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0A0D66">
            <w:pPr>
              <w:pageBreakBefore/>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0A0D66">
            <w:pPr>
              <w:pageBreakBefore/>
              <w:outlineLvl w:val="2"/>
              <w:rPr>
                <w:b/>
                <w:bCs/>
                <w:i/>
                <w:lang w:val="it-IT"/>
              </w:rPr>
            </w:pPr>
            <w:r w:rsidRPr="0017721C">
              <w:rPr>
                <w:b/>
                <w:bCs/>
                <w:i/>
                <w:lang w:val="it-IT"/>
              </w:rPr>
              <w:t>Principi contabili di gruppo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0A0D66">
            <w:pPr>
              <w:pageBreakBefore/>
              <w:jc w:val="cente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0A0D66">
            <w:pPr>
              <w:pageBreakBefore/>
              <w:jc w:val="cente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0A0D66">
            <w:pPr>
              <w:pageBreakBefore/>
              <w:jc w:val="cente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rPr>
              <w:t>12)</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Art. 34, c. 1,             D.Lgs. 127/91                OIC 17.40</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E1EEF">
            <w:pPr>
              <w:spacing w:line="230" w:lineRule="exact"/>
              <w:rPr>
                <w:lang w:val="it-IT"/>
              </w:rPr>
            </w:pPr>
            <w:r w:rsidRPr="0017721C">
              <w:rPr>
                <w:lang w:val="it-IT"/>
              </w:rPr>
              <w:t xml:space="preserve">I bilanci delle imprese incluse nell’area di consolidamento sono stati redatti con principi contabili e criteri di valutazione uniformi?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rPr>
              <w:t>13)</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Art. 34, c. 2,              D.Lgs. 127/91               OIC 17.41</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E1EEF">
            <w:pPr>
              <w:spacing w:line="230" w:lineRule="exact"/>
              <w:rPr>
                <w:lang w:val="it-IT"/>
              </w:rPr>
            </w:pPr>
            <w:r w:rsidRPr="0017721C">
              <w:rPr>
                <w:lang w:val="it-IT"/>
              </w:rPr>
              <w:t>Nei casi in cui i principi contabili adottati nei bilanci della controllante e delle partecipate, pur essendo corretti, non siano omogenei tra loro, l’omogeneità o armonizzazione è stata effettuata nei bilanci d’esercizio delle singole imprese?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EE1EEF">
            <w:pPr>
              <w:widowControl w:val="0"/>
              <w:jc w:val="center"/>
              <w:rPr>
                <w:b/>
                <w:lang w:val="it-IT"/>
              </w:rPr>
            </w:pPr>
            <w:r w:rsidRPr="0017721C">
              <w:rPr>
                <w:b/>
              </w:rPr>
              <w:t>14)</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EE1EEF">
            <w:pPr>
              <w:widowControl w:val="0"/>
              <w:spacing w:before="40" w:line="240" w:lineRule="auto"/>
              <w:ind w:left="-57"/>
              <w:jc w:val="left"/>
              <w:rPr>
                <w:sz w:val="13"/>
                <w:szCs w:val="13"/>
                <w:lang w:val="en-US"/>
              </w:rPr>
            </w:pPr>
            <w:r w:rsidRPr="0017721C">
              <w:rPr>
                <w:sz w:val="13"/>
                <w:szCs w:val="13"/>
                <w:lang w:val="en-US"/>
              </w:rPr>
              <w:t>OIC 17.41</w:t>
            </w:r>
          </w:p>
          <w:p w:rsidR="0017721C" w:rsidRPr="0017721C" w:rsidRDefault="0017721C" w:rsidP="00EE1EEF">
            <w:pPr>
              <w:widowControl w:val="0"/>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E1EEF">
            <w:pPr>
              <w:widowControl w:val="0"/>
              <w:spacing w:line="230" w:lineRule="exact"/>
              <w:rPr>
                <w:lang w:val="it-IT"/>
              </w:rPr>
            </w:pPr>
            <w:r w:rsidRPr="0017721C">
              <w:rPr>
                <w:lang w:val="it-IT"/>
              </w:rPr>
              <w:t>Qualora l’omogeneità o l’armonizzazione non siano state effettuate o non risultino fattibili nei bilanci d’esercizio delle singole imprese, sono apportate le necessarie rettifiche in sede di consolidamento per riflettere i principi contabili adottati dalla controllante riflessi nel suo bilancio d’esercizio, se essa rappresenta la parte preponderante del gruppo, ovvero adottati dalle maggiori imprese del gruppo se la controllante da sola rappresenta una parte minoritaria del gruppo?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EE1EEF">
            <w:pPr>
              <w:widowControl w:val="0"/>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EE1EEF">
            <w:pPr>
              <w:widowControl w:val="0"/>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EE1EEF">
            <w:pPr>
              <w:widowControl w:val="0"/>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rPr>
              <w:t>15)</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Art.34 c.2-</w:t>
            </w:r>
            <w:r w:rsidRPr="0017721C">
              <w:rPr>
                <w:i/>
                <w:sz w:val="13"/>
                <w:szCs w:val="13"/>
                <w:lang w:val="en-US"/>
              </w:rPr>
              <w:t>bis</w:t>
            </w:r>
            <w:r w:rsidRPr="0017721C">
              <w:rPr>
                <w:sz w:val="13"/>
                <w:szCs w:val="13"/>
                <w:lang w:val="en-US"/>
              </w:rPr>
              <w:t>, D.Lgs. 127/91                           OIC 17.42</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E1EEF">
            <w:pPr>
              <w:spacing w:line="230" w:lineRule="exact"/>
              <w:rPr>
                <w:lang w:val="it-IT"/>
              </w:rPr>
            </w:pPr>
            <w:r w:rsidRPr="0017721C">
              <w:rPr>
                <w:lang w:val="it-IT"/>
              </w:rPr>
              <w:t>Nei casi eccezionali in cui si è derogato al principio della uniformità dei criteri di valutazione di gruppo, ciò è stato fatto in quanto più idoneo a realizzare l’obiettivo della rappresentazione veritiera e corretta della situazione patrimoniale, finanziaria ed economica del gruppo?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rPr>
              <w:t>16)</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Art. 34, c.2-</w:t>
            </w:r>
            <w:r w:rsidRPr="0017721C">
              <w:rPr>
                <w:i/>
                <w:sz w:val="13"/>
                <w:szCs w:val="13"/>
                <w:lang w:val="en-US"/>
              </w:rPr>
              <w:t>bis</w:t>
            </w:r>
            <w:r w:rsidRPr="0017721C">
              <w:rPr>
                <w:sz w:val="13"/>
                <w:szCs w:val="13"/>
                <w:lang w:val="en-US"/>
              </w:rPr>
              <w:t>, D.Lgs. 127/91                           OIC 17.42</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E1EEF">
            <w:pPr>
              <w:spacing w:line="230" w:lineRule="exact"/>
              <w:rPr>
                <w:lang w:val="it-IT"/>
              </w:rPr>
            </w:pPr>
            <w:r w:rsidRPr="0017721C">
              <w:rPr>
                <w:lang w:val="it-IT"/>
              </w:rPr>
              <w:t xml:space="preserve">Nella circostanza di cui al punto precedente, la </w:t>
            </w:r>
            <w:r w:rsidR="005B7E0D">
              <w:rPr>
                <w:lang w:val="it-IT"/>
              </w:rPr>
              <w:t>Nota Integrativa</w:t>
            </w:r>
            <w:r w:rsidRPr="0017721C">
              <w:rPr>
                <w:lang w:val="it-IT"/>
              </w:rPr>
              <w:t xml:space="preserve"> del bilancio consolidato indica e motiva le difformità nei principi contabili?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rPr>
              <w:t>17)</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17.42</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E1EEF">
            <w:pPr>
              <w:spacing w:line="230" w:lineRule="exact"/>
              <w:rPr>
                <w:lang w:val="it-IT"/>
              </w:rPr>
            </w:pPr>
            <w:r w:rsidRPr="0017721C">
              <w:rPr>
                <w:lang w:val="it-IT"/>
              </w:rPr>
              <w:t>Se irrilevanti, ci si è avvalsi della facoltà di non riflettere gli effetti della difformità nei principi contabili adottati da una o più controllate?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rPr>
              <w:t>18)</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rPr>
            </w:pPr>
            <w:r w:rsidRPr="0017721C">
              <w:rPr>
                <w:sz w:val="13"/>
                <w:szCs w:val="13"/>
                <w:lang w:val="en-US"/>
              </w:rPr>
              <w:t>Art. 35, c. 1,              D.Lgs. 127/91                OIC 17.43</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E1EEF">
            <w:pPr>
              <w:spacing w:line="230" w:lineRule="exact"/>
              <w:rPr>
                <w:lang w:val="it-IT"/>
              </w:rPr>
            </w:pPr>
            <w:r w:rsidRPr="0017721C">
              <w:rPr>
                <w:lang w:val="it-IT"/>
              </w:rPr>
              <w:t>I criteri di valutazione sono quelli utilizzati dalla società controllante per il proprio bilancio d’esercizio?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r w:rsidRPr="0017721C">
              <w:rPr>
                <w:b/>
              </w:rPr>
              <w:t>19)</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Art. 35, c. 2, D.Lgs. 127/91</w:t>
            </w:r>
          </w:p>
        </w:tc>
        <w:tc>
          <w:tcPr>
            <w:tcW w:w="6912" w:type="dxa"/>
            <w:tcMar>
              <w:left w:w="108" w:type="dxa"/>
            </w:tcMar>
          </w:tcPr>
          <w:p w:rsidR="0017721C" w:rsidRPr="0017721C" w:rsidRDefault="0017721C" w:rsidP="00EE1EEF">
            <w:pPr>
              <w:spacing w:line="230" w:lineRule="exact"/>
              <w:rPr>
                <w:lang w:val="it-IT"/>
              </w:rPr>
            </w:pPr>
            <w:r w:rsidRPr="0017721C">
              <w:rPr>
                <w:lang w:val="it-IT"/>
              </w:rPr>
              <w:t>Nel caso siano stati utilizzati criteri diversi rispetto a quelli utilizzati dalla società controllante per il proprio bilancio d’esercizio: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AA2043" w:rsidP="00EE1EEF">
            <w:pPr>
              <w:overflowPunct/>
              <w:autoSpaceDE/>
              <w:autoSpaceDN/>
              <w:adjustRightInd/>
              <w:spacing w:line="230" w:lineRule="exact"/>
              <w:ind w:left="317" w:hanging="283"/>
              <w:textAlignment w:val="auto"/>
              <w:rPr>
                <w:lang w:val="it-IT"/>
              </w:rPr>
            </w:pPr>
            <w:r>
              <w:rPr>
                <w:lang w:val="it-IT"/>
              </w:rPr>
              <w:t>-</w:t>
            </w:r>
            <w:r>
              <w:rPr>
                <w:lang w:val="it-IT"/>
              </w:rPr>
              <w:tab/>
            </w:r>
            <w:r w:rsidR="0017721C" w:rsidRPr="0017721C">
              <w:rPr>
                <w:lang w:val="it-IT"/>
              </w:rPr>
              <w:t>tali criteri sono ammessi dagli artt. 2423 e seguenti del codice civile, e</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AA2043" w:rsidP="00EE1EEF">
            <w:pPr>
              <w:overflowPunct/>
              <w:autoSpaceDE/>
              <w:autoSpaceDN/>
              <w:adjustRightInd/>
              <w:spacing w:line="230" w:lineRule="exact"/>
              <w:ind w:left="317" w:hanging="283"/>
              <w:textAlignment w:val="auto"/>
              <w:rPr>
                <w:lang w:val="it-IT"/>
              </w:rPr>
            </w:pPr>
            <w:r>
              <w:rPr>
                <w:lang w:val="it-IT"/>
              </w:rPr>
              <w:t>-</w:t>
            </w:r>
            <w:r>
              <w:rPr>
                <w:lang w:val="it-IT"/>
              </w:rPr>
              <w:tab/>
            </w:r>
            <w:r w:rsidR="0017721C" w:rsidRPr="0017721C">
              <w:rPr>
                <w:lang w:val="it-IT"/>
              </w:rPr>
              <w:t xml:space="preserve">nella </w:t>
            </w:r>
            <w:r w:rsidR="005B7E0D">
              <w:rPr>
                <w:lang w:val="it-IT"/>
              </w:rPr>
              <w:t>Nota Integrativa</w:t>
            </w:r>
            <w:r w:rsidR="0017721C" w:rsidRPr="0017721C">
              <w:rPr>
                <w:lang w:val="it-IT"/>
              </w:rPr>
              <w:t xml:space="preserve"> è stata data la motivazione del loro utilizzo?</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20)</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17.43</w:t>
            </w:r>
          </w:p>
        </w:tc>
        <w:tc>
          <w:tcPr>
            <w:tcW w:w="6912" w:type="dxa"/>
            <w:tcMar>
              <w:left w:w="108" w:type="dxa"/>
            </w:tcMar>
          </w:tcPr>
          <w:p w:rsidR="0017721C" w:rsidRPr="0017721C" w:rsidRDefault="0017721C" w:rsidP="00EE1EEF">
            <w:pPr>
              <w:spacing w:line="230" w:lineRule="exact"/>
              <w:rPr>
                <w:lang w:val="it-IT"/>
              </w:rPr>
            </w:pPr>
            <w:r w:rsidRPr="0017721C">
              <w:rPr>
                <w:lang w:val="it-IT"/>
              </w:rPr>
              <w:t>Se alcuni elementi patrimoniali del bilancio consolidato non sono presenti nel bilancio della società controllante sono stati adottati criteri di valutazione utilizzati dalla maggior parte delle imprese controllate?</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21)</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17.43</w:t>
            </w:r>
          </w:p>
        </w:tc>
        <w:tc>
          <w:tcPr>
            <w:tcW w:w="6912" w:type="dxa"/>
            <w:tcMar>
              <w:left w:w="108" w:type="dxa"/>
            </w:tcMar>
          </w:tcPr>
          <w:p w:rsidR="0017721C" w:rsidRPr="0017721C" w:rsidRDefault="0017721C" w:rsidP="00EE1EEF">
            <w:pPr>
              <w:spacing w:line="230" w:lineRule="exact"/>
              <w:rPr>
                <w:lang w:val="it-IT"/>
              </w:rPr>
            </w:pPr>
            <w:r w:rsidRPr="0017721C">
              <w:rPr>
                <w:lang w:val="it-IT"/>
              </w:rPr>
              <w:t xml:space="preserve">Qualora i rispettivi principi contabili consentano l’utilizzo di criteri alternativi, è stato utilizzato quello più idoneo, fra quelli utilizzati dalle controllate, per ottenere una rappresentazione veritiera e corretta? </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22)</w:t>
            </w:r>
          </w:p>
        </w:tc>
        <w:tc>
          <w:tcPr>
            <w:tcW w:w="836" w:type="dxa"/>
            <w:tcMar>
              <w:left w:w="108" w:type="dxa"/>
              <w:right w:w="0" w:type="dxa"/>
            </w:tcMar>
          </w:tcPr>
          <w:p w:rsidR="0017721C" w:rsidRPr="0017721C" w:rsidRDefault="0017721C" w:rsidP="0017721C">
            <w:pPr>
              <w:spacing w:before="40" w:line="240" w:lineRule="auto"/>
              <w:ind w:left="-57"/>
              <w:jc w:val="left"/>
              <w:rPr>
                <w:sz w:val="13"/>
                <w:szCs w:val="13"/>
              </w:rPr>
            </w:pPr>
            <w:r w:rsidRPr="0017721C">
              <w:rPr>
                <w:sz w:val="13"/>
                <w:szCs w:val="13"/>
                <w:lang w:val="en-US"/>
              </w:rPr>
              <w:t>Art. 29, c. 5, D.Lgs. 127/91 OIC 17.44</w:t>
            </w:r>
          </w:p>
        </w:tc>
        <w:tc>
          <w:tcPr>
            <w:tcW w:w="6912" w:type="dxa"/>
            <w:tcMar>
              <w:left w:w="108" w:type="dxa"/>
            </w:tcMar>
          </w:tcPr>
          <w:p w:rsidR="0017721C" w:rsidRPr="0017721C" w:rsidRDefault="0017721C" w:rsidP="00EE1EEF">
            <w:pPr>
              <w:spacing w:line="230" w:lineRule="exact"/>
              <w:rPr>
                <w:lang w:val="it-IT"/>
              </w:rPr>
            </w:pPr>
            <w:r w:rsidRPr="0017721C">
              <w:rPr>
                <w:lang w:val="it-IT"/>
              </w:rPr>
              <w:t>Le modalità di redazione dello stato patrimoniale e del conto economico consolidati, la struttura e il contenuto degli stessi e i criteri di valutazione sono stati mantenuti costanti nel tempo, se non in casi eccezionali?</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r w:rsidRPr="0017721C">
              <w:rPr>
                <w:b/>
              </w:rPr>
              <w:t>23)</w:t>
            </w:r>
          </w:p>
        </w:tc>
        <w:tc>
          <w:tcPr>
            <w:tcW w:w="836" w:type="dxa"/>
            <w:tcMar>
              <w:left w:w="108" w:type="dxa"/>
              <w:right w:w="0" w:type="dxa"/>
            </w:tcMar>
          </w:tcPr>
          <w:p w:rsidR="0017721C" w:rsidRPr="0017721C" w:rsidRDefault="0017721C" w:rsidP="0017721C">
            <w:pPr>
              <w:spacing w:before="40" w:line="240" w:lineRule="auto"/>
              <w:ind w:left="-57"/>
              <w:jc w:val="left"/>
              <w:rPr>
                <w:sz w:val="13"/>
                <w:szCs w:val="13"/>
              </w:rPr>
            </w:pPr>
            <w:r w:rsidRPr="0017721C">
              <w:rPr>
                <w:sz w:val="13"/>
                <w:szCs w:val="13"/>
                <w:lang w:val="en-US"/>
              </w:rPr>
              <w:t>Art. 29, c. 5 D.Lgs. 127/91 OIC 17.44</w:t>
            </w:r>
          </w:p>
        </w:tc>
        <w:tc>
          <w:tcPr>
            <w:tcW w:w="6912" w:type="dxa"/>
            <w:tcMar>
              <w:left w:w="108" w:type="dxa"/>
            </w:tcMar>
          </w:tcPr>
          <w:p w:rsidR="0017721C" w:rsidRPr="0017721C" w:rsidRDefault="0017721C" w:rsidP="00EE1EEF">
            <w:pPr>
              <w:spacing w:line="230" w:lineRule="exact"/>
              <w:rPr>
                <w:lang w:val="it-IT"/>
              </w:rPr>
            </w:pPr>
            <w:r w:rsidRPr="0017721C">
              <w:rPr>
                <w:lang w:val="it-IT"/>
              </w:rPr>
              <w:t xml:space="preserve">Nei  casi eccezionali in cui il punto precedente non sia stato rispettato la </w:t>
            </w:r>
            <w:r w:rsidR="005B7E0D">
              <w:rPr>
                <w:lang w:val="it-IT"/>
              </w:rPr>
              <w:t>Nota Integrativa</w:t>
            </w:r>
            <w:r w:rsidRPr="0017721C">
              <w:rPr>
                <w:lang w:val="it-IT"/>
              </w:rPr>
              <w:t xml:space="preserve"> riporta: </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313E98">
            <w:pPr>
              <w:pStyle w:val="rientrotrattinook"/>
              <w:tabs>
                <w:tab w:val="clear" w:pos="704"/>
              </w:tabs>
              <w:ind w:left="426" w:hanging="284"/>
            </w:pPr>
            <w:r w:rsidRPr="0017721C">
              <w:t>l’indicazione e motivazione delle deroghe, e</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313E98">
            <w:pPr>
              <w:pStyle w:val="rientrotrattinook"/>
              <w:tabs>
                <w:tab w:val="clear" w:pos="704"/>
              </w:tabs>
              <w:ind w:left="426" w:hanging="284"/>
            </w:pPr>
            <w:r w:rsidRPr="0017721C">
              <w:t>l’influenza delle deroghe stese sulla rappresentazione della situazione patrimoniale e finanziaria e del risultato economico consolidati, in conformità con quanto stabilito dal principio OIC 29?</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17721C">
            <w:pPr>
              <w:keepNext/>
              <w:outlineLvl w:val="2"/>
              <w:rPr>
                <w:b/>
                <w:bCs/>
                <w:i/>
                <w:lang w:val="it-IT"/>
              </w:rPr>
            </w:pPr>
            <w:r w:rsidRPr="0017721C">
              <w:rPr>
                <w:b/>
                <w:bCs/>
                <w:i/>
                <w:lang w:val="it-IT"/>
              </w:rPr>
              <w:t>La data di riferimento del bilancio consolidato e le date di chiusura dei bilanci da consolidare</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24)</w:t>
            </w:r>
          </w:p>
        </w:tc>
        <w:tc>
          <w:tcPr>
            <w:tcW w:w="836" w:type="dxa"/>
            <w:tcMar>
              <w:left w:w="108" w:type="dxa"/>
              <w:right w:w="0" w:type="dxa"/>
            </w:tcMar>
          </w:tcPr>
          <w:p w:rsidR="0017721C" w:rsidRPr="0017721C" w:rsidRDefault="0017721C" w:rsidP="0017721C">
            <w:pPr>
              <w:spacing w:before="40" w:line="240" w:lineRule="auto"/>
              <w:ind w:left="-57"/>
              <w:jc w:val="left"/>
              <w:rPr>
                <w:sz w:val="13"/>
                <w:szCs w:val="13"/>
              </w:rPr>
            </w:pPr>
            <w:r w:rsidRPr="0017721C">
              <w:rPr>
                <w:sz w:val="13"/>
                <w:szCs w:val="13"/>
                <w:lang w:val="en-US"/>
              </w:rPr>
              <w:t>Art. 30, c. 1, D.Lgs. 127/91                        OIC 17.45</w:t>
            </w:r>
          </w:p>
        </w:tc>
        <w:tc>
          <w:tcPr>
            <w:tcW w:w="6912" w:type="dxa"/>
            <w:tcMar>
              <w:left w:w="108" w:type="dxa"/>
            </w:tcMar>
          </w:tcPr>
          <w:p w:rsidR="0017721C" w:rsidRPr="0017721C" w:rsidRDefault="0017721C" w:rsidP="00EE1EEF">
            <w:pPr>
              <w:spacing w:line="230" w:lineRule="exact"/>
              <w:rPr>
                <w:lang w:val="it-IT"/>
              </w:rPr>
            </w:pPr>
            <w:r w:rsidRPr="0017721C">
              <w:rPr>
                <w:lang w:val="it-IT"/>
              </w:rPr>
              <w:t>La data di riferimento del bilancio consolidato coincide con la data di chiusura del bilancio dell’esercizio dell’impresa controllante?</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25)</w:t>
            </w:r>
          </w:p>
        </w:tc>
        <w:tc>
          <w:tcPr>
            <w:tcW w:w="836" w:type="dxa"/>
            <w:tcMar>
              <w:left w:w="108" w:type="dxa"/>
              <w:right w:w="0" w:type="dxa"/>
            </w:tcMar>
          </w:tcPr>
          <w:p w:rsidR="0017721C" w:rsidRPr="0017721C" w:rsidRDefault="0017721C" w:rsidP="0017721C">
            <w:pPr>
              <w:spacing w:before="40" w:line="240" w:lineRule="auto"/>
              <w:ind w:left="-57"/>
              <w:jc w:val="left"/>
              <w:rPr>
                <w:sz w:val="13"/>
                <w:szCs w:val="13"/>
              </w:rPr>
            </w:pPr>
            <w:r w:rsidRPr="0017721C">
              <w:rPr>
                <w:sz w:val="13"/>
                <w:szCs w:val="13"/>
                <w:lang w:val="en-US"/>
              </w:rPr>
              <w:t>Art. 30, c. 2, D.Lgs. 127/91                         OIC 17.46</w:t>
            </w:r>
          </w:p>
        </w:tc>
        <w:tc>
          <w:tcPr>
            <w:tcW w:w="6912" w:type="dxa"/>
            <w:tcMar>
              <w:left w:w="108" w:type="dxa"/>
            </w:tcMar>
          </w:tcPr>
          <w:p w:rsidR="0017721C" w:rsidRPr="0017721C" w:rsidRDefault="0017721C" w:rsidP="00EE1EEF">
            <w:pPr>
              <w:spacing w:line="230" w:lineRule="exact"/>
              <w:rPr>
                <w:lang w:val="it-IT"/>
              </w:rPr>
            </w:pPr>
            <w:r w:rsidRPr="0017721C">
              <w:rPr>
                <w:lang w:val="it-IT"/>
              </w:rPr>
              <w:t xml:space="preserve">Se la data di riferimento del bilancio consolidato è diversa dalla data del bilancio d’esercizio della controllante, essa coincide con la data di chiusura dell’esercizio della maggior parte delle imprese incluse nel consolidamento o delle più importanti di esse? </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26)</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Art. 30, c. 2, D.Lgs. 127/</w:t>
            </w:r>
            <w:r w:rsidRPr="0017721C">
              <w:rPr>
                <w:sz w:val="13"/>
                <w:szCs w:val="13"/>
                <w:lang w:val="it-IT"/>
              </w:rPr>
              <w:t>91</w:t>
            </w:r>
          </w:p>
        </w:tc>
        <w:tc>
          <w:tcPr>
            <w:tcW w:w="6912" w:type="dxa"/>
            <w:tcMar>
              <w:left w:w="108" w:type="dxa"/>
            </w:tcMar>
          </w:tcPr>
          <w:p w:rsidR="0017721C" w:rsidRPr="0017721C" w:rsidRDefault="0017721C" w:rsidP="00EE1EEF">
            <w:pPr>
              <w:spacing w:line="230" w:lineRule="exact"/>
              <w:rPr>
                <w:lang w:val="it-IT"/>
              </w:rPr>
            </w:pPr>
            <w:r w:rsidRPr="0017721C">
              <w:rPr>
                <w:lang w:val="it-IT"/>
              </w:rPr>
              <w:t xml:space="preserve">Nella </w:t>
            </w:r>
            <w:r w:rsidR="005B7E0D">
              <w:rPr>
                <w:lang w:val="it-IT"/>
              </w:rPr>
              <w:t>Nota Integrativa</w:t>
            </w:r>
            <w:r w:rsidRPr="0017721C">
              <w:rPr>
                <w:lang w:val="it-IT"/>
              </w:rPr>
              <w:t xml:space="preserve"> è stato indicato e motivato l’uso di questa facoltà?</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27)</w:t>
            </w:r>
          </w:p>
        </w:tc>
        <w:tc>
          <w:tcPr>
            <w:tcW w:w="836" w:type="dxa"/>
            <w:tcMar>
              <w:left w:w="108" w:type="dxa"/>
              <w:right w:w="0" w:type="dxa"/>
            </w:tcMar>
          </w:tcPr>
          <w:p w:rsidR="0017721C" w:rsidRPr="0017721C" w:rsidRDefault="0017721C" w:rsidP="0017721C">
            <w:pPr>
              <w:spacing w:before="40" w:line="240" w:lineRule="auto"/>
              <w:ind w:left="-57"/>
              <w:jc w:val="left"/>
              <w:rPr>
                <w:sz w:val="13"/>
                <w:szCs w:val="13"/>
              </w:rPr>
            </w:pPr>
            <w:r w:rsidRPr="0017721C">
              <w:rPr>
                <w:sz w:val="13"/>
                <w:szCs w:val="13"/>
                <w:lang w:val="en-US"/>
              </w:rPr>
              <w:t>Art. 30, c. 3, D.Lgs. 127/91                        OIC 17.47</w:t>
            </w:r>
          </w:p>
        </w:tc>
        <w:tc>
          <w:tcPr>
            <w:tcW w:w="6912" w:type="dxa"/>
            <w:tcMar>
              <w:left w:w="108" w:type="dxa"/>
            </w:tcMar>
          </w:tcPr>
          <w:p w:rsidR="0017721C" w:rsidRPr="0017721C" w:rsidRDefault="0017721C" w:rsidP="00EE1EEF">
            <w:pPr>
              <w:spacing w:line="230" w:lineRule="exact"/>
              <w:rPr>
                <w:lang w:val="it-IT"/>
              </w:rPr>
            </w:pPr>
            <w:r w:rsidRPr="0017721C">
              <w:rPr>
                <w:lang w:val="it-IT"/>
              </w:rPr>
              <w:t xml:space="preserve">Se la data di chiusura dell’esercizio di un’impresa inclusa nel consolidamento (compresa la società controllante) è diversa dalla data di riferimento del bilancio consolidato, è stato redatto un bilancio annuale intermedio riferito alla data del bilancio consolidato? </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 xml:space="preserve">Il metodo di consolidamento integrale </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28)</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17.48</w:t>
            </w:r>
          </w:p>
        </w:tc>
        <w:tc>
          <w:tcPr>
            <w:tcW w:w="6912" w:type="dxa"/>
            <w:tcMar>
              <w:left w:w="108" w:type="dxa"/>
            </w:tcMar>
          </w:tcPr>
          <w:p w:rsidR="0017721C" w:rsidRPr="0017721C" w:rsidRDefault="0017721C" w:rsidP="00EE1EEF">
            <w:pPr>
              <w:spacing w:line="240" w:lineRule="exact"/>
              <w:rPr>
                <w:lang w:val="it-IT"/>
              </w:rPr>
            </w:pPr>
            <w:r w:rsidRPr="0017721C">
              <w:t xml:space="preserve">Il bilancio consolidato rappresenta: </w:t>
            </w:r>
          </w:p>
        </w:tc>
        <w:tc>
          <w:tcPr>
            <w:tcW w:w="554" w:type="dxa"/>
            <w:tcMar>
              <w:left w:w="85" w:type="dxa"/>
              <w:right w:w="85" w:type="dxa"/>
            </w:tcMar>
            <w:vAlign w:val="center"/>
          </w:tcPr>
          <w:p w:rsidR="0017721C" w:rsidRPr="0017721C" w:rsidRDefault="0017721C" w:rsidP="0017721C">
            <w:pPr>
              <w:jc w:val="center"/>
            </w:pPr>
          </w:p>
        </w:tc>
        <w:tc>
          <w:tcPr>
            <w:tcW w:w="565" w:type="dxa"/>
            <w:tcMar>
              <w:left w:w="108" w:type="dxa"/>
            </w:tcMar>
            <w:vAlign w:val="center"/>
          </w:tcPr>
          <w:p w:rsidR="0017721C" w:rsidRPr="0017721C" w:rsidRDefault="0017721C" w:rsidP="0017721C">
            <w:pPr>
              <w:jc w:val="center"/>
            </w:pPr>
          </w:p>
        </w:tc>
        <w:tc>
          <w:tcPr>
            <w:tcW w:w="564" w:type="dxa"/>
            <w:tcMar>
              <w:left w:w="108" w:type="dxa"/>
            </w:tcMar>
            <w:vAlign w:val="center"/>
          </w:tcPr>
          <w:p w:rsidR="0017721C" w:rsidRPr="0017721C" w:rsidRDefault="0017721C" w:rsidP="0017721C">
            <w:pPr>
              <w:jc w:val="center"/>
            </w:pPr>
          </w:p>
        </w:tc>
      </w:tr>
      <w:tr w:rsidR="0017721C" w:rsidRPr="0017721C" w:rsidTr="003464AE">
        <w:trPr>
          <w:trHeight w:val="20"/>
        </w:trPr>
        <w:tc>
          <w:tcPr>
            <w:tcW w:w="726" w:type="dxa"/>
          </w:tcPr>
          <w:p w:rsidR="0017721C" w:rsidRPr="0017721C" w:rsidRDefault="0017721C" w:rsidP="0017721C">
            <w:pP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17.48 a)</w:t>
            </w:r>
          </w:p>
        </w:tc>
        <w:tc>
          <w:tcPr>
            <w:tcW w:w="6912" w:type="dxa"/>
            <w:tcMar>
              <w:left w:w="108" w:type="dxa"/>
            </w:tcMar>
          </w:tcPr>
          <w:p w:rsidR="0017721C" w:rsidRPr="0017721C" w:rsidRDefault="00313E98" w:rsidP="00313E98">
            <w:pPr>
              <w:pStyle w:val="rientrotrattinook"/>
              <w:numPr>
                <w:ilvl w:val="0"/>
                <w:numId w:val="0"/>
              </w:numPr>
              <w:ind w:left="426" w:hanging="284"/>
            </w:pPr>
            <w:r>
              <w:t>-</w:t>
            </w:r>
            <w:r>
              <w:tab/>
            </w:r>
            <w:r w:rsidR="0017721C" w:rsidRPr="0017721C">
              <w:t>le attività e passività consolidate, inclusi plus/minusvalori attribuiti alle attività e passività delle controllate in sede di allocazione della differenza da annullamento che emerge a seguito del consolidamento delle partecipazioni</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17.48 b)</w:t>
            </w:r>
          </w:p>
        </w:tc>
        <w:tc>
          <w:tcPr>
            <w:tcW w:w="6912" w:type="dxa"/>
            <w:tcMar>
              <w:left w:w="108" w:type="dxa"/>
            </w:tcMar>
          </w:tcPr>
          <w:p w:rsidR="0017721C" w:rsidRPr="0017721C" w:rsidRDefault="00313E98" w:rsidP="00313E98">
            <w:pPr>
              <w:pStyle w:val="rientrotrattinook"/>
              <w:numPr>
                <w:ilvl w:val="0"/>
                <w:numId w:val="0"/>
              </w:numPr>
              <w:ind w:left="426" w:hanging="284"/>
            </w:pPr>
            <w:r>
              <w:t>-</w:t>
            </w:r>
            <w:r>
              <w:tab/>
            </w:r>
            <w:r w:rsidR="0017721C" w:rsidRPr="0017721C">
              <w:t>il capitale sociale, la riserva legale e il sovrapprezzo azioni della società controllante</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17.48 c)</w:t>
            </w:r>
          </w:p>
        </w:tc>
        <w:tc>
          <w:tcPr>
            <w:tcW w:w="6912" w:type="dxa"/>
            <w:tcMar>
              <w:left w:w="108" w:type="dxa"/>
            </w:tcMar>
          </w:tcPr>
          <w:p w:rsidR="0017721C" w:rsidRPr="0017721C" w:rsidRDefault="00313E98" w:rsidP="00313E98">
            <w:pPr>
              <w:pStyle w:val="rientrotrattinook"/>
              <w:numPr>
                <w:ilvl w:val="0"/>
                <w:numId w:val="0"/>
              </w:numPr>
              <w:ind w:left="426" w:hanging="284"/>
            </w:pPr>
            <w:r>
              <w:t>-</w:t>
            </w:r>
            <w:r>
              <w:tab/>
            </w:r>
            <w:r w:rsidR="0017721C" w:rsidRPr="0017721C">
              <w:t>gli utili indivisi e le altre riserve di patrimonio netto della controllante, nonché le corrispondenti variazioni delle analoghe voci di patrimonio netto delle controllate, tenuto conto delle rettifiche di consolidamento, limitatamente a quelle intervenute successivamente alla data del loro consolidamento</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17.48 d)</w:t>
            </w:r>
          </w:p>
        </w:tc>
        <w:tc>
          <w:tcPr>
            <w:tcW w:w="6912" w:type="dxa"/>
            <w:tcMar>
              <w:left w:w="108" w:type="dxa"/>
            </w:tcMar>
          </w:tcPr>
          <w:p w:rsidR="0017721C" w:rsidRPr="0017721C" w:rsidRDefault="00313E98" w:rsidP="00313E98">
            <w:pPr>
              <w:pStyle w:val="rientrotrattinook"/>
              <w:numPr>
                <w:ilvl w:val="0"/>
                <w:numId w:val="0"/>
              </w:numPr>
              <w:ind w:left="426" w:hanging="284"/>
            </w:pPr>
            <w:r>
              <w:t>-</w:t>
            </w:r>
            <w:r>
              <w:tab/>
            </w:r>
            <w:r w:rsidR="0017721C" w:rsidRPr="0017721C">
              <w:t>l’utile o la perdita dell’esercizio consolidato</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17.48 e)</w:t>
            </w:r>
          </w:p>
        </w:tc>
        <w:tc>
          <w:tcPr>
            <w:tcW w:w="6912" w:type="dxa"/>
            <w:tcMar>
              <w:left w:w="108" w:type="dxa"/>
            </w:tcMar>
          </w:tcPr>
          <w:p w:rsidR="0017721C" w:rsidRPr="0017721C" w:rsidRDefault="00313E98" w:rsidP="00313E98">
            <w:pPr>
              <w:pStyle w:val="rientrotrattinook"/>
              <w:numPr>
                <w:ilvl w:val="0"/>
                <w:numId w:val="0"/>
              </w:numPr>
              <w:ind w:left="426" w:hanging="284"/>
            </w:pPr>
            <w:r>
              <w:t>-</w:t>
            </w:r>
            <w:r>
              <w:tab/>
            </w:r>
            <w:r w:rsidR="0017721C" w:rsidRPr="0017721C">
              <w:t>la quota di patrimonio netto e del risultato d’esercizio di pertinenza dei soci di minoranza?</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r w:rsidRPr="0017721C">
              <w:rPr>
                <w:b/>
              </w:rPr>
              <w:t>29)</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Art. 31, cc.1 e 2, D.Lgs. 127/91                            OIC 17.49</w:t>
            </w:r>
          </w:p>
        </w:tc>
        <w:tc>
          <w:tcPr>
            <w:tcW w:w="6912" w:type="dxa"/>
            <w:tcMar>
              <w:left w:w="108" w:type="dxa"/>
            </w:tcMar>
          </w:tcPr>
          <w:p w:rsidR="0017721C" w:rsidRPr="0017721C" w:rsidRDefault="0017721C" w:rsidP="00EE1EEF">
            <w:pPr>
              <w:spacing w:line="240" w:lineRule="exact"/>
              <w:rPr>
                <w:lang w:val="it-IT"/>
              </w:rPr>
            </w:pPr>
            <w:r w:rsidRPr="0017721C">
              <w:rPr>
                <w:lang w:val="it-IT"/>
              </w:rPr>
              <w:t xml:space="preserve">Il procedimento di consolidamento integrale dei bilanci è stato realizzato attraverso le seguenti fasi: </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 xml:space="preserve">OIC </w:t>
            </w:r>
            <w:r w:rsidRPr="0017721C">
              <w:rPr>
                <w:sz w:val="13"/>
                <w:szCs w:val="13"/>
                <w:lang w:val="it-IT"/>
              </w:rPr>
              <w:t>17</w:t>
            </w:r>
            <w:r w:rsidRPr="0017721C">
              <w:rPr>
                <w:sz w:val="13"/>
                <w:szCs w:val="13"/>
                <w:lang w:val="en-US"/>
              </w:rPr>
              <w:t>.49 a)</w:t>
            </w:r>
          </w:p>
        </w:tc>
        <w:tc>
          <w:tcPr>
            <w:tcW w:w="6912" w:type="dxa"/>
            <w:tcMar>
              <w:left w:w="108" w:type="dxa"/>
            </w:tcMar>
          </w:tcPr>
          <w:p w:rsidR="0017721C" w:rsidRPr="0017721C" w:rsidRDefault="0017721C" w:rsidP="00313E98">
            <w:pPr>
              <w:pStyle w:val="rientrotrattinook"/>
              <w:tabs>
                <w:tab w:val="clear" w:pos="704"/>
              </w:tabs>
              <w:spacing w:line="240" w:lineRule="exact"/>
              <w:ind w:left="426" w:hanging="284"/>
            </w:pPr>
            <w:r w:rsidRPr="0017721C">
              <w:t>rettifiche per uniformarsi ai principi contabili di gruppo nonché eventuali altre rettifiche che si rendessero necessarie ai fini del consolidamento</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17.49 b)</w:t>
            </w:r>
          </w:p>
        </w:tc>
        <w:tc>
          <w:tcPr>
            <w:tcW w:w="6912" w:type="dxa"/>
            <w:tcMar>
              <w:left w:w="108" w:type="dxa"/>
            </w:tcMar>
          </w:tcPr>
          <w:p w:rsidR="0017721C" w:rsidRPr="0017721C" w:rsidRDefault="0017721C" w:rsidP="00313E98">
            <w:pPr>
              <w:pStyle w:val="rientrotrattinook"/>
              <w:tabs>
                <w:tab w:val="clear" w:pos="704"/>
              </w:tabs>
              <w:spacing w:line="240" w:lineRule="exact"/>
              <w:ind w:left="426" w:hanging="284"/>
            </w:pPr>
            <w:r w:rsidRPr="0017721C">
              <w:t>aggregazione dei bilanci da consolidare indipendentemente dalla percentuale di partecipazione</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widowControl w:val="0"/>
              <w:jc w:val="center"/>
              <w:rPr>
                <w:b/>
                <w:lang w:val="it-IT"/>
              </w:rPr>
            </w:pPr>
          </w:p>
        </w:tc>
        <w:tc>
          <w:tcPr>
            <w:tcW w:w="836" w:type="dxa"/>
            <w:tcMar>
              <w:left w:w="108" w:type="dxa"/>
              <w:right w:w="0" w:type="dxa"/>
            </w:tcMar>
          </w:tcPr>
          <w:p w:rsidR="0017721C" w:rsidRPr="0017721C" w:rsidRDefault="0017721C" w:rsidP="0017721C">
            <w:pPr>
              <w:widowControl w:val="0"/>
              <w:spacing w:before="40" w:line="240" w:lineRule="auto"/>
              <w:ind w:left="-57"/>
              <w:jc w:val="left"/>
              <w:rPr>
                <w:sz w:val="13"/>
                <w:szCs w:val="13"/>
                <w:lang w:val="it-IT"/>
              </w:rPr>
            </w:pPr>
            <w:r w:rsidRPr="0017721C">
              <w:rPr>
                <w:sz w:val="13"/>
                <w:szCs w:val="13"/>
                <w:lang w:val="en-US"/>
              </w:rPr>
              <w:t xml:space="preserve">OIC </w:t>
            </w:r>
            <w:r w:rsidRPr="0017721C">
              <w:rPr>
                <w:sz w:val="13"/>
                <w:szCs w:val="13"/>
                <w:lang w:val="it-IT"/>
              </w:rPr>
              <w:t>17</w:t>
            </w:r>
            <w:r w:rsidRPr="0017721C">
              <w:rPr>
                <w:sz w:val="13"/>
                <w:szCs w:val="13"/>
                <w:lang w:val="en-US"/>
              </w:rPr>
              <w:t>.49 c)</w:t>
            </w:r>
          </w:p>
        </w:tc>
        <w:tc>
          <w:tcPr>
            <w:tcW w:w="6912" w:type="dxa"/>
            <w:tcMar>
              <w:left w:w="108" w:type="dxa"/>
            </w:tcMar>
          </w:tcPr>
          <w:p w:rsidR="0017721C" w:rsidRPr="0017721C" w:rsidRDefault="0017721C" w:rsidP="00313E98">
            <w:pPr>
              <w:pStyle w:val="rientrotrattinook"/>
              <w:tabs>
                <w:tab w:val="clear" w:pos="704"/>
              </w:tabs>
              <w:spacing w:line="240" w:lineRule="exact"/>
              <w:ind w:left="426" w:hanging="284"/>
            </w:pPr>
            <w:r w:rsidRPr="0017721C">
              <w:t xml:space="preserve">eliminazione del valore d’iscrizione della partecipazione in imprese controllate, incluso nel bilancio della società controllante e, ove presente, nel bilancio delle altre imprese del gruppo, in contropartita delle corrispondenti quote del patrimonio netto dell’impresa controllata, di pertinenza del gruppo </w:t>
            </w:r>
          </w:p>
        </w:tc>
        <w:tc>
          <w:tcPr>
            <w:tcW w:w="554" w:type="dxa"/>
            <w:tcMar>
              <w:left w:w="85" w:type="dxa"/>
              <w:right w:w="85" w:type="dxa"/>
            </w:tcMar>
            <w:vAlign w:val="center"/>
          </w:tcPr>
          <w:p w:rsidR="0017721C" w:rsidRPr="0017721C" w:rsidRDefault="0017721C" w:rsidP="0017721C">
            <w:pPr>
              <w:widowControl w:val="0"/>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widowControl w:val="0"/>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widowControl w:val="0"/>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17.49 d)</w:t>
            </w:r>
          </w:p>
        </w:tc>
        <w:tc>
          <w:tcPr>
            <w:tcW w:w="6912" w:type="dxa"/>
            <w:tcMar>
              <w:left w:w="108" w:type="dxa"/>
            </w:tcMar>
          </w:tcPr>
          <w:p w:rsidR="0017721C" w:rsidRPr="0017721C" w:rsidRDefault="0017721C" w:rsidP="00313E98">
            <w:pPr>
              <w:pStyle w:val="rientrotrattinook"/>
              <w:tabs>
                <w:tab w:val="clear" w:pos="704"/>
              </w:tabs>
              <w:spacing w:line="240" w:lineRule="exact"/>
              <w:ind w:left="426" w:hanging="284"/>
            </w:pPr>
            <w:r w:rsidRPr="0017721C">
              <w:t>eliminazione dei saldi e delle operazioni intercorse tra le imprese incluse nell’area di consolidamento e degli utili e perdite interni o infragruppo</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OIC 17.49 e)</w:t>
            </w:r>
          </w:p>
        </w:tc>
        <w:tc>
          <w:tcPr>
            <w:tcW w:w="6912" w:type="dxa"/>
            <w:tcMar>
              <w:left w:w="108" w:type="dxa"/>
            </w:tcMar>
          </w:tcPr>
          <w:p w:rsidR="0017721C" w:rsidRPr="0017721C" w:rsidRDefault="0017721C" w:rsidP="00313E98">
            <w:pPr>
              <w:pStyle w:val="rientrotrattinook"/>
              <w:tabs>
                <w:tab w:val="clear" w:pos="704"/>
              </w:tabs>
              <w:spacing w:line="240" w:lineRule="exact"/>
              <w:ind w:left="426" w:hanging="284"/>
            </w:pPr>
            <w:r w:rsidRPr="0017721C">
              <w:t>rilevazione di eventuali imposte differite e/o anticipate, in conformità a quanto stabilito dal principio OIC 25 “Imposte sul reddito”</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17.49 f)</w:t>
            </w:r>
          </w:p>
        </w:tc>
        <w:tc>
          <w:tcPr>
            <w:tcW w:w="6912" w:type="dxa"/>
            <w:tcMar>
              <w:left w:w="108" w:type="dxa"/>
            </w:tcMar>
          </w:tcPr>
          <w:p w:rsidR="0017721C" w:rsidRPr="0017721C" w:rsidRDefault="0017721C" w:rsidP="00313E98">
            <w:pPr>
              <w:pStyle w:val="rientrotrattinook"/>
              <w:tabs>
                <w:tab w:val="clear" w:pos="704"/>
              </w:tabs>
              <w:spacing w:line="240" w:lineRule="exact"/>
              <w:ind w:left="426" w:hanging="284"/>
            </w:pPr>
            <w:r w:rsidRPr="0017721C">
              <w:t xml:space="preserve">analisi dei dividendi consolidati e loro specifico trattamento contabile, al fine di evitare la doppia contabilizzazione degli utili delle partecipate </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17.49 g)</w:t>
            </w:r>
          </w:p>
        </w:tc>
        <w:tc>
          <w:tcPr>
            <w:tcW w:w="6912" w:type="dxa"/>
            <w:tcMar>
              <w:left w:w="108" w:type="dxa"/>
            </w:tcMar>
          </w:tcPr>
          <w:p w:rsidR="0017721C" w:rsidRPr="0017721C" w:rsidRDefault="0017721C" w:rsidP="00313E98">
            <w:pPr>
              <w:pStyle w:val="rientrotrattinook"/>
              <w:tabs>
                <w:tab w:val="clear" w:pos="704"/>
              </w:tabs>
              <w:spacing w:line="240" w:lineRule="exact"/>
              <w:ind w:left="426" w:hanging="284"/>
            </w:pPr>
            <w:r w:rsidRPr="0017721C">
              <w:t xml:space="preserve">trattamento contabile specifico per le azioni proprie della controllante possedute dalle controllate, in conformità a quanto stabilito dal principio OIC 28 “Patrimonio netto” </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17.49 h)</w:t>
            </w:r>
          </w:p>
        </w:tc>
        <w:tc>
          <w:tcPr>
            <w:tcW w:w="6912" w:type="dxa"/>
            <w:tcMar>
              <w:left w:w="108" w:type="dxa"/>
            </w:tcMar>
          </w:tcPr>
          <w:p w:rsidR="0017721C" w:rsidRPr="0017721C" w:rsidRDefault="0017721C" w:rsidP="00313E98">
            <w:pPr>
              <w:pStyle w:val="rientrotrattinook"/>
              <w:tabs>
                <w:tab w:val="clear" w:pos="704"/>
              </w:tabs>
              <w:spacing w:line="240" w:lineRule="exact"/>
              <w:ind w:left="426" w:hanging="284"/>
            </w:pPr>
            <w:r w:rsidRPr="0017721C">
              <w:t>determinazione della parte del patrimonio netto consolidato e del risultato di esercizio consolidato di spettanza dei soci di minoranza delle partecipate consolidate, al fine della loro specifica evidenziazione negli schemi di bilancio consolidato</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rPr>
            </w:pPr>
            <w:r w:rsidRPr="0017721C">
              <w:rPr>
                <w:sz w:val="13"/>
                <w:szCs w:val="13"/>
                <w:lang w:val="en-US"/>
              </w:rPr>
              <w:t>Art</w:t>
            </w:r>
            <w:r w:rsidRPr="0017721C">
              <w:rPr>
                <w:sz w:val="13"/>
                <w:szCs w:val="13"/>
              </w:rPr>
              <w:t xml:space="preserve">. 28      D.Lgs. 127/91 </w:t>
            </w:r>
            <w:r w:rsidRPr="0017721C">
              <w:rPr>
                <w:sz w:val="13"/>
                <w:szCs w:val="13"/>
                <w:lang w:val="en-US"/>
              </w:rPr>
              <w:t>OIC 17.49 I)</w:t>
            </w:r>
          </w:p>
        </w:tc>
        <w:tc>
          <w:tcPr>
            <w:tcW w:w="6912" w:type="dxa"/>
            <w:tcMar>
              <w:left w:w="108" w:type="dxa"/>
            </w:tcMar>
          </w:tcPr>
          <w:p w:rsidR="0017721C" w:rsidRPr="0017721C" w:rsidRDefault="0017721C" w:rsidP="00313E98">
            <w:pPr>
              <w:pStyle w:val="rientrotrattinook"/>
              <w:tabs>
                <w:tab w:val="clear" w:pos="704"/>
              </w:tabs>
              <w:spacing w:line="240" w:lineRule="exact"/>
              <w:ind w:left="426" w:hanging="284"/>
            </w:pPr>
            <w:r w:rsidRPr="0017721C">
              <w:t>valutazione nel bilancio consolidato delle partecipazioni di controllo non consolidate, vale a dire quelle che possono essere escluse dal consolidamento ai sensi dell’articolo 28, D.Lgs. 127/1991, delle partecipazioni di collegamento e delle partecipazioni a controllo congiunto;</w:t>
            </w:r>
          </w:p>
        </w:tc>
        <w:tc>
          <w:tcPr>
            <w:tcW w:w="554" w:type="dxa"/>
            <w:tcMar>
              <w:left w:w="85" w:type="dxa"/>
              <w:right w:w="85" w:type="dxa"/>
            </w:tcMar>
            <w:vAlign w:val="center"/>
          </w:tcPr>
          <w:p w:rsidR="0017721C" w:rsidRPr="0017721C" w:rsidRDefault="0017721C" w:rsidP="0017721C">
            <w:pPr>
              <w:jc w:val="cente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Mar>
              <w:left w:w="108" w:type="dxa"/>
            </w:tcMar>
            <w:vAlign w:val="center"/>
          </w:tcPr>
          <w:p w:rsidR="0017721C" w:rsidRPr="0017721C" w:rsidRDefault="0017721C" w:rsidP="0017721C">
            <w:pPr>
              <w:jc w:val="cente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Mar>
              <w:left w:w="108" w:type="dxa"/>
            </w:tcMar>
            <w:vAlign w:val="center"/>
          </w:tcPr>
          <w:p w:rsidR="0017721C" w:rsidRPr="0017721C" w:rsidRDefault="0017721C" w:rsidP="0017721C">
            <w:pPr>
              <w:jc w:val="cente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w:t>
            </w:r>
            <w:r w:rsidRPr="0017721C">
              <w:rPr>
                <w:sz w:val="13"/>
                <w:szCs w:val="13"/>
                <w:lang w:val="it-IT"/>
              </w:rPr>
              <w:t xml:space="preserve"> 17.49 J)</w:t>
            </w:r>
          </w:p>
        </w:tc>
        <w:tc>
          <w:tcPr>
            <w:tcW w:w="6912" w:type="dxa"/>
            <w:tcMar>
              <w:left w:w="108" w:type="dxa"/>
            </w:tcMar>
          </w:tcPr>
          <w:p w:rsidR="0017721C" w:rsidRPr="0017721C" w:rsidRDefault="0017721C" w:rsidP="00313E98">
            <w:pPr>
              <w:pStyle w:val="rientrotrattinook"/>
              <w:tabs>
                <w:tab w:val="clear" w:pos="704"/>
              </w:tabs>
              <w:spacing w:line="240" w:lineRule="exact"/>
              <w:ind w:left="426" w:hanging="284"/>
            </w:pPr>
            <w:r w:rsidRPr="0017721C">
              <w:t>analisi e corretta rappresentazione in bilancio dell’acquisizione di ulteriori quote di partecipazione in imprese già consolidate e della cessione di partecipazioni con o senza perdita del controllo, nonché delle altre variazioni dell’area di consolidamento</w:t>
            </w:r>
          </w:p>
        </w:tc>
        <w:tc>
          <w:tcPr>
            <w:tcW w:w="554" w:type="dxa"/>
            <w:tcMar>
              <w:left w:w="85" w:type="dxa"/>
              <w:right w:w="85" w:type="dxa"/>
            </w:tcMar>
            <w:vAlign w:val="center"/>
          </w:tcPr>
          <w:p w:rsidR="0017721C" w:rsidRPr="0017721C" w:rsidRDefault="0017721C" w:rsidP="0017721C">
            <w:pPr>
              <w:jc w:val="cente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Mar>
              <w:left w:w="108" w:type="dxa"/>
            </w:tcMar>
            <w:vAlign w:val="center"/>
          </w:tcPr>
          <w:p w:rsidR="0017721C" w:rsidRPr="0017721C" w:rsidRDefault="0017721C" w:rsidP="0017721C">
            <w:pPr>
              <w:jc w:val="cente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Mar>
              <w:left w:w="108" w:type="dxa"/>
            </w:tcMar>
            <w:vAlign w:val="center"/>
          </w:tcPr>
          <w:p w:rsidR="0017721C" w:rsidRPr="0017721C" w:rsidRDefault="0017721C" w:rsidP="0017721C">
            <w:pPr>
              <w:jc w:val="cente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17.49 k)</w:t>
            </w:r>
          </w:p>
        </w:tc>
        <w:tc>
          <w:tcPr>
            <w:tcW w:w="6912" w:type="dxa"/>
            <w:tcMar>
              <w:left w:w="108" w:type="dxa"/>
            </w:tcMar>
          </w:tcPr>
          <w:p w:rsidR="0017721C" w:rsidRPr="0017721C" w:rsidRDefault="0017721C" w:rsidP="00313E98">
            <w:pPr>
              <w:pStyle w:val="rientrotrattinook"/>
              <w:tabs>
                <w:tab w:val="clear" w:pos="704"/>
              </w:tabs>
              <w:spacing w:line="240" w:lineRule="exact"/>
              <w:ind w:left="426" w:hanging="284"/>
            </w:pPr>
            <w:r w:rsidRPr="0017721C">
              <w:t>predisposizione dei prospetti di bilancio consolidato.</w:t>
            </w:r>
          </w:p>
        </w:tc>
        <w:tc>
          <w:tcPr>
            <w:tcW w:w="554" w:type="dxa"/>
            <w:tcMar>
              <w:left w:w="85" w:type="dxa"/>
              <w:right w:w="85" w:type="dxa"/>
            </w:tcMar>
            <w:vAlign w:val="center"/>
          </w:tcPr>
          <w:p w:rsidR="0017721C" w:rsidRPr="0017721C" w:rsidRDefault="0017721C" w:rsidP="0017721C">
            <w:pPr>
              <w:jc w:val="cente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Mar>
              <w:left w:w="108" w:type="dxa"/>
            </w:tcMar>
            <w:vAlign w:val="center"/>
          </w:tcPr>
          <w:p w:rsidR="0017721C" w:rsidRPr="0017721C" w:rsidRDefault="0017721C" w:rsidP="0017721C">
            <w:pPr>
              <w:jc w:val="cente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Mar>
              <w:left w:w="108" w:type="dxa"/>
            </w:tcMar>
            <w:vAlign w:val="center"/>
          </w:tcPr>
          <w:p w:rsidR="0017721C" w:rsidRPr="0017721C" w:rsidRDefault="0017721C" w:rsidP="0017721C">
            <w:pPr>
              <w:jc w:val="cente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17721C">
            <w:pPr>
              <w:keepNext/>
              <w:outlineLvl w:val="2"/>
              <w:rPr>
                <w:b/>
                <w:bCs/>
                <w:i/>
                <w:lang w:val="it-IT"/>
              </w:rPr>
            </w:pPr>
            <w:r w:rsidRPr="0017721C">
              <w:rPr>
                <w:b/>
                <w:bCs/>
                <w:i/>
                <w:lang w:val="it-IT"/>
              </w:rPr>
              <w:t xml:space="preserve">Eliminazione delle partecipazioni contro il patrimonio netto delle controllate e determinazione della differenza da annullamento. Data di consolidamento </w:t>
            </w:r>
          </w:p>
        </w:tc>
        <w:tc>
          <w:tcPr>
            <w:tcW w:w="554" w:type="dxa"/>
            <w:tcMar>
              <w:left w:w="85" w:type="dxa"/>
              <w:right w:w="85" w:type="dxa"/>
            </w:tcMar>
            <w:vAlign w:val="center"/>
          </w:tcPr>
          <w:p w:rsidR="0017721C" w:rsidRPr="0017721C" w:rsidRDefault="0017721C" w:rsidP="0017721C">
            <w:pPr>
              <w:jc w:val="center"/>
            </w:pPr>
          </w:p>
        </w:tc>
        <w:tc>
          <w:tcPr>
            <w:tcW w:w="565" w:type="dxa"/>
            <w:tcMar>
              <w:left w:w="108" w:type="dxa"/>
            </w:tcMar>
            <w:vAlign w:val="center"/>
          </w:tcPr>
          <w:p w:rsidR="0017721C" w:rsidRPr="0017721C" w:rsidRDefault="0017721C" w:rsidP="0017721C">
            <w:pPr>
              <w:jc w:val="center"/>
            </w:pPr>
          </w:p>
        </w:tc>
        <w:tc>
          <w:tcPr>
            <w:tcW w:w="564" w:type="dxa"/>
            <w:tcMar>
              <w:left w:w="108" w:type="dxa"/>
            </w:tcMar>
            <w:vAlign w:val="center"/>
          </w:tcPr>
          <w:p w:rsidR="0017721C" w:rsidRPr="0017721C" w:rsidRDefault="0017721C" w:rsidP="0017721C">
            <w:pPr>
              <w:jc w:val="cente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30)</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 xml:space="preserve">OIC </w:t>
            </w:r>
            <w:r w:rsidRPr="0017721C">
              <w:rPr>
                <w:sz w:val="13"/>
                <w:szCs w:val="13"/>
                <w:lang w:val="en-US"/>
              </w:rPr>
              <w:t>17</w:t>
            </w:r>
            <w:r w:rsidRPr="0017721C">
              <w:rPr>
                <w:sz w:val="13"/>
                <w:szCs w:val="13"/>
                <w:lang w:val="it-IT"/>
              </w:rPr>
              <w:t>.50</w:t>
            </w:r>
          </w:p>
        </w:tc>
        <w:tc>
          <w:tcPr>
            <w:tcW w:w="6912" w:type="dxa"/>
            <w:tcMar>
              <w:left w:w="108" w:type="dxa"/>
            </w:tcMar>
          </w:tcPr>
          <w:p w:rsidR="0017721C" w:rsidRPr="0017721C" w:rsidRDefault="0017721C" w:rsidP="00EE1EEF">
            <w:pPr>
              <w:spacing w:line="240" w:lineRule="exact"/>
              <w:rPr>
                <w:lang w:val="it-IT"/>
              </w:rPr>
            </w:pPr>
            <w:r w:rsidRPr="0017721C">
              <w:rPr>
                <w:lang w:val="it-IT"/>
              </w:rPr>
              <w:t xml:space="preserve">Sono stati eliminati i valori delle partecipazioni consolidate in contropartita delle corrispondenti frazioni del patrimonio netto di queste, sostituendo pertanto il valore delle partecipazioni con le attività e passività di ciascuna di tali imprese? </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 xml:space="preserve">OIC </w:t>
            </w:r>
            <w:r w:rsidRPr="0017721C">
              <w:rPr>
                <w:sz w:val="13"/>
                <w:szCs w:val="13"/>
                <w:lang w:val="en-US"/>
              </w:rPr>
              <w:t>17</w:t>
            </w:r>
            <w:r w:rsidRPr="0017721C">
              <w:rPr>
                <w:sz w:val="13"/>
                <w:szCs w:val="13"/>
                <w:lang w:val="it-IT"/>
              </w:rPr>
              <w:t>.51</w:t>
            </w:r>
          </w:p>
        </w:tc>
        <w:tc>
          <w:tcPr>
            <w:tcW w:w="6912" w:type="dxa"/>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La differenza da annullamento rappresenta, quindi, la differenza tra il valore della partecipazione iscritto nel bilancio d’esercizio della controllante e di altre società del gruppo alla data di consolidamento e il valore della corrispondente frazione di patrimonio netto contabile della controllata parimenti alla data di consolidamento.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31)</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17.52</w:t>
            </w:r>
          </w:p>
        </w:tc>
        <w:tc>
          <w:tcPr>
            <w:tcW w:w="6912" w:type="dxa"/>
            <w:tcMar>
              <w:left w:w="108" w:type="dxa"/>
            </w:tcMar>
          </w:tcPr>
          <w:p w:rsidR="0017721C" w:rsidRPr="0017721C" w:rsidRDefault="0017721C" w:rsidP="0017721C">
            <w:pPr>
              <w:rPr>
                <w:lang w:val="it-IT"/>
              </w:rPr>
            </w:pPr>
            <w:r w:rsidRPr="0017721C">
              <w:rPr>
                <w:lang w:val="it-IT"/>
              </w:rPr>
              <w:t>La data del consolidamento coincide con la data di acquisizione del controllo?</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17.52</w:t>
            </w:r>
          </w:p>
        </w:tc>
        <w:tc>
          <w:tcPr>
            <w:tcW w:w="6912" w:type="dxa"/>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Nel caso in cui si utilizzi la data di acquisizione, la differenza da annullamento è calcolata sulla base del patrimonio netto contabile alla data di acquisizione del controllo. Ciò comporta che i risultati della controllata successivi all’acquisizione del controllo saranno rilevati nel conto economico del bilancio consolidato. È accettabile consolidare una controllata ad una data prossima alla data di acquisizione oppure per l’intero esercizio, se l’acquisizione è avvenuta nei primi mesi dell’esercizio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17.52</w:t>
            </w:r>
          </w:p>
        </w:tc>
        <w:tc>
          <w:tcPr>
            <w:tcW w:w="6912" w:type="dxa"/>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E’ tuttavia accettabile utilizzare la data in cui l’impresa è inclusa per la prima volta nel consolidamento stante l’esplicito richiamo a tale momento fatto dal primo comma dell’art. 33 del D.Lgs.127/91.</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32)</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17.52</w:t>
            </w:r>
          </w:p>
        </w:tc>
        <w:tc>
          <w:tcPr>
            <w:tcW w:w="6912" w:type="dxa"/>
            <w:tcMar>
              <w:left w:w="108" w:type="dxa"/>
            </w:tcMar>
          </w:tcPr>
          <w:p w:rsidR="0017721C" w:rsidRPr="0017721C" w:rsidRDefault="0017721C" w:rsidP="00EE1EEF">
            <w:pPr>
              <w:spacing w:line="240" w:lineRule="exact"/>
              <w:rPr>
                <w:lang w:val="it-IT"/>
              </w:rPr>
            </w:pPr>
            <w:r w:rsidRPr="0017721C">
              <w:rPr>
                <w:lang w:val="it-IT"/>
              </w:rPr>
              <w:t>E’ stata utilizzata la data in cui l’impresa è inclusa per la prima volta nel consolidamento solo nel caso non siano disponibili le informazioni necessarie?</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EE1EEF">
            <w:pPr>
              <w:pageBreakBefore/>
              <w:jc w:val="center"/>
              <w:rPr>
                <w:b/>
                <w:lang w:val="it-IT"/>
              </w:rPr>
            </w:pPr>
          </w:p>
        </w:tc>
        <w:tc>
          <w:tcPr>
            <w:tcW w:w="836" w:type="dxa"/>
            <w:tcMar>
              <w:left w:w="108" w:type="dxa"/>
              <w:right w:w="0" w:type="dxa"/>
            </w:tcMar>
          </w:tcPr>
          <w:p w:rsidR="0017721C" w:rsidRPr="0017721C" w:rsidRDefault="0017721C" w:rsidP="00EE1EEF">
            <w:pPr>
              <w:pageBreakBefore/>
              <w:spacing w:before="40" w:line="240" w:lineRule="auto"/>
              <w:ind w:right="28"/>
              <w:jc w:val="left"/>
              <w:rPr>
                <w:sz w:val="13"/>
                <w:szCs w:val="13"/>
                <w:lang w:val="it-IT"/>
              </w:rPr>
            </w:pPr>
          </w:p>
        </w:tc>
        <w:tc>
          <w:tcPr>
            <w:tcW w:w="6912" w:type="dxa"/>
            <w:tcMar>
              <w:left w:w="108" w:type="dxa"/>
            </w:tcMar>
          </w:tcPr>
          <w:p w:rsidR="0017721C" w:rsidRPr="0017721C" w:rsidRDefault="0017721C" w:rsidP="00EE1EEF">
            <w:pPr>
              <w:pageBreakBefore/>
              <w:outlineLvl w:val="2"/>
              <w:rPr>
                <w:b/>
                <w:bCs/>
                <w:i/>
                <w:lang w:val="it-IT"/>
              </w:rPr>
            </w:pPr>
            <w:r w:rsidRPr="0017721C">
              <w:rPr>
                <w:b/>
                <w:bCs/>
                <w:i/>
                <w:lang w:val="it-IT"/>
              </w:rPr>
              <w:t>Il trattamento contabile della differenza da annullamento</w:t>
            </w:r>
          </w:p>
        </w:tc>
        <w:tc>
          <w:tcPr>
            <w:tcW w:w="554" w:type="dxa"/>
            <w:tcMar>
              <w:left w:w="85" w:type="dxa"/>
              <w:right w:w="85" w:type="dxa"/>
            </w:tcMar>
            <w:vAlign w:val="center"/>
          </w:tcPr>
          <w:p w:rsidR="0017721C" w:rsidRPr="0017721C" w:rsidRDefault="0017721C" w:rsidP="00EE1EEF">
            <w:pPr>
              <w:pageBreakBefore/>
              <w:jc w:val="center"/>
              <w:rPr>
                <w:lang w:val="it-IT"/>
              </w:rPr>
            </w:pPr>
          </w:p>
        </w:tc>
        <w:tc>
          <w:tcPr>
            <w:tcW w:w="565" w:type="dxa"/>
            <w:tcMar>
              <w:left w:w="108" w:type="dxa"/>
            </w:tcMar>
            <w:vAlign w:val="center"/>
          </w:tcPr>
          <w:p w:rsidR="0017721C" w:rsidRPr="0017721C" w:rsidRDefault="0017721C" w:rsidP="00EE1EEF">
            <w:pPr>
              <w:pageBreakBefore/>
              <w:jc w:val="center"/>
              <w:rPr>
                <w:lang w:val="it-IT"/>
              </w:rPr>
            </w:pPr>
          </w:p>
        </w:tc>
        <w:tc>
          <w:tcPr>
            <w:tcW w:w="564" w:type="dxa"/>
            <w:tcMar>
              <w:left w:w="108" w:type="dxa"/>
            </w:tcMar>
            <w:vAlign w:val="center"/>
          </w:tcPr>
          <w:p w:rsidR="0017721C" w:rsidRPr="0017721C" w:rsidRDefault="0017721C" w:rsidP="00EE1EEF">
            <w:pPr>
              <w:pageBreakBefore/>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33)</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17.53</w:t>
            </w:r>
          </w:p>
        </w:tc>
        <w:tc>
          <w:tcPr>
            <w:tcW w:w="6912" w:type="dxa"/>
            <w:tcMar>
              <w:left w:w="108" w:type="dxa"/>
            </w:tcMar>
          </w:tcPr>
          <w:p w:rsidR="0017721C" w:rsidRPr="0017721C" w:rsidRDefault="0017721C" w:rsidP="0017721C">
            <w:pPr>
              <w:spacing w:line="240" w:lineRule="exact"/>
              <w:rPr>
                <w:lang w:val="it-IT"/>
              </w:rPr>
            </w:pPr>
            <w:r w:rsidRPr="0017721C">
              <w:rPr>
                <w:lang w:val="it-IT"/>
              </w:rPr>
              <w:t>La determinazione dell’ammontare della differenza iniziale da annullamento si è basata sul confronto fra il costo originariamente sostenuto per l’acquisto della partecipazione ed il valore della corrispondente frazione di patrimonio netto contabile della controllata, alla data di consolidamento?</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17721C">
            <w:pPr>
              <w:keepNext/>
              <w:outlineLvl w:val="3"/>
              <w:rPr>
                <w:i/>
                <w:lang w:val="it-IT"/>
              </w:rPr>
            </w:pPr>
            <w:r w:rsidRPr="0017721C">
              <w:rPr>
                <w:i/>
                <w:lang w:val="it-IT"/>
              </w:rPr>
              <w:t>Il trattamento contabile della differenza positiva da annullamento e rilevazione dell’eventuale avviamento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Pr>
          <w:p w:rsidR="0017721C" w:rsidRPr="0017721C" w:rsidRDefault="0017721C" w:rsidP="0017721C">
            <w:pP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17.54</w:t>
            </w:r>
          </w:p>
        </w:tc>
        <w:tc>
          <w:tcPr>
            <w:tcW w:w="6912" w:type="dxa"/>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Si è in presenza di una differenza positiva da annullamento quando il costo originariamente sostenuto per l’acquisto della partecipazione è superiore alla corrispondente frazione di patrimonio netto contabile della controllata, alla data di consolidamento.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EE1EEF">
            <w:pPr>
              <w:widowControl w:val="0"/>
              <w:jc w:val="center"/>
              <w:rPr>
                <w:b/>
                <w:lang w:val="it-IT"/>
              </w:rPr>
            </w:pPr>
            <w:r w:rsidRPr="0017721C">
              <w:rPr>
                <w:b/>
              </w:rPr>
              <w:t>34)</w:t>
            </w:r>
          </w:p>
        </w:tc>
        <w:tc>
          <w:tcPr>
            <w:tcW w:w="836" w:type="dxa"/>
            <w:tcMar>
              <w:left w:w="108" w:type="dxa"/>
              <w:right w:w="0" w:type="dxa"/>
            </w:tcMar>
          </w:tcPr>
          <w:p w:rsidR="0017721C" w:rsidRPr="0017721C" w:rsidRDefault="0017721C" w:rsidP="00EE1EEF">
            <w:pPr>
              <w:widowControl w:val="0"/>
              <w:spacing w:before="40" w:line="240" w:lineRule="auto"/>
              <w:ind w:left="-57"/>
              <w:jc w:val="left"/>
              <w:rPr>
                <w:sz w:val="13"/>
                <w:szCs w:val="13"/>
                <w:lang w:val="en-US"/>
              </w:rPr>
            </w:pPr>
            <w:r w:rsidRPr="0017721C">
              <w:rPr>
                <w:sz w:val="13"/>
                <w:szCs w:val="13"/>
                <w:lang w:val="en-US"/>
              </w:rPr>
              <w:t>Art. 33, c. 2, D.Lgs. 127/91</w:t>
            </w:r>
          </w:p>
          <w:p w:rsidR="0017721C" w:rsidRPr="0017721C" w:rsidRDefault="0017721C" w:rsidP="00EE1EEF">
            <w:pPr>
              <w:widowControl w:val="0"/>
              <w:spacing w:before="40" w:line="240" w:lineRule="auto"/>
              <w:ind w:left="-57"/>
              <w:jc w:val="left"/>
              <w:rPr>
                <w:sz w:val="13"/>
                <w:szCs w:val="13"/>
              </w:rPr>
            </w:pPr>
            <w:r w:rsidRPr="0017721C">
              <w:rPr>
                <w:sz w:val="13"/>
                <w:szCs w:val="13"/>
                <w:lang w:val="en-US"/>
              </w:rPr>
              <w:t>OIC 17.55</w:t>
            </w:r>
          </w:p>
        </w:tc>
        <w:tc>
          <w:tcPr>
            <w:tcW w:w="6912" w:type="dxa"/>
            <w:tcMar>
              <w:left w:w="108" w:type="dxa"/>
            </w:tcMar>
          </w:tcPr>
          <w:p w:rsidR="0017721C" w:rsidRPr="0017721C" w:rsidRDefault="0017721C" w:rsidP="00EE1EEF">
            <w:pPr>
              <w:widowControl w:val="0"/>
              <w:spacing w:line="230" w:lineRule="exact"/>
              <w:rPr>
                <w:lang w:val="it-IT"/>
              </w:rPr>
            </w:pPr>
            <w:r w:rsidRPr="0017721C">
              <w:rPr>
                <w:lang w:val="it-IT"/>
              </w:rPr>
              <w:t xml:space="preserve">In presenza di una differenza iniziale positiva da annullamento, tale differenza è stata imputata, ove possibile, a ciascuna attività identificabile acquisita, nel limite del valore corrente di tali attività e comunque per valori non superiori al loro valore recuperabile nonché a ciascuna passività assunta, ivi incluse le imposte anticipate e differite da iscrivere a fronte dei plus/minus valori allocati?  </w:t>
            </w:r>
          </w:p>
        </w:tc>
        <w:tc>
          <w:tcPr>
            <w:tcW w:w="554" w:type="dxa"/>
            <w:tcMar>
              <w:left w:w="85" w:type="dxa"/>
              <w:right w:w="85" w:type="dxa"/>
            </w:tcMar>
            <w:vAlign w:val="center"/>
          </w:tcPr>
          <w:p w:rsidR="0017721C" w:rsidRPr="0017721C" w:rsidRDefault="0017721C" w:rsidP="00EE1EEF">
            <w:pPr>
              <w:widowControl w:val="0"/>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EE1EEF">
            <w:pPr>
              <w:widowControl w:val="0"/>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EE1EEF">
            <w:pPr>
              <w:widowControl w:val="0"/>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35)</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17.56</w:t>
            </w:r>
          </w:p>
        </w:tc>
        <w:tc>
          <w:tcPr>
            <w:tcW w:w="6912" w:type="dxa"/>
            <w:tcMar>
              <w:left w:w="108" w:type="dxa"/>
            </w:tcMar>
          </w:tcPr>
          <w:p w:rsidR="0017721C" w:rsidRPr="0017721C" w:rsidRDefault="0017721C" w:rsidP="00EE1EEF">
            <w:pPr>
              <w:widowControl w:val="0"/>
              <w:spacing w:line="230" w:lineRule="exact"/>
              <w:rPr>
                <w:lang w:val="it-IT"/>
              </w:rPr>
            </w:pPr>
            <w:r w:rsidRPr="0017721C">
              <w:rPr>
                <w:lang w:val="it-IT"/>
              </w:rPr>
              <w:t>Se la differenza positiva da annullamento non è interamente allocata sulle attività e passività separatamente identificabili, come indicato nel precedente paragrafo, il residuo è stato imputato alla voce “avviamento” delle immobilizzazioni immateriali, a meno che esso debba essere in tutto o in parte imputato a conto economico?</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36)</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17.56</w:t>
            </w:r>
          </w:p>
        </w:tc>
        <w:tc>
          <w:tcPr>
            <w:tcW w:w="6912" w:type="dxa"/>
            <w:tcMar>
              <w:left w:w="108" w:type="dxa"/>
            </w:tcMar>
          </w:tcPr>
          <w:p w:rsidR="0017721C" w:rsidRPr="0017721C" w:rsidRDefault="0017721C" w:rsidP="00EE1EEF">
            <w:pPr>
              <w:spacing w:line="230" w:lineRule="exact"/>
              <w:rPr>
                <w:lang w:val="it-IT"/>
              </w:rPr>
            </w:pPr>
            <w:r w:rsidRPr="0017721C">
              <w:rPr>
                <w:lang w:val="it-IT"/>
              </w:rPr>
              <w:t>L’attribuzione del residuo della differenza da annullamento ad avviamento è stata effettuata a condizione che siano soddisfatti i requisiti per l’iscrizione dell’avviamento previsti dal principio OIC 24 “Immobilizzazioni immateriali”?</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37)</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17.56</w:t>
            </w:r>
          </w:p>
        </w:tc>
        <w:tc>
          <w:tcPr>
            <w:tcW w:w="6912" w:type="dxa"/>
            <w:tcMar>
              <w:left w:w="108" w:type="dxa"/>
            </w:tcMar>
          </w:tcPr>
          <w:p w:rsidR="0017721C" w:rsidRPr="0017721C" w:rsidRDefault="0017721C" w:rsidP="00EE1EEF">
            <w:pPr>
              <w:spacing w:line="230" w:lineRule="exact"/>
              <w:rPr>
                <w:lang w:val="it-IT"/>
              </w:rPr>
            </w:pPr>
            <w:r w:rsidRPr="0017721C">
              <w:rPr>
                <w:lang w:val="it-IT"/>
              </w:rPr>
              <w:t>Il residuo della differenza da annullamento non allocabile sulle attività e passività e sull’avviamento della controllata è stato imputato a conto economico nella voce B14 “oneri diversi di gestione”?</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EE1EEF">
            <w:pPr>
              <w:spacing w:line="230" w:lineRule="exact"/>
              <w:outlineLvl w:val="3"/>
              <w:rPr>
                <w:i/>
                <w:lang w:val="it-IT"/>
              </w:rPr>
            </w:pPr>
            <w:r w:rsidRPr="0017721C">
              <w:rPr>
                <w:i/>
                <w:lang w:val="it-IT"/>
              </w:rPr>
              <w:t>Il trattamento contabile della differenza negativa da annullamento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38)</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Art. 33, c. 3, D.Lgs. 127/91 OIC 17.58</w:t>
            </w:r>
          </w:p>
        </w:tc>
        <w:tc>
          <w:tcPr>
            <w:tcW w:w="6912" w:type="dxa"/>
            <w:tcMar>
              <w:left w:w="108" w:type="dxa"/>
            </w:tcMar>
          </w:tcPr>
          <w:p w:rsidR="0017721C" w:rsidRPr="0017721C" w:rsidRDefault="0017721C" w:rsidP="00EE1EEF">
            <w:pPr>
              <w:spacing w:line="230" w:lineRule="exact"/>
              <w:rPr>
                <w:lang w:val="it-IT"/>
              </w:rPr>
            </w:pPr>
            <w:r w:rsidRPr="0017721C">
              <w:rPr>
                <w:lang w:val="it-IT"/>
              </w:rPr>
              <w:t>In presenza di una differenza iniziale negativa da annullamento, tale differenza è stata imputata, ove possibile, alle attività iscritte per valori superiori al loro valore recuperabile e alle passività iscritte a un valore inferiore al loro valore di estinzione, al netto delle imposte anticipate da iscriversi a fronte dei minusvalori allocati?</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39)</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Art. 33, c. 3, D.Lgs. 127/91 OIC 17.59</w:t>
            </w:r>
          </w:p>
        </w:tc>
        <w:tc>
          <w:tcPr>
            <w:tcW w:w="6912" w:type="dxa"/>
            <w:tcMar>
              <w:left w:w="108" w:type="dxa"/>
            </w:tcMar>
          </w:tcPr>
          <w:p w:rsidR="0017721C" w:rsidRPr="0017721C" w:rsidRDefault="0017721C" w:rsidP="00EE1EEF">
            <w:pPr>
              <w:spacing w:line="230" w:lineRule="exact"/>
              <w:rPr>
                <w:lang w:val="it-IT"/>
              </w:rPr>
            </w:pPr>
            <w:r w:rsidRPr="0017721C">
              <w:rPr>
                <w:lang w:val="it-IT"/>
              </w:rPr>
              <w:t xml:space="preserve">L’eventuale eccedenza negativa, se non è dovuta alla previsione di perdite bensì al compimento di un “buon affare”, è stata interamente contabilizzata come riserva di consolidamento? </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40)</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 xml:space="preserve">OIC </w:t>
            </w:r>
            <w:r w:rsidRPr="0017721C">
              <w:rPr>
                <w:sz w:val="13"/>
                <w:szCs w:val="13"/>
                <w:lang w:val="en-US"/>
              </w:rPr>
              <w:t>17</w:t>
            </w:r>
            <w:r w:rsidRPr="0017721C">
              <w:rPr>
                <w:sz w:val="13"/>
                <w:szCs w:val="13"/>
                <w:lang w:val="it-IT"/>
              </w:rPr>
              <w:t>.59</w:t>
            </w:r>
          </w:p>
        </w:tc>
        <w:tc>
          <w:tcPr>
            <w:tcW w:w="6912" w:type="dxa"/>
            <w:tcMar>
              <w:left w:w="108" w:type="dxa"/>
            </w:tcMar>
          </w:tcPr>
          <w:p w:rsidR="0017721C" w:rsidRPr="0017721C" w:rsidRDefault="0017721C" w:rsidP="00EE1EEF">
            <w:pPr>
              <w:spacing w:line="230" w:lineRule="exact"/>
              <w:rPr>
                <w:lang w:val="it-IT"/>
              </w:rPr>
            </w:pPr>
            <w:r w:rsidRPr="0017721C">
              <w:rPr>
                <w:lang w:val="it-IT"/>
              </w:rPr>
              <w:t>La differenza iniziale negativa da annullamento che residua dopo le allocazioni di cui ai punti precedenti, se relativa, in tutto o in parte, alla previsione di risultati economici sfavorevoli,</w:t>
            </w:r>
            <w:r w:rsidRPr="0017721C" w:rsidDel="00E20163">
              <w:rPr>
                <w:lang w:val="it-IT"/>
              </w:rPr>
              <w:t xml:space="preserve"> </w:t>
            </w:r>
            <w:r w:rsidRPr="0017721C">
              <w:rPr>
                <w:lang w:val="it-IT"/>
              </w:rPr>
              <w:t>è stata contabilizzata in un apposito “Fondo di consolidamento per rischi e oneri futuri”?</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41)</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17.59</w:t>
            </w:r>
          </w:p>
        </w:tc>
        <w:tc>
          <w:tcPr>
            <w:tcW w:w="6912" w:type="dxa"/>
            <w:tcMar>
              <w:left w:w="108" w:type="dxa"/>
            </w:tcMar>
          </w:tcPr>
          <w:p w:rsidR="0017721C" w:rsidRPr="0017721C" w:rsidRDefault="0017721C" w:rsidP="00EE1EEF">
            <w:pPr>
              <w:spacing w:line="230" w:lineRule="exact"/>
              <w:rPr>
                <w:lang w:val="it-IT"/>
              </w:rPr>
            </w:pPr>
            <w:r w:rsidRPr="0017721C">
              <w:rPr>
                <w:lang w:val="it-IT"/>
              </w:rPr>
              <w:t xml:space="preserve">Il fondo è utilizzato negli esercizi successivi in modo da riflettere le ipotesi assunte in sede di sua stima all’atto dell’acquisto? </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42)</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17.59</w:t>
            </w:r>
          </w:p>
        </w:tc>
        <w:tc>
          <w:tcPr>
            <w:tcW w:w="6912" w:type="dxa"/>
            <w:tcMar>
              <w:left w:w="108" w:type="dxa"/>
            </w:tcMar>
          </w:tcPr>
          <w:p w:rsidR="0017721C" w:rsidRPr="0017721C" w:rsidRDefault="0017721C" w:rsidP="00EE1EEF">
            <w:pPr>
              <w:spacing w:line="230" w:lineRule="exact"/>
              <w:rPr>
                <w:lang w:val="it-IT"/>
              </w:rPr>
            </w:pPr>
            <w:r w:rsidRPr="0017721C">
              <w:rPr>
                <w:lang w:val="it-IT"/>
              </w:rPr>
              <w:t>L’utilizzo del fondo è stato rilevato nella voce di conto economico “A5 Altri ricavi e proventi?</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43)</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17.60</w:t>
            </w:r>
          </w:p>
        </w:tc>
        <w:tc>
          <w:tcPr>
            <w:tcW w:w="6912" w:type="dxa"/>
            <w:tcMar>
              <w:left w:w="108" w:type="dxa"/>
            </w:tcMar>
          </w:tcPr>
          <w:p w:rsidR="0017721C" w:rsidRPr="0017721C" w:rsidRDefault="0017721C" w:rsidP="00EE1EEF">
            <w:pPr>
              <w:spacing w:line="230" w:lineRule="exact"/>
              <w:rPr>
                <w:lang w:val="it-IT"/>
              </w:rPr>
            </w:pPr>
            <w:r w:rsidRPr="0017721C">
              <w:rPr>
                <w:lang w:val="it-IT"/>
              </w:rPr>
              <w:t>Se l’entità complessiva dei risultati sfavorevoli attesi risulta minore dell’ammontare complessivo della differenza negativa da annullamento, ciò che residua dopo l’iscrizione del “Fondo di consolidamento per rischi e oneri futuri” è stato accreditato al patrimonio netto consolidato, nella voce “Riserva di consolidamento”?</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17721C">
            <w:pPr>
              <w:keepNext/>
              <w:outlineLvl w:val="2"/>
              <w:rPr>
                <w:b/>
                <w:bCs/>
                <w:i/>
                <w:lang w:val="it-IT"/>
              </w:rPr>
            </w:pPr>
            <w:r w:rsidRPr="0017721C">
              <w:rPr>
                <w:b/>
                <w:bCs/>
                <w:i/>
                <w:lang w:val="it-IT"/>
              </w:rPr>
              <w:t>Rilevazione contabile negli esercizi successivi delle rettifiche apportate alle attività e passività della controllata alla data dell’acquisizione</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44)</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17.61</w:t>
            </w:r>
          </w:p>
        </w:tc>
        <w:tc>
          <w:tcPr>
            <w:tcW w:w="6912" w:type="dxa"/>
            <w:tcMar>
              <w:left w:w="108" w:type="dxa"/>
            </w:tcMar>
            <w:vAlign w:val="center"/>
          </w:tcPr>
          <w:p w:rsidR="0017721C" w:rsidRPr="0017721C" w:rsidRDefault="0017721C" w:rsidP="00474234">
            <w:pPr>
              <w:spacing w:line="234" w:lineRule="exact"/>
              <w:rPr>
                <w:lang w:val="it-IT"/>
              </w:rPr>
            </w:pPr>
            <w:r w:rsidRPr="0017721C">
              <w:rPr>
                <w:lang w:val="it-IT"/>
              </w:rPr>
              <w:t>Negli esercizi successivi all’acquisizione, sono state effettuate nel bilancio consolidato le rettifiche per riflettere gli effetti delle imputazione iniziali della differenza da annullamento, aggiornati annualmente alla data di consolidamento?</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45)</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17.61</w:t>
            </w:r>
          </w:p>
        </w:tc>
        <w:tc>
          <w:tcPr>
            <w:tcW w:w="6912" w:type="dxa"/>
            <w:tcMar>
              <w:left w:w="108" w:type="dxa"/>
            </w:tcMar>
            <w:vAlign w:val="center"/>
          </w:tcPr>
          <w:p w:rsidR="0017721C" w:rsidRPr="0017721C" w:rsidRDefault="0017721C" w:rsidP="00474234">
            <w:pPr>
              <w:spacing w:line="234" w:lineRule="exact"/>
              <w:rPr>
                <w:lang w:val="it-IT"/>
              </w:rPr>
            </w:pPr>
            <w:r w:rsidRPr="0017721C">
              <w:rPr>
                <w:lang w:val="it-IT"/>
              </w:rPr>
              <w:t>Le rettifiche di cui al punto precedente sono effettuate finchè le relative attività e passività ad essa inerenti rimangono iscritte nei bilanci d’esercizio della controllata?</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17721C">
            <w:pPr>
              <w:keepNext/>
              <w:outlineLvl w:val="2"/>
              <w:rPr>
                <w:b/>
                <w:bCs/>
                <w:i/>
                <w:lang w:val="it-IT"/>
              </w:rPr>
            </w:pPr>
            <w:r w:rsidRPr="0017721C">
              <w:rPr>
                <w:b/>
                <w:bCs/>
                <w:i/>
                <w:lang w:val="it-IT"/>
              </w:rPr>
              <w:t>Eliminazione saldi e operazioni infragruppo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46)</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17.62</w:t>
            </w:r>
          </w:p>
        </w:tc>
        <w:tc>
          <w:tcPr>
            <w:tcW w:w="6912" w:type="dxa"/>
            <w:tcMar>
              <w:left w:w="108" w:type="dxa"/>
            </w:tcMar>
            <w:vAlign w:val="center"/>
          </w:tcPr>
          <w:p w:rsidR="0017721C" w:rsidRPr="0017721C" w:rsidRDefault="0017721C" w:rsidP="00474234">
            <w:pPr>
              <w:spacing w:line="234" w:lineRule="exact"/>
              <w:rPr>
                <w:lang w:val="it-IT"/>
              </w:rPr>
            </w:pPr>
            <w:r w:rsidRPr="0017721C">
              <w:rPr>
                <w:lang w:val="it-IT"/>
              </w:rPr>
              <w:t>Il bilancio consolidato include solo le operazioni effettuate con i terzi estranei al gruppo?</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47)</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17.62,.64</w:t>
            </w:r>
          </w:p>
        </w:tc>
        <w:tc>
          <w:tcPr>
            <w:tcW w:w="6912" w:type="dxa"/>
            <w:tcMar>
              <w:left w:w="108" w:type="dxa"/>
            </w:tcMar>
            <w:vAlign w:val="center"/>
          </w:tcPr>
          <w:p w:rsidR="0017721C" w:rsidRPr="0017721C" w:rsidRDefault="0017721C" w:rsidP="00474234">
            <w:pPr>
              <w:spacing w:line="234" w:lineRule="exact"/>
              <w:rPr>
                <w:lang w:val="it-IT"/>
              </w:rPr>
            </w:pPr>
            <w:r w:rsidRPr="0017721C">
              <w:rPr>
                <w:lang w:val="it-IT"/>
              </w:rPr>
              <w:t xml:space="preserve">È stata effettuata per l’intero ammontare delle operazioni l’eliminazione degli importi relativi a operazioni e saldi reciproci costituiti da crediti e debiti reciproci e costi e ricavi reciproci, solo se successive alla data di consolidamento della partecipazione? </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EE1EEF">
            <w:pPr>
              <w:pageBreakBefore/>
              <w:jc w:val="center"/>
              <w:rPr>
                <w:b/>
                <w:lang w:val="it-IT"/>
              </w:rPr>
            </w:pPr>
          </w:p>
        </w:tc>
        <w:tc>
          <w:tcPr>
            <w:tcW w:w="836" w:type="dxa"/>
            <w:tcMar>
              <w:left w:w="108" w:type="dxa"/>
              <w:right w:w="0" w:type="dxa"/>
            </w:tcMar>
          </w:tcPr>
          <w:p w:rsidR="0017721C" w:rsidRPr="0017721C" w:rsidRDefault="0017721C" w:rsidP="00EE1EEF">
            <w:pPr>
              <w:pageBreakBefore/>
              <w:spacing w:before="40" w:line="240" w:lineRule="auto"/>
              <w:ind w:left="-57"/>
              <w:jc w:val="left"/>
              <w:rPr>
                <w:sz w:val="13"/>
                <w:szCs w:val="13"/>
                <w:lang w:val="it-IT"/>
              </w:rPr>
            </w:pPr>
            <w:r w:rsidRPr="0017721C">
              <w:rPr>
                <w:sz w:val="13"/>
                <w:szCs w:val="13"/>
                <w:lang w:val="it-IT"/>
              </w:rPr>
              <w:t>OIC 17.63</w:t>
            </w:r>
          </w:p>
        </w:tc>
        <w:tc>
          <w:tcPr>
            <w:tcW w:w="6912" w:type="dxa"/>
            <w:tcMar>
              <w:left w:w="108" w:type="dxa"/>
            </w:tcMar>
            <w:vAlign w:val="center"/>
          </w:tcPr>
          <w:p w:rsidR="0017721C" w:rsidRPr="0017721C" w:rsidRDefault="0017721C" w:rsidP="00EE1EEF">
            <w:pPr>
              <w:pageBreakBefore/>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Alcuni esempi di operazioni effettuate tra società appartenenti alla medesima area di consolidamento, da analizzare per procedere all’effettuazione delle necessarie rettifiche finalizzate all’applicazione del metodo del consolidamento integrale, sono i seguenti:</w:t>
            </w:r>
          </w:p>
          <w:p w:rsidR="0017721C" w:rsidRPr="0017721C" w:rsidRDefault="0017721C" w:rsidP="00EE1EEF">
            <w:pPr>
              <w:pageBreakBefore/>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a) vendite di merci o prodotti finiti;</w:t>
            </w:r>
          </w:p>
          <w:p w:rsidR="0017721C" w:rsidRPr="0017721C" w:rsidRDefault="0017721C" w:rsidP="00EE1EEF">
            <w:pPr>
              <w:pageBreakBefore/>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b) vendite di cespiti;</w:t>
            </w:r>
          </w:p>
          <w:p w:rsidR="0017721C" w:rsidRPr="0017721C" w:rsidRDefault="0017721C" w:rsidP="00EE1EEF">
            <w:pPr>
              <w:pageBreakBefore/>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c) vendite di beni immateriali, quali marchi e brevetti;</w:t>
            </w:r>
          </w:p>
          <w:p w:rsidR="0017721C" w:rsidRPr="0017721C" w:rsidRDefault="0017721C" w:rsidP="00EE1EEF">
            <w:pPr>
              <w:pageBreakBefore/>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d) concessioni di finanziamenti;</w:t>
            </w:r>
          </w:p>
          <w:p w:rsidR="0017721C" w:rsidRPr="0017721C" w:rsidRDefault="0017721C" w:rsidP="00EE1EEF">
            <w:pPr>
              <w:pageBreakBefore/>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e) prestazioni di servizi aventi come contropartita la corresponsione di provvigioni;</w:t>
            </w:r>
          </w:p>
          <w:p w:rsidR="0017721C" w:rsidRPr="0017721C" w:rsidRDefault="0017721C" w:rsidP="00EE1EEF">
            <w:pPr>
              <w:pageBreakBefore/>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f) </w:t>
            </w:r>
            <w:r w:rsidRPr="0017721C">
              <w:rPr>
                <w:sz w:val="16"/>
                <w:szCs w:val="16"/>
                <w:lang w:val="it-IT"/>
              </w:rPr>
              <w:tab/>
              <w:t>altre prestazioni di servizi;</w:t>
            </w:r>
          </w:p>
          <w:p w:rsidR="0017721C" w:rsidRPr="0017721C" w:rsidRDefault="0017721C" w:rsidP="00EE1EEF">
            <w:pPr>
              <w:pageBreakBefore/>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g) operazioni straordinarie di fusione, scissione, conferimento e cessione di azienda.</w:t>
            </w:r>
          </w:p>
        </w:tc>
        <w:tc>
          <w:tcPr>
            <w:tcW w:w="554" w:type="dxa"/>
            <w:tcMar>
              <w:left w:w="85" w:type="dxa"/>
              <w:right w:w="85" w:type="dxa"/>
            </w:tcMar>
            <w:vAlign w:val="center"/>
          </w:tcPr>
          <w:p w:rsidR="0017721C" w:rsidRPr="0017721C" w:rsidRDefault="0017721C" w:rsidP="00EE1EEF">
            <w:pPr>
              <w:pageBreakBefore/>
              <w:jc w:val="center"/>
              <w:rPr>
                <w:lang w:val="it-IT"/>
              </w:rPr>
            </w:pPr>
          </w:p>
        </w:tc>
        <w:tc>
          <w:tcPr>
            <w:tcW w:w="565" w:type="dxa"/>
            <w:tcMar>
              <w:left w:w="108" w:type="dxa"/>
            </w:tcMar>
            <w:vAlign w:val="center"/>
          </w:tcPr>
          <w:p w:rsidR="0017721C" w:rsidRPr="0017721C" w:rsidRDefault="0017721C" w:rsidP="00EE1EEF">
            <w:pPr>
              <w:pageBreakBefore/>
              <w:jc w:val="center"/>
              <w:rPr>
                <w:lang w:val="it-IT"/>
              </w:rPr>
            </w:pPr>
          </w:p>
        </w:tc>
        <w:tc>
          <w:tcPr>
            <w:tcW w:w="564" w:type="dxa"/>
            <w:tcMar>
              <w:left w:w="108" w:type="dxa"/>
            </w:tcMar>
            <w:vAlign w:val="center"/>
          </w:tcPr>
          <w:p w:rsidR="0017721C" w:rsidRPr="0017721C" w:rsidRDefault="0017721C" w:rsidP="00EE1EEF">
            <w:pPr>
              <w:pageBreakBefore/>
              <w:jc w:val="center"/>
              <w:rPr>
                <w:lang w:val="it-IT"/>
              </w:rPr>
            </w:pP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17.65</w:t>
            </w:r>
          </w:p>
        </w:tc>
        <w:tc>
          <w:tcPr>
            <w:tcW w:w="6912" w:type="dxa"/>
            <w:tcMar>
              <w:left w:w="108" w:type="dxa"/>
            </w:tcMar>
            <w:vAlign w:val="cente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I saldi e le operazioni infragruppo possono non essere eliminati se irrilevanti ai fini della rappresentazione veritiera e corretta della situazione patrimoniale, finanziaria ed economica del gruppo.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EE1EEF">
            <w:pPr>
              <w:jc w:val="center"/>
              <w:rPr>
                <w:b/>
                <w:lang w:val="it-IT"/>
              </w:rPr>
            </w:pPr>
          </w:p>
        </w:tc>
        <w:tc>
          <w:tcPr>
            <w:tcW w:w="836" w:type="dxa"/>
            <w:tcMar>
              <w:left w:w="108" w:type="dxa"/>
              <w:right w:w="0" w:type="dxa"/>
            </w:tcMar>
          </w:tcPr>
          <w:p w:rsidR="0017721C" w:rsidRPr="0017721C" w:rsidRDefault="0017721C" w:rsidP="00EE1EEF">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EE1EEF">
            <w:pPr>
              <w:outlineLvl w:val="2"/>
              <w:rPr>
                <w:b/>
                <w:bCs/>
                <w:i/>
                <w:lang w:val="it-IT"/>
              </w:rPr>
            </w:pPr>
            <w:r w:rsidRPr="0017721C">
              <w:rPr>
                <w:b/>
                <w:bCs/>
                <w:i/>
                <w:lang w:val="it-IT"/>
              </w:rPr>
              <w:t>Utili e perdite infragruppo</w:t>
            </w:r>
          </w:p>
        </w:tc>
        <w:tc>
          <w:tcPr>
            <w:tcW w:w="554" w:type="dxa"/>
            <w:tcMar>
              <w:left w:w="85" w:type="dxa"/>
              <w:right w:w="85" w:type="dxa"/>
            </w:tcMar>
            <w:vAlign w:val="center"/>
          </w:tcPr>
          <w:p w:rsidR="0017721C" w:rsidRPr="0017721C" w:rsidRDefault="0017721C" w:rsidP="00EE1EEF">
            <w:pPr>
              <w:jc w:val="center"/>
            </w:pPr>
          </w:p>
        </w:tc>
        <w:tc>
          <w:tcPr>
            <w:tcW w:w="565" w:type="dxa"/>
            <w:tcMar>
              <w:left w:w="108" w:type="dxa"/>
            </w:tcMar>
            <w:vAlign w:val="center"/>
          </w:tcPr>
          <w:p w:rsidR="0017721C" w:rsidRPr="0017721C" w:rsidRDefault="0017721C" w:rsidP="00EE1EEF">
            <w:pPr>
              <w:jc w:val="center"/>
            </w:pPr>
          </w:p>
        </w:tc>
        <w:tc>
          <w:tcPr>
            <w:tcW w:w="564" w:type="dxa"/>
            <w:tcMar>
              <w:left w:w="108" w:type="dxa"/>
            </w:tcMar>
            <w:vAlign w:val="center"/>
          </w:tcPr>
          <w:p w:rsidR="0017721C" w:rsidRPr="0017721C" w:rsidRDefault="0017721C" w:rsidP="00EE1EEF">
            <w:pPr>
              <w:jc w:val="cente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48)</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17.66</w:t>
            </w:r>
          </w:p>
        </w:tc>
        <w:tc>
          <w:tcPr>
            <w:tcW w:w="6912" w:type="dxa"/>
            <w:tcMar>
              <w:left w:w="108" w:type="dxa"/>
            </w:tcMar>
            <w:vAlign w:val="center"/>
          </w:tcPr>
          <w:p w:rsidR="0017721C" w:rsidRPr="0017721C" w:rsidRDefault="0017721C" w:rsidP="00EE1EEF">
            <w:pPr>
              <w:spacing w:line="240" w:lineRule="exact"/>
              <w:rPr>
                <w:lang w:val="it-IT"/>
              </w:rPr>
            </w:pPr>
            <w:r w:rsidRPr="0017721C">
              <w:rPr>
                <w:lang w:val="it-IT"/>
              </w:rPr>
              <w:t>Sono stati eliminati gli utili e le perdite conseguenti a operazioni effettuate tra le imprese incluse nella medesima area di consolidamento e relative a valori compresi nel patrimonio alla data del bilancio consolidato, diversi da lavori in corso su ordinazione di terzi?</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49)</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17.67</w:t>
            </w:r>
          </w:p>
        </w:tc>
        <w:tc>
          <w:tcPr>
            <w:tcW w:w="6912" w:type="dxa"/>
            <w:tcMar>
              <w:left w:w="108" w:type="dxa"/>
            </w:tcMar>
            <w:vAlign w:val="center"/>
          </w:tcPr>
          <w:p w:rsidR="0017721C" w:rsidRPr="0017721C" w:rsidRDefault="0017721C" w:rsidP="00EE1EEF">
            <w:pPr>
              <w:spacing w:line="240" w:lineRule="exact"/>
              <w:rPr>
                <w:lang w:val="it-IT"/>
              </w:rPr>
            </w:pPr>
            <w:r w:rsidRPr="0017721C">
              <w:rPr>
                <w:lang w:val="it-IT"/>
              </w:rPr>
              <w:t>L’eliminazione degli utili e delle perdite infragruppo è stata effettuata sulla base dell’utile o della perdita lorda?</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50)</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17.67</w:t>
            </w:r>
          </w:p>
        </w:tc>
        <w:tc>
          <w:tcPr>
            <w:tcW w:w="6912" w:type="dxa"/>
            <w:tcMar>
              <w:left w:w="108" w:type="dxa"/>
            </w:tcMar>
            <w:vAlign w:val="center"/>
          </w:tcPr>
          <w:p w:rsidR="0017721C" w:rsidRPr="0017721C" w:rsidRDefault="0017721C" w:rsidP="00EE1EEF">
            <w:pPr>
              <w:spacing w:line="240" w:lineRule="exact"/>
              <w:rPr>
                <w:lang w:val="it-IT"/>
              </w:rPr>
            </w:pPr>
            <w:r w:rsidRPr="0017721C">
              <w:rPr>
                <w:lang w:val="it-IT"/>
              </w:rPr>
              <w:t>L’eliminazione degli utili e delle perdite infragruppo è stata effettuata escludendo le spese generali, amministrative e di vendita che l’impresa sostiene comunque nel periodo?</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51)</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 xml:space="preserve">OIC 17.68 </w:t>
            </w:r>
          </w:p>
        </w:tc>
        <w:tc>
          <w:tcPr>
            <w:tcW w:w="6912" w:type="dxa"/>
            <w:tcMar>
              <w:left w:w="108" w:type="dxa"/>
            </w:tcMar>
            <w:vAlign w:val="center"/>
          </w:tcPr>
          <w:p w:rsidR="0017721C" w:rsidRPr="0017721C" w:rsidRDefault="0017721C" w:rsidP="00EE1EEF">
            <w:pPr>
              <w:spacing w:line="240" w:lineRule="exact"/>
              <w:rPr>
                <w:lang w:val="it-IT"/>
              </w:rPr>
            </w:pPr>
            <w:r w:rsidRPr="0017721C">
              <w:rPr>
                <w:lang w:val="it-IT"/>
              </w:rPr>
              <w:t xml:space="preserve">L’eliminazione ha determinato una riduzione o un aumento dell’ammontare dell’attività e un addebito o un accredito a conto economico? </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widowControl w:val="0"/>
              <w:jc w:val="center"/>
              <w:rPr>
                <w:b/>
                <w:lang w:val="it-IT"/>
              </w:rPr>
            </w:pPr>
            <w:r w:rsidRPr="0017721C">
              <w:rPr>
                <w:b/>
                <w:lang w:val="it-IT"/>
              </w:rPr>
              <w:t>52)</w:t>
            </w:r>
          </w:p>
        </w:tc>
        <w:tc>
          <w:tcPr>
            <w:tcW w:w="836" w:type="dxa"/>
            <w:tcMar>
              <w:left w:w="108" w:type="dxa"/>
              <w:right w:w="0" w:type="dxa"/>
            </w:tcMar>
          </w:tcPr>
          <w:p w:rsidR="0017721C" w:rsidRPr="0017721C" w:rsidRDefault="0017721C" w:rsidP="0017721C">
            <w:pPr>
              <w:widowControl w:val="0"/>
              <w:spacing w:before="40" w:line="240" w:lineRule="auto"/>
              <w:ind w:left="-57"/>
              <w:jc w:val="left"/>
              <w:rPr>
                <w:sz w:val="13"/>
                <w:szCs w:val="13"/>
                <w:lang w:val="it-IT"/>
              </w:rPr>
            </w:pPr>
            <w:r w:rsidRPr="0017721C">
              <w:rPr>
                <w:sz w:val="13"/>
                <w:szCs w:val="13"/>
                <w:lang w:val="it-IT"/>
              </w:rPr>
              <w:t>OIC 17.69</w:t>
            </w:r>
          </w:p>
        </w:tc>
        <w:tc>
          <w:tcPr>
            <w:tcW w:w="6912" w:type="dxa"/>
            <w:tcMar>
              <w:left w:w="108" w:type="dxa"/>
            </w:tcMar>
            <w:vAlign w:val="center"/>
          </w:tcPr>
          <w:p w:rsidR="0017721C" w:rsidRPr="0017721C" w:rsidRDefault="0017721C" w:rsidP="00EE1EEF">
            <w:pPr>
              <w:widowControl w:val="0"/>
              <w:spacing w:line="240" w:lineRule="exact"/>
              <w:rPr>
                <w:lang w:val="it-IT"/>
              </w:rPr>
            </w:pPr>
            <w:r w:rsidRPr="0017721C">
              <w:rPr>
                <w:lang w:val="it-IT"/>
              </w:rPr>
              <w:t>Se l’eliminazione di utili e/o perdite infragruppo ha comportato l’insorgere (o l’annullarsi) di una differenza temporanea, è stata rilevata (o variata) la fiscalità differita secondo quanto previsto dall’OIC 25 “Imposte sul reddito”?</w:t>
            </w:r>
          </w:p>
        </w:tc>
        <w:tc>
          <w:tcPr>
            <w:tcW w:w="554" w:type="dxa"/>
            <w:tcMar>
              <w:left w:w="85" w:type="dxa"/>
              <w:right w:w="85" w:type="dxa"/>
            </w:tcMar>
            <w:vAlign w:val="center"/>
          </w:tcPr>
          <w:p w:rsidR="0017721C" w:rsidRPr="0017721C" w:rsidRDefault="0017721C" w:rsidP="0017721C">
            <w:pPr>
              <w:widowControl w:val="0"/>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widowControl w:val="0"/>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widowControl w:val="0"/>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17.70</w:t>
            </w:r>
          </w:p>
        </w:tc>
        <w:tc>
          <w:tcPr>
            <w:tcW w:w="6912" w:type="dxa"/>
            <w:tcMar>
              <w:left w:w="108" w:type="dxa"/>
            </w:tcMar>
            <w:vAlign w:val="cente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A seguito delle scritture di eliminazione di perdite infragruppo, il limite massimo di incremento dei valori delle attività è costituito dal valore recuperabile a seconda del tipo del bene cui si riferiscono secondo quanto disciplinato dagli specifici Principi OIC.</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53)</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17.71</w:t>
            </w:r>
          </w:p>
        </w:tc>
        <w:tc>
          <w:tcPr>
            <w:tcW w:w="6912" w:type="dxa"/>
            <w:tcMar>
              <w:left w:w="108" w:type="dxa"/>
            </w:tcMar>
            <w:vAlign w:val="center"/>
          </w:tcPr>
          <w:p w:rsidR="0017721C" w:rsidRPr="0017721C" w:rsidRDefault="0017721C" w:rsidP="00EE1EEF">
            <w:pPr>
              <w:spacing w:line="240" w:lineRule="exact"/>
              <w:rPr>
                <w:lang w:val="it-IT"/>
              </w:rPr>
            </w:pPr>
            <w:r w:rsidRPr="0017721C">
              <w:rPr>
                <w:lang w:val="it-IT"/>
              </w:rPr>
              <w:t>Gli utili e le perdite infragruppo sono state eliminate per la loro totalità dalle attività interessate, anche nei casi in cui esistono interessenze di terzi, prima di determinare la quota di patrimonio netto e di risultato di spettanza dei terzi?</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54)</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17.72</w:t>
            </w:r>
          </w:p>
        </w:tc>
        <w:tc>
          <w:tcPr>
            <w:tcW w:w="6912" w:type="dxa"/>
            <w:tcMar>
              <w:left w:w="108" w:type="dxa"/>
            </w:tcMar>
            <w:vAlign w:val="center"/>
          </w:tcPr>
          <w:p w:rsidR="0017721C" w:rsidRPr="0017721C" w:rsidRDefault="0017721C" w:rsidP="00EE1EEF">
            <w:pPr>
              <w:spacing w:line="240" w:lineRule="exact"/>
              <w:rPr>
                <w:lang w:val="it-IT"/>
              </w:rPr>
            </w:pPr>
            <w:r w:rsidRPr="0017721C">
              <w:rPr>
                <w:lang w:val="it-IT"/>
              </w:rPr>
              <w:t>Ai fini dell’attribuzione alle interessenze di terzi di utili e perdite infragruppo sono state distinte le cessioni da controllante a controllata (“verso il basso”) da quelle che avvengono da controllata a controllante (“verso l’alto”)?</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55)</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17.73</w:t>
            </w:r>
          </w:p>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EE1EEF">
            <w:pPr>
              <w:spacing w:line="240" w:lineRule="exact"/>
              <w:rPr>
                <w:lang w:val="it-IT"/>
              </w:rPr>
            </w:pPr>
            <w:r w:rsidRPr="0017721C">
              <w:rPr>
                <w:lang w:val="it-IT"/>
              </w:rPr>
              <w:t>Nel caso di vendite effettuate dalla controllante alla controllata, lo storno degli utili e delle perdite infragruppo, relativo a beni non ancora venduti a terzi, ha come contropartita le voci dell’attivo in cui sono inclusi i beni?</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17.73</w:t>
            </w:r>
          </w:p>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Il risultato che si ottiene coincide con quello che si sarebbe ottenuto nel caso in cui la vendita infragruppo non si fosse verificata.</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56)</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17.73</w:t>
            </w:r>
          </w:p>
          <w:p w:rsidR="0017721C" w:rsidRPr="0017721C" w:rsidRDefault="0017721C" w:rsidP="0017721C">
            <w:pPr>
              <w:spacing w:before="40" w:line="240" w:lineRule="auto"/>
              <w:ind w:left="-57"/>
              <w:jc w:val="left"/>
              <w:rPr>
                <w:sz w:val="13"/>
                <w:szCs w:val="13"/>
                <w:lang w:val="it-IT"/>
              </w:rPr>
            </w:pPr>
          </w:p>
        </w:tc>
        <w:tc>
          <w:tcPr>
            <w:tcW w:w="6912" w:type="dxa"/>
            <w:tcMar>
              <w:left w:w="108" w:type="dxa"/>
            </w:tcMar>
            <w:vAlign w:val="center"/>
          </w:tcPr>
          <w:p w:rsidR="0017721C" w:rsidRPr="0017721C" w:rsidRDefault="0017721C" w:rsidP="00EE1EEF">
            <w:pPr>
              <w:spacing w:line="240" w:lineRule="exact"/>
              <w:rPr>
                <w:lang w:val="it-IT"/>
              </w:rPr>
            </w:pPr>
            <w:r w:rsidRPr="0017721C">
              <w:rPr>
                <w:lang w:val="it-IT"/>
              </w:rPr>
              <w:t>L’utile o la perdita oggetto di eliminazione si trovano nel bilancio della controllante e non in quello della controllata e la quota di risultato economico relativa all’interessenza di terzi non è influenzata da questa rettifica di consolidamento?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57)</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17.74</w:t>
            </w:r>
          </w:p>
        </w:tc>
        <w:tc>
          <w:tcPr>
            <w:tcW w:w="6912" w:type="dxa"/>
            <w:tcMar>
              <w:left w:w="108" w:type="dxa"/>
            </w:tcMar>
            <w:vAlign w:val="center"/>
          </w:tcPr>
          <w:p w:rsidR="0017721C" w:rsidRPr="0017721C" w:rsidRDefault="0017721C" w:rsidP="00EE1EEF">
            <w:pPr>
              <w:spacing w:line="240" w:lineRule="exact"/>
              <w:rPr>
                <w:lang w:val="it-IT"/>
              </w:rPr>
            </w:pPr>
            <w:r w:rsidRPr="0017721C">
              <w:rPr>
                <w:lang w:val="it-IT"/>
              </w:rPr>
              <w:t>Nel caso di vendite effettuate dalla controllata alla controllante, mentre gli utili/perdite infragruppo sono sempre eliminati per il loro intero ammontare dalla voce dell’attivo interessata dalla cessione, l’impatto a conto economico di detta eliminazione, ossia la riduzione del risultato netto consolidato, è stato imputato alle voci “risultato di pertinenza del gruppo” e “risultato di pertinenza di terzi” proporzionalmente alle quote di partecipazione nel capitale della controllata?</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17.74</w:t>
            </w:r>
          </w:p>
        </w:tc>
        <w:tc>
          <w:tcPr>
            <w:tcW w:w="6912" w:type="dxa"/>
            <w:tcMar>
              <w:left w:w="108" w:type="dxa"/>
            </w:tcMar>
            <w:vAlign w:val="cente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Si applica il medesimo criterio anche alle operazioni effettuate tra società incluse nell’area di consolidamento, ma diverse dalla controllante, ivi incluse le operazioni straordinarie (ad esempio fusioni, conferimenti e scissioni) compiute all’interno del gruppo.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58)</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Art.31,c.2,  D.Lgs 127/91  OIC 17.75</w:t>
            </w:r>
          </w:p>
        </w:tc>
        <w:tc>
          <w:tcPr>
            <w:tcW w:w="6912" w:type="dxa"/>
            <w:tcMar>
              <w:left w:w="108" w:type="dxa"/>
            </w:tcMar>
            <w:vAlign w:val="center"/>
          </w:tcPr>
          <w:p w:rsidR="0017721C" w:rsidRPr="0017721C" w:rsidRDefault="0017721C" w:rsidP="00EE1EEF">
            <w:pPr>
              <w:spacing w:line="240" w:lineRule="exact"/>
              <w:rPr>
                <w:lang w:val="it-IT"/>
              </w:rPr>
            </w:pPr>
            <w:r w:rsidRPr="0017721C">
              <w:rPr>
                <w:lang w:val="it-IT"/>
              </w:rPr>
              <w:t>La società si è avvalsa della facoltà di non eliminare gli utili realizzati in proporzione all’avanzamento dei lavori, tra l’una e l’altra impresa incluse nel consolidamento, quando l’opera in corso di esecuzione sia stata commissionata da terzi esterni al gruppo, se le imprese coinvolte valutano i lavori in corso su ordinazione con il metodo della percentuale di completamento e non con il metodo della commessa completata?</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EE1EEF">
            <w:pPr>
              <w:pageBreakBefore/>
              <w:jc w:val="center"/>
              <w:rPr>
                <w:b/>
                <w:lang w:val="it-IT"/>
              </w:rPr>
            </w:pPr>
            <w:r w:rsidRPr="0017721C">
              <w:rPr>
                <w:b/>
                <w:lang w:val="it-IT"/>
              </w:rPr>
              <w:t>59)</w:t>
            </w:r>
          </w:p>
        </w:tc>
        <w:tc>
          <w:tcPr>
            <w:tcW w:w="836" w:type="dxa"/>
            <w:tcMar>
              <w:left w:w="108" w:type="dxa"/>
              <w:right w:w="0" w:type="dxa"/>
            </w:tcMar>
          </w:tcPr>
          <w:p w:rsidR="0017721C" w:rsidRPr="0017721C" w:rsidRDefault="0017721C" w:rsidP="00EE1EEF">
            <w:pPr>
              <w:pageBreakBefore/>
              <w:spacing w:before="40" w:line="240" w:lineRule="auto"/>
              <w:ind w:left="-57"/>
              <w:jc w:val="left"/>
              <w:rPr>
                <w:sz w:val="13"/>
                <w:szCs w:val="13"/>
                <w:lang w:val="en-US"/>
              </w:rPr>
            </w:pPr>
            <w:r w:rsidRPr="0017721C">
              <w:rPr>
                <w:sz w:val="13"/>
                <w:szCs w:val="13"/>
                <w:lang w:val="en-US"/>
              </w:rPr>
              <w:t>Art.31,c.3,  D.Lgs 127/91 OIC 17.76</w:t>
            </w:r>
          </w:p>
        </w:tc>
        <w:tc>
          <w:tcPr>
            <w:tcW w:w="6912" w:type="dxa"/>
            <w:tcMar>
              <w:left w:w="108" w:type="dxa"/>
            </w:tcMar>
            <w:vAlign w:val="center"/>
          </w:tcPr>
          <w:p w:rsidR="0017721C" w:rsidRPr="0017721C" w:rsidRDefault="0017721C" w:rsidP="00EE1EEF">
            <w:pPr>
              <w:pageBreakBefore/>
              <w:rPr>
                <w:lang w:val="it-IT"/>
              </w:rPr>
            </w:pPr>
            <w:r w:rsidRPr="0017721C">
              <w:rPr>
                <w:lang w:val="it-IT"/>
              </w:rPr>
              <w:t>Gli utili o le perdite su operazioni infragruppo e relative a valori compresi nel patrimonio, diversi da lavori in corso su ordinazione di terzi, non sono eliminati se ricorrono tutte le seguenti condizioni:</w:t>
            </w:r>
          </w:p>
        </w:tc>
        <w:tc>
          <w:tcPr>
            <w:tcW w:w="554" w:type="dxa"/>
            <w:tcMar>
              <w:left w:w="85" w:type="dxa"/>
              <w:right w:w="85" w:type="dxa"/>
            </w:tcMar>
            <w:vAlign w:val="center"/>
          </w:tcPr>
          <w:p w:rsidR="0017721C" w:rsidRPr="0017721C" w:rsidRDefault="0017721C" w:rsidP="00EE1EEF">
            <w:pPr>
              <w:pageBreakBefore/>
              <w:jc w:val="center"/>
              <w:rPr>
                <w:lang w:val="it-IT"/>
              </w:rPr>
            </w:pPr>
          </w:p>
        </w:tc>
        <w:tc>
          <w:tcPr>
            <w:tcW w:w="565" w:type="dxa"/>
            <w:tcMar>
              <w:left w:w="108" w:type="dxa"/>
            </w:tcMar>
            <w:vAlign w:val="center"/>
          </w:tcPr>
          <w:p w:rsidR="0017721C" w:rsidRPr="0017721C" w:rsidRDefault="0017721C" w:rsidP="00EE1EEF">
            <w:pPr>
              <w:pageBreakBefore/>
              <w:jc w:val="center"/>
              <w:rPr>
                <w:lang w:val="it-IT"/>
              </w:rPr>
            </w:pPr>
          </w:p>
        </w:tc>
        <w:tc>
          <w:tcPr>
            <w:tcW w:w="564" w:type="dxa"/>
            <w:tcMar>
              <w:left w:w="108" w:type="dxa"/>
            </w:tcMar>
            <w:vAlign w:val="center"/>
          </w:tcPr>
          <w:p w:rsidR="0017721C" w:rsidRPr="0017721C" w:rsidRDefault="0017721C" w:rsidP="00EE1EEF">
            <w:pPr>
              <w:pageBreakBefore/>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EE1EEF">
            <w:pPr>
              <w:ind w:left="377" w:hanging="377"/>
              <w:rPr>
                <w:lang w:val="it-IT"/>
              </w:rPr>
            </w:pPr>
            <w:r w:rsidRPr="0017721C">
              <w:rPr>
                <w:lang w:val="it-IT"/>
              </w:rPr>
              <w:t>a)</w:t>
            </w:r>
            <w:r w:rsidRPr="0017721C">
              <w:rPr>
                <w:lang w:val="it-IT"/>
              </w:rPr>
              <w:tab/>
              <w:t>essi derivano da operazioni correnti dell’impresa che ha conseguito l’utile o la perdita;</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EE1EEF">
            <w:pPr>
              <w:ind w:left="377" w:hanging="377"/>
              <w:rPr>
                <w:lang w:val="it-IT"/>
              </w:rPr>
            </w:pPr>
            <w:r w:rsidRPr="0017721C">
              <w:rPr>
                <w:lang w:val="it-IT"/>
              </w:rPr>
              <w:t>b)</w:t>
            </w:r>
            <w:r w:rsidRPr="0017721C">
              <w:rPr>
                <w:lang w:val="it-IT"/>
              </w:rPr>
              <w:tab/>
              <w:t>tali operazioni sono state concluse a normali condizioni di mercato;</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EE1EEF">
            <w:pPr>
              <w:ind w:left="377" w:hanging="377"/>
              <w:rPr>
                <w:lang w:val="it-IT"/>
              </w:rPr>
            </w:pPr>
            <w:r w:rsidRPr="0017721C">
              <w:rPr>
                <w:lang w:val="it-IT"/>
              </w:rPr>
              <w:t>c)</w:t>
            </w:r>
            <w:r w:rsidRPr="0017721C">
              <w:rPr>
                <w:lang w:val="it-IT"/>
              </w:rPr>
              <w:tab/>
              <w:t>l’eliminazione comporta costi sproporzionati rispetto ai costi globali del consolidamento?</w:t>
            </w:r>
          </w:p>
        </w:tc>
        <w:tc>
          <w:tcPr>
            <w:tcW w:w="554" w:type="dxa"/>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17.77</w:t>
            </w:r>
          </w:p>
        </w:tc>
        <w:tc>
          <w:tcPr>
            <w:tcW w:w="6912" w:type="dxa"/>
            <w:tcMar>
              <w:left w:w="108" w:type="dxa"/>
            </w:tcMar>
            <w:vAlign w:val="cente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Si ritiene che l’applicazione del concetto di costi sproporzionati vada circoscritta il più possibile, perché non sono immaginabili molti casi in cui la procedura di eliminazione degli utili e perdite infragruppo possa determinare costi sproporzionati per il consolidato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17.78</w:t>
            </w:r>
          </w:p>
        </w:tc>
        <w:tc>
          <w:tcPr>
            <w:tcW w:w="6912" w:type="dxa"/>
            <w:tcMar>
              <w:left w:w="108" w:type="dxa"/>
            </w:tcMar>
            <w:vAlign w:val="cente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La non eliminazione di utili e perdite infragruppo può giustificarsi alla luce del criterio seguito nel bilancio consolidato per la valutazione di talune poste dell’attivo. È il caso, per esempio, in cui le stesse siano indicative di una riduzione del valore di realizzo desumibile dall’andamento del mercato delle rimanenze in capo alla società del gruppo cedente, oppure se se irrilevanti ai fini della rappresentazione veritiera e corretta della situazione patrimoniale, finanziaria ed economica del gruppo.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17.79</w:t>
            </w:r>
          </w:p>
        </w:tc>
        <w:tc>
          <w:tcPr>
            <w:tcW w:w="6912" w:type="dxa"/>
            <w:tcMar>
              <w:left w:w="108" w:type="dxa"/>
            </w:tcMar>
            <w:vAlign w:val="cente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Gli utili e le perdite conseguenti ad operazioni effettuate tra le imprese del gruppo e relative a valori compresi nel patrimonio di una di esse alla data di chiusura del bilancio consolidato possono non essere eliminati se irrilevanti ai fini della rappresentazione veritiera e corretta della situazione patrimoniale, finanziaria ed economica del gruppo.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Pr>
          <w:p w:rsidR="0017721C" w:rsidRPr="0017721C" w:rsidRDefault="0017721C" w:rsidP="00474234">
            <w:pPr>
              <w:jc w:val="center"/>
              <w:rPr>
                <w:b/>
                <w:lang w:val="it-IT"/>
              </w:rPr>
            </w:pPr>
          </w:p>
        </w:tc>
        <w:tc>
          <w:tcPr>
            <w:tcW w:w="836" w:type="dxa"/>
            <w:tcMar>
              <w:left w:w="108" w:type="dxa"/>
              <w:right w:w="0" w:type="dxa"/>
            </w:tcMar>
          </w:tcPr>
          <w:p w:rsidR="0017721C" w:rsidRPr="0017721C" w:rsidRDefault="0017721C" w:rsidP="00474234">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474234">
            <w:pPr>
              <w:outlineLvl w:val="2"/>
              <w:rPr>
                <w:b/>
                <w:bCs/>
                <w:i/>
                <w:lang w:val="it-IT"/>
              </w:rPr>
            </w:pPr>
            <w:r w:rsidRPr="0017721C">
              <w:rPr>
                <w:b/>
                <w:bCs/>
                <w:i/>
                <w:lang w:val="it-IT"/>
              </w:rPr>
              <w:t>Acquisizione e cessione di quote di partecipazione</w:t>
            </w:r>
          </w:p>
        </w:tc>
        <w:tc>
          <w:tcPr>
            <w:tcW w:w="554" w:type="dxa"/>
            <w:tcMar>
              <w:left w:w="85" w:type="dxa"/>
              <w:right w:w="85" w:type="dxa"/>
            </w:tcMar>
            <w:vAlign w:val="center"/>
          </w:tcPr>
          <w:p w:rsidR="0017721C" w:rsidRPr="0017721C" w:rsidRDefault="0017721C" w:rsidP="00474234">
            <w:pPr>
              <w:jc w:val="center"/>
              <w:rPr>
                <w:lang w:val="it-IT"/>
              </w:rPr>
            </w:pPr>
          </w:p>
        </w:tc>
        <w:tc>
          <w:tcPr>
            <w:tcW w:w="565" w:type="dxa"/>
            <w:tcMar>
              <w:left w:w="108" w:type="dxa"/>
            </w:tcMar>
            <w:vAlign w:val="center"/>
          </w:tcPr>
          <w:p w:rsidR="0017721C" w:rsidRPr="0017721C" w:rsidRDefault="0017721C" w:rsidP="00474234">
            <w:pPr>
              <w:jc w:val="center"/>
              <w:rPr>
                <w:lang w:val="it-IT"/>
              </w:rPr>
            </w:pPr>
          </w:p>
        </w:tc>
        <w:tc>
          <w:tcPr>
            <w:tcW w:w="564" w:type="dxa"/>
            <w:tcMar>
              <w:left w:w="108" w:type="dxa"/>
            </w:tcMar>
            <w:vAlign w:val="center"/>
          </w:tcPr>
          <w:p w:rsidR="0017721C" w:rsidRPr="0017721C" w:rsidRDefault="0017721C" w:rsidP="00474234">
            <w:pPr>
              <w:jc w:val="center"/>
              <w:rPr>
                <w:lang w:val="it-IT"/>
              </w:rPr>
            </w:pP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17721C">
            <w:pPr>
              <w:keepNext/>
              <w:outlineLvl w:val="3"/>
              <w:rPr>
                <w:i/>
                <w:lang w:val="it-IT"/>
              </w:rPr>
            </w:pPr>
            <w:r w:rsidRPr="0017721C">
              <w:rPr>
                <w:i/>
                <w:lang w:val="it-IT" w:eastAsia="it-IT"/>
              </w:rPr>
              <w:t>Acquisizione di ulteriori quote di partecipazione nella controllata</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60)</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17.80</w:t>
            </w:r>
          </w:p>
        </w:tc>
        <w:tc>
          <w:tcPr>
            <w:tcW w:w="6912" w:type="dxa"/>
            <w:tcMar>
              <w:left w:w="108" w:type="dxa"/>
            </w:tcMar>
          </w:tcPr>
          <w:p w:rsidR="0017721C" w:rsidRPr="0017721C" w:rsidRDefault="0017721C" w:rsidP="00EE1EEF">
            <w:pPr>
              <w:rPr>
                <w:lang w:val="it-IT"/>
              </w:rPr>
            </w:pPr>
            <w:r w:rsidRPr="0017721C">
              <w:rPr>
                <w:lang w:val="it-IT"/>
              </w:rPr>
              <w:t xml:space="preserve">Dopo l’acquisizione del controllo, in caso di acquisizione di ulteriori quote di partecipazione nella controllata, la relativa differenza da annullamento è determinata dalla differenza tra il prezzo di acquisto della quota aggiuntiva e l’ammontare proporzionale del patrimonio netto contabile della controllata alla data del nuovo acquisto? </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61)</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17.80</w:t>
            </w:r>
          </w:p>
        </w:tc>
        <w:tc>
          <w:tcPr>
            <w:tcW w:w="6912" w:type="dxa"/>
            <w:tcMar>
              <w:left w:w="108" w:type="dxa"/>
            </w:tcMar>
          </w:tcPr>
          <w:p w:rsidR="0017721C" w:rsidRPr="0017721C" w:rsidRDefault="0017721C" w:rsidP="00EE1EEF">
            <w:pPr>
              <w:rPr>
                <w:lang w:val="it-IT"/>
              </w:rPr>
            </w:pPr>
            <w:r w:rsidRPr="0017721C">
              <w:rPr>
                <w:lang w:val="it-IT"/>
              </w:rPr>
              <w:t>La differenza di cui al punto precedente è trattata analogamente a quanto previsto per la differenza iniziale da annullamento?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widowControl w:val="0"/>
              <w:jc w:val="center"/>
              <w:rPr>
                <w:b/>
                <w:lang w:val="it-IT"/>
              </w:rPr>
            </w:pPr>
          </w:p>
        </w:tc>
        <w:tc>
          <w:tcPr>
            <w:tcW w:w="836" w:type="dxa"/>
            <w:tcMar>
              <w:left w:w="108" w:type="dxa"/>
              <w:right w:w="0" w:type="dxa"/>
            </w:tcMar>
          </w:tcPr>
          <w:p w:rsidR="0017721C" w:rsidRPr="0017721C" w:rsidRDefault="0017721C" w:rsidP="0017721C">
            <w:pPr>
              <w:widowControl w:val="0"/>
              <w:spacing w:before="40" w:line="240" w:lineRule="auto"/>
              <w:ind w:right="28"/>
              <w:jc w:val="left"/>
              <w:rPr>
                <w:sz w:val="13"/>
                <w:szCs w:val="13"/>
                <w:lang w:val="it-IT"/>
              </w:rPr>
            </w:pPr>
          </w:p>
        </w:tc>
        <w:tc>
          <w:tcPr>
            <w:tcW w:w="6912" w:type="dxa"/>
            <w:tcMar>
              <w:left w:w="108" w:type="dxa"/>
            </w:tcMar>
          </w:tcPr>
          <w:p w:rsidR="0017721C" w:rsidRPr="0017721C" w:rsidRDefault="0017721C" w:rsidP="0017721C">
            <w:pPr>
              <w:widowControl w:val="0"/>
              <w:outlineLvl w:val="3"/>
              <w:rPr>
                <w:i/>
                <w:lang w:val="it-IT"/>
              </w:rPr>
            </w:pPr>
            <w:r w:rsidRPr="0017721C">
              <w:rPr>
                <w:i/>
                <w:lang w:val="it-IT" w:eastAsia="it-IT"/>
              </w:rPr>
              <w:t>Cessione parziale di partecipazione senza perdita del controllo</w:t>
            </w:r>
          </w:p>
        </w:tc>
        <w:tc>
          <w:tcPr>
            <w:tcW w:w="554" w:type="dxa"/>
            <w:tcMar>
              <w:left w:w="85" w:type="dxa"/>
              <w:right w:w="85" w:type="dxa"/>
            </w:tcMar>
            <w:vAlign w:val="center"/>
          </w:tcPr>
          <w:p w:rsidR="0017721C" w:rsidRPr="0017721C" w:rsidRDefault="0017721C" w:rsidP="0017721C">
            <w:pPr>
              <w:widowControl w:val="0"/>
              <w:jc w:val="center"/>
              <w:rPr>
                <w:lang w:val="it-IT"/>
              </w:rPr>
            </w:pPr>
          </w:p>
        </w:tc>
        <w:tc>
          <w:tcPr>
            <w:tcW w:w="565" w:type="dxa"/>
            <w:tcMar>
              <w:left w:w="108" w:type="dxa"/>
            </w:tcMar>
            <w:vAlign w:val="center"/>
          </w:tcPr>
          <w:p w:rsidR="0017721C" w:rsidRPr="0017721C" w:rsidRDefault="0017721C" w:rsidP="0017721C">
            <w:pPr>
              <w:widowControl w:val="0"/>
              <w:jc w:val="center"/>
              <w:rPr>
                <w:lang w:val="it-IT"/>
              </w:rPr>
            </w:pPr>
          </w:p>
        </w:tc>
        <w:tc>
          <w:tcPr>
            <w:tcW w:w="564" w:type="dxa"/>
            <w:tcMar>
              <w:left w:w="108" w:type="dxa"/>
            </w:tcMar>
            <w:vAlign w:val="center"/>
          </w:tcPr>
          <w:p w:rsidR="0017721C" w:rsidRPr="0017721C" w:rsidRDefault="0017721C" w:rsidP="0017721C">
            <w:pPr>
              <w:widowControl w:val="0"/>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62)</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OIC 17.81</w:t>
            </w:r>
          </w:p>
          <w:p w:rsidR="0017721C" w:rsidRPr="0017721C" w:rsidRDefault="0017721C" w:rsidP="0017721C">
            <w:pPr>
              <w:spacing w:before="40" w:line="240" w:lineRule="auto"/>
              <w:ind w:left="-57"/>
              <w:jc w:val="left"/>
              <w:rPr>
                <w:sz w:val="13"/>
                <w:szCs w:val="13"/>
                <w:lang w:val="it-IT"/>
              </w:rPr>
            </w:pPr>
          </w:p>
        </w:tc>
        <w:tc>
          <w:tcPr>
            <w:tcW w:w="6912" w:type="dxa"/>
            <w:tcMar>
              <w:left w:w="108" w:type="dxa"/>
            </w:tcMar>
          </w:tcPr>
          <w:p w:rsidR="0017721C" w:rsidRPr="0017721C" w:rsidRDefault="0017721C" w:rsidP="0017721C">
            <w:pPr>
              <w:spacing w:line="230" w:lineRule="exact"/>
              <w:rPr>
                <w:lang w:val="it-IT"/>
              </w:rPr>
            </w:pPr>
            <w:r w:rsidRPr="0017721C">
              <w:rPr>
                <w:lang w:val="it-IT"/>
              </w:rPr>
              <w:t>In caso di cessione parziale senza perdita del controllo, sono stati rilevati nel conto economico consolidato un utile o una perdita pari alla differenza tra il corrispettivo della cessione e l’ammontare proporzionale delle attività nette riflesse nel consolidato?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OIC 17.81</w:t>
            </w:r>
          </w:p>
          <w:p w:rsidR="0017721C" w:rsidRPr="0017721C" w:rsidRDefault="0017721C" w:rsidP="0017721C">
            <w:pPr>
              <w:spacing w:before="40" w:line="240" w:lineRule="auto"/>
              <w:ind w:left="-57"/>
              <w:jc w:val="left"/>
              <w:rPr>
                <w:sz w:val="13"/>
                <w:szCs w:val="13"/>
                <w:lang w:val="it-IT"/>
              </w:rPr>
            </w:pPr>
          </w:p>
        </w:tc>
        <w:tc>
          <w:tcPr>
            <w:tcW w:w="6912" w:type="dxa"/>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L’ammontare delle attività nette tiene conto del relativo avviamento, unitamente ai corrispondenti maggiori valori non ancora ammortizzati attribuiti alle relative attività identificabili alla data di acquisizione e dell’eventuale residuo “Fondo di consolidamento per rischi ed oneri futuri”.</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63)</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OIC 17.82</w:t>
            </w:r>
          </w:p>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17721C">
            <w:pPr>
              <w:rPr>
                <w:lang w:val="it-IT"/>
              </w:rPr>
            </w:pPr>
            <w:r w:rsidRPr="0017721C">
              <w:rPr>
                <w:lang w:val="it-IT"/>
              </w:rPr>
              <w:t>La plusvalenza o minusvalenza determinata in caso di cessione parziale senza perdita del controllo è stata imputata al conto economico consolidato?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17721C">
            <w:pPr>
              <w:keepNext/>
              <w:outlineLvl w:val="3"/>
              <w:rPr>
                <w:i/>
                <w:lang w:val="it-IT"/>
              </w:rPr>
            </w:pPr>
            <w:r w:rsidRPr="0017721C">
              <w:rPr>
                <w:i/>
                <w:lang w:val="it-IT" w:eastAsia="it-IT"/>
              </w:rPr>
              <w:t>Cessione di partecipazione con perdita del controllo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64)</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17.83</w:t>
            </w:r>
          </w:p>
        </w:tc>
        <w:tc>
          <w:tcPr>
            <w:tcW w:w="6912" w:type="dxa"/>
            <w:tcMar>
              <w:left w:w="108" w:type="dxa"/>
            </w:tcMar>
          </w:tcPr>
          <w:p w:rsidR="0017721C" w:rsidRPr="0017721C" w:rsidRDefault="0017721C" w:rsidP="0017721C">
            <w:pPr>
              <w:spacing w:line="240" w:lineRule="exact"/>
              <w:rPr>
                <w:lang w:val="it-IT"/>
              </w:rPr>
            </w:pPr>
            <w:r w:rsidRPr="0017721C">
              <w:rPr>
                <w:lang w:val="it-IT"/>
              </w:rPr>
              <w:t xml:space="preserve">Nel caso di cessione totale di una società controllata, sono stati rilevati nel conto economico consolidato l’utile o la perdita derivante dalla cessione? </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65)</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17.84</w:t>
            </w:r>
          </w:p>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EE1EEF">
            <w:pPr>
              <w:rPr>
                <w:lang w:val="it-IT"/>
              </w:rPr>
            </w:pPr>
            <w:r w:rsidRPr="0017721C">
              <w:rPr>
                <w:lang w:val="it-IT"/>
              </w:rPr>
              <w:t>Nel caso di cessione parziale con perdita del controllo, la partecipazione è stata eliminata dall’area di consolidamento e la partecipazione residua è stata valutata tramite il metodo del patrimonio netto o il metodo del costo, a seconda che permanga o meno una influenza notevole sulla partecipata stessa?</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66)</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 xml:space="preserve">OIC </w:t>
            </w:r>
            <w:r w:rsidRPr="0017721C">
              <w:rPr>
                <w:sz w:val="13"/>
                <w:szCs w:val="13"/>
                <w:lang w:val="it-IT"/>
              </w:rPr>
              <w:t>17</w:t>
            </w:r>
            <w:r w:rsidRPr="0017721C">
              <w:rPr>
                <w:sz w:val="13"/>
                <w:szCs w:val="13"/>
                <w:lang w:val="en-US"/>
              </w:rPr>
              <w:t>.84</w:t>
            </w:r>
          </w:p>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EE1EEF">
            <w:pPr>
              <w:rPr>
                <w:lang w:val="it-IT"/>
              </w:rPr>
            </w:pPr>
            <w:r w:rsidRPr="0017721C">
              <w:rPr>
                <w:lang w:val="it-IT"/>
              </w:rPr>
              <w:t>L’utile o la perdita derivante dalla cessione è stato iscritto nel conto economico consolidato come nel caso di cessione parziale ed è stato calcolato tenendo conto del nuovo valore di carico contabile della partecipazione residua?</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67)</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17.85</w:t>
            </w:r>
          </w:p>
        </w:tc>
        <w:tc>
          <w:tcPr>
            <w:tcW w:w="6912" w:type="dxa"/>
            <w:tcMar>
              <w:left w:w="108" w:type="dxa"/>
            </w:tcMar>
          </w:tcPr>
          <w:p w:rsidR="0017721C" w:rsidRPr="0017721C" w:rsidRDefault="0017721C" w:rsidP="00EE1EEF">
            <w:pPr>
              <w:rPr>
                <w:lang w:val="it-IT"/>
              </w:rPr>
            </w:pPr>
            <w:r w:rsidRPr="0017721C">
              <w:rPr>
                <w:lang w:val="it-IT"/>
              </w:rPr>
              <w:t>Indipendentemente dal metodo di valutazione utilizzato (metodo del patrimonio netto o del costo) per la valutazione della partecipazione residua, è stato assunto come base il valore proporzionale che deriva dall’applicazione del metodo del patrimonio netto alla data della cessione?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17.85</w:t>
            </w:r>
          </w:p>
        </w:tc>
        <w:tc>
          <w:tcPr>
            <w:tcW w:w="6912" w:type="dxa"/>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E’ consentito utilizzare il relativo valore alla data di chiusura del precedente esercizio nel caso di difficoltà pratica a reperire nei tempi dovuti le informazioni alla data di cessione o di eccessivi costi per il loro ottenimento. In questo caso, la partecipazione è deconsolidata dall’inizio dell’esercizio.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Pr>
          <w:p w:rsidR="0017721C" w:rsidRPr="0017721C" w:rsidRDefault="0017721C" w:rsidP="0017721C">
            <w:pP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17721C">
            <w:pPr>
              <w:keepNext/>
              <w:outlineLvl w:val="3"/>
              <w:rPr>
                <w:i/>
                <w:lang w:val="it-IT"/>
              </w:rPr>
            </w:pPr>
            <w:r w:rsidRPr="0017721C">
              <w:rPr>
                <w:i/>
                <w:lang w:val="it-IT" w:eastAsia="it-IT"/>
              </w:rPr>
              <w:t>Casi particolari di riduzione di una quota di partecipazione</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68)</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17.86</w:t>
            </w:r>
          </w:p>
        </w:tc>
        <w:tc>
          <w:tcPr>
            <w:tcW w:w="6912" w:type="dxa"/>
            <w:tcMar>
              <w:left w:w="108" w:type="dxa"/>
            </w:tcMar>
          </w:tcPr>
          <w:p w:rsidR="0017721C" w:rsidRPr="0017721C" w:rsidRDefault="0017721C" w:rsidP="00EE1EEF">
            <w:pPr>
              <w:rPr>
                <w:lang w:val="it-IT"/>
              </w:rPr>
            </w:pPr>
            <w:r w:rsidRPr="0017721C">
              <w:rPr>
                <w:lang w:val="it-IT"/>
              </w:rPr>
              <w:t>Qualora la riduzione di una quota di partecipazione in una società controllata sia attuata attraverso la rinuncia al diritto di opzione e la contestuale sottoscrizione di un aumento di capitale con relativo sovrapprezzo da parte dei nuovi azionisti o degli azionisti di minoranza ed in caso di perdita di controllo, la partecipazione è stata eliminata dall’area di consolidamento in base alle medesime modalità indicate in caso di cessione di partecipazione?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69)</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17.86</w:t>
            </w:r>
          </w:p>
        </w:tc>
        <w:tc>
          <w:tcPr>
            <w:tcW w:w="6912" w:type="dxa"/>
            <w:tcMar>
              <w:left w:w="108" w:type="dxa"/>
            </w:tcMar>
          </w:tcPr>
          <w:p w:rsidR="0017721C" w:rsidRPr="0017721C" w:rsidRDefault="0017721C" w:rsidP="009B6ABC">
            <w:pPr>
              <w:spacing w:line="240" w:lineRule="exact"/>
              <w:rPr>
                <w:lang w:val="it-IT"/>
              </w:rPr>
            </w:pPr>
            <w:r w:rsidRPr="0017721C">
              <w:rPr>
                <w:lang w:val="it-IT"/>
              </w:rPr>
              <w:t>Nel caso di cui al punto precedente, la valutazione della partecipazione residua ha tenuto conto del maggior valore del patrimonio netto della partecipata per effetto del sovrapprezzo, proporzionalmente alla ridotta interessenza?</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70)</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 xml:space="preserve">OIC </w:t>
            </w:r>
            <w:r w:rsidRPr="0017721C">
              <w:rPr>
                <w:sz w:val="13"/>
                <w:szCs w:val="13"/>
                <w:lang w:val="it-IT"/>
              </w:rPr>
              <w:t>17</w:t>
            </w:r>
            <w:r w:rsidRPr="0017721C">
              <w:rPr>
                <w:sz w:val="13"/>
                <w:szCs w:val="13"/>
                <w:lang w:val="en-US"/>
              </w:rPr>
              <w:t>.87</w:t>
            </w:r>
          </w:p>
        </w:tc>
        <w:tc>
          <w:tcPr>
            <w:tcW w:w="6912" w:type="dxa"/>
            <w:tcMar>
              <w:left w:w="108" w:type="dxa"/>
            </w:tcMar>
          </w:tcPr>
          <w:p w:rsidR="0017721C" w:rsidRPr="0017721C" w:rsidRDefault="0017721C" w:rsidP="009B6ABC">
            <w:pPr>
              <w:spacing w:line="240" w:lineRule="exact"/>
              <w:rPr>
                <w:lang w:val="it-IT"/>
              </w:rPr>
            </w:pPr>
            <w:r w:rsidRPr="0017721C">
              <w:rPr>
                <w:lang w:val="it-IT"/>
              </w:rPr>
              <w:t>Nel caso in cui non si verifichi la perdita di controllo, è stato determinato l’ammontare della differenza tra la quota di patrimonio netto posseduta prima e dopo l’operazione e tale differenza è stata imputata a conto economico, rappresentando l’utile o la perdita derivanti dal mancato esercizio del diritto d’opzione?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17721C">
            <w:pPr>
              <w:keepNext/>
              <w:outlineLvl w:val="2"/>
              <w:rPr>
                <w:b/>
                <w:bCs/>
                <w:i/>
                <w:lang w:val="it-IT"/>
              </w:rPr>
            </w:pPr>
            <w:r w:rsidRPr="0017721C">
              <w:rPr>
                <w:b/>
                <w:bCs/>
                <w:i/>
                <w:lang w:val="it-IT"/>
              </w:rPr>
              <w:t>Altre variazioni dell’area di consolidamento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17721C">
            <w:pPr>
              <w:keepNext/>
              <w:outlineLvl w:val="3"/>
              <w:rPr>
                <w:i/>
                <w:lang w:val="it-IT"/>
              </w:rPr>
            </w:pPr>
            <w:r w:rsidRPr="0017721C">
              <w:rPr>
                <w:i/>
                <w:lang w:val="it-IT" w:eastAsia="it-IT"/>
              </w:rPr>
              <w:t>Casi particolari di inclusione nell’area di consolidamento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71)</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17.88</w:t>
            </w:r>
          </w:p>
        </w:tc>
        <w:tc>
          <w:tcPr>
            <w:tcW w:w="6912" w:type="dxa"/>
            <w:tcMar>
              <w:left w:w="108" w:type="dxa"/>
            </w:tcMar>
          </w:tcPr>
          <w:p w:rsidR="0017721C" w:rsidRPr="0017721C" w:rsidRDefault="0017721C" w:rsidP="009B6ABC">
            <w:pPr>
              <w:spacing w:line="240" w:lineRule="exact"/>
              <w:rPr>
                <w:lang w:val="it-IT"/>
              </w:rPr>
            </w:pPr>
            <w:r w:rsidRPr="0017721C">
              <w:rPr>
                <w:lang w:val="it-IT"/>
              </w:rPr>
              <w:t>Nel momento in cui sono venute meno le condizioni che precludevano il consolidamento integrale di una partecipazione di controllo, la partecipata è stata consolidata integralmente a partire da tale data?</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EE1EEF">
            <w:pPr>
              <w:jc w:val="center"/>
              <w:rPr>
                <w:b/>
                <w:lang w:val="it-IT"/>
              </w:rPr>
            </w:pPr>
            <w:r w:rsidRPr="0017721C">
              <w:rPr>
                <w:b/>
              </w:rPr>
              <w:t>72)</w:t>
            </w:r>
          </w:p>
        </w:tc>
        <w:tc>
          <w:tcPr>
            <w:tcW w:w="836" w:type="dxa"/>
            <w:tcMar>
              <w:left w:w="108" w:type="dxa"/>
              <w:right w:w="0" w:type="dxa"/>
            </w:tcMar>
          </w:tcPr>
          <w:p w:rsidR="0017721C" w:rsidRPr="0017721C" w:rsidRDefault="0017721C" w:rsidP="00EE1EEF">
            <w:pPr>
              <w:spacing w:before="40" w:line="240" w:lineRule="auto"/>
              <w:ind w:left="-57"/>
              <w:jc w:val="left"/>
              <w:rPr>
                <w:sz w:val="13"/>
                <w:szCs w:val="13"/>
                <w:lang w:val="it-IT"/>
              </w:rPr>
            </w:pPr>
            <w:r w:rsidRPr="0017721C">
              <w:rPr>
                <w:sz w:val="13"/>
                <w:szCs w:val="13"/>
                <w:lang w:val="en-US"/>
              </w:rPr>
              <w:t>OIC 17.88</w:t>
            </w:r>
          </w:p>
        </w:tc>
        <w:tc>
          <w:tcPr>
            <w:tcW w:w="6912" w:type="dxa"/>
            <w:tcMar>
              <w:left w:w="108" w:type="dxa"/>
            </w:tcMar>
          </w:tcPr>
          <w:p w:rsidR="0017721C" w:rsidRPr="0017721C" w:rsidRDefault="0017721C" w:rsidP="009B6ABC">
            <w:pPr>
              <w:spacing w:line="240" w:lineRule="exact"/>
              <w:rPr>
                <w:lang w:val="it-IT"/>
              </w:rPr>
            </w:pPr>
            <w:r w:rsidRPr="0017721C">
              <w:rPr>
                <w:lang w:val="it-IT"/>
              </w:rPr>
              <w:t>Se tali condizioni richiedevano l’applicazione del metodo del costo, gli utili e le riserve di utili e di capitale della partecipata, dall’acquisto della partecipazione fino alla data in cui sono state rimosse le condizioni che precludevano il consolidamento, sono stati accreditati a patrimonio netto, mentre le perdite sono state addebitate a patrimonio netto?</w:t>
            </w:r>
          </w:p>
        </w:tc>
        <w:tc>
          <w:tcPr>
            <w:tcW w:w="554" w:type="dxa"/>
            <w:tcMar>
              <w:left w:w="85" w:type="dxa"/>
              <w:right w:w="85" w:type="dxa"/>
            </w:tcMar>
            <w:vAlign w:val="center"/>
          </w:tcPr>
          <w:p w:rsidR="0017721C" w:rsidRPr="0017721C" w:rsidRDefault="0017721C" w:rsidP="00EE1EEF">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EE1EEF">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EE1EEF">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9B6ABC">
            <w:pPr>
              <w:keepNext/>
              <w:spacing w:line="240" w:lineRule="exact"/>
              <w:outlineLvl w:val="3"/>
              <w:rPr>
                <w:i/>
                <w:lang w:val="it-IT"/>
              </w:rPr>
            </w:pPr>
            <w:r w:rsidRPr="0017721C">
              <w:rPr>
                <w:i/>
                <w:lang w:val="it-IT" w:eastAsia="it-IT"/>
              </w:rPr>
              <w:t>Casi particolari di esclusione dall’area di consolidamento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73)</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Art. 28      D.Lgs. 127/91       OIC 17.89</w:t>
            </w:r>
          </w:p>
        </w:tc>
        <w:tc>
          <w:tcPr>
            <w:tcW w:w="6912" w:type="dxa"/>
            <w:tcMar>
              <w:left w:w="108" w:type="dxa"/>
            </w:tcMar>
          </w:tcPr>
          <w:p w:rsidR="0017721C" w:rsidRPr="0017721C" w:rsidRDefault="0017721C" w:rsidP="009B6ABC">
            <w:pPr>
              <w:spacing w:line="240" w:lineRule="exact"/>
              <w:rPr>
                <w:lang w:val="it-IT"/>
              </w:rPr>
            </w:pPr>
            <w:r w:rsidRPr="0017721C">
              <w:rPr>
                <w:lang w:val="it-IT"/>
              </w:rPr>
              <w:t xml:space="preserve">Al manifestarsi delle condizioni per l’esclusione dal consolidamento, la controllata è stata esclusa dal consolidamento integrale a partire dall’esercizio in cui dette condizioni si sono manifestate? </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74)</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17.89</w:t>
            </w:r>
          </w:p>
        </w:tc>
        <w:tc>
          <w:tcPr>
            <w:tcW w:w="6912" w:type="dxa"/>
            <w:tcMar>
              <w:left w:w="108" w:type="dxa"/>
            </w:tcMar>
          </w:tcPr>
          <w:p w:rsidR="0017721C" w:rsidRPr="0017721C" w:rsidRDefault="0017721C" w:rsidP="009B6ABC">
            <w:pPr>
              <w:spacing w:line="240" w:lineRule="exact"/>
              <w:rPr>
                <w:lang w:val="it-IT"/>
              </w:rPr>
            </w:pPr>
            <w:r w:rsidRPr="0017721C">
              <w:rPr>
                <w:lang w:val="it-IT"/>
              </w:rPr>
              <w:t>Il valore della partecipazione da iscrivere nel bilancio consolidato (nuovo valore di carico) è stato determinato in conformità a quanto previsto nel caso di cessione di partecipazione con perdita di controllo?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75)</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17.90</w:t>
            </w:r>
          </w:p>
        </w:tc>
        <w:tc>
          <w:tcPr>
            <w:tcW w:w="6912" w:type="dxa"/>
            <w:tcMar>
              <w:left w:w="108" w:type="dxa"/>
            </w:tcMar>
            <w:vAlign w:val="center"/>
          </w:tcPr>
          <w:p w:rsidR="0017721C" w:rsidRPr="0017721C" w:rsidRDefault="0017721C" w:rsidP="009B6ABC">
            <w:pPr>
              <w:spacing w:line="240" w:lineRule="exact"/>
              <w:rPr>
                <w:lang w:val="it-IT"/>
              </w:rPr>
            </w:pPr>
            <w:r w:rsidRPr="0017721C">
              <w:rPr>
                <w:lang w:val="it-IT"/>
              </w:rPr>
              <w:t xml:space="preserve">Si è verificato se si rende necessaria una svalutazione per perdite durevoli di valore secondo quanto previsto dall’OIC 21 “Partecipazioni”? </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76)</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17.90</w:t>
            </w:r>
          </w:p>
        </w:tc>
        <w:tc>
          <w:tcPr>
            <w:tcW w:w="6912" w:type="dxa"/>
            <w:tcMar>
              <w:left w:w="108" w:type="dxa"/>
            </w:tcMar>
            <w:vAlign w:val="center"/>
          </w:tcPr>
          <w:p w:rsidR="0017721C" w:rsidRPr="0017721C" w:rsidRDefault="0017721C" w:rsidP="009B6ABC">
            <w:pPr>
              <w:spacing w:line="240" w:lineRule="exact"/>
              <w:rPr>
                <w:lang w:val="it-IT"/>
              </w:rPr>
            </w:pPr>
            <w:r w:rsidRPr="0017721C">
              <w:rPr>
                <w:lang w:val="it-IT"/>
              </w:rPr>
              <w:t>Successivamente, la partecipazione è stata valutata con il metodo del patrimonio netto o con il metodo del costo, a seconda della fattispecie?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17721C">
            <w:pPr>
              <w:keepNext/>
              <w:outlineLvl w:val="2"/>
              <w:rPr>
                <w:b/>
                <w:bCs/>
                <w:i/>
                <w:lang w:val="it-IT"/>
              </w:rPr>
            </w:pPr>
            <w:r w:rsidRPr="0017721C">
              <w:rPr>
                <w:b/>
                <w:bCs/>
                <w:i/>
                <w:lang w:val="it-IT"/>
              </w:rPr>
              <w:t>Le imposte sugli utili indivisi delle partecipazioni</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77)</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17.91</w:t>
            </w:r>
          </w:p>
        </w:tc>
        <w:tc>
          <w:tcPr>
            <w:tcW w:w="6912" w:type="dxa"/>
            <w:tcMar>
              <w:left w:w="108" w:type="dxa"/>
            </w:tcMar>
            <w:vAlign w:val="center"/>
          </w:tcPr>
          <w:p w:rsidR="0017721C" w:rsidRPr="0017721C" w:rsidRDefault="0017721C" w:rsidP="0017721C">
            <w:pPr>
              <w:rPr>
                <w:lang w:val="it-IT"/>
              </w:rPr>
            </w:pPr>
            <w:r w:rsidRPr="0017721C">
              <w:rPr>
                <w:lang w:val="it-IT"/>
              </w:rPr>
              <w:t>Sono state contabilizzate nel bilancio consolidato, fra i fondi dello stato patrimoniale, le imposte che la società controllante dovrà pagare in futuro per poter disporre degli utili indivisi delle controllate?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17721C">
            <w:pPr>
              <w:keepNext/>
              <w:outlineLvl w:val="2"/>
              <w:rPr>
                <w:b/>
                <w:bCs/>
                <w:i/>
                <w:lang w:val="it-IT"/>
              </w:rPr>
            </w:pPr>
            <w:r w:rsidRPr="0017721C">
              <w:rPr>
                <w:b/>
                <w:bCs/>
                <w:i/>
                <w:lang w:val="it-IT"/>
              </w:rPr>
              <w:t>Trattamento dei dividendi e degli utili distribuiti infragruppo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78)</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17.92</w:t>
            </w:r>
          </w:p>
        </w:tc>
        <w:tc>
          <w:tcPr>
            <w:tcW w:w="6912" w:type="dxa"/>
            <w:tcMar>
              <w:left w:w="108" w:type="dxa"/>
            </w:tcMar>
            <w:vAlign w:val="center"/>
          </w:tcPr>
          <w:p w:rsidR="0017721C" w:rsidRPr="0017721C" w:rsidRDefault="0017721C" w:rsidP="0017721C">
            <w:pPr>
              <w:rPr>
                <w:lang w:val="it-IT"/>
              </w:rPr>
            </w:pPr>
            <w:r w:rsidRPr="0017721C">
              <w:rPr>
                <w:lang w:val="it-IT"/>
              </w:rPr>
              <w:t>I dividendi e gli utili distribuiti infragruppo sono stati eliminati nell’ambito delle procedure di consolidamento, al fine di non considerarli due volte?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17721C">
            <w:pPr>
              <w:keepNext/>
              <w:outlineLvl w:val="2"/>
              <w:rPr>
                <w:b/>
                <w:bCs/>
                <w:i/>
                <w:lang w:val="it-IT"/>
              </w:rPr>
            </w:pPr>
            <w:r w:rsidRPr="0017721C">
              <w:rPr>
                <w:b/>
                <w:bCs/>
                <w:i/>
                <w:lang w:val="it-IT"/>
              </w:rPr>
              <w:t xml:space="preserve">Il trattamento contabile delle azioni proprie e delle azioni o quote della controllante detenute dalle controllate </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79)</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Art. 31, c. 4, D.Lgs. 127/91 OIC 17.93</w:t>
            </w:r>
          </w:p>
          <w:p w:rsidR="0017721C" w:rsidRPr="0017721C" w:rsidRDefault="0017721C" w:rsidP="0017721C">
            <w:pPr>
              <w:spacing w:before="40" w:line="240" w:lineRule="auto"/>
              <w:ind w:right="28"/>
              <w:jc w:val="left"/>
              <w:rPr>
                <w:sz w:val="13"/>
                <w:szCs w:val="13"/>
              </w:rPr>
            </w:pPr>
          </w:p>
        </w:tc>
        <w:tc>
          <w:tcPr>
            <w:tcW w:w="6912" w:type="dxa"/>
            <w:tcMar>
              <w:left w:w="108" w:type="dxa"/>
            </w:tcMar>
          </w:tcPr>
          <w:p w:rsidR="0017721C" w:rsidRPr="0017721C" w:rsidRDefault="0017721C" w:rsidP="0017721C">
            <w:pPr>
              <w:spacing w:line="230" w:lineRule="exact"/>
              <w:rPr>
                <w:lang w:val="it-IT"/>
              </w:rPr>
            </w:pPr>
            <w:r w:rsidRPr="0017721C">
              <w:rPr>
                <w:lang w:val="it-IT"/>
              </w:rPr>
              <w:t xml:space="preserve">Le azioni proprie detenute dalla controllante sono state rilevate anche nel bilancio consolidato come azioni proprie del gruppo secondo il trattamento contabile previsto dall’OIC 28 “Patrimonio netto”? </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80)</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 xml:space="preserve">OIC </w:t>
            </w:r>
            <w:r w:rsidRPr="0017721C">
              <w:rPr>
                <w:sz w:val="13"/>
                <w:szCs w:val="13"/>
                <w:lang w:val="it-IT"/>
              </w:rPr>
              <w:t>17</w:t>
            </w:r>
            <w:r w:rsidRPr="0017721C">
              <w:rPr>
                <w:sz w:val="13"/>
                <w:szCs w:val="13"/>
                <w:lang w:val="en-US"/>
              </w:rPr>
              <w:t>.94</w:t>
            </w:r>
          </w:p>
        </w:tc>
        <w:tc>
          <w:tcPr>
            <w:tcW w:w="6912" w:type="dxa"/>
            <w:tcMar>
              <w:left w:w="108" w:type="dxa"/>
            </w:tcMar>
          </w:tcPr>
          <w:p w:rsidR="0017721C" w:rsidRPr="0017721C" w:rsidRDefault="0017721C" w:rsidP="0017721C">
            <w:pPr>
              <w:spacing w:line="230" w:lineRule="exact"/>
              <w:rPr>
                <w:lang w:val="it-IT"/>
              </w:rPr>
            </w:pPr>
            <w:r w:rsidRPr="0017721C">
              <w:rPr>
                <w:lang w:val="it-IT"/>
              </w:rPr>
              <w:t>Se esistono partecipazioni reciproche, la società controllante ha considerato nel bilancio consolidato le sue azioni o quote possedute dalla controllata inclusa nell’area di consolidamento come se fossero azioni proprie ed ha applicato, per il relativo trattamento contabile, quanto previsto dall’OIC 28 “Patrimonio netto”?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17.95</w:t>
            </w:r>
          </w:p>
        </w:tc>
        <w:tc>
          <w:tcPr>
            <w:tcW w:w="6912" w:type="dxa"/>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L’acquisto di azioni proprie da parte di un’impresa controllata inclusa nell’area di consolidamento il cui capitale sociale è posseduto parzialmente da soci terzi (minoranze) produce effetti nel bilancio consolidato equivalenti ai casi sopra descritti di acquisto di ulteriori quote nella controllata o di cessione di partecipazioni senza perdita del controllo.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17721C">
            <w:pPr>
              <w:keepNext/>
              <w:outlineLvl w:val="2"/>
              <w:rPr>
                <w:b/>
                <w:bCs/>
                <w:i/>
                <w:lang w:val="it-IT"/>
              </w:rPr>
            </w:pPr>
            <w:r w:rsidRPr="0017721C">
              <w:rPr>
                <w:b/>
                <w:bCs/>
                <w:i/>
                <w:lang w:val="it-IT"/>
              </w:rPr>
              <w:t>Patrimonio netto e risultato di esercizio corrispondenti alle interessenze di terzi</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81)</w:t>
            </w:r>
          </w:p>
        </w:tc>
        <w:tc>
          <w:tcPr>
            <w:tcW w:w="836" w:type="dxa"/>
            <w:tcMar>
              <w:left w:w="108" w:type="dxa"/>
              <w:right w:w="0" w:type="dxa"/>
            </w:tcMar>
          </w:tcPr>
          <w:p w:rsidR="0017721C" w:rsidRPr="0017721C" w:rsidRDefault="0017721C" w:rsidP="0017721C">
            <w:pPr>
              <w:spacing w:before="40" w:line="240" w:lineRule="auto"/>
              <w:ind w:left="-57"/>
              <w:jc w:val="left"/>
              <w:rPr>
                <w:sz w:val="13"/>
                <w:szCs w:val="13"/>
              </w:rPr>
            </w:pPr>
            <w:r w:rsidRPr="0017721C">
              <w:rPr>
                <w:sz w:val="13"/>
                <w:szCs w:val="13"/>
                <w:lang w:val="en-US"/>
              </w:rPr>
              <w:t>Art. 32, cc. 3,             D.Lgs. 127/91                           OIC 17.96</w:t>
            </w:r>
          </w:p>
        </w:tc>
        <w:tc>
          <w:tcPr>
            <w:tcW w:w="6912" w:type="dxa"/>
            <w:tcMar>
              <w:left w:w="108" w:type="dxa"/>
            </w:tcMar>
            <w:vAlign w:val="center"/>
          </w:tcPr>
          <w:p w:rsidR="0017721C" w:rsidRPr="0017721C" w:rsidRDefault="0017721C" w:rsidP="0017721C">
            <w:pPr>
              <w:spacing w:line="240" w:lineRule="exact"/>
              <w:rPr>
                <w:lang w:val="it-IT"/>
              </w:rPr>
            </w:pPr>
            <w:r w:rsidRPr="0017721C">
              <w:rPr>
                <w:lang w:val="it-IT"/>
              </w:rPr>
              <w:t>La quota di patrimonio netto corrispondente alle interessenze di terzi è stata contabilizza in apposita voce del patrimonio netto consolidato, denominata “</w:t>
            </w:r>
            <w:r w:rsidRPr="0017721C">
              <w:rPr>
                <w:i/>
                <w:iCs/>
                <w:lang w:val="it-IT"/>
              </w:rPr>
              <w:t>Capitale e riserve di terzi</w:t>
            </w:r>
            <w:r w:rsidRPr="0017721C">
              <w:rPr>
                <w:lang w:val="it-IT"/>
              </w:rPr>
              <w:t>”?</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82)</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Art. 32, cc. 4, D.Lgs. 127/91                           OIC 17.97</w:t>
            </w:r>
          </w:p>
        </w:tc>
        <w:tc>
          <w:tcPr>
            <w:tcW w:w="6912" w:type="dxa"/>
            <w:tcMar>
              <w:left w:w="108" w:type="dxa"/>
            </w:tcMar>
            <w:vAlign w:val="center"/>
          </w:tcPr>
          <w:p w:rsidR="0017721C" w:rsidRPr="0017721C" w:rsidRDefault="0017721C" w:rsidP="0017721C">
            <w:pPr>
              <w:spacing w:line="240" w:lineRule="exact"/>
              <w:rPr>
                <w:lang w:val="it-IT"/>
              </w:rPr>
            </w:pPr>
            <w:r w:rsidRPr="0017721C">
              <w:rPr>
                <w:lang w:val="it-IT"/>
              </w:rPr>
              <w:t>La quota del risultato d’esercizio corrispondente alle interessenze di terzi è stata indicata a riduzione del risultato economico consolidato complessivo, utilizzando un’apposita voce denominata “</w:t>
            </w:r>
            <w:r w:rsidRPr="0017721C">
              <w:rPr>
                <w:i/>
                <w:iCs/>
                <w:lang w:val="it-IT"/>
              </w:rPr>
              <w:t>Utile</w:t>
            </w:r>
            <w:r w:rsidRPr="0017721C">
              <w:rPr>
                <w:lang w:val="it-IT"/>
              </w:rPr>
              <w:t xml:space="preserve"> </w:t>
            </w:r>
            <w:r w:rsidRPr="0017721C">
              <w:rPr>
                <w:i/>
                <w:iCs/>
                <w:lang w:val="it-IT"/>
              </w:rPr>
              <w:t>(perdita) dell’esercizio di pertinenza di terzi”</w:t>
            </w:r>
            <w:r w:rsidRPr="0017721C">
              <w:rPr>
                <w:lang w:val="it-IT"/>
              </w:rPr>
              <w:t>?</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r w:rsidRPr="0017721C">
              <w:rPr>
                <w:b/>
              </w:rPr>
              <w:t>83)</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17.98</w:t>
            </w:r>
          </w:p>
        </w:tc>
        <w:tc>
          <w:tcPr>
            <w:tcW w:w="6912" w:type="dxa"/>
            <w:tcMar>
              <w:left w:w="108" w:type="dxa"/>
            </w:tcMar>
          </w:tcPr>
          <w:p w:rsidR="0017721C" w:rsidRPr="0017721C" w:rsidRDefault="0017721C" w:rsidP="0017721C">
            <w:pPr>
              <w:spacing w:line="240" w:lineRule="exact"/>
              <w:rPr>
                <w:lang w:val="it-IT"/>
              </w:rPr>
            </w:pPr>
            <w:r w:rsidRPr="0017721C">
              <w:rPr>
                <w:lang w:val="it-IT"/>
              </w:rPr>
              <w:t>La quota di patrimonio netto e del risultato d’esercizio corrispondenti alle interessenze di terzi sono costituite dalla quota del patrimonio netto contabile e del risultato d’esercizio iscritti nel bilancio della partecipata, rettificati per recepire, ove necessario: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474234">
            <w:pPr>
              <w:pStyle w:val="rientrotrattinook"/>
            </w:pPr>
            <w:r w:rsidRPr="0017721C">
              <w:t>principi contabili omogenei</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474234">
            <w:pPr>
              <w:pStyle w:val="rientrotrattinook"/>
            </w:pPr>
            <w:r w:rsidRPr="0017721C">
              <w:t>l’effetto dell’eliminazione degli utili e delle perdite infragruppo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474234">
            <w:pPr>
              <w:pStyle w:val="rientrotrattinook"/>
            </w:pPr>
            <w:r w:rsidRPr="0017721C">
              <w:t>altre rettifiche di consolidamento di cui al paragrafo 49 del Principio?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17.99</w:t>
            </w:r>
          </w:p>
        </w:tc>
        <w:tc>
          <w:tcPr>
            <w:tcW w:w="6912" w:type="dxa"/>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Si ricorda che l’allocazione del prezzo di acquisto della partecipazione sulle attività o passività della partecipata nei limiti dei valori correnti non comporta alcuna attribuzione del plusvalore alle quote di pertinenza dei soci di minoranza.</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84)</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OIC 17.100</w:t>
            </w:r>
          </w:p>
          <w:p w:rsidR="0017721C" w:rsidRPr="0017721C" w:rsidRDefault="0017721C" w:rsidP="0017721C">
            <w:pPr>
              <w:spacing w:before="40" w:line="240" w:lineRule="auto"/>
              <w:ind w:left="-57"/>
              <w:jc w:val="left"/>
              <w:rPr>
                <w:sz w:val="13"/>
                <w:szCs w:val="13"/>
                <w:lang w:val="it-IT"/>
              </w:rPr>
            </w:pPr>
          </w:p>
        </w:tc>
        <w:tc>
          <w:tcPr>
            <w:tcW w:w="6912" w:type="dxa"/>
            <w:tcMar>
              <w:left w:w="108" w:type="dxa"/>
            </w:tcMar>
          </w:tcPr>
          <w:p w:rsidR="0017721C" w:rsidRPr="0017721C" w:rsidRDefault="0017721C" w:rsidP="00474234">
            <w:pPr>
              <w:spacing w:line="240" w:lineRule="exact"/>
              <w:rPr>
                <w:lang w:val="it-IT"/>
              </w:rPr>
            </w:pPr>
            <w:r w:rsidRPr="0017721C">
              <w:rPr>
                <w:lang w:val="it-IT"/>
              </w:rPr>
              <w:t xml:space="preserve">In presenza di perdite totali di pertinenza dei terzi eccedenti la relativa voce “Capitale e riserve di terzi”, il </w:t>
            </w:r>
            <w:r w:rsidRPr="0017721C">
              <w:rPr>
                <w:i/>
                <w:lang w:val="it-IT"/>
              </w:rPr>
              <w:t>deficit</w:t>
            </w:r>
            <w:r w:rsidRPr="0017721C">
              <w:rPr>
                <w:lang w:val="it-IT"/>
              </w:rPr>
              <w:t xml:space="preserve"> è stato contabilizzato a carico degli azionisti di maggioranza?</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85)</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OIC 17.100</w:t>
            </w:r>
          </w:p>
          <w:p w:rsidR="0017721C" w:rsidRPr="0017721C" w:rsidRDefault="0017721C" w:rsidP="0017721C">
            <w:pPr>
              <w:spacing w:before="40" w:line="240" w:lineRule="auto"/>
              <w:ind w:left="-57"/>
              <w:jc w:val="left"/>
              <w:rPr>
                <w:sz w:val="13"/>
                <w:szCs w:val="13"/>
                <w:lang w:val="it-IT"/>
              </w:rPr>
            </w:pPr>
          </w:p>
        </w:tc>
        <w:tc>
          <w:tcPr>
            <w:tcW w:w="6912" w:type="dxa"/>
            <w:tcMar>
              <w:left w:w="108" w:type="dxa"/>
            </w:tcMar>
          </w:tcPr>
          <w:p w:rsidR="0017721C" w:rsidRPr="0017721C" w:rsidRDefault="0017721C" w:rsidP="00474234">
            <w:pPr>
              <w:spacing w:line="240" w:lineRule="exact"/>
              <w:rPr>
                <w:lang w:val="it-IT"/>
              </w:rPr>
            </w:pPr>
            <w:r w:rsidRPr="0017721C">
              <w:rPr>
                <w:lang w:val="it-IT"/>
              </w:rPr>
              <w:t>In presenza di utili successivi, la relativa quota spettante ai terzi è stata attribuita ai soci di maggioranza fino a che, cumulativamente, non si sia recuperato il totale delle perdite precedentemente assorbite da questi ultimi?</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86)</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OIC 17.101</w:t>
            </w:r>
          </w:p>
          <w:p w:rsidR="0017721C" w:rsidRPr="0017721C" w:rsidRDefault="0017721C" w:rsidP="0017721C">
            <w:pPr>
              <w:spacing w:before="40" w:line="240" w:lineRule="auto"/>
              <w:ind w:left="-57"/>
              <w:jc w:val="left"/>
              <w:rPr>
                <w:sz w:val="13"/>
                <w:szCs w:val="13"/>
                <w:lang w:val="it-IT"/>
              </w:rPr>
            </w:pPr>
          </w:p>
        </w:tc>
        <w:tc>
          <w:tcPr>
            <w:tcW w:w="6912" w:type="dxa"/>
            <w:tcMar>
              <w:left w:w="108" w:type="dxa"/>
            </w:tcMar>
          </w:tcPr>
          <w:p w:rsidR="0017721C" w:rsidRPr="0017721C" w:rsidRDefault="0017721C" w:rsidP="00474234">
            <w:pPr>
              <w:spacing w:line="240" w:lineRule="exact"/>
              <w:rPr>
                <w:lang w:val="it-IT"/>
              </w:rPr>
            </w:pPr>
            <w:r w:rsidRPr="0017721C">
              <w:rPr>
                <w:lang w:val="it-IT"/>
              </w:rPr>
              <w:t>Se i terzi si sono impegnati espressamente a ripianare le perdite, ed è probabile che ciò si verifichi, il deficit è stato lasciato a carico del capitale e riserve di  terzi?</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474234">
            <w:pPr>
              <w:widowControl w:val="0"/>
              <w:jc w:val="center"/>
              <w:rPr>
                <w:b/>
                <w:lang w:val="it-IT"/>
              </w:rPr>
            </w:pPr>
            <w:r w:rsidRPr="0017721C">
              <w:rPr>
                <w:b/>
              </w:rPr>
              <w:t>87)</w:t>
            </w:r>
          </w:p>
        </w:tc>
        <w:tc>
          <w:tcPr>
            <w:tcW w:w="836" w:type="dxa"/>
            <w:tcMar>
              <w:left w:w="108" w:type="dxa"/>
              <w:right w:w="0" w:type="dxa"/>
            </w:tcMar>
          </w:tcPr>
          <w:p w:rsidR="0017721C" w:rsidRPr="0017721C" w:rsidRDefault="0017721C" w:rsidP="00474234">
            <w:pPr>
              <w:widowControl w:val="0"/>
              <w:spacing w:before="40" w:line="240" w:lineRule="auto"/>
              <w:ind w:left="-57"/>
              <w:jc w:val="left"/>
              <w:rPr>
                <w:sz w:val="13"/>
                <w:szCs w:val="13"/>
                <w:lang w:val="it-IT"/>
              </w:rPr>
            </w:pPr>
            <w:r w:rsidRPr="0017721C">
              <w:rPr>
                <w:sz w:val="13"/>
                <w:szCs w:val="13"/>
                <w:lang w:val="en-US"/>
              </w:rPr>
              <w:t>OIC 17.102</w:t>
            </w:r>
          </w:p>
        </w:tc>
        <w:tc>
          <w:tcPr>
            <w:tcW w:w="6912" w:type="dxa"/>
            <w:tcMar>
              <w:left w:w="108" w:type="dxa"/>
            </w:tcMar>
          </w:tcPr>
          <w:p w:rsidR="0017721C" w:rsidRPr="0017721C" w:rsidRDefault="0017721C" w:rsidP="00474234">
            <w:pPr>
              <w:widowControl w:val="0"/>
              <w:spacing w:line="240" w:lineRule="exact"/>
              <w:rPr>
                <w:lang w:val="it-IT"/>
              </w:rPr>
            </w:pPr>
            <w:r w:rsidRPr="0017721C">
              <w:rPr>
                <w:lang w:val="it-IT"/>
              </w:rPr>
              <w:t xml:space="preserve">Se al momento dell’acquisto di una partecipazione l’interessenza di terzi consiste in un deficit, a meno di  un espresso impegno al ripianamento tale interessenza è stata valutata pari a zero e la società ne ha tenuto conto al momento dell’elisione della partecipazione tramite un aumento della differenza da annullamento? </w:t>
            </w:r>
          </w:p>
        </w:tc>
        <w:tc>
          <w:tcPr>
            <w:tcW w:w="554" w:type="dxa"/>
            <w:tcMar>
              <w:left w:w="85" w:type="dxa"/>
              <w:right w:w="85" w:type="dxa"/>
            </w:tcMar>
            <w:vAlign w:val="center"/>
          </w:tcPr>
          <w:p w:rsidR="0017721C" w:rsidRPr="0017721C" w:rsidRDefault="0017721C" w:rsidP="00474234">
            <w:pPr>
              <w:widowControl w:val="0"/>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474234">
            <w:pPr>
              <w:widowControl w:val="0"/>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474234">
            <w:pPr>
              <w:widowControl w:val="0"/>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B61E82">
            <w:pPr>
              <w:jc w:val="center"/>
              <w:rPr>
                <w:b/>
                <w:lang w:val="it-IT"/>
              </w:rPr>
            </w:pPr>
            <w:r w:rsidRPr="0017721C">
              <w:rPr>
                <w:b/>
                <w:lang w:val="it-IT"/>
              </w:rPr>
              <w:t>88)</w:t>
            </w:r>
          </w:p>
        </w:tc>
        <w:tc>
          <w:tcPr>
            <w:tcW w:w="836" w:type="dxa"/>
            <w:tcMar>
              <w:left w:w="108" w:type="dxa"/>
              <w:right w:w="0" w:type="dxa"/>
            </w:tcMar>
          </w:tcPr>
          <w:p w:rsidR="0017721C" w:rsidRPr="0017721C" w:rsidRDefault="0017721C" w:rsidP="00B61E82">
            <w:pPr>
              <w:spacing w:before="40" w:line="240" w:lineRule="auto"/>
              <w:ind w:left="-57"/>
              <w:jc w:val="left"/>
              <w:rPr>
                <w:sz w:val="13"/>
                <w:szCs w:val="13"/>
                <w:lang w:val="it-IT"/>
              </w:rPr>
            </w:pPr>
            <w:r w:rsidRPr="0017721C">
              <w:rPr>
                <w:sz w:val="13"/>
                <w:szCs w:val="13"/>
                <w:lang w:val="it-IT"/>
              </w:rPr>
              <w:t>OIC 17.102</w:t>
            </w:r>
          </w:p>
        </w:tc>
        <w:tc>
          <w:tcPr>
            <w:tcW w:w="6912" w:type="dxa"/>
            <w:tcMar>
              <w:left w:w="108" w:type="dxa"/>
            </w:tcMar>
          </w:tcPr>
          <w:p w:rsidR="0017721C" w:rsidRPr="0017721C" w:rsidRDefault="0017721C" w:rsidP="00B61E82">
            <w:pPr>
              <w:spacing w:line="240" w:lineRule="exact"/>
              <w:rPr>
                <w:lang w:val="it-IT"/>
              </w:rPr>
            </w:pPr>
            <w:r w:rsidRPr="0017721C">
              <w:rPr>
                <w:lang w:val="it-IT"/>
              </w:rPr>
              <w:t>In presenza di utili successivi di pertinenza di terzi, tali utili sono stati contabilizzati a riduzione dell’avviamento fino a sua concorrenza e fino al totale recupero delle perdite inizialmente contabilizzate a incremento dell’avviamento al netto degli ammortamenti effettuati?</w:t>
            </w:r>
          </w:p>
        </w:tc>
        <w:tc>
          <w:tcPr>
            <w:tcW w:w="554" w:type="dxa"/>
            <w:tcMar>
              <w:left w:w="85" w:type="dxa"/>
              <w:right w:w="85" w:type="dxa"/>
            </w:tcMar>
            <w:vAlign w:val="center"/>
          </w:tcPr>
          <w:p w:rsidR="0017721C" w:rsidRPr="0017721C" w:rsidRDefault="0017721C" w:rsidP="00B61E82">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B61E82">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B61E82">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Casi particolari</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17721C">
            <w:pPr>
              <w:keepNext/>
              <w:outlineLvl w:val="2"/>
              <w:rPr>
                <w:b/>
                <w:bCs/>
                <w:i/>
                <w:lang w:val="it-IT"/>
              </w:rPr>
            </w:pPr>
            <w:r w:rsidRPr="0017721C">
              <w:rPr>
                <w:b/>
                <w:bCs/>
                <w:i/>
                <w:lang w:val="it-IT"/>
              </w:rPr>
              <w:t>Il trattamento contabile dei beni in locazione finanziaria</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89)</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17.105</w:t>
            </w:r>
          </w:p>
        </w:tc>
        <w:tc>
          <w:tcPr>
            <w:tcW w:w="6912" w:type="dxa"/>
            <w:tcMar>
              <w:left w:w="108" w:type="dxa"/>
            </w:tcMar>
          </w:tcPr>
          <w:p w:rsidR="0017721C" w:rsidRPr="0017721C" w:rsidRDefault="0017721C" w:rsidP="00B61E82">
            <w:pPr>
              <w:spacing w:line="240" w:lineRule="exact"/>
              <w:rPr>
                <w:lang w:val="it-IT"/>
              </w:rPr>
            </w:pPr>
            <w:r w:rsidRPr="0017721C">
              <w:rPr>
                <w:lang w:val="it-IT"/>
              </w:rPr>
              <w:t>Le operazioni di locazione finanziaria sono state contabilizzate utilizzando direttamente negli schemi il metodo finanziario, a differenza di quanto disciplinato per il bilancio di esercizio?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widowControl w:val="0"/>
              <w:jc w:val="center"/>
              <w:rPr>
                <w:b/>
                <w:lang w:val="it-IT"/>
              </w:rPr>
            </w:pPr>
          </w:p>
        </w:tc>
        <w:tc>
          <w:tcPr>
            <w:tcW w:w="836" w:type="dxa"/>
            <w:tcMar>
              <w:left w:w="108" w:type="dxa"/>
              <w:right w:w="0" w:type="dxa"/>
            </w:tcMar>
          </w:tcPr>
          <w:p w:rsidR="0017721C" w:rsidRPr="0017721C" w:rsidRDefault="0017721C" w:rsidP="0017721C">
            <w:pPr>
              <w:widowControl w:val="0"/>
              <w:spacing w:before="40" w:line="240" w:lineRule="auto"/>
              <w:ind w:left="-57"/>
              <w:jc w:val="left"/>
              <w:rPr>
                <w:sz w:val="13"/>
                <w:szCs w:val="13"/>
                <w:lang w:val="it-IT"/>
              </w:rPr>
            </w:pPr>
            <w:r w:rsidRPr="0017721C">
              <w:rPr>
                <w:sz w:val="13"/>
                <w:szCs w:val="13"/>
                <w:lang w:val="en-US"/>
              </w:rPr>
              <w:t>OIC 17.105</w:t>
            </w:r>
          </w:p>
        </w:tc>
        <w:tc>
          <w:tcPr>
            <w:tcW w:w="6912" w:type="dxa"/>
            <w:tcMar>
              <w:left w:w="108" w:type="dxa"/>
            </w:tcMar>
          </w:tcPr>
          <w:p w:rsidR="0017721C" w:rsidRPr="0017721C" w:rsidRDefault="0017721C" w:rsidP="0017721C">
            <w:pPr>
              <w:widowControl w:val="0"/>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Considerata la natura essenzialmente informativa del bilancio consolidato, nonché la diversità sul punto della normativa del bilancio consolidato rispetto al bilancio di esercizio, si ritiene che nel bilancio consolidato le operazioni di locazione finanziaria possono essere contabilizzate utilizzando direttamente negli schemi il metodo finanziario. Si raccomanda l’adozione di questa soluzione in quanto tecnicamente da preferire. </w:t>
            </w:r>
          </w:p>
        </w:tc>
        <w:tc>
          <w:tcPr>
            <w:tcW w:w="554" w:type="dxa"/>
            <w:tcMar>
              <w:left w:w="85" w:type="dxa"/>
              <w:right w:w="85" w:type="dxa"/>
            </w:tcMar>
            <w:vAlign w:val="center"/>
          </w:tcPr>
          <w:p w:rsidR="0017721C" w:rsidRPr="0017721C" w:rsidRDefault="0017721C" w:rsidP="0017721C">
            <w:pPr>
              <w:widowControl w:val="0"/>
              <w:jc w:val="center"/>
              <w:rPr>
                <w:lang w:val="it-IT"/>
              </w:rPr>
            </w:pPr>
          </w:p>
        </w:tc>
        <w:tc>
          <w:tcPr>
            <w:tcW w:w="565" w:type="dxa"/>
            <w:tcMar>
              <w:left w:w="108" w:type="dxa"/>
            </w:tcMar>
            <w:vAlign w:val="center"/>
          </w:tcPr>
          <w:p w:rsidR="0017721C" w:rsidRPr="0017721C" w:rsidRDefault="0017721C" w:rsidP="0017721C">
            <w:pPr>
              <w:widowControl w:val="0"/>
              <w:jc w:val="center"/>
              <w:rPr>
                <w:lang w:val="it-IT"/>
              </w:rPr>
            </w:pPr>
          </w:p>
        </w:tc>
        <w:tc>
          <w:tcPr>
            <w:tcW w:w="564" w:type="dxa"/>
            <w:tcMar>
              <w:left w:w="108" w:type="dxa"/>
            </w:tcMar>
            <w:vAlign w:val="center"/>
          </w:tcPr>
          <w:p w:rsidR="0017721C" w:rsidRPr="0017721C" w:rsidRDefault="0017721C" w:rsidP="0017721C">
            <w:pPr>
              <w:widowControl w:val="0"/>
              <w:jc w:val="center"/>
              <w:rPr>
                <w:lang w:val="it-IT"/>
              </w:rPr>
            </w:pP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17.105</w:t>
            </w:r>
          </w:p>
        </w:tc>
        <w:tc>
          <w:tcPr>
            <w:tcW w:w="6912" w:type="dxa"/>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E’ comunque ammesso contabilizzare le operazioni di locazione finanziarie con il metodo patrimoniale anche nel bilancio consolidato e in questo caso si forniscono in nota integrativa le specifiche informazioni richieste dall’art. 2427, c.1, n.22, CC.</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90)</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17.105</w:t>
            </w:r>
          </w:p>
        </w:tc>
        <w:tc>
          <w:tcPr>
            <w:tcW w:w="6912" w:type="dxa"/>
            <w:tcMar>
              <w:left w:w="108" w:type="dxa"/>
            </w:tcMar>
          </w:tcPr>
          <w:p w:rsidR="0017721C" w:rsidRPr="0017721C" w:rsidRDefault="0017721C" w:rsidP="00B61E82">
            <w:pPr>
              <w:spacing w:line="240" w:lineRule="exact"/>
              <w:rPr>
                <w:lang w:val="it-IT"/>
              </w:rPr>
            </w:pPr>
            <w:r w:rsidRPr="0017721C">
              <w:rPr>
                <w:lang w:val="it-IT"/>
              </w:rPr>
              <w:t>Se l’impresa ha mutato il metodo di rappresentazione contabile delle locazioni finanziarie (da metodo patrimoniale a metodo finanziario e viceversa), gli effetti sono rilevati come un cambiamento di principio contabile ai sensi dell’OIC 29 “Cambiamenti di principi contabili, cambiamenti di stime contabili, correzione di errori, fatti intervenuti dopo la chiusura dell’esercizio”?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91)</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17.106</w:t>
            </w:r>
          </w:p>
        </w:tc>
        <w:tc>
          <w:tcPr>
            <w:tcW w:w="6912" w:type="dxa"/>
            <w:tcMar>
              <w:left w:w="108" w:type="dxa"/>
            </w:tcMar>
          </w:tcPr>
          <w:p w:rsidR="0017721C" w:rsidRPr="0017721C" w:rsidRDefault="0017721C" w:rsidP="00B61E82">
            <w:pPr>
              <w:spacing w:line="240" w:lineRule="exact"/>
              <w:rPr>
                <w:lang w:val="it-IT"/>
              </w:rPr>
            </w:pPr>
            <w:r w:rsidRPr="0017721C">
              <w:rPr>
                <w:lang w:val="it-IT"/>
              </w:rPr>
              <w:t>Le operazioni di locazione operativa, nel bilancio consolidato, sono state contabilizzate come nel bilancio di esercizio, secondo quanto previsto dall’OIC 12 “Composizione e schemi del bilancio d’esercizio”?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17721C">
            <w:pPr>
              <w:keepNext/>
              <w:outlineLvl w:val="2"/>
              <w:rPr>
                <w:b/>
                <w:bCs/>
                <w:i/>
                <w:lang w:val="it-IT"/>
              </w:rPr>
            </w:pPr>
            <w:r w:rsidRPr="0017721C">
              <w:rPr>
                <w:b/>
                <w:bCs/>
                <w:i/>
                <w:lang w:val="it-IT"/>
              </w:rPr>
              <w:t>La valutazione delle partecipazioni controllate non consolidate e collegate</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92)</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Art. 36, c.1, D.Lgs. 127/91 OIC 17.107</w:t>
            </w:r>
          </w:p>
        </w:tc>
        <w:tc>
          <w:tcPr>
            <w:tcW w:w="6912" w:type="dxa"/>
            <w:tcMar>
              <w:left w:w="108" w:type="dxa"/>
            </w:tcMar>
          </w:tcPr>
          <w:p w:rsidR="0017721C" w:rsidRPr="0017721C" w:rsidRDefault="0017721C" w:rsidP="0017721C">
            <w:pPr>
              <w:spacing w:line="240" w:lineRule="exact"/>
              <w:rPr>
                <w:lang w:val="it-IT"/>
              </w:rPr>
            </w:pPr>
            <w:r w:rsidRPr="0017721C">
              <w:rPr>
                <w:lang w:val="it-IT"/>
              </w:rPr>
              <w:t>Le partecipazioni in società collegate sono iscritte nel bilancio consolidato secondo il metodo del patrimonio netto?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17.108</w:t>
            </w:r>
          </w:p>
        </w:tc>
        <w:tc>
          <w:tcPr>
            <w:tcW w:w="6912" w:type="dxa"/>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Poiché si ritiene che l’influenza della capogruppo sulla collegata sia minore, nei casi in cui la data di chiusura del bilancio delle società partecipate valutate, nel bilancio consolidato, con il metodo del patrimonio netto, sia diversa dalla data di riferimento del bilancio consolidato, è accettabile utilizzare il bilancio chiuso a una data diversa, purché la differenza tra le date di chiusura non superi i tre mesi e sia mantenuta costante nel tempo.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93)</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 xml:space="preserve">OIC </w:t>
            </w:r>
            <w:r w:rsidRPr="0017721C">
              <w:rPr>
                <w:sz w:val="13"/>
                <w:szCs w:val="13"/>
                <w:lang w:val="en-US"/>
              </w:rPr>
              <w:t>17</w:t>
            </w:r>
            <w:r w:rsidRPr="0017721C">
              <w:rPr>
                <w:sz w:val="13"/>
                <w:szCs w:val="13"/>
                <w:lang w:val="it-IT"/>
              </w:rPr>
              <w:t>.109</w:t>
            </w:r>
          </w:p>
        </w:tc>
        <w:tc>
          <w:tcPr>
            <w:tcW w:w="6912" w:type="dxa"/>
            <w:tcMar>
              <w:left w:w="108" w:type="dxa"/>
            </w:tcMar>
          </w:tcPr>
          <w:p w:rsidR="0017721C" w:rsidRPr="0017721C" w:rsidRDefault="0017721C" w:rsidP="00B61E82">
            <w:pPr>
              <w:spacing w:line="240" w:lineRule="exact"/>
              <w:rPr>
                <w:lang w:val="it-IT"/>
              </w:rPr>
            </w:pPr>
            <w:r w:rsidRPr="0017721C">
              <w:rPr>
                <w:lang w:val="it-IT"/>
              </w:rPr>
              <w:t>Il metodo del patrimonio netto è stato utilizzato per la valutazione di partecipazioni in società sottoposte a controllo congiunto, nel caso in cui esse non siano consolidate con metodo proporzionale di cui ai paragrafi 114-119 dell’OIC 17?</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17.109</w:t>
            </w:r>
          </w:p>
        </w:tc>
        <w:tc>
          <w:tcPr>
            <w:tcW w:w="6912" w:type="dxa"/>
            <w:tcMar>
              <w:left w:w="108" w:type="dxa"/>
            </w:tcMar>
            <w:vAlign w:val="cente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Per questa tipologia di partecipazioni non è ammesso l’utilizzo del metodo del costo.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Pr>
          <w:p w:rsidR="0017721C" w:rsidRPr="0017721C" w:rsidRDefault="0017721C" w:rsidP="0017721C">
            <w:pPr>
              <w:jc w:val="center"/>
              <w:rPr>
                <w:b/>
                <w:lang w:val="it-IT"/>
              </w:rPr>
            </w:pPr>
            <w:r w:rsidRPr="0017721C">
              <w:rPr>
                <w:b/>
              </w:rPr>
              <w:t>94)</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17.110</w:t>
            </w:r>
          </w:p>
        </w:tc>
        <w:tc>
          <w:tcPr>
            <w:tcW w:w="6912" w:type="dxa"/>
            <w:tcMar>
              <w:left w:w="108" w:type="dxa"/>
            </w:tcMar>
          </w:tcPr>
          <w:p w:rsidR="0017721C" w:rsidRPr="0017721C" w:rsidRDefault="0017721C" w:rsidP="00B61E82">
            <w:pPr>
              <w:spacing w:line="240" w:lineRule="exact"/>
              <w:rPr>
                <w:lang w:val="it-IT"/>
              </w:rPr>
            </w:pPr>
            <w:r w:rsidRPr="0017721C">
              <w:rPr>
                <w:lang w:val="it-IT"/>
              </w:rPr>
              <w:t>E’ stato utilizzato il metodo del costo nei seguenti casi:</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EE1EEF" w:rsidP="00EE1EEF">
            <w:pPr>
              <w:pStyle w:val="Puntoelenco"/>
              <w:numPr>
                <w:ilvl w:val="0"/>
                <w:numId w:val="0"/>
              </w:numPr>
              <w:ind w:left="426" w:hanging="284"/>
            </w:pPr>
            <w:r>
              <w:t>-</w:t>
            </w:r>
            <w:r>
              <w:tab/>
            </w:r>
            <w:r w:rsidR="0017721C" w:rsidRPr="0017721C">
              <w:t>valutazione di partecipazioni di controllo escluse dal consolidamento per gravi e durature restrizioni nell’esercizio dei diritti della capogruppo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EE1EEF" w:rsidP="00EE1EEF">
            <w:pPr>
              <w:pStyle w:val="rientrotrattinook"/>
              <w:numPr>
                <w:ilvl w:val="0"/>
                <w:numId w:val="0"/>
              </w:numPr>
              <w:ind w:left="426" w:hanging="284"/>
            </w:pPr>
            <w:r>
              <w:t>-</w:t>
            </w:r>
            <w:r>
              <w:tab/>
              <w:t xml:space="preserve"> </w:t>
            </w:r>
            <w:r w:rsidR="0017721C" w:rsidRPr="0017721C">
              <w:t>valutazione di partecipazioni di controllo escluse dal consolidamento per impossibilità di ottenere le informazioni necessarie alla loro inclusione nel consolidato con il metodo del consolidamento integrale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EE1EEF" w:rsidP="004E27C2">
            <w:pPr>
              <w:pStyle w:val="rientrotrattino"/>
              <w:numPr>
                <w:ilvl w:val="0"/>
                <w:numId w:val="0"/>
              </w:numPr>
              <w:spacing w:line="230" w:lineRule="exact"/>
              <w:ind w:left="426" w:hanging="284"/>
            </w:pPr>
            <w:r>
              <w:t>-</w:t>
            </w:r>
            <w:r>
              <w:tab/>
            </w:r>
            <w:r w:rsidR="0017721C" w:rsidRPr="0017721C">
              <w:t>valutazione di partecipazioni normalmente da valutare in base al metodo del patrimonio netto, nei casi di impossibilità a ottenere le informazioni necessarie all’applicazione di tale metodo?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95)</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17.111</w:t>
            </w:r>
          </w:p>
        </w:tc>
        <w:tc>
          <w:tcPr>
            <w:tcW w:w="6912" w:type="dxa"/>
            <w:tcMar>
              <w:left w:w="108" w:type="dxa"/>
            </w:tcMar>
          </w:tcPr>
          <w:p w:rsidR="0017721C" w:rsidRPr="0017721C" w:rsidRDefault="0017721C" w:rsidP="004E27C2">
            <w:pPr>
              <w:spacing w:line="230" w:lineRule="exact"/>
              <w:rPr>
                <w:lang w:val="it-IT"/>
              </w:rPr>
            </w:pPr>
            <w:r w:rsidRPr="0017721C">
              <w:rPr>
                <w:lang w:val="it-IT"/>
              </w:rPr>
              <w:t>La valutazione delle partecipazioni escluse dal consolidamento e detenute allo specifico scopo della loro successiva alienazione è stata effettuata utilizzando il valore minore tra quello determinato in base al metodo del costo (o al metodo del patrimonio netto, se applicabile) e il valore netto che si presume sarà realizzato dalla loro alienazione?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17721C">
            <w:pPr>
              <w:keepNext/>
              <w:outlineLvl w:val="2"/>
              <w:rPr>
                <w:b/>
                <w:bCs/>
                <w:i/>
                <w:lang w:val="it-IT"/>
              </w:rPr>
            </w:pPr>
            <w:r w:rsidRPr="0017721C">
              <w:rPr>
                <w:b/>
                <w:bCs/>
                <w:i/>
                <w:lang w:val="it-IT"/>
              </w:rPr>
              <w:t>Azioni privilegiate e/o di godimento, diritti di opzione</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96)</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w:t>
            </w:r>
            <w:r w:rsidRPr="0017721C">
              <w:rPr>
                <w:sz w:val="13"/>
                <w:szCs w:val="13"/>
                <w:lang w:val="en-US"/>
              </w:rPr>
              <w:t>C 17.113</w:t>
            </w:r>
          </w:p>
        </w:tc>
        <w:tc>
          <w:tcPr>
            <w:tcW w:w="6912" w:type="dxa"/>
            <w:tcMar>
              <w:left w:w="108" w:type="dxa"/>
            </w:tcMar>
          </w:tcPr>
          <w:p w:rsidR="0017721C" w:rsidRPr="0017721C" w:rsidRDefault="0017721C" w:rsidP="00B61E82">
            <w:pPr>
              <w:spacing w:line="240" w:lineRule="exact"/>
              <w:rPr>
                <w:lang w:val="it-IT"/>
              </w:rPr>
            </w:pPr>
            <w:r w:rsidRPr="0017721C">
              <w:rPr>
                <w:lang w:val="it-IT"/>
              </w:rPr>
              <w:t xml:space="preserve">Se la partecipata ha emesso azioni privilegiate e/o di godimento, la quota di pertinenza degli utili della partecipante è stata calcolata applicando le necessarie rettifiche per tener conto della quota di utili spettanti a tali categorie di azioni? </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97)</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w:t>
            </w:r>
            <w:r w:rsidRPr="0017721C">
              <w:rPr>
                <w:sz w:val="13"/>
                <w:szCs w:val="13"/>
                <w:lang w:val="en-US"/>
              </w:rPr>
              <w:t>C 17.113</w:t>
            </w:r>
          </w:p>
        </w:tc>
        <w:tc>
          <w:tcPr>
            <w:tcW w:w="6912" w:type="dxa"/>
            <w:tcMar>
              <w:left w:w="108" w:type="dxa"/>
            </w:tcMar>
          </w:tcPr>
          <w:p w:rsidR="0017721C" w:rsidRPr="0017721C" w:rsidRDefault="0017721C" w:rsidP="00B61E82">
            <w:pPr>
              <w:spacing w:line="240" w:lineRule="exact"/>
              <w:rPr>
                <w:lang w:val="it-IT"/>
              </w:rPr>
            </w:pPr>
            <w:r w:rsidRPr="0017721C">
              <w:rPr>
                <w:lang w:val="it-IT"/>
              </w:rPr>
              <w:t>I diritti di opzione relativi ad aumenti di capitale in corso sono stati esclusi?</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Il metodo di consolidamento proporzionale</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B61E82">
            <w:pPr>
              <w:widowControl w:val="0"/>
              <w:jc w:val="center"/>
              <w:rPr>
                <w:b/>
                <w:lang w:val="it-IT"/>
              </w:rPr>
            </w:pPr>
            <w:r w:rsidRPr="0017721C">
              <w:rPr>
                <w:b/>
              </w:rPr>
              <w:t>98)</w:t>
            </w:r>
          </w:p>
        </w:tc>
        <w:tc>
          <w:tcPr>
            <w:tcW w:w="836" w:type="dxa"/>
            <w:tcMar>
              <w:left w:w="108" w:type="dxa"/>
              <w:right w:w="0" w:type="dxa"/>
            </w:tcMar>
          </w:tcPr>
          <w:p w:rsidR="0017721C" w:rsidRPr="0017721C" w:rsidRDefault="0017721C" w:rsidP="00B61E82">
            <w:pPr>
              <w:widowControl w:val="0"/>
              <w:spacing w:before="40" w:line="240" w:lineRule="auto"/>
              <w:ind w:left="-57"/>
              <w:jc w:val="left"/>
              <w:rPr>
                <w:sz w:val="13"/>
                <w:szCs w:val="13"/>
                <w:lang w:val="it-IT"/>
              </w:rPr>
            </w:pPr>
            <w:r w:rsidRPr="0017721C">
              <w:rPr>
                <w:sz w:val="13"/>
                <w:szCs w:val="13"/>
                <w:lang w:val="en-US"/>
              </w:rPr>
              <w:t xml:space="preserve">Art. 37      D.Lgs. 127/91     OIC 17.114 </w:t>
            </w:r>
          </w:p>
        </w:tc>
        <w:tc>
          <w:tcPr>
            <w:tcW w:w="6912" w:type="dxa"/>
            <w:tcMar>
              <w:left w:w="108" w:type="dxa"/>
            </w:tcMar>
          </w:tcPr>
          <w:p w:rsidR="0017721C" w:rsidRPr="0017721C" w:rsidRDefault="0017721C" w:rsidP="00B61E82">
            <w:pPr>
              <w:widowControl w:val="0"/>
              <w:spacing w:line="230" w:lineRule="exact"/>
              <w:rPr>
                <w:lang w:val="it-IT"/>
              </w:rPr>
            </w:pPr>
            <w:r w:rsidRPr="0017721C">
              <w:rPr>
                <w:lang w:val="it-IT"/>
              </w:rPr>
              <w:t xml:space="preserve">Qualora un’impresa inclusa nell’area di consolidamento detenga il controllo, congiuntamente con terzi soci e in base ad accordi contrattuali con essi, di una partecipazione non inferiore al 20% (10% se si tratta società quotata), l’impresa partecipata, detta anche </w:t>
            </w:r>
            <w:r w:rsidRPr="0017721C">
              <w:rPr>
                <w:i/>
                <w:lang w:val="it-IT"/>
              </w:rPr>
              <w:t>joint venture</w:t>
            </w:r>
            <w:r w:rsidRPr="0017721C">
              <w:rPr>
                <w:lang w:val="it-IT"/>
              </w:rPr>
              <w:t>, è stata inclusa nell’area di consolidamento secondo il metodo del consolidamento proporzionale?</w:t>
            </w:r>
          </w:p>
        </w:tc>
        <w:tc>
          <w:tcPr>
            <w:tcW w:w="554" w:type="dxa"/>
            <w:tcMar>
              <w:left w:w="85" w:type="dxa"/>
              <w:right w:w="85" w:type="dxa"/>
            </w:tcMar>
            <w:vAlign w:val="center"/>
          </w:tcPr>
          <w:p w:rsidR="0017721C" w:rsidRPr="0017721C" w:rsidRDefault="0017721C" w:rsidP="00B61E82">
            <w:pPr>
              <w:widowControl w:val="0"/>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Mar>
              <w:left w:w="108" w:type="dxa"/>
            </w:tcMar>
            <w:vAlign w:val="center"/>
          </w:tcPr>
          <w:p w:rsidR="0017721C" w:rsidRPr="0017721C" w:rsidRDefault="0017721C" w:rsidP="00B61E82">
            <w:pPr>
              <w:widowControl w:val="0"/>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Mar>
              <w:left w:w="108" w:type="dxa"/>
            </w:tcMar>
            <w:vAlign w:val="center"/>
          </w:tcPr>
          <w:p w:rsidR="0017721C" w:rsidRPr="0017721C" w:rsidRDefault="0017721C" w:rsidP="00B61E82">
            <w:pPr>
              <w:widowControl w:val="0"/>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Pr>
          <w:p w:rsidR="0017721C" w:rsidRPr="0017721C" w:rsidRDefault="0017721C" w:rsidP="00B61E82">
            <w:pPr>
              <w:widowControl w:val="0"/>
              <w:jc w:val="center"/>
              <w:rPr>
                <w:b/>
                <w:lang w:val="it-IT"/>
              </w:rPr>
            </w:pPr>
            <w:r w:rsidRPr="0017721C">
              <w:rPr>
                <w:b/>
                <w:lang w:val="it-IT"/>
              </w:rPr>
              <w:t>99)</w:t>
            </w:r>
          </w:p>
        </w:tc>
        <w:tc>
          <w:tcPr>
            <w:tcW w:w="836" w:type="dxa"/>
            <w:tcMar>
              <w:left w:w="108" w:type="dxa"/>
              <w:right w:w="0" w:type="dxa"/>
            </w:tcMar>
          </w:tcPr>
          <w:p w:rsidR="0017721C" w:rsidRPr="0017721C" w:rsidRDefault="0017721C" w:rsidP="00B61E82">
            <w:pPr>
              <w:widowControl w:val="0"/>
              <w:spacing w:before="40" w:line="240" w:lineRule="auto"/>
              <w:ind w:left="-57"/>
              <w:jc w:val="left"/>
              <w:rPr>
                <w:sz w:val="13"/>
                <w:szCs w:val="13"/>
                <w:lang w:val="it-IT"/>
              </w:rPr>
            </w:pPr>
            <w:r w:rsidRPr="0017721C">
              <w:rPr>
                <w:sz w:val="13"/>
                <w:szCs w:val="13"/>
                <w:lang w:val="it-IT"/>
              </w:rPr>
              <w:t>OIC 17.115</w:t>
            </w:r>
          </w:p>
        </w:tc>
        <w:tc>
          <w:tcPr>
            <w:tcW w:w="6912" w:type="dxa"/>
            <w:tcMar>
              <w:left w:w="108" w:type="dxa"/>
            </w:tcMar>
          </w:tcPr>
          <w:p w:rsidR="0017721C" w:rsidRPr="0017721C" w:rsidRDefault="0017721C" w:rsidP="00B61E82">
            <w:pPr>
              <w:widowControl w:val="0"/>
              <w:rPr>
                <w:lang w:val="it-IT"/>
              </w:rPr>
            </w:pPr>
            <w:r w:rsidRPr="0017721C">
              <w:rPr>
                <w:lang w:val="it-IT"/>
              </w:rPr>
              <w:t>Per il consolidamento proporzionale, sono state utilizzate alternativamente le seguenti modalità:</w:t>
            </w:r>
          </w:p>
        </w:tc>
        <w:tc>
          <w:tcPr>
            <w:tcW w:w="554" w:type="dxa"/>
            <w:tcMar>
              <w:left w:w="85" w:type="dxa"/>
              <w:right w:w="85" w:type="dxa"/>
            </w:tcMar>
            <w:vAlign w:val="center"/>
          </w:tcPr>
          <w:p w:rsidR="0017721C" w:rsidRPr="0017721C" w:rsidRDefault="0017721C" w:rsidP="00B61E82">
            <w:pPr>
              <w:widowControl w:val="0"/>
              <w:jc w:val="center"/>
              <w:rPr>
                <w:lang w:val="it-IT"/>
              </w:rPr>
            </w:pPr>
          </w:p>
        </w:tc>
        <w:tc>
          <w:tcPr>
            <w:tcW w:w="565" w:type="dxa"/>
            <w:tcMar>
              <w:left w:w="108" w:type="dxa"/>
            </w:tcMar>
            <w:vAlign w:val="center"/>
          </w:tcPr>
          <w:p w:rsidR="0017721C" w:rsidRPr="0017721C" w:rsidRDefault="0017721C" w:rsidP="00B61E82">
            <w:pPr>
              <w:widowControl w:val="0"/>
              <w:jc w:val="center"/>
              <w:rPr>
                <w:lang w:val="it-IT"/>
              </w:rPr>
            </w:pPr>
          </w:p>
        </w:tc>
        <w:tc>
          <w:tcPr>
            <w:tcW w:w="564" w:type="dxa"/>
            <w:tcMar>
              <w:left w:w="108" w:type="dxa"/>
            </w:tcMar>
            <w:vAlign w:val="center"/>
          </w:tcPr>
          <w:p w:rsidR="0017721C" w:rsidRPr="0017721C" w:rsidRDefault="0017721C" w:rsidP="00B61E82">
            <w:pPr>
              <w:widowControl w:val="0"/>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4E27C2" w:rsidP="004E27C2">
            <w:pPr>
              <w:pStyle w:val="rientrotrattino"/>
              <w:numPr>
                <w:ilvl w:val="0"/>
                <w:numId w:val="0"/>
              </w:numPr>
              <w:ind w:left="426" w:hanging="284"/>
            </w:pPr>
            <w:r>
              <w:t xml:space="preserve">- </w:t>
            </w:r>
            <w:r>
              <w:tab/>
            </w:r>
            <w:r w:rsidR="0017721C" w:rsidRPr="0017721C">
              <w:t xml:space="preserve">la società partecipante ha aggregato, linea per linea, la quota parte di ciascuna attività, passività, ricavi e costi della joint venture alle rispettive voci del proprio bilancio, </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4E27C2" w:rsidP="004E27C2">
            <w:pPr>
              <w:pStyle w:val="rientrotrattino"/>
              <w:numPr>
                <w:ilvl w:val="0"/>
                <w:numId w:val="0"/>
              </w:numPr>
              <w:ind w:left="426" w:hanging="284"/>
            </w:pPr>
            <w:r>
              <w:t>-</w:t>
            </w:r>
            <w:r>
              <w:tab/>
            </w:r>
            <w:r w:rsidR="0017721C" w:rsidRPr="0017721C">
              <w:t>il bilancio consolidato della partecipante include, esponendole in voci separate, la quota parte di attività, passività, ricevi e costi appartenenti alla società sottoposta al controllo congiunto?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widowControl w:val="0"/>
              <w:jc w:val="center"/>
              <w:rPr>
                <w:b/>
                <w:lang w:val="it-IT"/>
              </w:rPr>
            </w:pPr>
          </w:p>
        </w:tc>
        <w:tc>
          <w:tcPr>
            <w:tcW w:w="836" w:type="dxa"/>
            <w:tcMar>
              <w:left w:w="108" w:type="dxa"/>
              <w:right w:w="0" w:type="dxa"/>
            </w:tcMar>
          </w:tcPr>
          <w:p w:rsidR="0017721C" w:rsidRPr="0017721C" w:rsidRDefault="0017721C" w:rsidP="0017721C">
            <w:pPr>
              <w:widowControl w:val="0"/>
              <w:spacing w:before="40" w:line="240" w:lineRule="auto"/>
              <w:ind w:left="-57"/>
              <w:jc w:val="left"/>
              <w:rPr>
                <w:sz w:val="13"/>
                <w:szCs w:val="13"/>
                <w:lang w:val="it-IT"/>
              </w:rPr>
            </w:pPr>
            <w:r w:rsidRPr="0017721C">
              <w:rPr>
                <w:sz w:val="13"/>
                <w:szCs w:val="13"/>
                <w:lang w:val="it-IT"/>
              </w:rPr>
              <w:t>OIC 17.116</w:t>
            </w:r>
          </w:p>
        </w:tc>
        <w:tc>
          <w:tcPr>
            <w:tcW w:w="6912" w:type="dxa"/>
            <w:tcMar>
              <w:left w:w="108" w:type="dxa"/>
            </w:tcMar>
          </w:tcPr>
          <w:p w:rsidR="0017721C" w:rsidRPr="0017721C" w:rsidRDefault="0017721C" w:rsidP="0017721C">
            <w:pPr>
              <w:widowControl w:val="0"/>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Tramite il consolidamento proporzionale si evidenzia esclusivamente la quota del valore della partecipata di proprietà del gruppo e non il suo valore complessivo. Inoltre, in contropartita del valore delle partecipazioni si elimina solo la quota di patrimonio netto di pertinenza del gruppo, in modo tale da escludere dal bilancio consolidato l’indicazione del valore del patrimonio netto e del risultato economico corrispondenti alle interessenze di terzi</w:t>
            </w:r>
          </w:p>
        </w:tc>
        <w:tc>
          <w:tcPr>
            <w:tcW w:w="554" w:type="dxa"/>
            <w:tcMar>
              <w:left w:w="85" w:type="dxa"/>
              <w:right w:w="85" w:type="dxa"/>
            </w:tcMar>
            <w:vAlign w:val="center"/>
          </w:tcPr>
          <w:p w:rsidR="0017721C" w:rsidRPr="0017721C" w:rsidRDefault="0017721C" w:rsidP="0017721C">
            <w:pPr>
              <w:widowControl w:val="0"/>
              <w:jc w:val="center"/>
              <w:rPr>
                <w:lang w:val="it-IT"/>
              </w:rPr>
            </w:pPr>
          </w:p>
        </w:tc>
        <w:tc>
          <w:tcPr>
            <w:tcW w:w="565" w:type="dxa"/>
            <w:tcMar>
              <w:left w:w="108" w:type="dxa"/>
            </w:tcMar>
            <w:vAlign w:val="center"/>
          </w:tcPr>
          <w:p w:rsidR="0017721C" w:rsidRPr="0017721C" w:rsidRDefault="0017721C" w:rsidP="0017721C">
            <w:pPr>
              <w:widowControl w:val="0"/>
              <w:jc w:val="center"/>
              <w:rPr>
                <w:lang w:val="it-IT"/>
              </w:rPr>
            </w:pPr>
          </w:p>
        </w:tc>
        <w:tc>
          <w:tcPr>
            <w:tcW w:w="564" w:type="dxa"/>
            <w:tcMar>
              <w:left w:w="108" w:type="dxa"/>
            </w:tcMar>
            <w:vAlign w:val="center"/>
          </w:tcPr>
          <w:p w:rsidR="0017721C" w:rsidRPr="0017721C" w:rsidRDefault="0017721C" w:rsidP="0017721C">
            <w:pPr>
              <w:widowControl w:val="0"/>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100)</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w:t>
            </w:r>
            <w:r w:rsidRPr="0017721C">
              <w:rPr>
                <w:sz w:val="13"/>
                <w:szCs w:val="13"/>
                <w:lang w:val="en-US"/>
              </w:rPr>
              <w:t>117</w:t>
            </w:r>
          </w:p>
        </w:tc>
        <w:tc>
          <w:tcPr>
            <w:tcW w:w="6912" w:type="dxa"/>
            <w:tcMar>
              <w:left w:w="108" w:type="dxa"/>
            </w:tcMar>
          </w:tcPr>
          <w:p w:rsidR="0017721C" w:rsidRPr="0017721C" w:rsidRDefault="0017721C" w:rsidP="0017721C">
            <w:pPr>
              <w:spacing w:line="230" w:lineRule="exact"/>
              <w:rPr>
                <w:lang w:val="it-IT"/>
              </w:rPr>
            </w:pPr>
            <w:r w:rsidRPr="0017721C">
              <w:rPr>
                <w:lang w:val="it-IT"/>
              </w:rPr>
              <w:t>Gli utili e le perdite infragruppo sono state eliminate proporzionalmente, così come tutte le altre rettifiche di consolidamento sono state effettuate su base proporzionale?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101)</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w:t>
            </w:r>
            <w:r w:rsidRPr="0017721C">
              <w:rPr>
                <w:sz w:val="13"/>
                <w:szCs w:val="13"/>
                <w:lang w:val="en-US"/>
              </w:rPr>
              <w:t>118</w:t>
            </w:r>
          </w:p>
        </w:tc>
        <w:tc>
          <w:tcPr>
            <w:tcW w:w="6912" w:type="dxa"/>
            <w:tcMar>
              <w:left w:w="108" w:type="dxa"/>
            </w:tcMar>
          </w:tcPr>
          <w:p w:rsidR="0017721C" w:rsidRPr="0017721C" w:rsidRDefault="0017721C" w:rsidP="0017721C">
            <w:pPr>
              <w:spacing w:line="230" w:lineRule="exact"/>
              <w:rPr>
                <w:lang w:val="it-IT"/>
              </w:rPr>
            </w:pPr>
            <w:r w:rsidRPr="0017721C">
              <w:rPr>
                <w:lang w:val="it-IT"/>
              </w:rPr>
              <w:t xml:space="preserve">Nel caso di elisione di crediti e debiti nei confronti delle </w:t>
            </w:r>
            <w:r w:rsidRPr="0017721C">
              <w:rPr>
                <w:i/>
                <w:lang w:val="it-IT"/>
              </w:rPr>
              <w:t>joint venture</w:t>
            </w:r>
            <w:r w:rsidRPr="0017721C">
              <w:rPr>
                <w:lang w:val="it-IT"/>
              </w:rPr>
              <w:t>, ai fini del consolidamento proporzionale è stata iscritta la parte del credito o debito di competenza di terzi tra i crediti e i debiti verso terzi?</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102)</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w:t>
            </w:r>
            <w:r w:rsidRPr="0017721C">
              <w:rPr>
                <w:sz w:val="13"/>
                <w:szCs w:val="13"/>
                <w:lang w:val="en-US"/>
              </w:rPr>
              <w:t>119</w:t>
            </w:r>
          </w:p>
        </w:tc>
        <w:tc>
          <w:tcPr>
            <w:tcW w:w="6912" w:type="dxa"/>
            <w:tcMar>
              <w:left w:w="108" w:type="dxa"/>
            </w:tcMar>
          </w:tcPr>
          <w:p w:rsidR="0017721C" w:rsidRPr="0017721C" w:rsidRDefault="0017721C" w:rsidP="0017721C">
            <w:pPr>
              <w:spacing w:line="230" w:lineRule="exact"/>
              <w:rPr>
                <w:lang w:val="it-IT"/>
              </w:rPr>
            </w:pPr>
            <w:r w:rsidRPr="0017721C">
              <w:rPr>
                <w:lang w:val="it-IT"/>
              </w:rPr>
              <w:t>Le eventuali differenze risultanti dal consolidamento sono state trattate come nel caso di consolidamento integrale?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La traduzione dei bilanci non espressi in euro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Pr>
          <w:p w:rsidR="0017721C" w:rsidRPr="0017721C" w:rsidRDefault="0017721C" w:rsidP="0017721C">
            <w:pPr>
              <w:jc w:val="center"/>
              <w:rPr>
                <w:b/>
                <w:lang w:val="it-IT"/>
              </w:rPr>
            </w:pPr>
            <w:r w:rsidRPr="0017721C">
              <w:rPr>
                <w:b/>
              </w:rPr>
              <w:t>103)</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17.120</w:t>
            </w:r>
          </w:p>
        </w:tc>
        <w:tc>
          <w:tcPr>
            <w:tcW w:w="6912" w:type="dxa"/>
            <w:tcMar>
              <w:left w:w="108" w:type="dxa"/>
            </w:tcMar>
          </w:tcPr>
          <w:p w:rsidR="0017721C" w:rsidRPr="0017721C" w:rsidRDefault="0017721C" w:rsidP="0017721C">
            <w:pPr>
              <w:rPr>
                <w:lang w:val="it-IT"/>
              </w:rPr>
            </w:pPr>
            <w:r w:rsidRPr="0017721C">
              <w:rPr>
                <w:lang w:val="it-IT"/>
              </w:rPr>
              <w:t>Ai fini dell’inclusione nell’area di consolidamento con metodo integrale o proporzionale di società che predispongono i propri bilanci in moneta diversa dall’euro, la traduzione preliminare di tali bilanci in euro è stata effettuata attraverso: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17.122 a)</w:t>
            </w:r>
          </w:p>
        </w:tc>
        <w:tc>
          <w:tcPr>
            <w:tcW w:w="6912" w:type="dxa"/>
            <w:tcMar>
              <w:left w:w="108" w:type="dxa"/>
            </w:tcMar>
          </w:tcPr>
          <w:p w:rsidR="0017721C" w:rsidRPr="0017721C" w:rsidRDefault="004E27C2" w:rsidP="004E27C2">
            <w:pPr>
              <w:pStyle w:val="rientrotrattino"/>
              <w:numPr>
                <w:ilvl w:val="0"/>
                <w:numId w:val="0"/>
              </w:numPr>
              <w:ind w:left="426" w:hanging="284"/>
            </w:pPr>
            <w:r>
              <w:t>-</w:t>
            </w:r>
            <w:r>
              <w:tab/>
            </w:r>
            <w:r w:rsidR="0017721C" w:rsidRPr="0017721C">
              <w:t>la traduzione delle attività e delle passività al cambio a pronti alla data di bilancio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17.122 b)</w:t>
            </w:r>
          </w:p>
        </w:tc>
        <w:tc>
          <w:tcPr>
            <w:tcW w:w="6912" w:type="dxa"/>
            <w:tcMar>
              <w:left w:w="108" w:type="dxa"/>
            </w:tcMar>
          </w:tcPr>
          <w:p w:rsidR="0017721C" w:rsidRPr="0017721C" w:rsidRDefault="004E27C2" w:rsidP="004E27C2">
            <w:pPr>
              <w:pStyle w:val="rientrotrattino"/>
              <w:numPr>
                <w:ilvl w:val="0"/>
                <w:numId w:val="0"/>
              </w:numPr>
              <w:ind w:left="426" w:hanging="284"/>
            </w:pPr>
            <w:r>
              <w:t>-</w:t>
            </w:r>
            <w:r>
              <w:tab/>
            </w:r>
            <w:r w:rsidR="0017721C" w:rsidRPr="0017721C">
              <w:t>la traduzione delle voci di conto economico e dei  flussi di rendiconto finanziario al cambio posto in essere alla data di ogni operazione, oppure, per motivi di ordine pratico, al cambio medio di esercizio o di sotto periodi dell’esercizio applicato alle operazioni ed ai flussi intercorsi in quei sotto periodi</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17.122 c)</w:t>
            </w:r>
          </w:p>
        </w:tc>
        <w:tc>
          <w:tcPr>
            <w:tcW w:w="6912" w:type="dxa"/>
            <w:tcMar>
              <w:left w:w="108" w:type="dxa"/>
            </w:tcMar>
          </w:tcPr>
          <w:p w:rsidR="0017721C" w:rsidRPr="0017721C" w:rsidRDefault="004E27C2" w:rsidP="004E27C2">
            <w:pPr>
              <w:pStyle w:val="rientrotrattino"/>
              <w:numPr>
                <w:ilvl w:val="0"/>
                <w:numId w:val="0"/>
              </w:numPr>
              <w:ind w:left="426" w:hanging="284"/>
            </w:pPr>
            <w:r>
              <w:t>-</w:t>
            </w:r>
            <w:r>
              <w:tab/>
              <w:t>il</w:t>
            </w:r>
            <w:r w:rsidR="0017721C" w:rsidRPr="0017721C">
              <w:t xml:space="preserve"> cambio storico del momento della loro formazione per la riserve di patrimonio diverse dalla riserva di traduzione? </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104)</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w:t>
            </w:r>
            <w:r w:rsidRPr="0017721C">
              <w:rPr>
                <w:sz w:val="13"/>
                <w:szCs w:val="13"/>
                <w:lang w:val="en-US"/>
              </w:rPr>
              <w:t>123</w:t>
            </w:r>
          </w:p>
        </w:tc>
        <w:tc>
          <w:tcPr>
            <w:tcW w:w="6912" w:type="dxa"/>
            <w:tcMar>
              <w:left w:w="108" w:type="dxa"/>
            </w:tcMar>
          </w:tcPr>
          <w:p w:rsidR="0017721C" w:rsidRPr="0017721C" w:rsidRDefault="0017721C" w:rsidP="0017721C">
            <w:pPr>
              <w:rPr>
                <w:lang w:val="it-IT"/>
              </w:rPr>
            </w:pPr>
            <w:r w:rsidRPr="0017721C">
              <w:rPr>
                <w:lang w:val="it-IT"/>
              </w:rPr>
              <w:t>L’effetto netto della traduzione del bilancio della società partecipata in moneta di conto è rilevato in apposita “</w:t>
            </w:r>
            <w:r w:rsidRPr="0017721C">
              <w:rPr>
                <w:i/>
                <w:lang w:val="it-IT"/>
              </w:rPr>
              <w:t>Riserva da differenze di traduzione</w:t>
            </w:r>
            <w:r w:rsidRPr="0017721C">
              <w:rPr>
                <w:lang w:val="it-IT"/>
              </w:rPr>
              <w:t>”, nell’ambito del patrimonio netto consolidato?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105)</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17.124</w:t>
            </w:r>
          </w:p>
        </w:tc>
        <w:tc>
          <w:tcPr>
            <w:tcW w:w="6912" w:type="dxa"/>
            <w:tcMar>
              <w:left w:w="108" w:type="dxa"/>
            </w:tcMar>
          </w:tcPr>
          <w:p w:rsidR="0017721C" w:rsidRPr="0017721C" w:rsidRDefault="0017721C" w:rsidP="0017721C">
            <w:pPr>
              <w:rPr>
                <w:lang w:val="it-IT"/>
              </w:rPr>
            </w:pPr>
            <w:r w:rsidRPr="0017721C">
              <w:rPr>
                <w:lang w:val="it-IT"/>
              </w:rPr>
              <w:t>In caso di cessione parziale/totale dell’impresa estera, la relativa quota della complessiva “</w:t>
            </w:r>
            <w:r w:rsidRPr="0017721C">
              <w:rPr>
                <w:i/>
                <w:lang w:val="it-IT"/>
              </w:rPr>
              <w:t>Riserva da differenze di traduzione</w:t>
            </w:r>
            <w:r w:rsidRPr="0017721C">
              <w:rPr>
                <w:lang w:val="it-IT"/>
              </w:rPr>
              <w:t>” è stata riclassificata in una riserva disponibile?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106)</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17.125</w:t>
            </w:r>
          </w:p>
        </w:tc>
        <w:tc>
          <w:tcPr>
            <w:tcW w:w="6912" w:type="dxa"/>
            <w:tcMar>
              <w:left w:w="108" w:type="dxa"/>
            </w:tcMar>
          </w:tcPr>
          <w:p w:rsidR="0017721C" w:rsidRPr="0017721C" w:rsidRDefault="0017721C" w:rsidP="0017721C">
            <w:pPr>
              <w:rPr>
                <w:lang w:val="it-IT"/>
              </w:rPr>
            </w:pPr>
            <w:r w:rsidRPr="0017721C">
              <w:rPr>
                <w:lang w:val="it-IT"/>
              </w:rPr>
              <w:t>In presenza di società partecipate estere che operano in paesi caratterizzati da elevata inflazione, prima di procedere alla traduzione del bilancio nella moneta di conto della controllante, si è provveduto alla rivalutazione del costo delle immobilizzazioni materiali e dei relativi ammortamenti e delle altre eventuali rettifiche di valore contabile delle altre attività, delle passività, dei proventi e delle spese, al fine di eliminare gli effetti distorsivi dell’inflazione?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w:t>
            </w:r>
            <w:r w:rsidRPr="0017721C">
              <w:rPr>
                <w:sz w:val="13"/>
                <w:szCs w:val="13"/>
                <w:lang w:val="en-US"/>
              </w:rPr>
              <w:t>126</w:t>
            </w:r>
          </w:p>
        </w:tc>
        <w:tc>
          <w:tcPr>
            <w:tcW w:w="6912" w:type="dxa"/>
            <w:tcMar>
              <w:left w:w="108" w:type="dxa"/>
            </w:tcMar>
            <w:vAlign w:val="cente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L’inflazione del Paese in cui opera la società partecipata è ritenuta più o meno elevata in base alle circostanze specifiche, tenendo conto per esempio del tasso d’inflazione corrente e cumulativo e del capitale impiegato nella gestione della controllata. Normalmente, si ritiene gravato da elevata inflazione un Paese la cui economia sia soggetta a un tasso cumulativo d’inflazione di almeno il 100% nell’arco di tre anni.</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107)</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17.</w:t>
            </w:r>
            <w:r w:rsidRPr="0017721C">
              <w:rPr>
                <w:sz w:val="13"/>
                <w:szCs w:val="13"/>
                <w:lang w:val="en-US"/>
              </w:rPr>
              <w:t>127</w:t>
            </w:r>
          </w:p>
        </w:tc>
        <w:tc>
          <w:tcPr>
            <w:tcW w:w="6912" w:type="dxa"/>
            <w:tcMar>
              <w:left w:w="108" w:type="dxa"/>
            </w:tcMar>
          </w:tcPr>
          <w:p w:rsidR="0017721C" w:rsidRPr="0017721C" w:rsidRDefault="0017721C" w:rsidP="0017721C">
            <w:pPr>
              <w:rPr>
                <w:lang w:val="it-IT"/>
              </w:rPr>
            </w:pPr>
            <w:r w:rsidRPr="0017721C">
              <w:rPr>
                <w:lang w:val="it-IT"/>
              </w:rPr>
              <w:t>A seguito dell’inclusione nell’area di consolidamento del bilancio di esercizio di una partecipata estera, i saldi infragruppo sono stati convertiti prima dell’eliminazione dei saldi infragruppo stessi, utilizzando i tassi di cambio alla data di chiusura dell’esercizio al fine di allineare i saldi reciproci tra società consolidate e imputando la differenza in conformità ai principi contabili di gruppo?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rPr>
              <w:t>108)</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OIC 17.128</w:t>
            </w:r>
          </w:p>
        </w:tc>
        <w:tc>
          <w:tcPr>
            <w:tcW w:w="6912" w:type="dxa"/>
            <w:tcMar>
              <w:left w:w="108" w:type="dxa"/>
            </w:tcMar>
          </w:tcPr>
          <w:p w:rsidR="0017721C" w:rsidRPr="0017721C" w:rsidRDefault="0017721C" w:rsidP="0017721C">
            <w:pPr>
              <w:rPr>
                <w:lang w:val="it-IT"/>
              </w:rPr>
            </w:pPr>
            <w:r w:rsidRPr="0017721C">
              <w:rPr>
                <w:lang w:val="it-IT"/>
              </w:rPr>
              <w:t>Le differenze cambio originatesi dalla conversione di voci monetarie infragruppo che possono essere sostanzialmente assimilate a un’estensione o una riduzione dell’investimento netto della capogruppo nell’entità estera, sono state iscritte nella “</w:t>
            </w:r>
            <w:r w:rsidRPr="0017721C">
              <w:rPr>
                <w:i/>
                <w:lang w:val="it-IT"/>
              </w:rPr>
              <w:t>Riserva da differenze di traduzione</w:t>
            </w:r>
            <w:r w:rsidRPr="0017721C">
              <w:rPr>
                <w:lang w:val="it-IT"/>
              </w:rPr>
              <w:t xml:space="preserve">”? </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vAlign w:val="center"/>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 xml:space="preserve">Composizione e struttura del bilancio consolidato </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vAlign w:val="center"/>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en-US"/>
              </w:rPr>
              <w:t>Art.32, c.1, D.Lgs.127/91</w:t>
            </w:r>
          </w:p>
        </w:tc>
        <w:tc>
          <w:tcPr>
            <w:tcW w:w="6912" w:type="dxa"/>
            <w:tcMar>
              <w:left w:w="108" w:type="dxa"/>
            </w:tcMar>
            <w:vAlign w:val="cente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eastAsia="it-IT"/>
              </w:rPr>
              <w:t>Salvi gli adeguamenti necessari, la struttura e il contenuto dello stato patrimoniale, del conto economico e del rendiconto finanziario consolidati sono quelli prescritti per i bilanci di esercizio delle imprese incluse nel consolidamento. Se questi sono soggetti a discipline diverse, devono essere adottati la struttura e il contenuto più idonei a realizzare i fini indicati nel comma 2 dell’art. 29, dandone motivazione nella nota integrativa.</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Pr>
          <w:p w:rsidR="0017721C" w:rsidRPr="0017721C" w:rsidRDefault="0017721C" w:rsidP="0017721C">
            <w:pPr>
              <w:jc w:val="center"/>
              <w:rPr>
                <w:b/>
                <w:lang w:val="it-IT"/>
              </w:rPr>
            </w:pPr>
            <w:r w:rsidRPr="0017721C">
              <w:rPr>
                <w:b/>
                <w:lang w:val="it-IT"/>
              </w:rPr>
              <w:t>109)</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Art. 29, c.1, D.Lgs. 127/91  OIC 17.33</w:t>
            </w:r>
          </w:p>
        </w:tc>
        <w:tc>
          <w:tcPr>
            <w:tcW w:w="6912" w:type="dxa"/>
            <w:tcMar>
              <w:left w:w="108" w:type="dxa"/>
            </w:tcMar>
            <w:vAlign w:val="center"/>
          </w:tcPr>
          <w:p w:rsidR="0017721C" w:rsidRPr="0017721C" w:rsidRDefault="0017721C" w:rsidP="009B6ABC">
            <w:pPr>
              <w:spacing w:line="230" w:lineRule="exact"/>
              <w:rPr>
                <w:lang w:val="it-IT"/>
              </w:rPr>
            </w:pPr>
            <w:r w:rsidRPr="0017721C">
              <w:rPr>
                <w:lang w:val="it-IT"/>
              </w:rPr>
              <w:t>Il bilancio consolidato, analogamente al bilancio di esercizio, è costituito dai seguenti documenti, fatti salvi i necessari adeguamenti di cui ai paragrafi successivi:</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9B6ABC">
            <w:pPr>
              <w:spacing w:line="230" w:lineRule="exact"/>
              <w:rPr>
                <w:lang w:val="it-IT"/>
              </w:rPr>
            </w:pPr>
            <w:r w:rsidRPr="0017721C">
              <w:rPr>
                <w:lang w:val="it-IT"/>
              </w:rPr>
              <w:t>a. stato patrimoniale consolidato;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9B6ABC">
            <w:pPr>
              <w:spacing w:line="230" w:lineRule="exact"/>
              <w:rPr>
                <w:lang w:val="it-IT"/>
              </w:rPr>
            </w:pPr>
            <w:r w:rsidRPr="0017721C">
              <w:rPr>
                <w:lang w:val="it-IT"/>
              </w:rPr>
              <w:t>b. conto economico consolidato;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9B6ABC">
            <w:pPr>
              <w:spacing w:line="230" w:lineRule="exact"/>
              <w:rPr>
                <w:lang w:val="it-IT"/>
              </w:rPr>
            </w:pPr>
            <w:r w:rsidRPr="0017721C">
              <w:rPr>
                <w:lang w:val="it-IT"/>
              </w:rPr>
              <w:t>c. rendiconto finanziario consolidato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vAlign w:val="center"/>
          </w:tcPr>
          <w:p w:rsidR="0017721C" w:rsidRPr="0017721C" w:rsidRDefault="0017721C" w:rsidP="009B6ABC">
            <w:pPr>
              <w:spacing w:line="230" w:lineRule="exact"/>
              <w:rPr>
                <w:lang w:val="it-IT"/>
              </w:rPr>
            </w:pPr>
            <w:r w:rsidRPr="0017721C">
              <w:rPr>
                <w:lang w:val="it-IT"/>
              </w:rPr>
              <w:t>d. nota integrativa consolidata?</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110)</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Art. 29, c.6, D.Lgs. 127/91</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9B6ABC">
            <w:pPr>
              <w:spacing w:line="230" w:lineRule="exact"/>
              <w:rPr>
                <w:lang w:val="it-IT"/>
              </w:rPr>
            </w:pPr>
            <w:r w:rsidRPr="0017721C">
              <w:rPr>
                <w:lang w:val="it-IT"/>
              </w:rPr>
              <w:t>Il bilancio consolidato è stato redatto in migliaia di euro?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r w:rsidRPr="0017721C">
              <w:rPr>
                <w:b/>
                <w:lang w:val="it-IT"/>
              </w:rPr>
              <w:t>111)</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Art. 40, c.1, D.Lgs. 127/91</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Il bilancio è corredato dalla relazione sulla gestione?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w:instrText>
            </w:r>
            <w:r w:rsidRPr="0017721C">
              <w:instrText xml:space="preserve">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r w:rsidRPr="0017721C">
              <w:rPr>
                <w:b/>
                <w:lang w:val="it-IT"/>
              </w:rPr>
              <w:t>112)</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 xml:space="preserve">Art.32,, D.Lgs.127/91     OIC </w:t>
            </w:r>
            <w:r w:rsidRPr="0017721C">
              <w:rPr>
                <w:sz w:val="13"/>
                <w:szCs w:val="13"/>
                <w:lang w:val="en-US"/>
              </w:rPr>
              <w:t>17</w:t>
            </w:r>
            <w:r w:rsidRPr="0017721C">
              <w:rPr>
                <w:sz w:val="13"/>
                <w:szCs w:val="13"/>
                <w:lang w:val="it-IT"/>
              </w:rPr>
              <w:t>.34</w:t>
            </w:r>
          </w:p>
        </w:tc>
        <w:tc>
          <w:tcPr>
            <w:tcW w:w="6912"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rPr>
                <w:lang w:val="it-IT"/>
              </w:rPr>
            </w:pPr>
            <w:r w:rsidRPr="0017721C">
              <w:rPr>
                <w:lang w:val="it-IT"/>
              </w:rPr>
              <w:t xml:space="preserve"> Ove applicabili, sono stati operati i seguenti cambiamenti agli schemi di bilancio: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ind w:left="310" w:hanging="310"/>
              <w:rPr>
                <w:lang w:val="it-IT"/>
              </w:rPr>
            </w:pPr>
            <w:r w:rsidRPr="0017721C">
              <w:rPr>
                <w:lang w:val="it-IT"/>
              </w:rPr>
              <w:t xml:space="preserve">a) </w:t>
            </w:r>
            <w:r w:rsidRPr="0017721C">
              <w:rPr>
                <w:lang w:val="it-IT"/>
              </w:rPr>
              <w:tab/>
              <w:t>inserimento nel passivo patrimoniale, nell’ambito della voce B “Fondi per rischi e oneri”, di una voce separata denominata “Fondo di consolidamento per rischi e oneri futuri”, derivante dal processo di consolidamento delle partecipazioni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ind w:left="310" w:hanging="310"/>
              <w:rPr>
                <w:lang w:val="it-IT"/>
              </w:rPr>
            </w:pPr>
            <w:r w:rsidRPr="0017721C">
              <w:rPr>
                <w:lang w:val="it-IT"/>
              </w:rPr>
              <w:t xml:space="preserve">b) </w:t>
            </w:r>
            <w:r w:rsidRPr="0017721C">
              <w:rPr>
                <w:lang w:val="it-IT"/>
              </w:rPr>
              <w:tab/>
              <w:t>inserimento tra le voci del patrimonio netto della voce “Riserva di consolidamento”;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ind w:left="310" w:hanging="310"/>
              <w:rPr>
                <w:lang w:val="it-IT"/>
              </w:rPr>
            </w:pPr>
            <w:r w:rsidRPr="0017721C">
              <w:rPr>
                <w:lang w:val="it-IT"/>
              </w:rPr>
              <w:t xml:space="preserve">c) </w:t>
            </w:r>
            <w:r w:rsidRPr="0017721C">
              <w:rPr>
                <w:lang w:val="it-IT"/>
              </w:rPr>
              <w:tab/>
              <w:t>inserimento tra le voci del patrimonio netto della voce “Patrimonio netto di terzi”, articolata nelle voci “Capitale e riserve di terzi” e, “Utile (perdita) dell’esercizio di pertinenza di terzi”, rappresentative rispettivamente della quota di patrimonio netto e di utile consolidato corrispondenti alle interessenze di terzi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ind w:left="310" w:hanging="310"/>
              <w:rPr>
                <w:lang w:val="it-IT"/>
              </w:rPr>
            </w:pPr>
            <w:r w:rsidRPr="0017721C">
              <w:rPr>
                <w:lang w:val="it-IT"/>
              </w:rPr>
              <w:t xml:space="preserve">d) </w:t>
            </w:r>
            <w:r w:rsidRPr="0017721C">
              <w:rPr>
                <w:lang w:val="it-IT"/>
              </w:rPr>
              <w:tab/>
              <w:t>indicazione, nel patrimonio netto consolidato, del subtotale relativo a tutte le componenti di spettanza del gruppo, seguito dalle componenti corrispondenti alle interessenze di terzi;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ind w:left="310" w:hanging="310"/>
              <w:rPr>
                <w:lang w:val="it-IT"/>
              </w:rPr>
            </w:pPr>
            <w:r w:rsidRPr="0017721C">
              <w:rPr>
                <w:lang w:val="it-IT"/>
              </w:rPr>
              <w:t xml:space="preserve">e) </w:t>
            </w:r>
            <w:r w:rsidRPr="0017721C">
              <w:rPr>
                <w:lang w:val="it-IT"/>
              </w:rPr>
              <w:tab/>
              <w:t>inserimento nell’ambito della voce AVI “Altre riserve” del patrimonio netto della voce “Riserva da differenze di traduzione” rappresentativa della differenza derivante dalla traduzione di bilanci di controllate espressi in valuta estera;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ind w:left="310" w:hanging="310"/>
              <w:rPr>
                <w:lang w:val="it-IT"/>
              </w:rPr>
            </w:pPr>
            <w:r w:rsidRPr="0017721C">
              <w:rPr>
                <w:lang w:val="it-IT"/>
              </w:rPr>
              <w:t xml:space="preserve">f) </w:t>
            </w:r>
            <w:r w:rsidRPr="0017721C">
              <w:rPr>
                <w:lang w:val="it-IT"/>
              </w:rPr>
              <w:tab/>
              <w:t>inserimento nel conto economico, dopo la voce 21) “utile (perdita) consolidati dell’esercizio”, delle voci “Risultato di pertinenza del gruppo” e “Risultato di pertinenza di terzi” ai fini della separata evidenziazione della parte del risultato economico consolidato corrispondente alla partecipazione di terzi?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113)</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Art.32, c. 2 D.Lgs.127/91</w:t>
            </w:r>
          </w:p>
          <w:p w:rsidR="0017721C" w:rsidRPr="0017721C" w:rsidRDefault="0017721C" w:rsidP="0017721C">
            <w:pPr>
              <w:spacing w:before="40" w:line="240" w:lineRule="auto"/>
              <w:ind w:left="-57"/>
              <w:jc w:val="left"/>
              <w:rPr>
                <w:sz w:val="13"/>
                <w:szCs w:val="13"/>
                <w:lang w:val="en-US"/>
              </w:rPr>
            </w:pPr>
            <w:r w:rsidRPr="0017721C">
              <w:rPr>
                <w:sz w:val="13"/>
                <w:szCs w:val="13"/>
                <w:lang w:val="en-US"/>
              </w:rPr>
              <w:t>OIC 17.35</w:t>
            </w:r>
          </w:p>
        </w:tc>
        <w:tc>
          <w:tcPr>
            <w:tcW w:w="6912"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rPr>
                <w:lang w:val="it-IT"/>
              </w:rPr>
            </w:pPr>
            <w:r w:rsidRPr="0017721C">
              <w:rPr>
                <w:lang w:val="it-IT"/>
              </w:rPr>
              <w:t>Le voci relative alle rimanenze sono state raggruppate quando la loro distinta indicazione comporti costi sproporzionati?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Pr>
          <w:p w:rsidR="0017721C" w:rsidRPr="0017721C" w:rsidRDefault="0017721C" w:rsidP="0017721C">
            <w:pPr>
              <w:rPr>
                <w:b/>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Schema di stato patrimoniale</w:t>
            </w:r>
          </w:p>
        </w:tc>
        <w:tc>
          <w:tcPr>
            <w:tcW w:w="554" w:type="dxa"/>
            <w:tcMar>
              <w:left w:w="85" w:type="dxa"/>
              <w:right w:w="85" w:type="dxa"/>
            </w:tcMar>
            <w:vAlign w:val="center"/>
          </w:tcPr>
          <w:p w:rsidR="0017721C" w:rsidRPr="0017721C" w:rsidRDefault="0017721C" w:rsidP="0017721C">
            <w:pPr>
              <w:jc w:val="center"/>
            </w:pPr>
          </w:p>
        </w:tc>
        <w:tc>
          <w:tcPr>
            <w:tcW w:w="565" w:type="dxa"/>
            <w:tcMar>
              <w:left w:w="108" w:type="dxa"/>
            </w:tcMar>
            <w:vAlign w:val="center"/>
          </w:tcPr>
          <w:p w:rsidR="0017721C" w:rsidRPr="0017721C" w:rsidRDefault="0017721C" w:rsidP="0017721C">
            <w:pPr>
              <w:jc w:val="center"/>
            </w:pPr>
          </w:p>
        </w:tc>
        <w:tc>
          <w:tcPr>
            <w:tcW w:w="564" w:type="dxa"/>
            <w:tcMar>
              <w:left w:w="108" w:type="dxa"/>
            </w:tcMar>
            <w:vAlign w:val="center"/>
          </w:tcPr>
          <w:p w:rsidR="0017721C" w:rsidRPr="0017721C" w:rsidRDefault="0017721C" w:rsidP="0017721C">
            <w:pPr>
              <w:jc w:val="cente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114)</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 xml:space="preserve">Art, </w:t>
            </w:r>
            <w:r w:rsidRPr="0017721C">
              <w:rPr>
                <w:sz w:val="13"/>
                <w:szCs w:val="13"/>
                <w:lang w:val="it-IT"/>
              </w:rPr>
              <w:t>2424</w:t>
            </w:r>
            <w:r w:rsidRPr="0017721C">
              <w:rPr>
                <w:sz w:val="13"/>
                <w:szCs w:val="13"/>
                <w:lang w:val="en-US"/>
              </w:rPr>
              <w:t xml:space="preserve"> CC</w:t>
            </w:r>
          </w:p>
          <w:p w:rsidR="0017721C" w:rsidRPr="0017721C" w:rsidRDefault="0017721C" w:rsidP="0017721C">
            <w:pPr>
              <w:spacing w:before="40" w:line="240" w:lineRule="auto"/>
              <w:ind w:left="-57"/>
              <w:jc w:val="left"/>
              <w:rPr>
                <w:sz w:val="13"/>
                <w:szCs w:val="13"/>
                <w:lang w:val="en-US"/>
              </w:rPr>
            </w:pPr>
            <w:r w:rsidRPr="0017721C">
              <w:rPr>
                <w:sz w:val="13"/>
                <w:szCs w:val="13"/>
                <w:lang w:val="en-US"/>
              </w:rPr>
              <w:t>OIC 12.25</w:t>
            </w:r>
          </w:p>
        </w:tc>
        <w:tc>
          <w:tcPr>
            <w:tcW w:w="6912" w:type="dxa"/>
            <w:tcMar>
              <w:left w:w="108" w:type="dxa"/>
            </w:tcMar>
          </w:tcPr>
          <w:p w:rsidR="0017721C" w:rsidRPr="0017721C" w:rsidRDefault="0017721C" w:rsidP="0017721C">
            <w:pPr>
              <w:rPr>
                <w:lang w:val="it-IT"/>
              </w:rPr>
            </w:pPr>
            <w:r w:rsidRPr="0017721C">
              <w:rPr>
                <w:lang w:val="it-IT"/>
              </w:rPr>
              <w:t>La società ha utilizzato lo schema di di stato patrimoniale obbligatorio previsto dall’art. 2424 del codice civile?</w:t>
            </w:r>
          </w:p>
        </w:tc>
        <w:tc>
          <w:tcPr>
            <w:tcW w:w="554" w:type="dxa"/>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r w:rsidRPr="0017721C">
              <w:rPr>
                <w:b/>
                <w:lang w:val="it-IT"/>
              </w:rPr>
              <w:t>115)</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it-IT"/>
              </w:rPr>
              <w:t>OIC 12.25</w:t>
            </w:r>
          </w:p>
        </w:tc>
        <w:tc>
          <w:tcPr>
            <w:tcW w:w="6912" w:type="dxa"/>
            <w:tcMar>
              <w:left w:w="108" w:type="dxa"/>
            </w:tcMar>
          </w:tcPr>
          <w:p w:rsidR="0017721C" w:rsidRPr="0017721C" w:rsidRDefault="0017721C" w:rsidP="0017721C">
            <w:pPr>
              <w:rPr>
                <w:lang w:val="it-IT"/>
              </w:rPr>
            </w:pPr>
            <w:r w:rsidRPr="0017721C">
              <w:rPr>
                <w:lang w:val="it-IT"/>
              </w:rPr>
              <w:t xml:space="preserve">La forma dello stato patrimoniale è quella a sezioni contrapposte,denominate rispettivamente Attivo e Passivo? </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b/>
                <w:lang w:val="it-IT"/>
              </w:rPr>
            </w:pPr>
            <w:r w:rsidRPr="0017721C">
              <w:rPr>
                <w:b/>
                <w:lang w:val="it-IT"/>
              </w:rPr>
              <w:t>116)</w:t>
            </w:r>
          </w:p>
        </w:tc>
        <w:tc>
          <w:tcPr>
            <w:tcW w:w="836" w:type="dxa"/>
            <w:tcMar>
              <w:left w:w="108" w:type="dxa"/>
              <w:right w:w="0" w:type="dxa"/>
            </w:tcMar>
          </w:tcPr>
          <w:p w:rsidR="0017721C" w:rsidRPr="0017721C" w:rsidRDefault="0017721C" w:rsidP="0017721C">
            <w:pPr>
              <w:spacing w:before="40" w:line="240" w:lineRule="auto"/>
              <w:ind w:left="-48" w:right="28"/>
              <w:jc w:val="left"/>
              <w:rPr>
                <w:sz w:val="13"/>
                <w:szCs w:val="13"/>
                <w:lang w:val="en-US"/>
              </w:rPr>
            </w:pPr>
            <w:r w:rsidRPr="0017721C">
              <w:rPr>
                <w:sz w:val="13"/>
                <w:szCs w:val="13"/>
                <w:lang w:val="en-US"/>
              </w:rPr>
              <w:t>OIC</w:t>
            </w:r>
            <w:r w:rsidRPr="0017721C">
              <w:rPr>
                <w:sz w:val="13"/>
                <w:szCs w:val="13"/>
                <w:lang w:val="it-IT"/>
              </w:rPr>
              <w:t xml:space="preserve"> </w:t>
            </w:r>
            <w:r w:rsidRPr="0017721C">
              <w:rPr>
                <w:sz w:val="13"/>
                <w:szCs w:val="13"/>
                <w:lang w:val="en-US"/>
              </w:rPr>
              <w:t>12.26</w:t>
            </w:r>
          </w:p>
        </w:tc>
        <w:tc>
          <w:tcPr>
            <w:tcW w:w="6912" w:type="dxa"/>
            <w:tcMar>
              <w:left w:w="108" w:type="dxa"/>
            </w:tcMar>
          </w:tcPr>
          <w:p w:rsidR="0017721C" w:rsidRPr="0017721C" w:rsidRDefault="0017721C" w:rsidP="0017721C">
            <w:pPr>
              <w:rPr>
                <w:lang w:val="it-IT"/>
              </w:rPr>
            </w:pPr>
            <w:r w:rsidRPr="0017721C">
              <w:rPr>
                <w:lang w:val="it-IT"/>
              </w:rPr>
              <w:t>La sezione Attivo è suddivisa in quattro classi di voci evidenziate da lettere maiuscole dell’alfabeto: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17721C">
            <w:pPr>
              <w:rPr>
                <w:lang w:val="it-IT"/>
              </w:rPr>
            </w:pPr>
            <w:r w:rsidRPr="0017721C">
              <w:rPr>
                <w:lang w:val="it-IT"/>
              </w:rPr>
              <w:t>A. Crediti verso soci per versamenti ancora dovuti, con separata indicazione della parte già richiamata</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17721C">
            <w:pPr>
              <w:rPr>
                <w:lang w:val="it-IT"/>
              </w:rPr>
            </w:pPr>
            <w:r w:rsidRPr="0017721C">
              <w:rPr>
                <w:lang w:val="it-IT"/>
              </w:rPr>
              <w:t>B. Immobilizzazioni, con separata indicazione di quelle concesse in locazione finanziaria;</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4E27C2">
            <w:pPr>
              <w:spacing w:line="240" w:lineRule="exact"/>
            </w:pPr>
            <w:r w:rsidRPr="0017721C">
              <w:rPr>
                <w:lang w:val="it-IT"/>
              </w:rPr>
              <w:t>C. Attivo circolante;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4E27C2">
            <w:pPr>
              <w:spacing w:line="240" w:lineRule="exact"/>
            </w:pPr>
            <w:r w:rsidRPr="0017721C">
              <w:rPr>
                <w:lang w:val="it-IT"/>
              </w:rPr>
              <w:t>D. Ratei e risconti ?</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lang w:val="it-IT"/>
              </w:rPr>
            </w:pPr>
            <w:r w:rsidRPr="0017721C">
              <w:rPr>
                <w:b/>
                <w:lang w:val="it-IT"/>
              </w:rPr>
              <w:t>117)</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 xml:space="preserve">OIC </w:t>
            </w:r>
            <w:r w:rsidRPr="0017721C">
              <w:rPr>
                <w:sz w:val="13"/>
                <w:szCs w:val="13"/>
                <w:lang w:val="it-IT"/>
              </w:rPr>
              <w:t>12</w:t>
            </w:r>
            <w:r w:rsidRPr="0017721C">
              <w:rPr>
                <w:sz w:val="13"/>
                <w:szCs w:val="13"/>
                <w:lang w:val="en-US"/>
              </w:rPr>
              <w:t>.26</w:t>
            </w:r>
          </w:p>
        </w:tc>
        <w:tc>
          <w:tcPr>
            <w:tcW w:w="6912" w:type="dxa"/>
            <w:tcMar>
              <w:left w:w="108" w:type="dxa"/>
            </w:tcMar>
          </w:tcPr>
          <w:p w:rsidR="0017721C" w:rsidRPr="0017721C" w:rsidRDefault="0017721C" w:rsidP="004E27C2">
            <w:pPr>
              <w:spacing w:line="240" w:lineRule="exact"/>
              <w:rPr>
                <w:lang w:val="it-IT"/>
              </w:rPr>
            </w:pPr>
            <w:r w:rsidRPr="0017721C">
              <w:rPr>
                <w:lang w:val="it-IT"/>
              </w:rPr>
              <w:t>Le classi B e C sono suddivise, a loro volta, in sottoclassi contrassegnate da numeri romani:</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4E27C2">
            <w:pPr>
              <w:spacing w:line="240" w:lineRule="exact"/>
              <w:rPr>
                <w:lang w:val="it-IT"/>
              </w:rPr>
            </w:pPr>
            <w:r w:rsidRPr="0017721C">
              <w:rPr>
                <w:lang w:val="it-IT"/>
              </w:rPr>
              <w:t>B. Immobilizzazioni:</w:t>
            </w:r>
          </w:p>
          <w:p w:rsidR="0017721C" w:rsidRPr="0017721C" w:rsidRDefault="0017721C" w:rsidP="004E27C2">
            <w:pPr>
              <w:spacing w:line="240" w:lineRule="exact"/>
              <w:rPr>
                <w:lang w:val="it-IT"/>
              </w:rPr>
            </w:pPr>
            <w:r w:rsidRPr="0017721C">
              <w:rPr>
                <w:lang w:val="it-IT"/>
              </w:rPr>
              <w:t>I</w:t>
            </w:r>
            <w:r w:rsidRPr="0017721C">
              <w:rPr>
                <w:i/>
                <w:lang w:val="it-IT"/>
              </w:rPr>
              <w:t>. Immobilizzazioni immateriali</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4E27C2">
            <w:pPr>
              <w:spacing w:line="240" w:lineRule="exact"/>
            </w:pPr>
            <w:r w:rsidRPr="0017721C">
              <w:rPr>
                <w:i/>
                <w:lang w:val="it-IT"/>
              </w:rPr>
              <w:t>II. Immobilizzazioni materiali</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4E27C2">
            <w:pPr>
              <w:spacing w:line="240" w:lineRule="exact"/>
              <w:rPr>
                <w:lang w:val="it-IT"/>
              </w:rPr>
            </w:pPr>
            <w:r w:rsidRPr="0017721C">
              <w:rPr>
                <w:i/>
                <w:lang w:val="it-IT"/>
              </w:rPr>
              <w:t>III. Immobilizzazioni finanziarie, con separata indicazione, per ciascuna voce dei crediti, degli importi esigibili entro l’esercizio successivo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r w:rsidRPr="0017721C">
              <w:rPr>
                <w:b/>
                <w:lang w:val="it-IT"/>
              </w:rPr>
              <w:t>118)</w:t>
            </w: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4E27C2">
            <w:pPr>
              <w:spacing w:line="240" w:lineRule="exact"/>
            </w:pPr>
            <w:r w:rsidRPr="0017721C">
              <w:rPr>
                <w:lang w:val="it-IT"/>
              </w:rPr>
              <w:t>C. Attivo circolante:</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4E27C2">
            <w:pPr>
              <w:spacing w:line="240" w:lineRule="exact"/>
            </w:pPr>
            <w:r w:rsidRPr="0017721C">
              <w:rPr>
                <w:lang w:val="it-IT"/>
              </w:rPr>
              <w:t>I</w:t>
            </w:r>
            <w:r w:rsidRPr="0017721C">
              <w:rPr>
                <w:i/>
                <w:lang w:val="it-IT"/>
              </w:rPr>
              <w:t>. Rimanenze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4E27C2">
            <w:pPr>
              <w:spacing w:line="240" w:lineRule="exact"/>
              <w:rPr>
                <w:lang w:val="it-IT"/>
              </w:rPr>
            </w:pPr>
            <w:r w:rsidRPr="0017721C">
              <w:rPr>
                <w:i/>
                <w:lang w:val="it-IT"/>
              </w:rPr>
              <w:t>II. Crediti, con separata indicazione, per ciascuna voce, degli importi esigibili oltre l’esercizio successivo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4E27C2">
            <w:pPr>
              <w:spacing w:line="240" w:lineRule="exact"/>
              <w:rPr>
                <w:lang w:val="it-IT"/>
              </w:rPr>
            </w:pPr>
            <w:r w:rsidRPr="0017721C">
              <w:rPr>
                <w:i/>
                <w:lang w:val="it-IT"/>
              </w:rPr>
              <w:t>III. Attività finanziarie che non costituiscono immobilizzazioni</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4E27C2">
            <w:pPr>
              <w:spacing w:line="240" w:lineRule="exact"/>
            </w:pPr>
            <w:r w:rsidRPr="0017721C">
              <w:rPr>
                <w:i/>
                <w:lang w:val="it-IT"/>
              </w:rPr>
              <w:t>IV. Disponibilità liquide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r w:rsidRPr="0017721C">
              <w:rPr>
                <w:b/>
                <w:lang w:val="it-IT"/>
              </w:rPr>
              <w:t>119)</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OIC 12.</w:t>
            </w:r>
            <w:r w:rsidRPr="0017721C">
              <w:rPr>
                <w:sz w:val="13"/>
                <w:szCs w:val="13"/>
                <w:lang w:val="it-IT"/>
              </w:rPr>
              <w:t>26</w:t>
            </w:r>
          </w:p>
        </w:tc>
        <w:tc>
          <w:tcPr>
            <w:tcW w:w="6912" w:type="dxa"/>
            <w:tcMar>
              <w:left w:w="108" w:type="dxa"/>
            </w:tcMar>
          </w:tcPr>
          <w:p w:rsidR="0017721C" w:rsidRPr="0017721C" w:rsidRDefault="0017721C" w:rsidP="004E27C2">
            <w:pPr>
              <w:spacing w:line="240" w:lineRule="exact"/>
              <w:rPr>
                <w:lang w:val="it-IT"/>
              </w:rPr>
            </w:pPr>
            <w:r w:rsidRPr="0017721C">
              <w:rPr>
                <w:lang w:val="it-IT"/>
              </w:rPr>
              <w:t>Ciascuna sottoclasse è suddivisa in voci contrassegnate da numeri arabi?</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r w:rsidRPr="0017721C">
              <w:rPr>
                <w:b/>
                <w:lang w:val="it-IT"/>
              </w:rPr>
              <w:t>120)</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OIC 12.</w:t>
            </w:r>
            <w:r w:rsidRPr="0017721C">
              <w:rPr>
                <w:sz w:val="13"/>
                <w:szCs w:val="13"/>
                <w:lang w:val="it-IT"/>
              </w:rPr>
              <w:t>26</w:t>
            </w:r>
          </w:p>
        </w:tc>
        <w:tc>
          <w:tcPr>
            <w:tcW w:w="6912" w:type="dxa"/>
            <w:tcMar>
              <w:left w:w="108" w:type="dxa"/>
            </w:tcMar>
          </w:tcPr>
          <w:p w:rsidR="0017721C" w:rsidRPr="0017721C" w:rsidRDefault="0017721C" w:rsidP="004E27C2">
            <w:pPr>
              <w:spacing w:line="240" w:lineRule="exact"/>
              <w:rPr>
                <w:lang w:val="it-IT"/>
              </w:rPr>
            </w:pPr>
            <w:r w:rsidRPr="0017721C">
              <w:rPr>
                <w:lang w:val="it-IT"/>
              </w:rPr>
              <w:t>Le partecipazioni e i crediti, compresi tra le immobilizzazioni, sono suddivise in sotto-voci, contrassegnate da lettere minuscole dell’alfabeto?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lang w:val="it-IT"/>
              </w:rPr>
            </w:pPr>
            <w:r w:rsidRPr="0017721C">
              <w:rPr>
                <w:b/>
                <w:lang w:val="it-IT"/>
              </w:rPr>
              <w:t>121)</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OIC 12.27</w:t>
            </w:r>
          </w:p>
        </w:tc>
        <w:tc>
          <w:tcPr>
            <w:tcW w:w="6912" w:type="dxa"/>
            <w:tcMar>
              <w:left w:w="108" w:type="dxa"/>
            </w:tcMar>
          </w:tcPr>
          <w:p w:rsidR="0017721C" w:rsidRPr="0017721C" w:rsidRDefault="0017721C" w:rsidP="004E27C2">
            <w:pPr>
              <w:spacing w:line="240" w:lineRule="exact"/>
              <w:rPr>
                <w:lang w:val="it-IT"/>
              </w:rPr>
            </w:pPr>
            <w:r w:rsidRPr="0017721C">
              <w:rPr>
                <w:lang w:val="it-IT"/>
              </w:rPr>
              <w:t>La sezione del Passivo è suddivisa in cinque classi di voci evidenziate da lettere maiuscole dell’alfabeto: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4E27C2">
            <w:pPr>
              <w:spacing w:line="240" w:lineRule="exact"/>
            </w:pPr>
            <w:r w:rsidRPr="0017721C">
              <w:rPr>
                <w:lang w:val="it-IT"/>
              </w:rPr>
              <w:t>A. Patrimonio netto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4E27C2">
            <w:pPr>
              <w:spacing w:line="240" w:lineRule="exact"/>
              <w:rPr>
                <w:lang w:val="it-IT"/>
              </w:rPr>
            </w:pPr>
            <w:r w:rsidRPr="0017721C">
              <w:rPr>
                <w:lang w:val="it-IT"/>
              </w:rPr>
              <w:t>B. Fondi per rischi e oneri</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4E27C2">
            <w:pPr>
              <w:spacing w:line="240" w:lineRule="exact"/>
              <w:rPr>
                <w:lang w:val="it-IT"/>
              </w:rPr>
            </w:pPr>
            <w:r w:rsidRPr="0017721C">
              <w:rPr>
                <w:lang w:val="it-IT"/>
              </w:rPr>
              <w:t>C. Trattamento di fine rapporto di lavoro subordinato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4E27C2">
            <w:pPr>
              <w:spacing w:line="240" w:lineRule="exact"/>
              <w:rPr>
                <w:lang w:val="it-IT"/>
              </w:rPr>
            </w:pPr>
            <w:r w:rsidRPr="0017721C">
              <w:rPr>
                <w:lang w:val="it-IT"/>
              </w:rPr>
              <w:t xml:space="preserve">D. Debiti, con separata indicazione, per ciascuna voce, degli importi esigibili oltre l’esercizio </w:t>
            </w:r>
            <w:r w:rsidRPr="0017721C">
              <w:rPr>
                <w:lang w:val="it-IT"/>
              </w:rPr>
              <w:tab/>
              <w:t xml:space="preserve">successivo </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4E27C2">
            <w:pPr>
              <w:spacing w:line="240" w:lineRule="exact"/>
            </w:pPr>
            <w:r w:rsidRPr="0017721C">
              <w:rPr>
                <w:lang w:val="it-IT"/>
              </w:rPr>
              <w:t>E. Ratei e risconti</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122)</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OIC 12.27</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3A4B15">
            <w:pPr>
              <w:rPr>
                <w:lang w:val="it-IT"/>
              </w:rPr>
            </w:pPr>
            <w:r w:rsidRPr="0017721C">
              <w:rPr>
                <w:lang w:val="it-IT"/>
              </w:rPr>
              <w:t>Le classi A, B e D sono suddivise, a loro volta, in voci contrassegnate, quanto alla classe A da numeri romani e, quanto alle classi B e D, da numeri arabi?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 xml:space="preserve">123) </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Art. 2424, c.2, CC</w:t>
            </w:r>
          </w:p>
          <w:p w:rsidR="0017721C" w:rsidRPr="0017721C" w:rsidRDefault="0017721C" w:rsidP="0017721C">
            <w:pPr>
              <w:spacing w:before="40" w:line="240" w:lineRule="auto"/>
              <w:ind w:left="-57"/>
              <w:jc w:val="left"/>
              <w:rPr>
                <w:sz w:val="13"/>
                <w:szCs w:val="13"/>
                <w:lang w:val="en-US"/>
              </w:rPr>
            </w:pPr>
            <w:r w:rsidRPr="0017721C">
              <w:rPr>
                <w:sz w:val="13"/>
                <w:szCs w:val="13"/>
                <w:lang w:val="en-US"/>
              </w:rPr>
              <w:t>OIC 12.29</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3A4B15">
            <w:pPr>
              <w:widowControl w:val="0"/>
              <w:spacing w:line="214" w:lineRule="exact"/>
              <w:rPr>
                <w:lang w:val="it-IT"/>
              </w:rPr>
            </w:pPr>
            <w:r w:rsidRPr="0017721C">
              <w:rPr>
                <w:lang w:val="it-IT"/>
              </w:rPr>
              <w:t xml:space="preserve">Se un elemento dell’attivo o del passivo dello stato patrimoniale ricade sotto più voci dello schema, nella </w:t>
            </w:r>
            <w:r w:rsidR="005B7E0D">
              <w:rPr>
                <w:lang w:val="it-IT"/>
              </w:rPr>
              <w:t>Nota Integrativa</w:t>
            </w:r>
            <w:r w:rsidRPr="0017721C">
              <w:rPr>
                <w:lang w:val="it-IT"/>
              </w:rPr>
              <w:t xml:space="preserve"> è segnalata, qualora ciò sia necessario ai fini della comprensione del bilancio, la sua appartenenza anche a voci diverse da quella nella quale è iscritto?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 xml:space="preserve">124) </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OIC 12.30</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3A4B15">
            <w:pPr>
              <w:rPr>
                <w:lang w:val="it-IT"/>
              </w:rPr>
            </w:pPr>
            <w:r w:rsidRPr="0017721C">
              <w:rPr>
                <w:lang w:val="it-IT"/>
              </w:rPr>
              <w:t>Con riferimento al punto precedente, l’iscrizione è stata effettuata nella voce che il redattore del bilancio ritiene possa essere più rilevante rispetto alle esigenze conoscitive degli utilizzatori del bilancio, salvo i casi in cui singoli principi contabili prevedano un trattamento specifico?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utlineLvl w:val="2"/>
              <w:rPr>
                <w:b/>
                <w:bCs/>
                <w:i/>
                <w:lang w:val="it-IT"/>
              </w:rPr>
            </w:pPr>
            <w:r w:rsidRPr="0017721C">
              <w:rPr>
                <w:b/>
                <w:bCs/>
                <w:i/>
                <w:lang w:val="it-IT"/>
              </w:rPr>
              <w:t>Classificazione delle attività e delle passività</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125)</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Artt. 2424 bis, CC                OIC 12.31</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3A4B15">
            <w:pPr>
              <w:spacing w:line="230" w:lineRule="exact"/>
              <w:rPr>
                <w:lang w:val="it-IT"/>
              </w:rPr>
            </w:pPr>
            <w:r w:rsidRPr="0017721C">
              <w:rPr>
                <w:lang w:val="it-IT"/>
              </w:rPr>
              <w:t>La classificazione degli elementi dell’attivo è effettuata principalmente sulla base del criterio della destinazione, per cui gli elementi patrimoniali destinati ad essere utilizzati durevolmente devono essere iscritti tra le immobilizzazioni?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126)</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OIC 12.32</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3A4B15">
            <w:pPr>
              <w:spacing w:line="214" w:lineRule="exact"/>
              <w:rPr>
                <w:lang w:val="it-IT"/>
              </w:rPr>
            </w:pPr>
            <w:r w:rsidRPr="0017721C">
              <w:rPr>
                <w:lang w:val="it-IT"/>
              </w:rPr>
              <w:t>Per quanto riguarda i crediti, lo schema fornisce alcune informazioni di natura finanziaria :in base al periodo di tempo entro il quale i crediti si trasformeranno in disponibilità liquide, convenzionalmente rappresentato dall’esercizio, distinguendo tra: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3A4B15">
            <w:pPr>
              <w:rPr>
                <w:lang w:val="it-IT"/>
              </w:rPr>
            </w:pPr>
            <w:r w:rsidRPr="0017721C">
              <w:rPr>
                <w:lang w:val="it-IT"/>
              </w:rPr>
              <w:t>-</w:t>
            </w:r>
            <w:r w:rsidRPr="0017721C">
              <w:rPr>
                <w:lang w:val="it-IT"/>
              </w:rPr>
              <w:tab/>
              <w:t>crediti iscritti tra le immobilizzazioni finanziarie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3A4B15">
            <w:pPr>
              <w:rPr>
                <w:lang w:val="it-IT"/>
              </w:rPr>
            </w:pPr>
            <w:r w:rsidRPr="0017721C">
              <w:rPr>
                <w:lang w:val="it-IT"/>
              </w:rPr>
              <w:t>-</w:t>
            </w:r>
            <w:r w:rsidRPr="0017721C">
              <w:rPr>
                <w:lang w:val="it-IT"/>
              </w:rPr>
              <w:tab/>
              <w:t>crediti iscritti nell’attivo circolante?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127)</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OIC 12.33</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3A4B15">
            <w:pPr>
              <w:rPr>
                <w:lang w:val="it-IT"/>
              </w:rPr>
            </w:pPr>
            <w:r w:rsidRPr="0017721C">
              <w:rPr>
                <w:lang w:val="it-IT"/>
              </w:rPr>
              <w:t>La classificazione delle voci del passivo è effettuata principalmente sulla base della natura delle fonti di finanziamento; ciò al fine di distinguere i mezzi di terzi dai mezzi propri?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128)</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en-US"/>
              </w:rPr>
              <w:t>OIC 12.33</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3A4B15">
            <w:pPr>
              <w:rPr>
                <w:lang w:val="it-IT"/>
              </w:rPr>
            </w:pPr>
            <w:r w:rsidRPr="0017721C">
              <w:rPr>
                <w:lang w:val="it-IT"/>
              </w:rPr>
              <w:t>Per i debiti, lo schema fornisce l’indicazione degli importi esigibili oltre l’esercizio successivo?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pPr>
            <w:r w:rsidRPr="0017721C">
              <w:fldChar w:fldCharType="begin">
                <w:ffData>
                  <w:name w:val="Check4"/>
                  <w:enabled/>
                  <w:calcOnExit w:val="0"/>
                  <w:checkBox>
                    <w:sizeAuto/>
                    <w:default w:val="0"/>
                  </w:checkBox>
                </w:ffData>
              </w:fldChar>
            </w:r>
            <w:r w:rsidRPr="0017721C">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Schema di conto economico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it-IT"/>
              </w:rPr>
              <w:t>Art.</w:t>
            </w:r>
            <w:r w:rsidRPr="0017721C">
              <w:rPr>
                <w:sz w:val="13"/>
                <w:szCs w:val="13"/>
                <w:lang w:val="en-US"/>
              </w:rPr>
              <w:t>2425</w:t>
            </w:r>
            <w:r w:rsidRPr="0017721C">
              <w:rPr>
                <w:sz w:val="13"/>
                <w:szCs w:val="13"/>
                <w:lang w:val="it-IT"/>
              </w:rPr>
              <w:t xml:space="preserve"> CC                  OIC </w:t>
            </w:r>
            <w:r w:rsidRPr="0017721C">
              <w:rPr>
                <w:sz w:val="13"/>
                <w:szCs w:val="13"/>
                <w:lang w:val="en-US"/>
              </w:rPr>
              <w:t>12</w:t>
            </w:r>
            <w:r w:rsidRPr="0017721C">
              <w:rPr>
                <w:sz w:val="13"/>
                <w:szCs w:val="13"/>
                <w:lang w:val="it-IT"/>
              </w:rPr>
              <w:t>.40</w:t>
            </w:r>
          </w:p>
        </w:tc>
        <w:tc>
          <w:tcPr>
            <w:tcW w:w="6912" w:type="dxa"/>
            <w:tcMar>
              <w:left w:w="108" w:type="dxa"/>
            </w:tcMar>
          </w:tcPr>
          <w:p w:rsidR="0017721C" w:rsidRPr="0017721C" w:rsidRDefault="0017721C" w:rsidP="003A4B15">
            <w:pPr>
              <w:pBdr>
                <w:top w:val="single" w:sz="4" w:space="1" w:color="auto"/>
                <w:left w:val="single" w:sz="4" w:space="4" w:color="auto"/>
                <w:bottom w:val="single" w:sz="4" w:space="1" w:color="auto"/>
                <w:right w:val="single" w:sz="4" w:space="4" w:color="auto"/>
              </w:pBdr>
              <w:spacing w:before="40" w:line="190" w:lineRule="exact"/>
              <w:ind w:left="57" w:right="57"/>
              <w:rPr>
                <w:sz w:val="16"/>
                <w:szCs w:val="16"/>
                <w:lang w:val="it-IT"/>
              </w:rPr>
            </w:pPr>
            <w:r w:rsidRPr="0017721C">
              <w:rPr>
                <w:sz w:val="16"/>
                <w:szCs w:val="16"/>
                <w:lang w:val="it-IT"/>
              </w:rPr>
              <w:t>L’articolo 2425 del codice civile prescrive lo schema del conto economico con una forma espositiva di tipo scalare e una classificazione dei costi per natura</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Pr>
          <w:p w:rsidR="0017721C" w:rsidRPr="0017721C" w:rsidRDefault="0017721C" w:rsidP="0017721C">
            <w:pPr>
              <w:jc w:val="center"/>
              <w:rPr>
                <w:lang w:val="it-IT"/>
              </w:rPr>
            </w:pPr>
            <w:r w:rsidRPr="0017721C">
              <w:rPr>
                <w:b/>
                <w:lang w:val="it-IT"/>
              </w:rPr>
              <w:t>129)</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it-IT"/>
              </w:rPr>
              <w:t>OIC 12.41</w:t>
            </w:r>
          </w:p>
        </w:tc>
        <w:tc>
          <w:tcPr>
            <w:tcW w:w="6912" w:type="dxa"/>
            <w:tcMar>
              <w:left w:w="108" w:type="dxa"/>
            </w:tcMar>
          </w:tcPr>
          <w:p w:rsidR="0017721C" w:rsidRPr="0017721C" w:rsidRDefault="0017721C" w:rsidP="003A4B15">
            <w:pPr>
              <w:spacing w:line="214" w:lineRule="exact"/>
              <w:rPr>
                <w:lang w:val="it-IT"/>
              </w:rPr>
            </w:pPr>
            <w:r w:rsidRPr="0017721C">
              <w:rPr>
                <w:lang w:val="it-IT"/>
              </w:rPr>
              <w:t>Lo schema di conto economico presenta nell’ordine quattro classi di voci contrassegnate da lettere maiuscole dell’alfabeto ed evidenza quattro risultati intermedi non contrassegnati da alcun numero: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3A4B15">
            <w:pPr>
              <w:spacing w:line="226" w:lineRule="exact"/>
            </w:pPr>
            <w:r w:rsidRPr="0017721C">
              <w:rPr>
                <w:lang w:val="it-IT"/>
              </w:rPr>
              <w:t>A. Valore della produzione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3A4B15">
            <w:pPr>
              <w:spacing w:line="226" w:lineRule="exact"/>
            </w:pPr>
            <w:r w:rsidRPr="0017721C">
              <w:rPr>
                <w:lang w:val="it-IT"/>
              </w:rPr>
              <w:t>B. Costi della produzione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4E27C2">
            <w:pPr>
              <w:spacing w:line="240" w:lineRule="exact"/>
              <w:rPr>
                <w:lang w:val="it-IT"/>
              </w:rPr>
            </w:pPr>
            <w:r w:rsidRPr="0017721C">
              <w:rPr>
                <w:lang w:val="it-IT"/>
              </w:rPr>
              <w:t>Differenza tra valore e costi della produzione (A-B)</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4E27C2">
            <w:pPr>
              <w:spacing w:line="240" w:lineRule="exact"/>
              <w:rPr>
                <w:lang w:val="it-IT"/>
              </w:rPr>
            </w:pPr>
            <w:r w:rsidRPr="0017721C">
              <w:rPr>
                <w:lang w:val="it-IT"/>
              </w:rPr>
              <w:t>C. Proventi e oneri finanziari</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4E27C2">
            <w:pPr>
              <w:spacing w:line="240" w:lineRule="exact"/>
              <w:rPr>
                <w:lang w:val="it-IT"/>
              </w:rPr>
            </w:pPr>
            <w:r w:rsidRPr="0017721C">
              <w:rPr>
                <w:lang w:val="it-IT"/>
              </w:rPr>
              <w:t>Totale proventi e oneri finanziari</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4E27C2">
            <w:pPr>
              <w:spacing w:line="240" w:lineRule="exact"/>
              <w:rPr>
                <w:lang w:val="it-IT"/>
              </w:rPr>
            </w:pPr>
            <w:r w:rsidRPr="0017721C">
              <w:rPr>
                <w:lang w:val="it-IT"/>
              </w:rPr>
              <w:t>D. Rettifiche di valore di attività e passività finanziarie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4E27C2">
            <w:pPr>
              <w:spacing w:line="240" w:lineRule="exact"/>
            </w:pPr>
            <w:r w:rsidRPr="0017721C">
              <w:rPr>
                <w:lang w:val="it-IT"/>
              </w:rPr>
              <w:t>Totale delle rettifiche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4E27C2">
            <w:pPr>
              <w:spacing w:line="240" w:lineRule="exact"/>
              <w:rPr>
                <w:lang w:val="it-IT"/>
              </w:rPr>
            </w:pPr>
            <w:r w:rsidRPr="0017721C">
              <w:rPr>
                <w:lang w:val="it-IT"/>
              </w:rPr>
              <w:t>Risultato prima delle imposte (A – B +/- C +/- D)</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4E27C2">
            <w:pPr>
              <w:spacing w:line="240" w:lineRule="exact"/>
              <w:rPr>
                <w:lang w:val="it-IT"/>
              </w:rPr>
            </w:pPr>
            <w:r w:rsidRPr="0017721C">
              <w:rPr>
                <w:lang w:val="it-IT"/>
              </w:rPr>
              <w:t>20. Imposte sul reddito dell’esercizio, correnti, differite e anticipate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en-US"/>
              </w:rPr>
            </w:pPr>
          </w:p>
        </w:tc>
        <w:tc>
          <w:tcPr>
            <w:tcW w:w="6912" w:type="dxa"/>
            <w:tcMar>
              <w:left w:w="108" w:type="dxa"/>
            </w:tcMar>
          </w:tcPr>
          <w:p w:rsidR="0017721C" w:rsidRPr="0017721C" w:rsidRDefault="0017721C" w:rsidP="004E27C2">
            <w:pPr>
              <w:spacing w:line="240" w:lineRule="exact"/>
            </w:pPr>
            <w:r w:rsidRPr="0017721C">
              <w:rPr>
                <w:lang w:val="it-IT"/>
              </w:rPr>
              <w:t>21. Utile (perdite) dell’esercizio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it-IT"/>
              </w:rPr>
              <w:t>OIC 12.42</w:t>
            </w:r>
          </w:p>
        </w:tc>
        <w:tc>
          <w:tcPr>
            <w:tcW w:w="6912" w:type="dxa"/>
            <w:tcMar>
              <w:left w:w="108" w:type="dxa"/>
            </w:tcMar>
          </w:tcPr>
          <w:p w:rsidR="0017721C" w:rsidRPr="0017721C" w:rsidRDefault="0017721C" w:rsidP="003A4B15">
            <w:pPr>
              <w:widowControl w:val="0"/>
              <w:pBdr>
                <w:top w:val="single" w:sz="4" w:space="1" w:color="auto"/>
                <w:left w:val="single" w:sz="4" w:space="4" w:color="auto"/>
                <w:bottom w:val="single" w:sz="4" w:space="1" w:color="auto"/>
                <w:right w:val="single" w:sz="4" w:space="4" w:color="auto"/>
              </w:pBdr>
              <w:spacing w:before="40" w:line="188" w:lineRule="exact"/>
              <w:ind w:left="57" w:right="57"/>
              <w:rPr>
                <w:sz w:val="16"/>
                <w:szCs w:val="16"/>
                <w:lang w:val="it-IT"/>
              </w:rPr>
            </w:pPr>
            <w:r w:rsidRPr="0017721C">
              <w:rPr>
                <w:sz w:val="16"/>
                <w:szCs w:val="16"/>
                <w:lang w:val="it-IT"/>
              </w:rPr>
              <w:t>Con le classi A e B si confrontano i componenti positivi, relativi alla gestione caratteristica e alla gestione accessoria, costituenti il valore della produzione con i costi della produzione classificati per natura.</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it-IT"/>
              </w:rPr>
              <w:t>OIC 12.42</w:t>
            </w:r>
          </w:p>
        </w:tc>
        <w:tc>
          <w:tcPr>
            <w:tcW w:w="6912" w:type="dxa"/>
            <w:tcMar>
              <w:left w:w="108" w:type="dxa"/>
            </w:tcMar>
          </w:tcPr>
          <w:p w:rsidR="0017721C" w:rsidRPr="0017721C" w:rsidRDefault="0017721C" w:rsidP="003A4B15">
            <w:pPr>
              <w:widowControl w:val="0"/>
              <w:pBdr>
                <w:top w:val="single" w:sz="4" w:space="1" w:color="auto"/>
                <w:left w:val="single" w:sz="4" w:space="4" w:color="auto"/>
                <w:bottom w:val="single" w:sz="4" w:space="1" w:color="auto"/>
                <w:right w:val="single" w:sz="4" w:space="4" w:color="auto"/>
              </w:pBdr>
              <w:spacing w:before="40" w:line="192" w:lineRule="exact"/>
              <w:ind w:left="57" w:right="57"/>
              <w:rPr>
                <w:sz w:val="16"/>
                <w:szCs w:val="16"/>
                <w:lang w:val="it-IT"/>
              </w:rPr>
            </w:pPr>
            <w:r w:rsidRPr="0017721C">
              <w:rPr>
                <w:sz w:val="16"/>
                <w:szCs w:val="16"/>
                <w:lang w:val="it-IT"/>
              </w:rPr>
              <w:t>Le classi C e D sono relative ai componenti positivi e negativi e alle rettifiche di valore riferiti alla gestione finanziaria.</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Pr>
          <w:p w:rsidR="0017721C" w:rsidRPr="0017721C" w:rsidRDefault="0017721C" w:rsidP="003A4B15">
            <w:pPr>
              <w:widowControl w:val="0"/>
              <w:jc w:val="center"/>
              <w:rPr>
                <w:lang w:val="it-IT"/>
              </w:rPr>
            </w:pPr>
          </w:p>
        </w:tc>
        <w:tc>
          <w:tcPr>
            <w:tcW w:w="836" w:type="dxa"/>
            <w:tcMar>
              <w:left w:w="108" w:type="dxa"/>
              <w:right w:w="0" w:type="dxa"/>
            </w:tcMar>
          </w:tcPr>
          <w:p w:rsidR="0017721C" w:rsidRPr="0017721C" w:rsidRDefault="0017721C" w:rsidP="003A4B15">
            <w:pPr>
              <w:widowControl w:val="0"/>
              <w:spacing w:before="40" w:line="240" w:lineRule="auto"/>
              <w:ind w:left="-57"/>
              <w:jc w:val="left"/>
              <w:rPr>
                <w:sz w:val="13"/>
                <w:szCs w:val="13"/>
                <w:lang w:val="en-US"/>
              </w:rPr>
            </w:pPr>
            <w:r w:rsidRPr="0017721C">
              <w:rPr>
                <w:sz w:val="13"/>
                <w:szCs w:val="13"/>
                <w:lang w:val="it-IT"/>
              </w:rPr>
              <w:t>OIC 12.</w:t>
            </w:r>
            <w:r w:rsidRPr="0017721C">
              <w:rPr>
                <w:sz w:val="13"/>
                <w:szCs w:val="13"/>
                <w:lang w:val="en-US"/>
              </w:rPr>
              <w:t>43</w:t>
            </w:r>
          </w:p>
        </w:tc>
        <w:tc>
          <w:tcPr>
            <w:tcW w:w="6912" w:type="dxa"/>
            <w:tcMar>
              <w:left w:w="108" w:type="dxa"/>
            </w:tcMar>
          </w:tcPr>
          <w:p w:rsidR="0017721C" w:rsidRPr="0017721C" w:rsidRDefault="0017721C" w:rsidP="003A4B15">
            <w:pPr>
              <w:widowControl w:val="0"/>
              <w:pBdr>
                <w:top w:val="single" w:sz="4" w:space="1" w:color="auto"/>
                <w:left w:val="single" w:sz="4" w:space="4" w:color="auto"/>
                <w:bottom w:val="single" w:sz="4" w:space="1" w:color="auto"/>
                <w:right w:val="single" w:sz="4" w:space="4" w:color="auto"/>
              </w:pBdr>
              <w:spacing w:before="40" w:line="192" w:lineRule="exact"/>
              <w:ind w:left="57" w:right="57"/>
              <w:rPr>
                <w:sz w:val="16"/>
                <w:szCs w:val="16"/>
                <w:lang w:val="it-IT"/>
              </w:rPr>
            </w:pPr>
            <w:r w:rsidRPr="0017721C">
              <w:rPr>
                <w:sz w:val="16"/>
                <w:szCs w:val="16"/>
                <w:lang w:val="it-IT"/>
              </w:rPr>
              <w:t>L’attività caratteristica identifica i componenti positivi di reddito generati da operazioni che si manifestano in via continuativa e nel settore rilevante per lo svolgimento della gestione, e che identificano e qualificano la parte peculiare e distintiva dell’attività economica svolta dalla società, per la quale la stessa è finalizzata.</w:t>
            </w:r>
          </w:p>
        </w:tc>
        <w:tc>
          <w:tcPr>
            <w:tcW w:w="554" w:type="dxa"/>
            <w:tcMar>
              <w:left w:w="85" w:type="dxa"/>
              <w:right w:w="85" w:type="dxa"/>
            </w:tcMar>
            <w:vAlign w:val="center"/>
          </w:tcPr>
          <w:p w:rsidR="0017721C" w:rsidRPr="0017721C" w:rsidRDefault="0017721C" w:rsidP="003A4B15">
            <w:pPr>
              <w:widowControl w:val="0"/>
              <w:jc w:val="center"/>
              <w:rPr>
                <w:lang w:val="it-IT"/>
              </w:rPr>
            </w:pPr>
          </w:p>
        </w:tc>
        <w:tc>
          <w:tcPr>
            <w:tcW w:w="565" w:type="dxa"/>
            <w:tcMar>
              <w:left w:w="108" w:type="dxa"/>
            </w:tcMar>
            <w:vAlign w:val="center"/>
          </w:tcPr>
          <w:p w:rsidR="0017721C" w:rsidRPr="0017721C" w:rsidRDefault="0017721C" w:rsidP="003A4B15">
            <w:pPr>
              <w:widowControl w:val="0"/>
              <w:jc w:val="center"/>
              <w:rPr>
                <w:lang w:val="it-IT"/>
              </w:rPr>
            </w:pPr>
          </w:p>
        </w:tc>
        <w:tc>
          <w:tcPr>
            <w:tcW w:w="564" w:type="dxa"/>
            <w:tcMar>
              <w:left w:w="108" w:type="dxa"/>
            </w:tcMar>
            <w:vAlign w:val="center"/>
          </w:tcPr>
          <w:p w:rsidR="0017721C" w:rsidRPr="0017721C" w:rsidRDefault="0017721C" w:rsidP="003A4B15">
            <w:pPr>
              <w:widowControl w:val="0"/>
              <w:jc w:val="center"/>
              <w:rPr>
                <w:lang w:val="it-IT"/>
              </w:rPr>
            </w:pPr>
          </w:p>
        </w:tc>
      </w:tr>
      <w:tr w:rsidR="0017721C" w:rsidRPr="0017721C" w:rsidTr="003464AE">
        <w:trPr>
          <w:trHeight w:val="20"/>
        </w:trPr>
        <w:tc>
          <w:tcPr>
            <w:tcW w:w="726" w:type="dxa"/>
          </w:tcPr>
          <w:p w:rsidR="0017721C" w:rsidRPr="0017721C" w:rsidRDefault="0017721C" w:rsidP="0017721C">
            <w:pPr>
              <w:jc w:val="center"/>
              <w:rPr>
                <w:lang w:val="it-IT"/>
              </w:rPr>
            </w:pPr>
            <w:r w:rsidRPr="0017721C">
              <w:rPr>
                <w:b/>
                <w:lang w:val="it-IT"/>
              </w:rPr>
              <w:t>130)</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it-IT"/>
              </w:rPr>
              <w:t>OIC 12.</w:t>
            </w:r>
            <w:r w:rsidRPr="0017721C">
              <w:rPr>
                <w:sz w:val="13"/>
                <w:szCs w:val="13"/>
                <w:lang w:val="en-US"/>
              </w:rPr>
              <w:t>44</w:t>
            </w:r>
          </w:p>
        </w:tc>
        <w:tc>
          <w:tcPr>
            <w:tcW w:w="6912" w:type="dxa"/>
            <w:tcMar>
              <w:left w:w="108" w:type="dxa"/>
            </w:tcMar>
          </w:tcPr>
          <w:p w:rsidR="0017721C" w:rsidRPr="0017721C" w:rsidRDefault="0017721C" w:rsidP="003A4B15">
            <w:pPr>
              <w:rPr>
                <w:lang w:val="it-IT"/>
              </w:rPr>
            </w:pPr>
            <w:r w:rsidRPr="0017721C">
              <w:rPr>
                <w:lang w:val="it-IT"/>
              </w:rPr>
              <w:t xml:space="preserve">Se la gestione caratteristica è costituita da più categorie di attività, in </w:t>
            </w:r>
            <w:r w:rsidR="005B7E0D">
              <w:rPr>
                <w:lang w:val="it-IT"/>
              </w:rPr>
              <w:t>Nota Integrativa</w:t>
            </w:r>
            <w:r w:rsidRPr="0017721C">
              <w:rPr>
                <w:lang w:val="it-IT"/>
              </w:rPr>
              <w:t xml:space="preserve"> è fornita adeguata informativa sulle differenti categorie?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it-IT"/>
              </w:rPr>
              <w:t>OIC 12.45</w:t>
            </w:r>
          </w:p>
        </w:tc>
        <w:tc>
          <w:tcPr>
            <w:tcW w:w="6912" w:type="dxa"/>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L’attività accessoria è costituita da operazioni che generano componenti positivi di reddito che non rientrano nell’attività caratteristica e finanziaria</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it-IT"/>
              </w:rPr>
              <w:t xml:space="preserve">OIC </w:t>
            </w:r>
            <w:r w:rsidRPr="0017721C">
              <w:rPr>
                <w:sz w:val="13"/>
                <w:szCs w:val="13"/>
                <w:lang w:val="en-US"/>
              </w:rPr>
              <w:t>12</w:t>
            </w:r>
            <w:r w:rsidRPr="0017721C">
              <w:rPr>
                <w:sz w:val="13"/>
                <w:szCs w:val="13"/>
                <w:lang w:val="it-IT"/>
              </w:rPr>
              <w:t>.46</w:t>
            </w:r>
          </w:p>
        </w:tc>
        <w:tc>
          <w:tcPr>
            <w:tcW w:w="6912" w:type="dxa"/>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L’attività finanziaria è costituita da operazioni che generano: proventi e oneri; plusvalenze e minusvalenze da cessione; svalutazioni e ripristini di valore tutti relativi a titoli, partecipazioni, conti bancari, crediti iscritti nelle immobilizzazioni e finanziamenti di qualsiasi natura attivi e passivi; utili e perdite su cambi e variazioni positive e negative del fair value degli strumenti finanziari derivati attivi e passivi secondo quanto disciplinato dai paragrafi 32-34 dell’OIC 32 “Strumenti finanziari derivati</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17721C">
            <w:pPr>
              <w:keepNext/>
              <w:outlineLvl w:val="2"/>
              <w:rPr>
                <w:b/>
                <w:bCs/>
                <w:i/>
                <w:lang w:val="it-IT"/>
              </w:rPr>
            </w:pPr>
            <w:r w:rsidRPr="0017721C">
              <w:rPr>
                <w:b/>
                <w:bCs/>
                <w:i/>
                <w:lang w:val="it-IT"/>
              </w:rPr>
              <w:t>Il contenuto delle voci del conto economico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17721C">
            <w:pPr>
              <w:rPr>
                <w:lang w:val="it-IT"/>
              </w:rPr>
            </w:pPr>
            <w:r w:rsidRPr="0017721C">
              <w:rPr>
                <w:i/>
                <w:lang w:val="it-IT"/>
              </w:rPr>
              <w:t>A -</w:t>
            </w:r>
            <w:r w:rsidRPr="0017721C">
              <w:rPr>
                <w:lang w:val="it-IT"/>
              </w:rPr>
              <w:t>Valore della produzione</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17721C">
            <w:pPr>
              <w:rPr>
                <w:lang w:val="it-IT"/>
              </w:rPr>
            </w:pPr>
            <w:r w:rsidRPr="0017721C">
              <w:rPr>
                <w:i/>
                <w:lang w:val="it-IT"/>
              </w:rPr>
              <w:t>A1) Ricavi delle vendite e delle prestazioni</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lang w:val="it-IT"/>
              </w:rPr>
            </w:pPr>
            <w:r w:rsidRPr="0017721C">
              <w:rPr>
                <w:b/>
                <w:lang w:val="it-IT"/>
              </w:rPr>
              <w:t>131)</w:t>
            </w:r>
          </w:p>
        </w:tc>
        <w:tc>
          <w:tcPr>
            <w:tcW w:w="836" w:type="dxa"/>
            <w:tcMar>
              <w:left w:w="108" w:type="dxa"/>
              <w:right w:w="0" w:type="dxa"/>
            </w:tcMar>
          </w:tcPr>
          <w:p w:rsidR="0017721C" w:rsidRPr="0017721C" w:rsidRDefault="0017721C" w:rsidP="0017721C">
            <w:pPr>
              <w:spacing w:before="40" w:line="240" w:lineRule="auto"/>
              <w:ind w:left="-57"/>
              <w:jc w:val="left"/>
              <w:rPr>
                <w:sz w:val="13"/>
                <w:szCs w:val="13"/>
              </w:rPr>
            </w:pPr>
            <w:r w:rsidRPr="0017721C">
              <w:rPr>
                <w:sz w:val="13"/>
                <w:szCs w:val="13"/>
              </w:rPr>
              <w:t>Art. 2425-</w:t>
            </w:r>
            <w:r w:rsidRPr="0017721C">
              <w:rPr>
                <w:sz w:val="13"/>
                <w:szCs w:val="13"/>
                <w:lang w:val="en-US"/>
              </w:rPr>
              <w:t>bis</w:t>
            </w:r>
            <w:r w:rsidRPr="0017721C">
              <w:rPr>
                <w:sz w:val="13"/>
                <w:szCs w:val="13"/>
              </w:rPr>
              <w:t>, c. 1, CC            OIC 12.</w:t>
            </w:r>
            <w:r w:rsidRPr="0017721C">
              <w:rPr>
                <w:sz w:val="13"/>
                <w:szCs w:val="13"/>
                <w:lang w:val="en-US"/>
              </w:rPr>
              <w:t>49</w:t>
            </w:r>
          </w:p>
        </w:tc>
        <w:tc>
          <w:tcPr>
            <w:tcW w:w="6912" w:type="dxa"/>
            <w:tcMar>
              <w:left w:w="108" w:type="dxa"/>
            </w:tcMar>
          </w:tcPr>
          <w:p w:rsidR="0017721C" w:rsidRPr="0017721C" w:rsidRDefault="0017721C" w:rsidP="0017721C">
            <w:pPr>
              <w:spacing w:line="230" w:lineRule="exact"/>
              <w:rPr>
                <w:lang w:val="it-IT"/>
              </w:rPr>
            </w:pPr>
            <w:r w:rsidRPr="0017721C">
              <w:rPr>
                <w:lang w:val="it-IT"/>
              </w:rPr>
              <w:t>I ricavi di vendita dei prodotti e delle merci o di prestazione di servizi relativi alla gestione caratteristica sono stati rilevati al netto dei resi, degli sconti, abbuoni e premi, nonché delle imposte direttamente connesse con la vendita dei prodotti e la prestazione dei servizi?</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w:t>
            </w:r>
            <w:r w:rsidRPr="0017721C">
              <w:rPr>
                <w:sz w:val="13"/>
                <w:szCs w:val="13"/>
                <w:lang w:val="en-US"/>
              </w:rPr>
              <w:t>49</w:t>
            </w:r>
          </w:p>
        </w:tc>
        <w:tc>
          <w:tcPr>
            <w:tcW w:w="6912" w:type="dxa"/>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Gli sconti commerciali sono rilevati a rettifica della voce A1 dei ricavi.</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lang w:val="it-IT"/>
              </w:rPr>
            </w:pPr>
            <w:r w:rsidRPr="0017721C">
              <w:rPr>
                <w:b/>
                <w:lang w:val="it-IT"/>
              </w:rPr>
              <w:t>132)</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12.50</w:t>
            </w:r>
          </w:p>
        </w:tc>
        <w:tc>
          <w:tcPr>
            <w:tcW w:w="6912" w:type="dxa"/>
            <w:tcMar>
              <w:left w:w="108" w:type="dxa"/>
            </w:tcMar>
          </w:tcPr>
          <w:p w:rsidR="0017721C" w:rsidRPr="0017721C" w:rsidRDefault="0017721C" w:rsidP="004E27C2">
            <w:pPr>
              <w:spacing w:line="240" w:lineRule="exact"/>
              <w:rPr>
                <w:lang w:val="it-IT"/>
              </w:rPr>
            </w:pPr>
            <w:r w:rsidRPr="0017721C">
              <w:rPr>
                <w:lang w:val="it-IT"/>
              </w:rPr>
              <w:t>Tutte le rettifiche di ricavi sono riferite a ricavi di competenza dell’esercizio?</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r w:rsidRPr="0017721C">
              <w:rPr>
                <w:b/>
                <w:lang w:val="it-IT"/>
              </w:rPr>
              <w:t>133)</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12.50</w:t>
            </w:r>
          </w:p>
        </w:tc>
        <w:tc>
          <w:tcPr>
            <w:tcW w:w="6912" w:type="dxa"/>
            <w:tcMar>
              <w:left w:w="108" w:type="dxa"/>
            </w:tcMar>
          </w:tcPr>
          <w:p w:rsidR="0017721C" w:rsidRPr="0017721C" w:rsidRDefault="0017721C" w:rsidP="004E27C2">
            <w:pPr>
              <w:spacing w:line="240" w:lineRule="exact"/>
              <w:rPr>
                <w:lang w:val="it-IT"/>
              </w:rPr>
            </w:pPr>
            <w:r w:rsidRPr="0017721C">
              <w:rPr>
                <w:lang w:val="it-IT"/>
              </w:rPr>
              <w:t>Le rettifiche di ricavi riferite a precedenti esercizi e derivanti da correzioni di errori o cambiamenti di principi contabili o eventi o operazioni straordinarie sono state rilevate ai sensi dei paragrafi 47-53 e 15-20 dell’OIC 29?</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4E27C2">
            <w:pPr>
              <w:spacing w:line="240" w:lineRule="exact"/>
              <w:rPr>
                <w:lang w:val="it-IT"/>
              </w:rPr>
            </w:pPr>
            <w:r w:rsidRPr="0017721C">
              <w:rPr>
                <w:i/>
                <w:lang w:val="it-IT"/>
              </w:rPr>
              <w:t>A2) Variazioni delle rimanenze di prodotti in corso di lavorazione, semilavorati e finiti</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lang w:val="it-IT"/>
              </w:rPr>
            </w:pPr>
            <w:r w:rsidRPr="0017721C">
              <w:rPr>
                <w:b/>
                <w:lang w:val="it-IT"/>
              </w:rPr>
              <w:t>134)</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Art.2426,n.9 CC            OIC 12.51</w:t>
            </w:r>
          </w:p>
        </w:tc>
        <w:tc>
          <w:tcPr>
            <w:tcW w:w="6912" w:type="dxa"/>
            <w:tcMar>
              <w:left w:w="108" w:type="dxa"/>
            </w:tcMar>
          </w:tcPr>
          <w:p w:rsidR="0017721C" w:rsidRPr="0017721C" w:rsidRDefault="0017721C" w:rsidP="004E27C2">
            <w:pPr>
              <w:spacing w:line="240" w:lineRule="exact"/>
              <w:rPr>
                <w:lang w:val="it-IT"/>
              </w:rPr>
            </w:pPr>
            <w:r w:rsidRPr="0017721C">
              <w:rPr>
                <w:lang w:val="it-IT"/>
              </w:rPr>
              <w:t xml:space="preserve">L’importo della voce A2) “Variazioni delle rimanenze di prodotti in corso di lavorazione, semilavorati e finiti” è influenzato sia da variazioni quantitative, che da variazioni nei valori unitari dei prodotti, semilavorati, ecc., a seguito del confronto fra costo e valore di realizzazione desumibile dall’andamento del mercato? </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4E27C2">
            <w:pPr>
              <w:spacing w:line="240" w:lineRule="exact"/>
              <w:rPr>
                <w:lang w:val="it-IT"/>
              </w:rPr>
            </w:pPr>
            <w:r w:rsidRPr="0017721C">
              <w:rPr>
                <w:i/>
                <w:lang w:val="it-IT"/>
              </w:rPr>
              <w:t>A3) Variazioni dei lavori in corso su ordinazione</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b/>
                <w:lang w:val="it-IT"/>
              </w:rPr>
            </w:pPr>
            <w:r w:rsidRPr="0017721C">
              <w:rPr>
                <w:b/>
                <w:lang w:val="it-IT"/>
              </w:rPr>
              <w:t xml:space="preserve">135) </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en-US"/>
              </w:rPr>
            </w:pPr>
            <w:r w:rsidRPr="0017721C">
              <w:rPr>
                <w:sz w:val="13"/>
                <w:szCs w:val="13"/>
                <w:lang w:val="it-IT"/>
              </w:rPr>
              <w:t>OIC 12.52</w:t>
            </w:r>
          </w:p>
        </w:tc>
        <w:tc>
          <w:tcPr>
            <w:tcW w:w="6912" w:type="dxa"/>
            <w:tcMar>
              <w:left w:w="108" w:type="dxa"/>
            </w:tcMar>
          </w:tcPr>
          <w:p w:rsidR="0017721C" w:rsidRPr="0017721C" w:rsidRDefault="0017721C" w:rsidP="004E27C2">
            <w:pPr>
              <w:spacing w:line="240" w:lineRule="exact"/>
              <w:rPr>
                <w:lang w:val="it-IT"/>
              </w:rPr>
            </w:pPr>
            <w:r w:rsidRPr="0017721C">
              <w:rPr>
                <w:lang w:val="it-IT"/>
              </w:rPr>
              <w:t xml:space="preserve">La voce rileva il valore della produzione eseguita nell’esercizio al netto di quella portata a ricavo? </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r w:rsidRPr="0017721C">
              <w:rPr>
                <w:b/>
                <w:lang w:val="it-IT"/>
              </w:rPr>
              <w:t>136)</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12.53</w:t>
            </w:r>
          </w:p>
        </w:tc>
        <w:tc>
          <w:tcPr>
            <w:tcW w:w="6912" w:type="dxa"/>
            <w:tcMar>
              <w:left w:w="108" w:type="dxa"/>
            </w:tcMar>
          </w:tcPr>
          <w:p w:rsidR="0017721C" w:rsidRPr="0017721C" w:rsidRDefault="0017721C" w:rsidP="004E27C2">
            <w:pPr>
              <w:spacing w:line="240" w:lineRule="exact"/>
              <w:rPr>
                <w:lang w:val="it-IT"/>
              </w:rPr>
            </w:pPr>
            <w:r w:rsidRPr="0017721C">
              <w:rPr>
                <w:lang w:val="it-IT"/>
              </w:rPr>
              <w:t>La voce A3)  include la svalutazione per perdite previste su commesse?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4E27C2">
            <w:pPr>
              <w:spacing w:line="240" w:lineRule="exact"/>
              <w:rPr>
                <w:lang w:val="it-IT"/>
              </w:rPr>
            </w:pPr>
            <w:r w:rsidRPr="0017721C">
              <w:rPr>
                <w:i/>
                <w:lang w:val="it-IT"/>
              </w:rPr>
              <w:t>A4) Incrementi di immobilizzazioni per lavori interni</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lang w:val="it-IT"/>
              </w:rPr>
            </w:pPr>
            <w:r w:rsidRPr="0017721C">
              <w:rPr>
                <w:b/>
                <w:lang w:val="it-IT"/>
              </w:rPr>
              <w:t>137)</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12.54</w:t>
            </w:r>
          </w:p>
        </w:tc>
        <w:tc>
          <w:tcPr>
            <w:tcW w:w="6912" w:type="dxa"/>
            <w:tcMar>
              <w:left w:w="108" w:type="dxa"/>
            </w:tcMar>
          </w:tcPr>
          <w:p w:rsidR="0017721C" w:rsidRPr="0017721C" w:rsidRDefault="0017721C" w:rsidP="004E27C2">
            <w:pPr>
              <w:spacing w:line="240" w:lineRule="exact"/>
              <w:rPr>
                <w:lang w:val="it-IT"/>
              </w:rPr>
            </w:pPr>
            <w:r w:rsidRPr="0017721C">
              <w:rPr>
                <w:lang w:val="it-IT"/>
              </w:rPr>
              <w:t>La voce comprende tutti i costi capitalizzati, che danno luogo ad iscrizioni all’attivo dello stato patrimoniale nelle voci delle classi BI “Immobilizzazioni immateriali” e BII “Immobilizzazioni materiali”, purchè si tratti di costi interni oppure di costi esterni sostenuti per la fabbricazione, con lavori interni, di beni classificati nelle immobilizzazioni indicate?</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17721C" w:rsidTr="003464AE">
        <w:trPr>
          <w:trHeight w:val="20"/>
        </w:trPr>
        <w:tc>
          <w:tcPr>
            <w:tcW w:w="726" w:type="dxa"/>
          </w:tcPr>
          <w:p w:rsidR="0017721C" w:rsidRPr="0017721C" w:rsidRDefault="0017721C" w:rsidP="0017721C">
            <w:pPr>
              <w:jc w:val="center"/>
              <w:rPr>
                <w:lang w:val="it-IT"/>
              </w:rPr>
            </w:pPr>
            <w:r w:rsidRPr="0017721C">
              <w:rPr>
                <w:b/>
                <w:lang w:val="it-IT"/>
              </w:rPr>
              <w:t>138)</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12.55</w:t>
            </w:r>
          </w:p>
        </w:tc>
        <w:tc>
          <w:tcPr>
            <w:tcW w:w="6912" w:type="dxa"/>
            <w:tcMar>
              <w:left w:w="108" w:type="dxa"/>
            </w:tcMar>
          </w:tcPr>
          <w:p w:rsidR="0017721C" w:rsidRPr="0017721C" w:rsidRDefault="0017721C" w:rsidP="004E27C2">
            <w:pPr>
              <w:spacing w:line="240" w:lineRule="exact"/>
              <w:rPr>
                <w:lang w:val="it-IT"/>
              </w:rPr>
            </w:pPr>
            <w:r w:rsidRPr="0017721C">
              <w:rPr>
                <w:lang w:val="it-IT"/>
              </w:rPr>
              <w:t>La voce comprende anche gli eventuali oneri finanziari rilevati nella voce C17 qualora siano capitalizzati ai sensi dei paragrafi 41-44 dell’OIC 16 “Immobilizzazioni materiali e del paragrafo 39 dell’OIC 24 “Immobilizzazioni immateriali”)?</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4E27C2">
            <w:pPr>
              <w:spacing w:line="240" w:lineRule="exact"/>
              <w:rPr>
                <w:lang w:val="it-IT"/>
              </w:rPr>
            </w:pPr>
            <w:r w:rsidRPr="0017721C">
              <w:rPr>
                <w:i/>
                <w:lang w:val="it-IT"/>
              </w:rPr>
              <w:t>A5) Altri ricavi e proventi, con separata indicazione dei contributi in conto esercizio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lang w:val="it-IT"/>
              </w:rPr>
            </w:pPr>
            <w:r w:rsidRPr="0017721C">
              <w:rPr>
                <w:b/>
                <w:lang w:val="it-IT"/>
              </w:rPr>
              <w:t>139)</w:t>
            </w: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12.56</w:t>
            </w:r>
          </w:p>
        </w:tc>
        <w:tc>
          <w:tcPr>
            <w:tcW w:w="6912" w:type="dxa"/>
            <w:tcMar>
              <w:left w:w="108" w:type="dxa"/>
            </w:tcMar>
          </w:tcPr>
          <w:p w:rsidR="0017721C" w:rsidRPr="0017721C" w:rsidRDefault="0017721C" w:rsidP="004E27C2">
            <w:pPr>
              <w:spacing w:line="240" w:lineRule="exact"/>
              <w:rPr>
                <w:lang w:val="it-IT"/>
              </w:rPr>
            </w:pPr>
            <w:r w:rsidRPr="0017721C">
              <w:rPr>
                <w:lang w:val="it-IT"/>
              </w:rPr>
              <w:t>La voce comprende tutti i componenti positivi di reddito non finanziari, riguardanti l’attività accessoria?</w:t>
            </w:r>
          </w:p>
        </w:tc>
        <w:tc>
          <w:tcPr>
            <w:tcW w:w="554" w:type="dxa"/>
            <w:tcMar>
              <w:left w:w="85" w:type="dxa"/>
              <w:right w:w="85"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5"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c>
          <w:tcPr>
            <w:tcW w:w="564" w:type="dxa"/>
            <w:tcMar>
              <w:left w:w="108" w:type="dxa"/>
            </w:tcMar>
            <w:vAlign w:val="center"/>
          </w:tcPr>
          <w:p w:rsidR="0017721C" w:rsidRPr="0017721C" w:rsidRDefault="0017721C" w:rsidP="0017721C">
            <w:pPr>
              <w:jc w:val="center"/>
              <w:rPr>
                <w:lang w:val="it-IT"/>
              </w:rPr>
            </w:pPr>
            <w:r w:rsidRPr="0017721C">
              <w:fldChar w:fldCharType="begin">
                <w:ffData>
                  <w:name w:val="Check4"/>
                  <w:enabled/>
                  <w:calcOnExit w:val="0"/>
                  <w:checkBox>
                    <w:sizeAuto/>
                    <w:default w:val="0"/>
                  </w:checkBox>
                </w:ffData>
              </w:fldChar>
            </w:r>
            <w:r w:rsidRPr="0017721C">
              <w:rPr>
                <w:lang w:val="it-IT"/>
              </w:rPr>
              <w:instrText xml:space="preserve"> FORMCHECKBOX </w:instrText>
            </w:r>
            <w:r w:rsidR="00CA1681">
              <w:fldChar w:fldCharType="separate"/>
            </w:r>
            <w:r w:rsidRPr="0017721C">
              <w:fldChar w:fldCharType="end"/>
            </w:r>
          </w:p>
        </w:tc>
      </w:tr>
      <w:tr w:rsidR="0017721C" w:rsidRPr="00CC242B"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12.56</w:t>
            </w:r>
          </w:p>
        </w:tc>
        <w:tc>
          <w:tcPr>
            <w:tcW w:w="6912" w:type="dxa"/>
            <w:tcMar>
              <w:left w:w="108" w:type="dxa"/>
            </w:tcMar>
          </w:tcPr>
          <w:p w:rsidR="0017721C" w:rsidRPr="0017721C" w:rsidRDefault="0017721C" w:rsidP="008C7EC1">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Il contenuto della voce A5), a mero titolo esemplificativo e non esaustivo, può essere così schematizzato:</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Pr>
          <w:p w:rsidR="0017721C" w:rsidRPr="0017721C" w:rsidRDefault="0017721C" w:rsidP="0017721C">
            <w:pPr>
              <w:jc w:val="center"/>
              <w:rPr>
                <w:lang w:val="it-IT"/>
              </w:rPr>
            </w:pPr>
          </w:p>
        </w:tc>
        <w:tc>
          <w:tcPr>
            <w:tcW w:w="836" w:type="dxa"/>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Mar>
              <w:left w:w="108" w:type="dxa"/>
            </w:tcMar>
          </w:tcPr>
          <w:p w:rsidR="0017721C" w:rsidRPr="0017721C" w:rsidRDefault="0017721C" w:rsidP="008C7EC1">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Sottovoce a) Proventi derivanti dalle attività accessorie (ad esempio, immobiliare ed agricola nel caso di una società industriale), al netto anche delle relative rettifiche:</w:t>
            </w:r>
          </w:p>
          <w:p w:rsidR="0017721C" w:rsidRPr="0017721C" w:rsidRDefault="0017721C" w:rsidP="008C7EC1">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r>
            <w:r w:rsidRPr="0017721C">
              <w:rPr>
                <w:rFonts w:eastAsia="SymbolMT"/>
                <w:sz w:val="16"/>
                <w:szCs w:val="16"/>
                <w:lang w:val="it-IT"/>
              </w:rPr>
              <w:t xml:space="preserve">fitti attivi di terreni, </w:t>
            </w:r>
            <w:r w:rsidRPr="0017721C">
              <w:rPr>
                <w:sz w:val="16"/>
                <w:szCs w:val="16"/>
                <w:lang w:val="it-IT"/>
              </w:rPr>
              <w:t>fabbricati, impianti, macchinari, ecc.;</w:t>
            </w:r>
          </w:p>
          <w:p w:rsidR="0017721C" w:rsidRPr="0017721C" w:rsidRDefault="0017721C" w:rsidP="008C7EC1">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canoni attivi e royalty da brevetti, marchi, diritti d’autore, ecc.;</w:t>
            </w:r>
          </w:p>
          <w:p w:rsidR="0017721C" w:rsidRPr="0017721C" w:rsidRDefault="0017721C" w:rsidP="008C7EC1">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rFonts w:hint="eastAsia"/>
                <w:sz w:val="16"/>
                <w:szCs w:val="16"/>
                <w:lang w:val="it-IT"/>
              </w:rPr>
              <w:t xml:space="preserve">- </w:t>
            </w:r>
            <w:r w:rsidRPr="0017721C">
              <w:rPr>
                <w:sz w:val="16"/>
                <w:szCs w:val="16"/>
                <w:lang w:val="it-IT"/>
              </w:rPr>
              <w:tab/>
              <w:t>ricavi derivanti dalla gestione di aziende agricole;</w:t>
            </w:r>
          </w:p>
          <w:p w:rsidR="0017721C" w:rsidRPr="0017721C" w:rsidRDefault="0017721C" w:rsidP="008C7EC1">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rFonts w:hint="eastAsia"/>
                <w:sz w:val="16"/>
                <w:szCs w:val="16"/>
                <w:lang w:val="it-IT"/>
              </w:rPr>
              <w:t xml:space="preserve">- </w:t>
            </w:r>
            <w:r w:rsidRPr="0017721C">
              <w:rPr>
                <w:sz w:val="16"/>
                <w:szCs w:val="16"/>
                <w:lang w:val="it-IT"/>
              </w:rPr>
              <w:tab/>
              <w:t>ecc.</w:t>
            </w:r>
          </w:p>
        </w:tc>
        <w:tc>
          <w:tcPr>
            <w:tcW w:w="554" w:type="dxa"/>
            <w:tcMar>
              <w:left w:w="85" w:type="dxa"/>
              <w:right w:w="85" w:type="dxa"/>
            </w:tcMar>
            <w:vAlign w:val="center"/>
          </w:tcPr>
          <w:p w:rsidR="0017721C" w:rsidRPr="0017721C" w:rsidRDefault="0017721C" w:rsidP="0017721C">
            <w:pPr>
              <w:jc w:val="center"/>
              <w:rPr>
                <w:lang w:val="it-IT"/>
              </w:rPr>
            </w:pPr>
          </w:p>
        </w:tc>
        <w:tc>
          <w:tcPr>
            <w:tcW w:w="565" w:type="dxa"/>
            <w:tcMar>
              <w:left w:w="108" w:type="dxa"/>
            </w:tcMar>
            <w:vAlign w:val="center"/>
          </w:tcPr>
          <w:p w:rsidR="0017721C" w:rsidRPr="0017721C" w:rsidRDefault="0017721C" w:rsidP="0017721C">
            <w:pPr>
              <w:jc w:val="center"/>
              <w:rPr>
                <w:lang w:val="it-IT"/>
              </w:rPr>
            </w:pPr>
          </w:p>
        </w:tc>
        <w:tc>
          <w:tcPr>
            <w:tcW w:w="564" w:type="dxa"/>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7EC1">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Sottovoce  b) Plusvalenze di natura non finanziaria</w:t>
            </w:r>
          </w:p>
          <w:p w:rsidR="0017721C" w:rsidRPr="0017721C" w:rsidRDefault="0017721C" w:rsidP="008C7EC1">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Rientrano in questa voce le plusvalenze di natura non finanziaria quali, ad esempio, quelle derivanti da: alienazioni dei cespiti; espropri o nazionalizzazioni di beni; operazioni sociali straordinarie; operazioni di riconversione produttiva, ristrutturazione o ridimensionamento produttivo; acquisizione delle immobilizzazioni materiali a titolo gratuito.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7EC1">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Sottovoce c) Ripristini di valore, comprende i ripristini di valore (nei limiti del costo) a seguito di precedenti svalutazioni delle immobilizzazioni materiali ed immateriali nonché dei crediti iscritti nell’attivo circolante e delle disponibilità liquide.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7EC1">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Sottovoce d) Sopravvenienze e insussistenze attive include  gli importi dei fondi per rischi ed oneri rivelatisi eccedenti rispetto agli accantonamenti operati (ad esempio, fondi per oneri per garanzie a clienti), quando l’accantonamento al fondo sia stato inizialmente contabilizzato nella classe B tra i costi di gestione?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8C7EC1">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8C7EC1">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7EC1">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Sottovoce e) Ricavi e proventi diversi, di natura non finanziaria, include  ricavi e proventi non rilevabili in altre voci come ad esempio: rimborsi spese; penalità addebitate a clienti; proventi derivanti da operazioni di compravendita con obbligo di retrocessione qualora queste si configurino come prestiti di beni; componenti reddituali positive derivanti da certificati ambientali (cfr. paragrafi 34-35; 54 dell’OIC 7 “I certificati verdi” e paragrafi 36; 38 dell’OIC 8 “Le quote di emissione di gas ad effetto serra”); i ricavi per l’acquisizione a titolo definitivo di caparre; i rimborsi assicurativi e le liberalità ricevute, in danaro o in natura?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8C7EC1">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8C7EC1">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8C7EC1">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Art. 2425 CC                 OIC 12.56 f)</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7EC1">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Sottovoce f) Contributi in conto esercizio evidenzia separatamente i contributi in conto esercizio.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140)</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12.56 f)</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7EC1">
            <w:pPr>
              <w:spacing w:line="240" w:lineRule="exact"/>
              <w:rPr>
                <w:lang w:val="it-IT"/>
              </w:rPr>
            </w:pPr>
            <w:r w:rsidRPr="0017721C">
              <w:rPr>
                <w:lang w:val="it-IT"/>
              </w:rPr>
              <w:t>I contributi in conto esercizio relativi all’acquisto di materiali sono stati portati in diminuzione del costo di acquisto dei materiali affinchè nella valutazione delle rimanenze siano sospesi i costi effettivamente sostenuti, ossia al netto dei contributi ricevuti?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141)</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12.57</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7EC1">
            <w:pPr>
              <w:spacing w:line="240" w:lineRule="exact"/>
              <w:rPr>
                <w:lang w:val="it-IT"/>
              </w:rPr>
            </w:pPr>
            <w:r w:rsidRPr="0017721C">
              <w:rPr>
                <w:lang w:val="it-IT"/>
              </w:rPr>
              <w:t xml:space="preserve">La voce A5) comprende anche, i proventi derivanti dalla prescrizione dei debiti e la quota, di competenza dell’esercizio in corso, dei contributi pubblici commisurati al costo delle immobilizzazioni materiali e immateriali, che vengono differiti attraverso l’iscrizione di un risconto passivo?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142)</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12.57</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7EC1">
            <w:pPr>
              <w:spacing w:line="240" w:lineRule="exact"/>
              <w:rPr>
                <w:lang w:val="it-IT"/>
              </w:rPr>
            </w:pPr>
            <w:r w:rsidRPr="0017721C">
              <w:rPr>
                <w:lang w:val="it-IT"/>
              </w:rPr>
              <w:t>Nel caso in cui il contributo stesso venga invece portato in detrazione del costo dell’immobilizzazione, il beneficio di competenza derivante dal contributo affluisce al conto economico attraverso il minor onere di ammortamento?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143)</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12.58</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7EC1">
            <w:pPr>
              <w:spacing w:line="240" w:lineRule="exact"/>
              <w:rPr>
                <w:lang w:val="it-IT"/>
              </w:rPr>
            </w:pPr>
            <w:r w:rsidRPr="0017721C">
              <w:rPr>
                <w:lang w:val="it-IT"/>
              </w:rPr>
              <w:t>La voce accoglie la differenza tra l’ammontare accantonato nel fondo imposte oppure già pagato eccedente rispetto all’ammontare dovuto, riferita alle imposte indirette relative ad esercizi precedenti, nell’esercizio di definizione del contenzioso o dell’accertamento?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7EC1">
            <w:pPr>
              <w:spacing w:line="240" w:lineRule="exact"/>
              <w:rPr>
                <w:i/>
              </w:rPr>
            </w:pPr>
            <w:r w:rsidRPr="0017721C">
              <w:rPr>
                <w:i/>
              </w:rPr>
              <w:t>B - Costi della produzione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144)</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12.58</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7EC1">
            <w:pPr>
              <w:spacing w:line="240" w:lineRule="exact"/>
              <w:rPr>
                <w:lang w:val="it-IT"/>
              </w:rPr>
            </w:pPr>
            <w:r w:rsidRPr="0017721C">
              <w:rPr>
                <w:lang w:val="it-IT"/>
              </w:rPr>
              <w:t>Gli importi sono rilevati al netto di resi, sconti, abbuoni e premi?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7EC1">
            <w:pPr>
              <w:spacing w:line="240" w:lineRule="exact"/>
              <w:rPr>
                <w:i/>
                <w:lang w:val="it-IT"/>
              </w:rPr>
            </w:pPr>
            <w:r w:rsidRPr="0017721C">
              <w:rPr>
                <w:i/>
                <w:lang w:val="it-IT"/>
              </w:rPr>
              <w:t>B6) Costi per materie prime, sussidiarie, di consumo e merci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145)</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12.59</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7EC1">
            <w:pPr>
              <w:spacing w:line="240" w:lineRule="exact"/>
              <w:rPr>
                <w:lang w:val="it-IT"/>
              </w:rPr>
            </w:pPr>
            <w:r w:rsidRPr="0017721C">
              <w:rPr>
                <w:lang w:val="it-IT"/>
              </w:rPr>
              <w:t>La voce include i costi accessori di acquisto se inclusi dal fornitore nel prezzo di acquisto delle materie prime e merci?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146)</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12.60</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7EC1">
            <w:pPr>
              <w:spacing w:line="240" w:lineRule="exact"/>
              <w:rPr>
                <w:lang w:val="it-IT"/>
              </w:rPr>
            </w:pPr>
            <w:r w:rsidRPr="0017721C">
              <w:rPr>
                <w:lang w:val="it-IT"/>
              </w:rPr>
              <w:t>Sono state detratte dal costo dei beni le imposte recuperabili come l’IVA, mentre eventuali imposte di fabbricazione o l’IVA non recuperabile sono incorporate nel costo di acquisto dei beni?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147)</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12.61</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7EC1">
            <w:pPr>
              <w:spacing w:line="240" w:lineRule="exact"/>
              <w:rPr>
                <w:lang w:val="it-IT"/>
              </w:rPr>
            </w:pPr>
            <w:r w:rsidRPr="0017721C">
              <w:rPr>
                <w:lang w:val="it-IT"/>
              </w:rPr>
              <w:t xml:space="preserve">Sono imputati a questa voce i costi di  importo stimato non ancora documentato, per i quali sono stati effettuati degli appositi accertamenti?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148)</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12.62</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7EC1">
            <w:pPr>
              <w:spacing w:line="240" w:lineRule="exact"/>
              <w:rPr>
                <w:lang w:val="it-IT"/>
              </w:rPr>
            </w:pPr>
            <w:r w:rsidRPr="0017721C">
              <w:rPr>
                <w:lang w:val="it-IT"/>
              </w:rPr>
              <w:t>Si rilevano in questa voce anche i costi per acquisti di beni destinati a mense, asili o circoli ricreativi per il personale?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7EC1">
            <w:pPr>
              <w:keepNext/>
              <w:spacing w:line="240" w:lineRule="exact"/>
              <w:outlineLvl w:val="3"/>
              <w:rPr>
                <w:i/>
              </w:rPr>
            </w:pPr>
            <w:r w:rsidRPr="0017721C">
              <w:rPr>
                <w:i/>
              </w:rPr>
              <w:t>B7) Costi per servizi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149)</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12.63</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7EC1">
            <w:pPr>
              <w:spacing w:line="240" w:lineRule="exact"/>
              <w:rPr>
                <w:lang w:val="it-IT"/>
              </w:rPr>
            </w:pPr>
            <w:r w:rsidRPr="0017721C">
              <w:rPr>
                <w:lang w:val="it-IT"/>
              </w:rPr>
              <w:t>La voce include i costi, certi o stimati (al netto delle rettifiche quali sconti, abbuoni o premi di natura non finanziaria) derivanti dall’acquisizione di servizi?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8C7EC1">
            <w:pPr>
              <w:pageBreakBefore/>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8C7EC1">
            <w:pPr>
              <w:pageBreakBefore/>
              <w:spacing w:before="40" w:line="240" w:lineRule="auto"/>
              <w:ind w:left="-57"/>
              <w:jc w:val="left"/>
              <w:rPr>
                <w:sz w:val="13"/>
                <w:szCs w:val="13"/>
                <w:lang w:val="it-IT"/>
              </w:rPr>
            </w:pPr>
            <w:r w:rsidRPr="0017721C">
              <w:rPr>
                <w:sz w:val="13"/>
                <w:szCs w:val="13"/>
                <w:lang w:val="it-IT"/>
              </w:rPr>
              <w:t>OIC 12.63                     OIC 12.64</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A titolo esemplificativo e non esaustivo, si indicano i seguenti costi:</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line="200" w:lineRule="exact"/>
              <w:ind w:left="170" w:right="57" w:hanging="113"/>
              <w:rPr>
                <w:sz w:val="16"/>
                <w:szCs w:val="16"/>
                <w:lang w:val="it-IT"/>
              </w:rPr>
            </w:pPr>
            <w:r w:rsidRPr="0017721C">
              <w:rPr>
                <w:sz w:val="16"/>
                <w:szCs w:val="16"/>
                <w:lang w:val="it-IT"/>
              </w:rPr>
              <w:t xml:space="preserve">- </w:t>
            </w:r>
            <w:r w:rsidRPr="0017721C">
              <w:rPr>
                <w:sz w:val="16"/>
                <w:szCs w:val="16"/>
                <w:lang w:val="it-IT"/>
              </w:rPr>
              <w:tab/>
              <w:t>trasporti (se non addebitati in fattura dai fornitori di materie e merci);</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line="200" w:lineRule="exact"/>
              <w:ind w:left="170" w:right="57" w:hanging="113"/>
              <w:rPr>
                <w:sz w:val="16"/>
                <w:szCs w:val="16"/>
                <w:lang w:val="it-IT"/>
              </w:rPr>
            </w:pPr>
            <w:r w:rsidRPr="0017721C">
              <w:rPr>
                <w:sz w:val="16"/>
                <w:szCs w:val="16"/>
                <w:lang w:val="it-IT"/>
              </w:rPr>
              <w:t>-</w:t>
            </w:r>
            <w:r w:rsidRPr="0017721C">
              <w:rPr>
                <w:sz w:val="16"/>
                <w:szCs w:val="16"/>
                <w:lang w:val="it-IT"/>
              </w:rPr>
              <w:tab/>
              <w:t>assicurazioni (se non addebitate come sopra);</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line="200" w:lineRule="exact"/>
              <w:ind w:left="170" w:right="57" w:hanging="113"/>
              <w:rPr>
                <w:sz w:val="16"/>
                <w:szCs w:val="16"/>
                <w:lang w:val="it-IT"/>
              </w:rPr>
            </w:pPr>
            <w:r w:rsidRPr="0017721C">
              <w:rPr>
                <w:sz w:val="16"/>
                <w:szCs w:val="16"/>
                <w:lang w:val="it-IT"/>
              </w:rPr>
              <w:t>-</w:t>
            </w:r>
            <w:r w:rsidRPr="0017721C">
              <w:rPr>
                <w:sz w:val="16"/>
                <w:szCs w:val="16"/>
                <w:lang w:val="it-IT"/>
              </w:rPr>
              <w:tab/>
              <w:t>energia elettrica, telefono, acqua, gas ed altre utenze;</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line="200" w:lineRule="exact"/>
              <w:ind w:left="170" w:right="57" w:hanging="113"/>
              <w:rPr>
                <w:sz w:val="16"/>
                <w:szCs w:val="16"/>
                <w:lang w:val="it-IT"/>
              </w:rPr>
            </w:pPr>
            <w:r w:rsidRPr="0017721C">
              <w:rPr>
                <w:sz w:val="16"/>
                <w:szCs w:val="16"/>
                <w:lang w:val="it-IT"/>
              </w:rPr>
              <w:t>-</w:t>
            </w:r>
            <w:r w:rsidRPr="0017721C">
              <w:rPr>
                <w:sz w:val="16"/>
                <w:szCs w:val="16"/>
                <w:lang w:val="it-IT"/>
              </w:rPr>
              <w:tab/>
              <w:t>viaggio e soggiorno;</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line="200" w:lineRule="exact"/>
              <w:ind w:left="170" w:right="57" w:hanging="113"/>
              <w:rPr>
                <w:sz w:val="16"/>
                <w:szCs w:val="16"/>
                <w:lang w:val="it-IT"/>
              </w:rPr>
            </w:pPr>
            <w:r w:rsidRPr="0017721C">
              <w:rPr>
                <w:sz w:val="16"/>
                <w:szCs w:val="16"/>
                <w:lang w:val="it-IT"/>
              </w:rPr>
              <w:t>-</w:t>
            </w:r>
            <w:r w:rsidRPr="0017721C">
              <w:rPr>
                <w:sz w:val="16"/>
                <w:szCs w:val="16"/>
                <w:lang w:val="it-IT"/>
              </w:rPr>
              <w:tab/>
              <w:t>riparazioni e manutenzioni eseguite da imprese esterne;</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line="200" w:lineRule="exact"/>
              <w:ind w:left="170" w:right="57" w:hanging="113"/>
              <w:rPr>
                <w:sz w:val="16"/>
                <w:szCs w:val="16"/>
                <w:lang w:val="it-IT"/>
              </w:rPr>
            </w:pPr>
            <w:r w:rsidRPr="0017721C">
              <w:rPr>
                <w:sz w:val="16"/>
                <w:szCs w:val="16"/>
                <w:lang w:val="it-IT"/>
              </w:rPr>
              <w:t>-</w:t>
            </w:r>
            <w:r w:rsidRPr="0017721C">
              <w:rPr>
                <w:sz w:val="16"/>
                <w:szCs w:val="16"/>
                <w:lang w:val="it-IT"/>
              </w:rPr>
              <w:tab/>
              <w:t>lavorazioni eseguite da terzi;</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line="200" w:lineRule="exact"/>
              <w:ind w:left="170" w:right="57" w:hanging="113"/>
              <w:rPr>
                <w:sz w:val="16"/>
                <w:szCs w:val="16"/>
                <w:lang w:val="it-IT"/>
              </w:rPr>
            </w:pPr>
            <w:r w:rsidRPr="0017721C">
              <w:rPr>
                <w:sz w:val="16"/>
                <w:szCs w:val="16"/>
                <w:lang w:val="it-IT"/>
              </w:rPr>
              <w:t>-</w:t>
            </w:r>
            <w:r w:rsidRPr="0017721C">
              <w:rPr>
                <w:sz w:val="16"/>
                <w:szCs w:val="16"/>
                <w:lang w:val="it-IT"/>
              </w:rPr>
              <w:tab/>
              <w:t>consulenze tecniche, legali, fiscali, amministrative e commerciali e revisione contabile;</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line="200" w:lineRule="exact"/>
              <w:ind w:left="170" w:right="57" w:hanging="113"/>
              <w:rPr>
                <w:sz w:val="16"/>
                <w:szCs w:val="16"/>
                <w:lang w:val="it-IT"/>
              </w:rPr>
            </w:pPr>
            <w:r w:rsidRPr="0017721C">
              <w:rPr>
                <w:sz w:val="16"/>
                <w:szCs w:val="16"/>
                <w:lang w:val="it-IT"/>
              </w:rPr>
              <w:t>-</w:t>
            </w:r>
            <w:r w:rsidRPr="0017721C">
              <w:rPr>
                <w:sz w:val="16"/>
                <w:szCs w:val="16"/>
                <w:lang w:val="it-IT"/>
              </w:rPr>
              <w:tab/>
              <w:t>pubblicità e promozione;</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line="200" w:lineRule="exact"/>
              <w:ind w:left="170" w:right="57" w:hanging="113"/>
              <w:rPr>
                <w:sz w:val="16"/>
                <w:szCs w:val="16"/>
                <w:lang w:val="it-IT"/>
              </w:rPr>
            </w:pPr>
            <w:r w:rsidRPr="0017721C">
              <w:rPr>
                <w:sz w:val="16"/>
                <w:szCs w:val="16"/>
                <w:lang w:val="it-IT"/>
              </w:rPr>
              <w:t>-</w:t>
            </w:r>
            <w:r w:rsidRPr="0017721C">
              <w:rPr>
                <w:sz w:val="16"/>
                <w:szCs w:val="16"/>
                <w:lang w:val="it-IT"/>
              </w:rPr>
              <w:tab/>
              <w:t>provvigioni e rimborsi spese ad agenti e rappresentanti;</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line="200" w:lineRule="exact"/>
              <w:ind w:left="170" w:right="57" w:hanging="113"/>
              <w:rPr>
                <w:sz w:val="16"/>
                <w:szCs w:val="16"/>
                <w:lang w:val="it-IT"/>
              </w:rPr>
            </w:pPr>
            <w:r w:rsidRPr="0017721C">
              <w:rPr>
                <w:sz w:val="16"/>
                <w:szCs w:val="16"/>
                <w:lang w:val="it-IT"/>
              </w:rPr>
              <w:t>-</w:t>
            </w:r>
            <w:r w:rsidRPr="0017721C">
              <w:rPr>
                <w:sz w:val="16"/>
                <w:szCs w:val="16"/>
                <w:lang w:val="it-IT"/>
              </w:rPr>
              <w:tab/>
              <w:t xml:space="preserve"> servizi esterni di vigilanza;</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line="200" w:lineRule="exact"/>
              <w:ind w:left="170" w:right="57" w:hanging="113"/>
              <w:rPr>
                <w:sz w:val="16"/>
                <w:szCs w:val="16"/>
                <w:lang w:val="it-IT"/>
              </w:rPr>
            </w:pPr>
            <w:r w:rsidRPr="0017721C">
              <w:rPr>
                <w:sz w:val="16"/>
                <w:szCs w:val="16"/>
                <w:lang w:val="it-IT"/>
              </w:rPr>
              <w:t>-</w:t>
            </w:r>
            <w:r w:rsidRPr="0017721C">
              <w:rPr>
                <w:sz w:val="16"/>
                <w:szCs w:val="16"/>
                <w:lang w:val="it-IT"/>
              </w:rPr>
              <w:tab/>
              <w:t xml:space="preserve"> servizi esterni di pulizia;</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line="200" w:lineRule="exact"/>
              <w:ind w:left="170" w:right="57" w:hanging="113"/>
              <w:rPr>
                <w:sz w:val="16"/>
                <w:szCs w:val="16"/>
                <w:lang w:val="it-IT"/>
              </w:rPr>
            </w:pPr>
            <w:r w:rsidRPr="0017721C">
              <w:rPr>
                <w:sz w:val="16"/>
                <w:szCs w:val="16"/>
                <w:lang w:val="it-IT"/>
              </w:rPr>
              <w:t>-</w:t>
            </w:r>
            <w:r w:rsidRPr="0017721C">
              <w:rPr>
                <w:sz w:val="16"/>
                <w:szCs w:val="16"/>
                <w:lang w:val="it-IT"/>
              </w:rPr>
              <w:tab/>
              <w:t>royalties e canoni diversi da quelli rilevabili nella voce B8 (ad esempio, management fee corrisposte, nell’ambito dei gruppi, alla società controllante);</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line="200" w:lineRule="exact"/>
              <w:ind w:left="170" w:right="57" w:hanging="113"/>
              <w:rPr>
                <w:sz w:val="16"/>
                <w:szCs w:val="16"/>
                <w:lang w:val="it-IT"/>
              </w:rPr>
            </w:pPr>
            <w:r w:rsidRPr="0017721C">
              <w:rPr>
                <w:sz w:val="16"/>
                <w:szCs w:val="16"/>
                <w:lang w:val="it-IT"/>
              </w:rPr>
              <w:t>-</w:t>
            </w:r>
            <w:r w:rsidRPr="0017721C">
              <w:rPr>
                <w:sz w:val="16"/>
                <w:szCs w:val="16"/>
                <w:lang w:val="it-IT"/>
              </w:rPr>
              <w:tab/>
              <w:t>compensi e rimborsi spese ad amministratori, sindaci e revisori esterni;</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line="200" w:lineRule="exact"/>
              <w:ind w:left="170" w:right="57" w:hanging="113"/>
              <w:rPr>
                <w:sz w:val="16"/>
                <w:szCs w:val="16"/>
                <w:lang w:val="it-IT"/>
              </w:rPr>
            </w:pPr>
            <w:r w:rsidRPr="0017721C">
              <w:rPr>
                <w:sz w:val="16"/>
                <w:szCs w:val="16"/>
                <w:lang w:val="it-IT"/>
              </w:rPr>
              <w:t>-</w:t>
            </w:r>
            <w:r w:rsidRPr="0017721C">
              <w:rPr>
                <w:sz w:val="16"/>
                <w:szCs w:val="16"/>
                <w:lang w:val="it-IT"/>
              </w:rPr>
              <w:tab/>
              <w:t>costi per il personale distaccato presso la società e dipendente da altre società;</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line="200" w:lineRule="exact"/>
              <w:ind w:left="170" w:right="57" w:hanging="113"/>
              <w:rPr>
                <w:sz w:val="16"/>
                <w:szCs w:val="16"/>
                <w:lang w:val="it-IT"/>
              </w:rPr>
            </w:pPr>
            <w:r w:rsidRPr="0017721C">
              <w:rPr>
                <w:sz w:val="16"/>
                <w:szCs w:val="16"/>
                <w:lang w:val="it-IT"/>
              </w:rPr>
              <w:t>-</w:t>
            </w:r>
            <w:r w:rsidRPr="0017721C">
              <w:rPr>
                <w:sz w:val="16"/>
                <w:szCs w:val="16"/>
                <w:lang w:val="it-IT"/>
              </w:rPr>
              <w:tab/>
              <w:t>accantonamenti ai fondi di indennità per la cessazione di rapporti di agenzia e rappresentanza, ai fondi di indennità suppletiva di clientela ed ai fondi di indennità per la cessazione di rapporti di collaborazione coordinata e continuativa;</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before="40" w:line="200" w:lineRule="exact"/>
              <w:ind w:left="170" w:right="57" w:hanging="113"/>
              <w:rPr>
                <w:sz w:val="16"/>
                <w:szCs w:val="16"/>
                <w:lang w:val="it-IT"/>
              </w:rPr>
            </w:pPr>
            <w:r w:rsidRPr="0017721C">
              <w:rPr>
                <w:sz w:val="16"/>
                <w:szCs w:val="16"/>
                <w:lang w:val="it-IT"/>
              </w:rPr>
              <w:t>-</w:t>
            </w:r>
            <w:r w:rsidRPr="0017721C">
              <w:rPr>
                <w:sz w:val="16"/>
                <w:szCs w:val="16"/>
                <w:lang w:val="it-IT"/>
              </w:rPr>
              <w:tab/>
              <w:t xml:space="preserve">corrispettivi per prestazioni di lavoro autonomo in base a rapporti di collaborazione coordinata e continuativa senza vincolo di subordinazione; prestazioni di personale esterno e altre prestazioni d’opera per mense aziendali, colonie, asili, circoli ricreativi, ecc.; </w:t>
            </w:r>
            <w:r w:rsidRPr="0017721C">
              <w:rPr>
                <w:sz w:val="16"/>
                <w:szCs w:val="16"/>
                <w:lang w:val="it-IT"/>
              </w:rPr>
              <w:sym w:font="Arial Narrow" w:char="F02D"/>
            </w:r>
            <w:r w:rsidRPr="0017721C">
              <w:rPr>
                <w:sz w:val="16"/>
                <w:szCs w:val="16"/>
                <w:lang w:val="it-IT"/>
              </w:rPr>
              <w:t xml:space="preserve"> costi per mense gestite da terzi in base a contratti di appalto o di somministrazione o di altre forme di convenzione al netto dei costi addebitati ai dipendenti; </w:t>
            </w:r>
            <w:r w:rsidRPr="0017721C">
              <w:rPr>
                <w:sz w:val="16"/>
                <w:szCs w:val="16"/>
                <w:lang w:val="it-IT"/>
              </w:rPr>
              <w:sym w:font="Arial Narrow" w:char="F02D"/>
            </w:r>
            <w:r w:rsidRPr="0017721C">
              <w:rPr>
                <w:sz w:val="16"/>
                <w:szCs w:val="16"/>
                <w:lang w:val="it-IT"/>
              </w:rPr>
              <w:t xml:space="preserve"> costi di buoni pasto distribuiti ai dipendenti; costi per corsi di aggiornamento professionale dei dipendenti; </w:t>
            </w:r>
            <w:r w:rsidRPr="0017721C">
              <w:rPr>
                <w:sz w:val="16"/>
                <w:szCs w:val="16"/>
                <w:lang w:val="it-IT"/>
              </w:rPr>
              <w:sym w:font="Arial Narrow" w:char="F02D"/>
            </w:r>
            <w:r w:rsidRPr="0017721C">
              <w:rPr>
                <w:sz w:val="16"/>
                <w:szCs w:val="16"/>
                <w:lang w:val="it-IT"/>
              </w:rPr>
              <w:t xml:space="preserve"> costi per servizi di vitto e alloggio di dipendenti in trasferta.</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Inoltre: costi per i servizi eseguiti da banche ed imprese finanziarie, diversi dagli oneri finanziari come ad esempio: noleggio di cassette di sicurezza, servizi di pagamento di utenze, costi per la custodia di titoli, commissioni per fidejussioni (purché non finalizzate all’ottenimento di finanziamenti), spese e commissioni di factoring (ma non quelle aventi natura di oneri finanziari).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8C7EC1">
            <w:pPr>
              <w:pageBreakBefore/>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8C7EC1">
            <w:pPr>
              <w:pageBreakBefore/>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8C7EC1">
            <w:pPr>
              <w:pageBreakBefore/>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spacing w:line="240" w:lineRule="exact"/>
              <w:rPr>
                <w:i/>
                <w:lang w:val="it-IT"/>
              </w:rPr>
            </w:pPr>
            <w:r w:rsidRPr="0017721C">
              <w:rPr>
                <w:i/>
                <w:lang w:val="it-IT"/>
              </w:rPr>
              <w:t>B8) Costi per godimento di beni di terzi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150)</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12.65</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spacing w:line="240" w:lineRule="exact"/>
              <w:rPr>
                <w:lang w:val="it-IT"/>
              </w:rPr>
            </w:pPr>
            <w:r w:rsidRPr="0017721C">
              <w:rPr>
                <w:lang w:val="it-IT"/>
              </w:rPr>
              <w:t>La voce include i corrispettivi per il godimento di beni di terzi materiali e immateriali, ed i canoni periodici corrisposti a terzi per usufrutto di beni, enfiteusi e diritto di superficie?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widowControl w:val="0"/>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widowControl w:val="0"/>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widowControl w:val="0"/>
              <w:spacing w:line="240" w:lineRule="exact"/>
              <w:rPr>
                <w:i/>
                <w:lang w:val="it-IT"/>
              </w:rPr>
            </w:pPr>
            <w:r w:rsidRPr="0017721C">
              <w:rPr>
                <w:i/>
                <w:lang w:val="it-IT"/>
              </w:rPr>
              <w:t>B9) Costi per il personale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widowControl w:val="0"/>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widowControl w:val="0"/>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widowControl w:val="0"/>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151)</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12.66</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spacing w:line="240" w:lineRule="exact"/>
              <w:rPr>
                <w:lang w:val="it-IT"/>
              </w:rPr>
            </w:pPr>
            <w:r w:rsidRPr="0017721C">
              <w:rPr>
                <w:lang w:val="it-IT"/>
              </w:rPr>
              <w:t>La voce include tutti i costi sostenuti nell’esercizio per il personale dipendente, includendo il costo per lavoro interinale?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12.67</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B9a) Salari e stipendi</w:t>
            </w:r>
          </w:p>
          <w:p w:rsidR="0017721C" w:rsidRPr="0017721C" w:rsidRDefault="0017721C" w:rsidP="007C5670">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Sono rilevati i salari e gli stipendi (comprensivi di tutti gli elementi fissi e variabili che entrano a comporre la retribuzione per legge e/o per contratto) comprensivi delle quote maturate e non corrisposte relative a mensilità aggiuntive e ferie maturate e non godute al lordo delle ritenute per imposte ed oneri sociali a carico del dipendente. Si comprendono in questa voce anche i compensi per lavoro straordinario, le indennità e tutti gli altri elementi che compongono la retribuzione lorda figurante in busta paga (ad esempio, indennità per rischio, indennità sostitutiva di mensa, indennità di trasferta, indennità di mancato preavviso, premi aziendali.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12.68</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B9b) Oneri sociali</w:t>
            </w:r>
          </w:p>
          <w:p w:rsidR="0017721C" w:rsidRPr="0017721C" w:rsidRDefault="0017721C" w:rsidP="007C5670">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Sono rilevati gli oneri a carico della società da corrispondere ai vari enti previdenziali ed assicurativi (INPS, INAIL, INPDAI, ecc.), al netto degli importi “fiscalizzati” in base a disposizioni di legge sulla fiscalizzazione degli oneri sociali. Si comprendono in questa voce anche gli oneri sociali afferenti le quote delle mensilità aggiuntive e ferie maturate e non godute e quanto previsto all’ultimo periodo del precedente punto 9a).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12.69</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B9c) Trattamento di fine rapporto</w:t>
            </w:r>
          </w:p>
          <w:p w:rsidR="0017721C" w:rsidRPr="0017721C" w:rsidRDefault="0017721C" w:rsidP="007C5670">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È rilevato in questa voce l’accantonamento, di competenza dell’esercizio, per il trattamento di fine rapporto maturato a favore dei dipendenti, ai sensi dell’articolo 2120 del codice civile. Il costo è rilevato (con contropartita la voce C del Passivo dello Stato Patrimoniale), anche se la società ha stipulato polizze assicurative a garanzia del TFR. In questa voce è rilevato anche l’importo del TFR maturato a favore di dipendenti il cui rapporto di lavoro è venuto a cessare nel corso dell’esercizio, per il periodo compreso fra l’inizio nell’esercizio e la data di cessazione del rapporto.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12.70</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B9d) Trattamento di quiescenza e simili</w:t>
            </w:r>
          </w:p>
          <w:p w:rsidR="0017721C" w:rsidRPr="0017721C" w:rsidRDefault="0017721C" w:rsidP="007C5670">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Si tratta degli accantonamenti ad eventuali fondi di previdenza integrativi diversi dal TFR e previsti in genere dai contratti collettivi di lavoro, da accordi aziendali o da norme aziendali interne. La voce 9d) rileva l’importo dell’accantonamento a questi fondi, nonché gli eventuali importi maturati per una frazione d’esercizio, se il diritto a percepire il trattamento per il dipendente sorge nel corso dell’anno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7C5670">
            <w:pPr>
              <w:pageBreakBefore/>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7C5670">
            <w:pPr>
              <w:pageBreakBefore/>
              <w:spacing w:before="40" w:line="240" w:lineRule="auto"/>
              <w:ind w:left="-57"/>
              <w:jc w:val="left"/>
              <w:rPr>
                <w:sz w:val="13"/>
                <w:szCs w:val="13"/>
                <w:lang w:val="it-IT"/>
              </w:rPr>
            </w:pPr>
            <w:r w:rsidRPr="0017721C">
              <w:rPr>
                <w:sz w:val="13"/>
                <w:szCs w:val="13"/>
                <w:lang w:val="it-IT"/>
              </w:rPr>
              <w:t>OIC 12.71</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B9e) Altri costi</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In questa voce si iscrivono tutti gli altri costi relativi, direttamente o indirettamente, al personale dipendente, che non siano stati iscritti nelle precedenti sotto-voci o nelle voci B6, B7 o B8, o che non trovino più appropriata collocazione alla voce B14. A titolo esemplificativo e non esaustivo si indicano i seguenti costi:</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before="40" w:line="190" w:lineRule="exact"/>
              <w:ind w:left="57" w:right="57"/>
              <w:rPr>
                <w:sz w:val="16"/>
                <w:szCs w:val="16"/>
                <w:lang w:val="it-IT"/>
              </w:rPr>
            </w:pPr>
            <w:r w:rsidRPr="0017721C">
              <w:rPr>
                <w:sz w:val="16"/>
                <w:szCs w:val="16"/>
                <w:lang w:val="it-IT"/>
              </w:rPr>
              <w:t xml:space="preserve">- </w:t>
            </w:r>
            <w:r w:rsidRPr="0017721C">
              <w:rPr>
                <w:sz w:val="16"/>
                <w:szCs w:val="16"/>
                <w:lang w:val="it-IT"/>
              </w:rPr>
              <w:tab/>
              <w:t>indennità per prepensionamento versate al personale ed altre forme di incentivi all’esodo ;</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before="0" w:line="190" w:lineRule="exact"/>
              <w:ind w:left="57" w:right="57"/>
              <w:rPr>
                <w:sz w:val="16"/>
                <w:szCs w:val="16"/>
                <w:lang w:val="it-IT"/>
              </w:rPr>
            </w:pPr>
            <w:r w:rsidRPr="0017721C">
              <w:rPr>
                <w:sz w:val="16"/>
                <w:szCs w:val="16"/>
                <w:lang w:val="it-IT"/>
              </w:rPr>
              <w:t xml:space="preserve">- </w:t>
            </w:r>
            <w:r w:rsidRPr="0017721C">
              <w:rPr>
                <w:sz w:val="16"/>
                <w:szCs w:val="16"/>
                <w:lang w:val="it-IT"/>
              </w:rPr>
              <w:tab/>
              <w:t>quote associative versate a favore dei dipendenti;</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line="190" w:lineRule="exact"/>
              <w:ind w:left="57" w:right="57"/>
              <w:rPr>
                <w:sz w:val="16"/>
                <w:szCs w:val="16"/>
                <w:lang w:val="it-IT"/>
              </w:rPr>
            </w:pPr>
            <w:r w:rsidRPr="0017721C">
              <w:rPr>
                <w:sz w:val="16"/>
                <w:szCs w:val="16"/>
                <w:lang w:val="it-IT"/>
              </w:rPr>
              <w:t xml:space="preserve">- </w:t>
            </w:r>
            <w:r w:rsidRPr="0017721C">
              <w:rPr>
                <w:sz w:val="16"/>
                <w:szCs w:val="16"/>
                <w:lang w:val="it-IT"/>
              </w:rPr>
              <w:tab/>
              <w:t>borse di studio a favore dei dipendenti e dei loro familiari;</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before="0" w:line="190" w:lineRule="exact"/>
              <w:ind w:left="57" w:right="57"/>
              <w:rPr>
                <w:sz w:val="16"/>
                <w:szCs w:val="16"/>
                <w:lang w:val="it-IT"/>
              </w:rPr>
            </w:pPr>
            <w:r w:rsidRPr="0017721C">
              <w:rPr>
                <w:sz w:val="16"/>
                <w:szCs w:val="16"/>
                <w:lang w:val="it-IT"/>
              </w:rPr>
              <w:t>-</w:t>
            </w:r>
            <w:r w:rsidRPr="0017721C">
              <w:rPr>
                <w:sz w:val="16"/>
                <w:szCs w:val="16"/>
                <w:lang w:val="it-IT"/>
              </w:rPr>
              <w:tab/>
              <w:t>oneri di utilità sociale che si concretizzano in erogazioni dirette a favore dei dipendenti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7C5670">
            <w:pPr>
              <w:pageBreakBefore/>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7C5670">
            <w:pPr>
              <w:pageBreakBefore/>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7C5670">
            <w:pPr>
              <w:pageBreakBefore/>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utlineLvl w:val="3"/>
              <w:rPr>
                <w:i/>
              </w:rPr>
            </w:pPr>
            <w:r w:rsidRPr="0017721C">
              <w:rPr>
                <w:i/>
              </w:rPr>
              <w:t>B10) Ammortamenti e svalutazioni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152)</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12.72</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La voce include tutti gli ammortamenti e le svalutazioni delle immobilizzazioni materiali ed immateriali e le svalutazioni dei crediti compresi nell’attivo circolante e delle disponibilità liquide, con esclusione delle svalutazioni delle immobilizzazioni finanziarie che sono rilevate alla voce D 19?</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12.73</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900982">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B10a) Ammortamento delle immobilizzazioni immateriali</w:t>
            </w:r>
          </w:p>
          <w:p w:rsidR="0017721C" w:rsidRPr="0017721C" w:rsidRDefault="0017721C" w:rsidP="00900982">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La voce comprende gli ammortamenti economico-tecnici delle immobilizzazioni immateriali iscrivibili nella classe BI dell’attivo dello stato patrimoniale.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12.74</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900982">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B10b) Ammortamento delle immobilizzazioni materiali</w:t>
            </w:r>
          </w:p>
          <w:p w:rsidR="0017721C" w:rsidRPr="0017721C" w:rsidRDefault="0017721C" w:rsidP="00900982">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La voce comprende gli ammortamenti economico-tecnici delle immobilizzazioni materiali iscrivibili nella classe BII dell’attivo dello stato patrimoniale.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12.75</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900982">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B10c) Altre svalutazioni delle immobilizzazioni</w:t>
            </w:r>
          </w:p>
          <w:p w:rsidR="0017721C" w:rsidRPr="0017721C" w:rsidRDefault="0017721C" w:rsidP="007C5670">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La voce comprende le svalutazioni per perdite durevoli di valore, delle immobilizzazioni materiali ed immateriali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12.76</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B10d) Svalutazioni dei crediti compresi nell’attivo circolante e delle disponibilità liquide</w:t>
            </w:r>
          </w:p>
          <w:p w:rsidR="0017721C" w:rsidRPr="0017721C" w:rsidRDefault="0017721C" w:rsidP="007C5670">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Comprende le svalutazioni dei crediti commerciali e diversi iscritti nell’attivo circolante. Sono iscritte, invece, alla voce B14 le perdite realizzate su crediti e quindi non derivanti da valutazioni, come ad esempio le perdite conseguenti a riconoscimento giudiziale di un minore importo rispetto a quello iscritto, per la parte che eccede l’importo del credito già svalutato; la differenza tra il corrispettivo e il valore contabile del credito al momento della cessione; le riduzioni di crediti iscritti in bilancio a seguito di transazioni; le perdite conseguenti a prescrizione di crediti (i proventi derivanti da prescrizione di debiti sono classificabili alla voce A5). Le svalutazioni dei crediti finanziari immobilizzati, invece, sono iscritti alla voce D19.</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8C7EC1">
            <w:pPr>
              <w:widowControl w:val="0"/>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8C7EC1">
            <w:pPr>
              <w:widowControl w:val="0"/>
              <w:spacing w:before="40" w:line="240" w:lineRule="auto"/>
              <w:ind w:left="-57"/>
              <w:jc w:val="left"/>
              <w:rPr>
                <w:sz w:val="13"/>
                <w:szCs w:val="13"/>
                <w:lang w:val="it-IT"/>
              </w:rPr>
            </w:pPr>
            <w:r w:rsidRPr="0017721C">
              <w:rPr>
                <w:sz w:val="13"/>
                <w:szCs w:val="13"/>
                <w:lang w:val="it-IT"/>
              </w:rPr>
              <w:t>OIC 12.77</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widowControl w:val="0"/>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La voce B10d) comprende anche le svalutazioni dei ratei e risconti attivi riferibili a componenti reddituali di natura non finanziaria (ad esempio, derivanti da contratti di affitto). Le svalutazioni dei ratei e risconti attivi riferibili a componenti reddituali di natura finanziaria (ad esempio,interessi) sono incluse nelle voci delle classi C o D.</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8C7EC1">
            <w:pPr>
              <w:widowControl w:val="0"/>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8C7EC1">
            <w:pPr>
              <w:widowControl w:val="0"/>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8C7EC1">
            <w:pPr>
              <w:widowControl w:val="0"/>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900982">
            <w:pPr>
              <w:spacing w:line="240" w:lineRule="exact"/>
              <w:rPr>
                <w:i/>
                <w:lang w:val="it-IT"/>
              </w:rPr>
            </w:pPr>
            <w:r w:rsidRPr="0017721C">
              <w:rPr>
                <w:i/>
                <w:lang w:val="it-IT"/>
              </w:rPr>
              <w:t>B11) Variazioni delle rimanenze di materie prime, sussidiarie, di consumo e merci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153)</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12.78</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900982">
            <w:pPr>
              <w:spacing w:line="240" w:lineRule="exact"/>
              <w:rPr>
                <w:lang w:val="it-IT"/>
              </w:rPr>
            </w:pPr>
            <w:r w:rsidRPr="0017721C">
              <w:rPr>
                <w:lang w:val="it-IT"/>
              </w:rPr>
              <w:t>La voce accoglie le differenze fra rimanenze iniziali e rimanenze finali relative ai beni da magazzino indicati alla voce B6?</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12.78</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La somma algebrica degli importi iscritti nelle voci B6 e B11 determina i “consumi” di materie, semilavorati, merci e materiali impiegati nella produzione realizzata nell’esercizio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154)</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12.78</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spacing w:line="240" w:lineRule="exact"/>
              <w:rPr>
                <w:lang w:val="it-IT"/>
              </w:rPr>
            </w:pPr>
            <w:r w:rsidRPr="0017721C">
              <w:rPr>
                <w:lang w:val="it-IT"/>
              </w:rPr>
              <w:t>L’importo di questa voce tiene conto anche delle eventuali svalutazioni delle rimanenze rispetto al costo di acquisto e dei successivi ripristini di valore nei limiti del costo?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155)</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12.78</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spacing w:line="240" w:lineRule="exact"/>
              <w:rPr>
                <w:lang w:val="it-IT"/>
              </w:rPr>
            </w:pPr>
            <w:r w:rsidRPr="0017721C">
              <w:rPr>
                <w:lang w:val="it-IT"/>
              </w:rPr>
              <w:t>Le differenze in più (rimanenze finali maggiori di quelle iniziali) assumono segno negativo mentre le differenze in meno assumono segno positivo?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spacing w:line="240" w:lineRule="exact"/>
              <w:rPr>
                <w:i/>
              </w:rPr>
            </w:pPr>
            <w:r w:rsidRPr="0017721C">
              <w:rPr>
                <w:i/>
              </w:rPr>
              <w:t>B12) Accantonamenti per rischi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156)</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12.79</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spacing w:line="240" w:lineRule="exact"/>
              <w:rPr>
                <w:lang w:val="it-IT"/>
              </w:rPr>
            </w:pPr>
            <w:r w:rsidRPr="0017721C">
              <w:rPr>
                <w:lang w:val="it-IT"/>
              </w:rPr>
              <w:t>La voce include tutti gli accantonamenti che non hanno correlazione di natura con le classi B,C o D?</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12.80</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194" w:lineRule="atLeast"/>
              <w:ind w:left="57" w:right="57"/>
              <w:rPr>
                <w:sz w:val="16"/>
                <w:szCs w:val="16"/>
                <w:lang w:val="it-IT"/>
              </w:rPr>
            </w:pPr>
            <w:r w:rsidRPr="0017721C">
              <w:rPr>
                <w:sz w:val="16"/>
                <w:szCs w:val="16"/>
                <w:lang w:val="it-IT"/>
              </w:rPr>
              <w:t>A titolo esemplificativo e non esaustivo si indicano gli accantonamenti ai seguenti fondi rischi:</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194" w:lineRule="atLeast"/>
              <w:ind w:left="170" w:right="57" w:hanging="113"/>
              <w:rPr>
                <w:sz w:val="16"/>
                <w:szCs w:val="16"/>
                <w:lang w:val="it-IT"/>
              </w:rPr>
            </w:pPr>
            <w:r w:rsidRPr="0017721C">
              <w:rPr>
                <w:sz w:val="16"/>
                <w:szCs w:val="16"/>
                <w:lang w:val="it-IT"/>
              </w:rPr>
              <w:t>-</w:t>
            </w:r>
            <w:r w:rsidRPr="0017721C">
              <w:rPr>
                <w:sz w:val="16"/>
                <w:szCs w:val="16"/>
                <w:lang w:val="it-IT"/>
              </w:rPr>
              <w:tab/>
              <w:t>fondo rischi per cause in corso;</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194" w:lineRule="atLeast"/>
              <w:ind w:left="170" w:right="57" w:hanging="113"/>
              <w:rPr>
                <w:sz w:val="16"/>
                <w:szCs w:val="16"/>
                <w:lang w:val="it-IT"/>
              </w:rPr>
            </w:pPr>
            <w:r w:rsidRPr="0017721C">
              <w:rPr>
                <w:sz w:val="16"/>
                <w:szCs w:val="16"/>
                <w:lang w:val="it-IT"/>
              </w:rPr>
              <w:t>-</w:t>
            </w:r>
            <w:r w:rsidRPr="0017721C">
              <w:rPr>
                <w:sz w:val="16"/>
                <w:szCs w:val="16"/>
                <w:lang w:val="it-IT"/>
              </w:rPr>
              <w:tab/>
              <w:t>fondo rischi per garanzie prestate a terzi (fidejussioni, patronages, avalli, girate, ecc.);</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194" w:lineRule="atLeast"/>
              <w:ind w:left="170" w:right="57" w:hanging="113"/>
              <w:rPr>
                <w:sz w:val="16"/>
                <w:szCs w:val="16"/>
                <w:lang w:val="it-IT"/>
              </w:rPr>
            </w:pPr>
            <w:r w:rsidRPr="0017721C">
              <w:rPr>
                <w:sz w:val="16"/>
                <w:szCs w:val="16"/>
                <w:lang w:val="it-IT"/>
              </w:rPr>
              <w:t>-</w:t>
            </w:r>
            <w:r w:rsidRPr="0017721C">
              <w:rPr>
                <w:sz w:val="16"/>
                <w:szCs w:val="16"/>
                <w:lang w:val="it-IT"/>
              </w:rPr>
              <w:tab/>
              <w:t>fondo rischi su crediti ceduti.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157)</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12.79</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spacing w:line="240" w:lineRule="exact"/>
              <w:rPr>
                <w:lang w:val="it-IT"/>
              </w:rPr>
            </w:pPr>
            <w:r w:rsidRPr="0017721C">
              <w:rPr>
                <w:lang w:val="it-IT"/>
              </w:rPr>
              <w:t>Sono esclusi gli accantonamenti ai fondi per imposte (a fronte di contenziosi) dirette o indirette?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spacing w:line="240" w:lineRule="exact"/>
              <w:rPr>
                <w:i/>
              </w:rPr>
            </w:pPr>
            <w:r w:rsidRPr="0017721C">
              <w:rPr>
                <w:i/>
              </w:rPr>
              <w:t>B13) Altri accantonamenti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158)</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12.81</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spacing w:line="240" w:lineRule="exact"/>
              <w:rPr>
                <w:lang w:val="it-IT"/>
              </w:rPr>
            </w:pPr>
            <w:r w:rsidRPr="0017721C">
              <w:rPr>
                <w:lang w:val="it-IT"/>
              </w:rPr>
              <w:t>La voce ha natura residuale ed accoglie gli accantonamenti fondi per oneri che non hanno trovato correlazione con altre classi?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194" w:lineRule="atLeast"/>
              <w:ind w:left="57" w:right="57"/>
              <w:rPr>
                <w:sz w:val="16"/>
                <w:szCs w:val="16"/>
                <w:lang w:val="it-IT"/>
              </w:rPr>
            </w:pPr>
            <w:r w:rsidRPr="0017721C">
              <w:rPr>
                <w:sz w:val="16"/>
                <w:szCs w:val="16"/>
                <w:lang w:val="it-IT"/>
              </w:rPr>
              <w:t>Gli accantonamenti ai fondi rischi e oneri sono iscritti prioritariamente nelle voci di costo di conto economico delle pertinenti classi (B, C o D), dovendo prevalere il criterio della classificazione “per natura” dei costi</w:t>
            </w:r>
            <w:r w:rsidR="00222967">
              <w:rPr>
                <w:sz w:val="16"/>
                <w:szCs w:val="16"/>
                <w:lang w:val="it-IT"/>
              </w:rPr>
              <w:t>.</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7C5670">
            <w:pPr>
              <w:pageBreakBefore/>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7C5670">
            <w:pPr>
              <w:pageBreakBefore/>
              <w:spacing w:before="40" w:line="240" w:lineRule="auto"/>
              <w:ind w:left="-57"/>
              <w:jc w:val="left"/>
              <w:rPr>
                <w:sz w:val="13"/>
                <w:szCs w:val="13"/>
                <w:lang w:val="it-IT"/>
              </w:rPr>
            </w:pPr>
            <w:r w:rsidRPr="0017721C">
              <w:rPr>
                <w:sz w:val="13"/>
                <w:szCs w:val="13"/>
                <w:lang w:val="it-IT"/>
              </w:rPr>
              <w:t>OIC 12.82</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A titolo esemplificativo e non esaustivo si indicano gli accantonamenti ai seguenti fondi per oneri:</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w:t>
            </w:r>
            <w:r w:rsidRPr="0017721C">
              <w:rPr>
                <w:sz w:val="16"/>
                <w:szCs w:val="16"/>
                <w:lang w:val="it-IT"/>
              </w:rPr>
              <w:tab/>
              <w:t>fondo per garanzia prodotti;</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w:t>
            </w:r>
            <w:r w:rsidRPr="0017721C">
              <w:rPr>
                <w:sz w:val="16"/>
                <w:szCs w:val="16"/>
                <w:lang w:val="it-IT"/>
              </w:rPr>
              <w:tab/>
              <w:t>fondo per manutenzione ciclica (di impianti, navi, aeromobili. ecc.);</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before="40" w:line="200" w:lineRule="exact"/>
              <w:ind w:left="170" w:right="57" w:hanging="113"/>
              <w:rPr>
                <w:sz w:val="16"/>
                <w:szCs w:val="16"/>
                <w:lang w:val="it-IT"/>
              </w:rPr>
            </w:pPr>
            <w:r w:rsidRPr="0017721C">
              <w:rPr>
                <w:sz w:val="16"/>
                <w:szCs w:val="16"/>
                <w:lang w:val="it-IT"/>
              </w:rPr>
              <w:t>-</w:t>
            </w:r>
            <w:r w:rsidRPr="0017721C">
              <w:rPr>
                <w:sz w:val="16"/>
                <w:szCs w:val="16"/>
                <w:lang w:val="it-IT"/>
              </w:rPr>
              <w:tab/>
              <w:t>fondo per buoni sconti e concorsi a premio;</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before="40" w:line="200" w:lineRule="exact"/>
              <w:ind w:left="170" w:right="57" w:hanging="113"/>
              <w:rPr>
                <w:sz w:val="16"/>
                <w:szCs w:val="16"/>
                <w:lang w:val="it-IT"/>
              </w:rPr>
            </w:pPr>
            <w:r w:rsidRPr="0017721C">
              <w:rPr>
                <w:sz w:val="16"/>
                <w:szCs w:val="16"/>
                <w:lang w:val="it-IT"/>
              </w:rPr>
              <w:t>-</w:t>
            </w:r>
            <w:r w:rsidRPr="0017721C">
              <w:rPr>
                <w:sz w:val="16"/>
                <w:szCs w:val="16"/>
                <w:lang w:val="it-IT"/>
              </w:rPr>
              <w:tab/>
              <w:t>fondo manutenzione e ripristino dei beni gratuitamente devolvibili;</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before="40" w:line="200" w:lineRule="exact"/>
              <w:ind w:left="170" w:right="57" w:hanging="113"/>
              <w:rPr>
                <w:sz w:val="16"/>
                <w:szCs w:val="16"/>
                <w:lang w:val="it-IT"/>
              </w:rPr>
            </w:pPr>
            <w:r w:rsidRPr="0017721C">
              <w:rPr>
                <w:sz w:val="16"/>
                <w:szCs w:val="16"/>
                <w:lang w:val="it-IT"/>
              </w:rPr>
              <w:t>-</w:t>
            </w:r>
            <w:r w:rsidRPr="0017721C">
              <w:rPr>
                <w:sz w:val="16"/>
                <w:szCs w:val="16"/>
                <w:lang w:val="it-IT"/>
              </w:rPr>
              <w:tab/>
              <w:t>fondo manutenzione e ripristino dei beni di azienda condotta in affitto o in usufrutto;</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before="40" w:line="200" w:lineRule="exact"/>
              <w:ind w:left="170" w:right="57" w:hanging="113"/>
              <w:rPr>
                <w:sz w:val="16"/>
                <w:szCs w:val="16"/>
                <w:lang w:val="it-IT"/>
              </w:rPr>
            </w:pPr>
            <w:r w:rsidRPr="0017721C">
              <w:rPr>
                <w:sz w:val="16"/>
                <w:szCs w:val="16"/>
                <w:lang w:val="it-IT"/>
              </w:rPr>
              <w:t>-</w:t>
            </w:r>
            <w:r w:rsidRPr="0017721C">
              <w:rPr>
                <w:sz w:val="16"/>
                <w:szCs w:val="16"/>
                <w:lang w:val="it-IT"/>
              </w:rPr>
              <w:tab/>
              <w:t>fondo per perdite previste su commesse per lavori su ordinazione, nel caso in cui le perdite siano superiori al valore dei lavori in corso;</w:t>
            </w:r>
          </w:p>
          <w:p w:rsidR="0017721C" w:rsidRPr="0017721C" w:rsidRDefault="0017721C" w:rsidP="007C5670">
            <w:pPr>
              <w:pageBreakBefore/>
              <w:pBdr>
                <w:top w:val="single" w:sz="4" w:space="1" w:color="auto"/>
                <w:left w:val="single" w:sz="4" w:space="4" w:color="auto"/>
                <w:bottom w:val="single" w:sz="4" w:space="1" w:color="auto"/>
                <w:right w:val="single" w:sz="4" w:space="4" w:color="auto"/>
              </w:pBdr>
              <w:spacing w:before="0" w:line="200" w:lineRule="exact"/>
              <w:ind w:left="170" w:right="57" w:hanging="113"/>
              <w:rPr>
                <w:sz w:val="16"/>
                <w:szCs w:val="16"/>
                <w:lang w:val="it-IT"/>
              </w:rPr>
            </w:pPr>
            <w:r w:rsidRPr="0017721C">
              <w:rPr>
                <w:sz w:val="16"/>
                <w:szCs w:val="16"/>
                <w:lang w:val="it-IT"/>
              </w:rPr>
              <w:t>-</w:t>
            </w:r>
            <w:r w:rsidRPr="0017721C">
              <w:rPr>
                <w:sz w:val="16"/>
                <w:szCs w:val="16"/>
                <w:lang w:val="it-IT"/>
              </w:rPr>
              <w:tab/>
              <w:t>fondo recupero ambientale.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7C5670">
            <w:pPr>
              <w:pageBreakBefore/>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7C5670">
            <w:pPr>
              <w:pageBreakBefore/>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7C5670">
            <w:pPr>
              <w:pageBreakBefore/>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spacing w:line="240" w:lineRule="exact"/>
              <w:rPr>
                <w:i/>
                <w:lang w:val="it-IT"/>
              </w:rPr>
            </w:pPr>
            <w:r w:rsidRPr="0017721C">
              <w:rPr>
                <w:i/>
                <w:lang w:val="it-IT"/>
              </w:rPr>
              <w:t>B14) Oneri diversi di gestione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159)</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12.83</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spacing w:line="240" w:lineRule="exact"/>
              <w:rPr>
                <w:lang w:val="it-IT"/>
              </w:rPr>
            </w:pPr>
            <w:r w:rsidRPr="0017721C">
              <w:rPr>
                <w:lang w:val="it-IT"/>
              </w:rPr>
              <w:t>La voce ha natura residuale e comprende i costi dell’attività caratteristica non iscrivibili nelle altre voci della classe B)?</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12.84</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900982">
            <w:pPr>
              <w:pBdr>
                <w:top w:val="single" w:sz="4" w:space="1" w:color="auto"/>
                <w:left w:val="single" w:sz="4" w:space="4" w:color="auto"/>
                <w:bottom w:val="single" w:sz="4" w:space="1" w:color="auto"/>
                <w:right w:val="single" w:sz="4" w:space="4" w:color="auto"/>
              </w:pBdr>
              <w:spacing w:before="40" w:line="200" w:lineRule="atLeast"/>
              <w:ind w:left="57" w:right="57"/>
              <w:rPr>
                <w:sz w:val="16"/>
                <w:szCs w:val="16"/>
                <w:lang w:val="it-IT"/>
              </w:rPr>
            </w:pPr>
            <w:r w:rsidRPr="0017721C">
              <w:rPr>
                <w:sz w:val="16"/>
                <w:szCs w:val="16"/>
                <w:lang w:val="it-IT"/>
              </w:rPr>
              <w:t>A titolo esemplificativo e non esaustivo, il contenuto può essere così schematizzato:</w:t>
            </w:r>
          </w:p>
          <w:p w:rsidR="0017721C" w:rsidRPr="0017721C" w:rsidRDefault="0017721C" w:rsidP="00900982">
            <w:pPr>
              <w:pBdr>
                <w:top w:val="single" w:sz="4" w:space="1" w:color="auto"/>
                <w:left w:val="single" w:sz="4" w:space="4" w:color="auto"/>
                <w:bottom w:val="single" w:sz="4" w:space="1" w:color="auto"/>
                <w:right w:val="single" w:sz="4" w:space="4" w:color="auto"/>
              </w:pBdr>
              <w:spacing w:before="40" w:line="200" w:lineRule="atLeast"/>
              <w:ind w:left="235" w:right="57" w:hanging="178"/>
              <w:rPr>
                <w:sz w:val="16"/>
                <w:szCs w:val="16"/>
                <w:lang w:val="it-IT"/>
              </w:rPr>
            </w:pPr>
            <w:r w:rsidRPr="0017721C">
              <w:rPr>
                <w:sz w:val="16"/>
                <w:szCs w:val="16"/>
                <w:lang w:val="it-IT"/>
              </w:rPr>
              <w:t xml:space="preserve">a) </w:t>
            </w:r>
            <w:r w:rsidRPr="0017721C">
              <w:rPr>
                <w:sz w:val="16"/>
                <w:szCs w:val="16"/>
                <w:lang w:val="it-IT"/>
              </w:rPr>
              <w:tab/>
              <w:t>Minusvalenze di natura non finanziaria</w:t>
            </w:r>
          </w:p>
          <w:p w:rsidR="0017721C" w:rsidRPr="0017721C" w:rsidRDefault="0017721C" w:rsidP="00900982">
            <w:pPr>
              <w:pBdr>
                <w:top w:val="single" w:sz="4" w:space="1" w:color="auto"/>
                <w:left w:val="single" w:sz="4" w:space="4" w:color="auto"/>
                <w:bottom w:val="single" w:sz="4" w:space="1" w:color="auto"/>
                <w:right w:val="single" w:sz="4" w:space="4" w:color="auto"/>
              </w:pBdr>
              <w:spacing w:before="40" w:line="200" w:lineRule="atLeast"/>
              <w:ind w:left="57" w:right="57"/>
              <w:rPr>
                <w:sz w:val="16"/>
                <w:szCs w:val="16"/>
                <w:lang w:val="it-IT"/>
              </w:rPr>
            </w:pPr>
            <w:r w:rsidRPr="0017721C">
              <w:rPr>
                <w:sz w:val="16"/>
                <w:szCs w:val="16"/>
                <w:lang w:val="it-IT"/>
              </w:rPr>
              <w:t>Rientrano in questa voce le minusvalenze di natura non finanziaria quali, ad esempio, quelli derivanti da: alienazioni dei cespiti; espropri o nazionalizzazioni di beni; operazioni sociali straordinarie; operazioni di riconversione produttiva, ristrutturazione o ridimensionamento produttivo.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12.84</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900982">
            <w:pPr>
              <w:pBdr>
                <w:top w:val="single" w:sz="4" w:space="1" w:color="auto"/>
                <w:left w:val="single" w:sz="4" w:space="4" w:color="auto"/>
                <w:bottom w:val="single" w:sz="4" w:space="1" w:color="auto"/>
                <w:right w:val="single" w:sz="4" w:space="4" w:color="auto"/>
              </w:pBdr>
              <w:spacing w:before="40" w:line="200" w:lineRule="atLeast"/>
              <w:ind w:left="57" w:right="57"/>
              <w:rPr>
                <w:sz w:val="16"/>
                <w:szCs w:val="16"/>
                <w:lang w:val="it-IT"/>
              </w:rPr>
            </w:pPr>
            <w:r w:rsidRPr="0017721C">
              <w:rPr>
                <w:sz w:val="16"/>
                <w:szCs w:val="16"/>
                <w:lang w:val="it-IT"/>
              </w:rPr>
              <w:t>b) Sopravvenienze e insussistenze passive</w:t>
            </w:r>
          </w:p>
          <w:p w:rsidR="0017721C" w:rsidRPr="0017721C" w:rsidRDefault="0017721C" w:rsidP="00900982">
            <w:pPr>
              <w:pBdr>
                <w:top w:val="single" w:sz="4" w:space="1" w:color="auto"/>
                <w:left w:val="single" w:sz="4" w:space="4" w:color="auto"/>
                <w:bottom w:val="single" w:sz="4" w:space="1" w:color="auto"/>
                <w:right w:val="single" w:sz="4" w:space="4" w:color="auto"/>
              </w:pBdr>
              <w:spacing w:before="40" w:line="200" w:lineRule="atLeast"/>
              <w:ind w:left="57" w:right="57"/>
              <w:rPr>
                <w:sz w:val="16"/>
                <w:szCs w:val="16"/>
                <w:lang w:val="it-IT"/>
              </w:rPr>
            </w:pPr>
            <w:r w:rsidRPr="0017721C">
              <w:rPr>
                <w:sz w:val="16"/>
                <w:szCs w:val="16"/>
                <w:lang w:val="it-IT"/>
              </w:rPr>
              <w:t>Possono essere incluse le rettifiche in aumento di costi causate dal normale aggiornamento di stime compiute in precedenti esercizi, non iscrivibili per natura nelle altre voci della classe B. Le perdite realizzate su crediti (ad esempio derivanti da un riconoscimento giudiziale inferiore al valore del credito, da una transazione o da prescrizione) si classificano nella voce B14, per la parte che eccede l’importo del credito già svalutato (cfr. paragrafo 26 dell’OIC 15 “Crediti”).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7C5670">
            <w:pPr>
              <w:widowControl w:val="0"/>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7C5670">
            <w:pPr>
              <w:widowControl w:val="0"/>
              <w:spacing w:before="40" w:line="240" w:lineRule="auto"/>
              <w:ind w:left="-57"/>
              <w:jc w:val="left"/>
              <w:rPr>
                <w:sz w:val="13"/>
                <w:szCs w:val="13"/>
                <w:lang w:val="it-IT"/>
              </w:rPr>
            </w:pPr>
            <w:r w:rsidRPr="0017721C">
              <w:rPr>
                <w:sz w:val="13"/>
                <w:szCs w:val="13"/>
                <w:lang w:val="it-IT"/>
              </w:rPr>
              <w:t>OIC 12.84</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7C5670">
            <w:pPr>
              <w:widowControl w:val="0"/>
              <w:pBdr>
                <w:top w:val="single" w:sz="4" w:space="1" w:color="auto"/>
                <w:left w:val="single" w:sz="4" w:space="4" w:color="auto"/>
                <w:bottom w:val="single" w:sz="4" w:space="1" w:color="auto"/>
                <w:right w:val="single" w:sz="4" w:space="4" w:color="auto"/>
              </w:pBdr>
              <w:spacing w:before="40" w:line="194" w:lineRule="atLeast"/>
              <w:ind w:left="57" w:right="57"/>
              <w:rPr>
                <w:sz w:val="16"/>
                <w:szCs w:val="16"/>
                <w:lang w:val="it-IT"/>
              </w:rPr>
            </w:pPr>
            <w:r w:rsidRPr="0017721C">
              <w:rPr>
                <w:sz w:val="16"/>
                <w:szCs w:val="16"/>
                <w:lang w:val="it-IT"/>
              </w:rPr>
              <w:t>c) Imposte indirette, tasse e contributi</w:t>
            </w:r>
          </w:p>
          <w:p w:rsidR="0017721C" w:rsidRPr="0017721C" w:rsidRDefault="0017721C" w:rsidP="007C5670">
            <w:pPr>
              <w:widowControl w:val="0"/>
              <w:pBdr>
                <w:top w:val="single" w:sz="4" w:space="1" w:color="auto"/>
                <w:left w:val="single" w:sz="4" w:space="4" w:color="auto"/>
                <w:bottom w:val="single" w:sz="4" w:space="1" w:color="auto"/>
                <w:right w:val="single" w:sz="4" w:space="4" w:color="auto"/>
              </w:pBdr>
              <w:spacing w:before="40" w:line="194" w:lineRule="atLeast"/>
              <w:ind w:left="57" w:right="57"/>
              <w:rPr>
                <w:sz w:val="16"/>
                <w:szCs w:val="16"/>
                <w:lang w:val="it-IT"/>
              </w:rPr>
            </w:pPr>
            <w:r w:rsidRPr="0017721C">
              <w:rPr>
                <w:sz w:val="16"/>
                <w:szCs w:val="16"/>
                <w:lang w:val="it-IT"/>
              </w:rPr>
              <w:t>Possono essere incluse le fattispecie di seguito elencate, a titolo esemplificativo e non esaustivo, riferite all’esercizio in corso o ad esercizi precedenti (qualora non costituiscano oneri accessori di acquisto dei beni e servizi):</w:t>
            </w:r>
          </w:p>
          <w:p w:rsidR="0017721C" w:rsidRPr="0017721C" w:rsidRDefault="0017721C" w:rsidP="007C5670">
            <w:pPr>
              <w:widowControl w:val="0"/>
              <w:pBdr>
                <w:top w:val="single" w:sz="4" w:space="1" w:color="auto"/>
                <w:left w:val="single" w:sz="4" w:space="4" w:color="auto"/>
                <w:bottom w:val="single" w:sz="4" w:space="1" w:color="auto"/>
                <w:right w:val="single" w:sz="4" w:space="4" w:color="auto"/>
              </w:pBdr>
              <w:spacing w:before="40" w:line="194" w:lineRule="atLeast"/>
              <w:ind w:left="168" w:right="57" w:hanging="111"/>
              <w:rPr>
                <w:sz w:val="16"/>
                <w:szCs w:val="16"/>
                <w:lang w:val="it-IT"/>
              </w:rPr>
            </w:pPr>
            <w:r w:rsidRPr="0017721C">
              <w:rPr>
                <w:sz w:val="16"/>
                <w:szCs w:val="16"/>
                <w:lang w:val="it-IT"/>
              </w:rPr>
              <w:t>-</w:t>
            </w:r>
            <w:r w:rsidRPr="0017721C">
              <w:rPr>
                <w:sz w:val="16"/>
                <w:szCs w:val="16"/>
                <w:lang w:val="it-IT"/>
              </w:rPr>
              <w:tab/>
              <w:t>imposta di registro;</w:t>
            </w:r>
          </w:p>
          <w:p w:rsidR="0017721C" w:rsidRPr="0017721C" w:rsidRDefault="0017721C" w:rsidP="007C5670">
            <w:pPr>
              <w:widowControl w:val="0"/>
              <w:pBdr>
                <w:top w:val="single" w:sz="4" w:space="1" w:color="auto"/>
                <w:left w:val="single" w:sz="4" w:space="4" w:color="auto"/>
                <w:bottom w:val="single" w:sz="4" w:space="1" w:color="auto"/>
                <w:right w:val="single" w:sz="4" w:space="4" w:color="auto"/>
              </w:pBdr>
              <w:spacing w:before="40" w:line="194" w:lineRule="atLeast"/>
              <w:ind w:left="168" w:right="57" w:hanging="111"/>
              <w:rPr>
                <w:sz w:val="16"/>
                <w:szCs w:val="16"/>
                <w:lang w:val="it-IT"/>
              </w:rPr>
            </w:pPr>
            <w:r w:rsidRPr="0017721C">
              <w:rPr>
                <w:sz w:val="16"/>
                <w:szCs w:val="16"/>
                <w:lang w:val="it-IT"/>
              </w:rPr>
              <w:t>-</w:t>
            </w:r>
            <w:r w:rsidRPr="0017721C">
              <w:rPr>
                <w:sz w:val="16"/>
                <w:szCs w:val="16"/>
                <w:lang w:val="it-IT"/>
              </w:rPr>
              <w:tab/>
              <w:t>imposte ipotecaria e catastale;</w:t>
            </w:r>
          </w:p>
          <w:p w:rsidR="0017721C" w:rsidRPr="0017721C" w:rsidRDefault="0017721C" w:rsidP="007C5670">
            <w:pPr>
              <w:widowControl w:val="0"/>
              <w:pBdr>
                <w:top w:val="single" w:sz="4" w:space="1" w:color="auto"/>
                <w:left w:val="single" w:sz="4" w:space="4" w:color="auto"/>
                <w:bottom w:val="single" w:sz="4" w:space="1" w:color="auto"/>
                <w:right w:val="single" w:sz="4" w:space="4" w:color="auto"/>
              </w:pBdr>
              <w:spacing w:before="40" w:line="194" w:lineRule="atLeast"/>
              <w:ind w:left="168" w:right="57" w:hanging="111"/>
              <w:rPr>
                <w:sz w:val="16"/>
                <w:szCs w:val="16"/>
                <w:lang w:val="it-IT"/>
              </w:rPr>
            </w:pPr>
            <w:r w:rsidRPr="0017721C">
              <w:rPr>
                <w:sz w:val="16"/>
                <w:szCs w:val="16"/>
                <w:lang w:val="it-IT"/>
              </w:rPr>
              <w:t>-</w:t>
            </w:r>
            <w:r w:rsidRPr="0017721C">
              <w:rPr>
                <w:sz w:val="16"/>
                <w:szCs w:val="16"/>
                <w:lang w:val="it-IT"/>
              </w:rPr>
              <w:tab/>
              <w:t>tassa concessioni governative;</w:t>
            </w:r>
          </w:p>
          <w:p w:rsidR="0017721C" w:rsidRPr="0017721C" w:rsidRDefault="0017721C" w:rsidP="007C5670">
            <w:pPr>
              <w:widowControl w:val="0"/>
              <w:pBdr>
                <w:top w:val="single" w:sz="4" w:space="1" w:color="auto"/>
                <w:left w:val="single" w:sz="4" w:space="4" w:color="auto"/>
                <w:bottom w:val="single" w:sz="4" w:space="1" w:color="auto"/>
                <w:right w:val="single" w:sz="4" w:space="4" w:color="auto"/>
              </w:pBdr>
              <w:spacing w:before="40" w:line="194" w:lineRule="atLeast"/>
              <w:ind w:left="168" w:right="57" w:hanging="111"/>
              <w:rPr>
                <w:sz w:val="16"/>
                <w:szCs w:val="16"/>
                <w:lang w:val="it-IT"/>
              </w:rPr>
            </w:pPr>
            <w:r w:rsidRPr="0017721C">
              <w:rPr>
                <w:sz w:val="16"/>
                <w:szCs w:val="16"/>
                <w:lang w:val="it-IT"/>
              </w:rPr>
              <w:t>-</w:t>
            </w:r>
            <w:r w:rsidRPr="0017721C">
              <w:rPr>
                <w:sz w:val="16"/>
                <w:szCs w:val="16"/>
                <w:lang w:val="it-IT"/>
              </w:rPr>
              <w:tab/>
              <w:t>imposta di bollo;</w:t>
            </w:r>
          </w:p>
          <w:p w:rsidR="0017721C" w:rsidRPr="0017721C" w:rsidRDefault="0017721C" w:rsidP="007C5670">
            <w:pPr>
              <w:widowControl w:val="0"/>
              <w:pBdr>
                <w:top w:val="single" w:sz="4" w:space="1" w:color="auto"/>
                <w:left w:val="single" w:sz="4" w:space="4" w:color="auto"/>
                <w:bottom w:val="single" w:sz="4" w:space="1" w:color="auto"/>
                <w:right w:val="single" w:sz="4" w:space="4" w:color="auto"/>
              </w:pBdr>
              <w:spacing w:before="40" w:line="194" w:lineRule="atLeast"/>
              <w:ind w:left="168" w:right="57" w:hanging="111"/>
              <w:rPr>
                <w:sz w:val="16"/>
                <w:szCs w:val="16"/>
                <w:lang w:val="it-IT"/>
              </w:rPr>
            </w:pPr>
            <w:r w:rsidRPr="0017721C">
              <w:rPr>
                <w:sz w:val="16"/>
                <w:szCs w:val="16"/>
                <w:lang w:val="it-IT"/>
              </w:rPr>
              <w:t>-</w:t>
            </w:r>
            <w:r w:rsidRPr="0017721C">
              <w:rPr>
                <w:sz w:val="16"/>
                <w:szCs w:val="16"/>
                <w:lang w:val="it-IT"/>
              </w:rPr>
              <w:tab/>
              <w:t>imposta comunale sulla pubblicità;</w:t>
            </w:r>
          </w:p>
          <w:p w:rsidR="0017721C" w:rsidRPr="0017721C" w:rsidRDefault="0017721C" w:rsidP="007C5670">
            <w:pPr>
              <w:widowControl w:val="0"/>
              <w:pBdr>
                <w:top w:val="single" w:sz="4" w:space="1" w:color="auto"/>
                <w:left w:val="single" w:sz="4" w:space="4" w:color="auto"/>
                <w:bottom w:val="single" w:sz="4" w:space="1" w:color="auto"/>
                <w:right w:val="single" w:sz="4" w:space="4" w:color="auto"/>
              </w:pBdr>
              <w:spacing w:before="40" w:line="194" w:lineRule="atLeast"/>
              <w:ind w:left="168" w:right="57" w:hanging="111"/>
              <w:rPr>
                <w:sz w:val="16"/>
                <w:szCs w:val="16"/>
                <w:lang w:val="it-IT"/>
              </w:rPr>
            </w:pPr>
            <w:r w:rsidRPr="0017721C">
              <w:rPr>
                <w:sz w:val="16"/>
                <w:szCs w:val="16"/>
                <w:lang w:val="it-IT"/>
              </w:rPr>
              <w:t>-</w:t>
            </w:r>
            <w:r w:rsidRPr="0017721C">
              <w:rPr>
                <w:sz w:val="16"/>
                <w:szCs w:val="16"/>
                <w:lang w:val="it-IT"/>
              </w:rPr>
              <w:tab/>
              <w:t>altri tributi locali (comunali, provinciali e regionali);</w:t>
            </w:r>
          </w:p>
          <w:p w:rsidR="0017721C" w:rsidRPr="0017721C" w:rsidRDefault="0017721C" w:rsidP="007C5670">
            <w:pPr>
              <w:widowControl w:val="0"/>
              <w:pBdr>
                <w:top w:val="single" w:sz="4" w:space="1" w:color="auto"/>
                <w:left w:val="single" w:sz="4" w:space="4" w:color="auto"/>
                <w:bottom w:val="single" w:sz="4" w:space="1" w:color="auto"/>
                <w:right w:val="single" w:sz="4" w:space="4" w:color="auto"/>
              </w:pBdr>
              <w:spacing w:before="40" w:line="194" w:lineRule="atLeast"/>
              <w:ind w:left="168" w:right="57" w:hanging="111"/>
              <w:rPr>
                <w:sz w:val="16"/>
                <w:szCs w:val="16"/>
                <w:lang w:val="it-IT"/>
              </w:rPr>
            </w:pPr>
            <w:r w:rsidRPr="0017721C">
              <w:rPr>
                <w:sz w:val="16"/>
                <w:szCs w:val="16"/>
                <w:lang w:val="it-IT"/>
              </w:rPr>
              <w:t>-</w:t>
            </w:r>
            <w:r w:rsidRPr="0017721C">
              <w:rPr>
                <w:sz w:val="16"/>
                <w:szCs w:val="16"/>
                <w:lang w:val="it-IT"/>
              </w:rPr>
              <w:tab/>
              <w:t>imposte di fabbricazione non comprese nel costo di acquisto di materie, semilavorati e merci;</w:t>
            </w:r>
          </w:p>
          <w:p w:rsidR="0017721C" w:rsidRPr="0017721C" w:rsidRDefault="0017721C" w:rsidP="007C5670">
            <w:pPr>
              <w:widowControl w:val="0"/>
              <w:pBdr>
                <w:top w:val="single" w:sz="4" w:space="1" w:color="auto"/>
                <w:left w:val="single" w:sz="4" w:space="4" w:color="auto"/>
                <w:bottom w:val="single" w:sz="4" w:space="1" w:color="auto"/>
                <w:right w:val="single" w:sz="4" w:space="4" w:color="auto"/>
              </w:pBdr>
              <w:spacing w:before="40" w:line="194" w:lineRule="atLeast"/>
              <w:ind w:left="168" w:right="57" w:hanging="111"/>
              <w:rPr>
                <w:sz w:val="16"/>
                <w:szCs w:val="16"/>
                <w:lang w:val="it-IT"/>
              </w:rPr>
            </w:pPr>
            <w:r w:rsidRPr="0017721C">
              <w:rPr>
                <w:sz w:val="16"/>
                <w:szCs w:val="16"/>
                <w:lang w:val="it-IT"/>
              </w:rPr>
              <w:t>-</w:t>
            </w:r>
            <w:r w:rsidRPr="0017721C">
              <w:rPr>
                <w:sz w:val="16"/>
                <w:szCs w:val="16"/>
                <w:lang w:val="it-IT"/>
              </w:rPr>
              <w:tab/>
              <w:t>altre imposte e tasse diverse dalle imposte dirette da iscrivere alla voce 20 “imposte sul reddito dell’esercizio, correnti, differite e anticipate”.</w:t>
            </w:r>
          </w:p>
          <w:p w:rsidR="0017721C" w:rsidRPr="0017721C" w:rsidRDefault="0017721C" w:rsidP="007C5670">
            <w:pPr>
              <w:widowControl w:val="0"/>
              <w:pBdr>
                <w:top w:val="single" w:sz="4" w:space="1" w:color="auto"/>
                <w:left w:val="single" w:sz="4" w:space="4" w:color="auto"/>
                <w:bottom w:val="single" w:sz="4" w:space="1" w:color="auto"/>
                <w:right w:val="single" w:sz="4" w:space="4" w:color="auto"/>
              </w:pBdr>
              <w:spacing w:before="40" w:line="194" w:lineRule="atLeast"/>
              <w:ind w:left="57" w:right="57"/>
              <w:rPr>
                <w:sz w:val="16"/>
                <w:szCs w:val="16"/>
                <w:lang w:val="it-IT"/>
              </w:rPr>
            </w:pPr>
            <w:r w:rsidRPr="0017721C">
              <w:rPr>
                <w:sz w:val="16"/>
                <w:szCs w:val="16"/>
                <w:lang w:val="it-IT"/>
              </w:rPr>
              <w:t>Per quanto riguarda l’IVA indetraibile, essa va iscritta in questa voce se non costituisce costo accessorio di acquisto di beni o servizi. In generale, il trattamento contabile dell’IVA su acquisti segue quello del bene o servizio acquistato al quale si riferisce.</w:t>
            </w:r>
          </w:p>
          <w:p w:rsidR="0017721C" w:rsidRPr="0017721C" w:rsidRDefault="0017721C" w:rsidP="007C5670">
            <w:pPr>
              <w:widowControl w:val="0"/>
              <w:pBdr>
                <w:top w:val="single" w:sz="4" w:space="1" w:color="auto"/>
                <w:left w:val="single" w:sz="4" w:space="4" w:color="auto"/>
                <w:bottom w:val="single" w:sz="4" w:space="1" w:color="auto"/>
                <w:right w:val="single" w:sz="4" w:space="4" w:color="auto"/>
              </w:pBdr>
              <w:spacing w:before="40" w:line="194" w:lineRule="atLeast"/>
              <w:ind w:left="57" w:right="57"/>
              <w:rPr>
                <w:sz w:val="16"/>
                <w:szCs w:val="16"/>
                <w:lang w:val="it-IT"/>
              </w:rPr>
            </w:pPr>
            <w:r w:rsidRPr="0017721C">
              <w:rPr>
                <w:sz w:val="16"/>
                <w:szCs w:val="16"/>
                <w:lang w:val="it-IT"/>
              </w:rPr>
              <w:t>Con riferimento alla imposte indirette relative ad esercizi precedenti, nell’esercizio di definizione del contenzioso o dell’accertamento, se l’ammontare accantonato nel fondo imposte oppure già pagato risulta carente rispetto all’ammontare dovuto, la differenza è imputata nella voce B14.</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7C5670">
            <w:pPr>
              <w:widowControl w:val="0"/>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7C5670">
            <w:pPr>
              <w:widowControl w:val="0"/>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7C5670">
            <w:pPr>
              <w:widowControl w:val="0"/>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12.84</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d) Costi ed oneri diversi di natura non finanziaria</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192" w:lineRule="exact"/>
              <w:ind w:left="57" w:right="57"/>
              <w:rPr>
                <w:sz w:val="16"/>
                <w:szCs w:val="16"/>
                <w:lang w:val="it-IT"/>
              </w:rPr>
            </w:pPr>
            <w:r w:rsidRPr="0017721C">
              <w:rPr>
                <w:sz w:val="16"/>
                <w:szCs w:val="16"/>
                <w:lang w:val="it-IT"/>
              </w:rPr>
              <w:t>Si tratta di qualunque altro tipo di costo od onere, di natura non finanziaria. A titolo esemplificativo e non esaustivo possono essere incluse le fattispecie di seguito elencate:</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192" w:lineRule="exact"/>
              <w:ind w:left="168" w:right="57" w:hanging="111"/>
              <w:rPr>
                <w:sz w:val="16"/>
                <w:szCs w:val="16"/>
                <w:lang w:val="it-IT"/>
              </w:rPr>
            </w:pPr>
            <w:r w:rsidRPr="0017721C">
              <w:rPr>
                <w:sz w:val="16"/>
                <w:szCs w:val="16"/>
                <w:lang w:val="it-IT"/>
              </w:rPr>
              <w:t>-</w:t>
            </w:r>
            <w:r w:rsidRPr="0017721C">
              <w:rPr>
                <w:sz w:val="16"/>
                <w:szCs w:val="16"/>
                <w:lang w:val="it-IT"/>
              </w:rPr>
              <w:tab/>
              <w:t>contributi ad associazioni sindacali e di categoria;</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192" w:lineRule="exact"/>
              <w:ind w:left="168" w:right="57" w:hanging="111"/>
              <w:rPr>
                <w:sz w:val="16"/>
                <w:szCs w:val="16"/>
                <w:lang w:val="it-IT"/>
              </w:rPr>
            </w:pPr>
            <w:r w:rsidRPr="0017721C">
              <w:rPr>
                <w:sz w:val="16"/>
                <w:szCs w:val="16"/>
                <w:lang w:val="it-IT"/>
              </w:rPr>
              <w:t>-</w:t>
            </w:r>
            <w:r w:rsidRPr="0017721C">
              <w:rPr>
                <w:sz w:val="16"/>
                <w:szCs w:val="16"/>
                <w:lang w:val="it-IT"/>
              </w:rPr>
              <w:tab/>
              <w:t>omaggi ed articoli promozionali;</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192" w:lineRule="exact"/>
              <w:ind w:left="168" w:right="57" w:hanging="111"/>
              <w:rPr>
                <w:sz w:val="16"/>
                <w:szCs w:val="16"/>
                <w:lang w:val="it-IT"/>
              </w:rPr>
            </w:pPr>
            <w:r w:rsidRPr="0017721C">
              <w:rPr>
                <w:sz w:val="16"/>
                <w:szCs w:val="16"/>
                <w:lang w:val="it-IT"/>
              </w:rPr>
              <w:t>-</w:t>
            </w:r>
            <w:r w:rsidRPr="0017721C">
              <w:rPr>
                <w:sz w:val="16"/>
                <w:szCs w:val="16"/>
                <w:lang w:val="it-IT"/>
              </w:rPr>
              <w:tab/>
              <w:t>oneri di utilità sociale, non iscrivibili alla voce B9;</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192" w:lineRule="exact"/>
              <w:ind w:left="168" w:right="57" w:hanging="111"/>
              <w:rPr>
                <w:sz w:val="16"/>
                <w:szCs w:val="16"/>
                <w:lang w:val="it-IT"/>
              </w:rPr>
            </w:pPr>
            <w:r w:rsidRPr="0017721C">
              <w:rPr>
                <w:sz w:val="16"/>
                <w:szCs w:val="16"/>
                <w:lang w:val="it-IT"/>
              </w:rPr>
              <w:t>-</w:t>
            </w:r>
            <w:r w:rsidRPr="0017721C">
              <w:rPr>
                <w:sz w:val="16"/>
                <w:szCs w:val="16"/>
                <w:lang w:val="it-IT"/>
              </w:rPr>
              <w:tab/>
              <w:t>liberalità;</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192" w:lineRule="exact"/>
              <w:ind w:left="168" w:right="57" w:hanging="111"/>
              <w:rPr>
                <w:sz w:val="16"/>
                <w:szCs w:val="16"/>
                <w:lang w:val="it-IT"/>
              </w:rPr>
            </w:pPr>
            <w:r w:rsidRPr="0017721C">
              <w:rPr>
                <w:sz w:val="16"/>
                <w:szCs w:val="16"/>
                <w:lang w:val="it-IT"/>
              </w:rPr>
              <w:t>-</w:t>
            </w:r>
            <w:r w:rsidRPr="0017721C">
              <w:rPr>
                <w:sz w:val="16"/>
                <w:szCs w:val="16"/>
                <w:lang w:val="it-IT"/>
              </w:rPr>
              <w:tab/>
              <w:t>abbonamenti a giornali, riviste e pubblicazioni varie;</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192" w:lineRule="exact"/>
              <w:ind w:left="168" w:right="57" w:hanging="111"/>
              <w:rPr>
                <w:sz w:val="16"/>
                <w:szCs w:val="16"/>
                <w:lang w:val="it-IT"/>
              </w:rPr>
            </w:pPr>
            <w:r w:rsidRPr="0017721C">
              <w:rPr>
                <w:sz w:val="16"/>
                <w:szCs w:val="16"/>
                <w:lang w:val="it-IT"/>
              </w:rPr>
              <w:t>-</w:t>
            </w:r>
            <w:r w:rsidRPr="0017721C">
              <w:rPr>
                <w:sz w:val="16"/>
                <w:szCs w:val="16"/>
                <w:lang w:val="it-IT"/>
              </w:rPr>
              <w:tab/>
              <w:t>costi d’acquisto di giornali, riviste e pubblicazioni varie;</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192" w:lineRule="exact"/>
              <w:ind w:left="168" w:right="57" w:hanging="111"/>
              <w:rPr>
                <w:sz w:val="16"/>
                <w:szCs w:val="16"/>
                <w:lang w:val="it-IT"/>
              </w:rPr>
            </w:pPr>
            <w:r w:rsidRPr="0017721C">
              <w:rPr>
                <w:sz w:val="16"/>
                <w:szCs w:val="16"/>
                <w:lang w:val="it-IT"/>
              </w:rPr>
              <w:t>-</w:t>
            </w:r>
            <w:r w:rsidRPr="0017721C">
              <w:rPr>
                <w:sz w:val="16"/>
                <w:szCs w:val="16"/>
                <w:lang w:val="it-IT"/>
              </w:rPr>
              <w:tab/>
              <w:t>spese per deposito e pubblicazione di bilanci, verbali assembleari e per altri adempimenti societari;</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192" w:lineRule="exact"/>
              <w:ind w:left="168" w:right="57" w:hanging="111"/>
              <w:rPr>
                <w:sz w:val="16"/>
                <w:szCs w:val="16"/>
                <w:lang w:val="it-IT"/>
              </w:rPr>
            </w:pPr>
            <w:r w:rsidRPr="0017721C">
              <w:rPr>
                <w:sz w:val="16"/>
                <w:szCs w:val="16"/>
                <w:lang w:val="it-IT"/>
              </w:rPr>
              <w:t>-</w:t>
            </w:r>
            <w:r w:rsidRPr="0017721C">
              <w:rPr>
                <w:sz w:val="16"/>
                <w:szCs w:val="16"/>
                <w:lang w:val="it-IT"/>
              </w:rPr>
              <w:tab/>
              <w:t>costi per la mensa gestita internamente dalla società al netto dei costi per il personale impiegato direttamente e degli altri costi “esterni” imputati ad altre voci;</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192" w:lineRule="exact"/>
              <w:ind w:left="168" w:right="57" w:hanging="111"/>
              <w:rPr>
                <w:sz w:val="16"/>
                <w:szCs w:val="16"/>
                <w:lang w:val="it-IT"/>
              </w:rPr>
            </w:pPr>
            <w:r w:rsidRPr="0017721C">
              <w:rPr>
                <w:sz w:val="16"/>
                <w:szCs w:val="16"/>
                <w:lang w:val="it-IT"/>
              </w:rPr>
              <w:t>-</w:t>
            </w:r>
            <w:r w:rsidRPr="0017721C">
              <w:rPr>
                <w:sz w:val="16"/>
                <w:szCs w:val="16"/>
                <w:lang w:val="it-IT"/>
              </w:rPr>
              <w:tab/>
              <w:t>differenze inventariali riconosciute al proprietario dell’azienda condotta in affitto o in usufrutto;</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192" w:lineRule="exact"/>
              <w:ind w:left="168" w:right="57" w:hanging="111"/>
              <w:rPr>
                <w:sz w:val="16"/>
                <w:szCs w:val="16"/>
                <w:lang w:val="it-IT"/>
              </w:rPr>
            </w:pPr>
            <w:r w:rsidRPr="0017721C">
              <w:rPr>
                <w:sz w:val="16"/>
                <w:szCs w:val="16"/>
                <w:lang w:val="it-IT"/>
              </w:rPr>
              <w:t>-</w:t>
            </w:r>
            <w:r w:rsidRPr="0017721C">
              <w:rPr>
                <w:sz w:val="16"/>
                <w:szCs w:val="16"/>
                <w:lang w:val="it-IT"/>
              </w:rPr>
              <w:tab/>
              <w:t>oneri derivanti da operazioni di compravendita con obbligo di retrocessione, qualora queste si configurino come prestiti di beni;</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192" w:lineRule="exact"/>
              <w:ind w:left="168" w:right="57" w:hanging="111"/>
              <w:rPr>
                <w:sz w:val="16"/>
                <w:szCs w:val="16"/>
                <w:lang w:val="it-IT"/>
              </w:rPr>
            </w:pPr>
            <w:r w:rsidRPr="0017721C">
              <w:rPr>
                <w:sz w:val="16"/>
                <w:szCs w:val="16"/>
                <w:lang w:val="it-IT"/>
              </w:rPr>
              <w:t>-</w:t>
            </w:r>
            <w:r w:rsidRPr="0017721C">
              <w:rPr>
                <w:sz w:val="16"/>
                <w:szCs w:val="16"/>
                <w:lang w:val="it-IT"/>
              </w:rPr>
              <w:tab/>
              <w:t>componenti negativi reddituali derivanti da certificati ambientali (cfr. paragrafi 36; 52-53 OIC 7 “I certificati -</w:t>
            </w:r>
            <w:r w:rsidRPr="0017721C">
              <w:rPr>
                <w:sz w:val="16"/>
                <w:szCs w:val="16"/>
                <w:lang w:val="it-IT"/>
              </w:rPr>
              <w:tab/>
              <w:t>verdi”, e paragrafi 35; 37 dell’OIC 8 “Le quote di emissione di gas ad effetto serra”);</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192" w:lineRule="exact"/>
              <w:ind w:left="168" w:right="57" w:hanging="111"/>
              <w:rPr>
                <w:sz w:val="16"/>
                <w:szCs w:val="16"/>
                <w:lang w:val="it-IT"/>
              </w:rPr>
            </w:pPr>
            <w:r w:rsidRPr="0017721C">
              <w:rPr>
                <w:sz w:val="16"/>
                <w:szCs w:val="16"/>
                <w:lang w:val="it-IT"/>
              </w:rPr>
              <w:t>-</w:t>
            </w:r>
            <w:r w:rsidRPr="0017721C">
              <w:rPr>
                <w:sz w:val="16"/>
                <w:szCs w:val="16"/>
                <w:lang w:val="it-IT"/>
              </w:rPr>
              <w:tab/>
              <w:t>perdite di caparre a titolo definitivo;</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w:t>
            </w:r>
            <w:r w:rsidRPr="0017721C">
              <w:rPr>
                <w:sz w:val="16"/>
                <w:szCs w:val="16"/>
                <w:lang w:val="it-IT"/>
              </w:rPr>
              <w:tab/>
              <w:t>oneri per multe, ammende e penalità.</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D44513">
            <w:pPr>
              <w:pageBreakBefore/>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D44513">
            <w:pPr>
              <w:pageBreakBefore/>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E3AF5">
            <w:pPr>
              <w:pageBreakBefore/>
              <w:outlineLvl w:val="3"/>
              <w:rPr>
                <w:i/>
                <w:lang w:val="it-IT"/>
              </w:rPr>
            </w:pPr>
            <w:r w:rsidRPr="0017721C">
              <w:rPr>
                <w:i/>
                <w:lang w:val="it-IT"/>
              </w:rPr>
              <w:t>C - Proventi e oneri finanziari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D44513">
            <w:pPr>
              <w:pageBreakBefore/>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D44513">
            <w:pPr>
              <w:pageBreakBefore/>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D44513">
            <w:pPr>
              <w:pageBreakBefore/>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160)</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12.85</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AD5AD0">
            <w:pPr>
              <w:spacing w:line="214" w:lineRule="exact"/>
              <w:rPr>
                <w:lang w:val="it-IT"/>
              </w:rPr>
            </w:pPr>
            <w:r w:rsidRPr="0017721C">
              <w:rPr>
                <w:lang w:val="it-IT"/>
              </w:rPr>
              <w:t>Nelle tre voci della classe sono stati rilevati tutti i componenti positivi e negativi del risultato economico d’esercizio connessi con l’attività finanziaria della società, anche per le imprese per le quali tale area costituisce l’attività caratteristica della gestione?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E3AF5">
            <w:r w:rsidRPr="0017721C">
              <w:t>C15) Proventi da partecipazioni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161)</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12.86</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AD5AD0">
            <w:pPr>
              <w:spacing w:line="214" w:lineRule="exact"/>
              <w:rPr>
                <w:lang w:val="it-IT"/>
              </w:rPr>
            </w:pPr>
            <w:r w:rsidRPr="0017721C">
              <w:rPr>
                <w:lang w:val="it-IT"/>
              </w:rPr>
              <w:t>La voce i include tutti i proventi derivanti da partecipazioni in società, joint venture e consorzi, iscritte sia nelle immobilizzazioni finanziarie sia nell’attivo circolante?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162)</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12.86</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E3AF5">
            <w:pPr>
              <w:rPr>
                <w:lang w:val="it-IT"/>
              </w:rPr>
            </w:pPr>
            <w:r w:rsidRPr="0017721C">
              <w:rPr>
                <w:lang w:val="it-IT"/>
              </w:rPr>
              <w:t xml:space="preserve">Sono indicati separatamente in apposite sotto-voci quelli provenienti da: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E3AF5">
            <w:pPr>
              <w:pStyle w:val="rientrotrattino"/>
              <w:tabs>
                <w:tab w:val="clear" w:pos="704"/>
              </w:tabs>
              <w:ind w:left="410" w:hanging="285"/>
            </w:pPr>
            <w:r w:rsidRPr="0017721C">
              <w:t>partecipazioni in imprese controllate e in imprese collegate, 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E3AF5">
            <w:pPr>
              <w:pStyle w:val="rientrotrattino"/>
              <w:tabs>
                <w:tab w:val="clear" w:pos="704"/>
              </w:tabs>
              <w:ind w:left="410" w:hanging="285"/>
            </w:pPr>
            <w:r w:rsidRPr="0017721C">
              <w:t>da controllanti e imprese sottoposte al controllo di queste ultime?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12.87</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Si tratta principalmente dei seguenti proventi:</w:t>
            </w:r>
          </w:p>
          <w:p w:rsidR="0017721C" w:rsidRPr="0017721C" w:rsidRDefault="0017721C" w:rsidP="00AD5AD0">
            <w:pPr>
              <w:pBdr>
                <w:top w:val="single" w:sz="4" w:space="1" w:color="auto"/>
                <w:left w:val="single" w:sz="4" w:space="4" w:color="auto"/>
                <w:bottom w:val="single" w:sz="4" w:space="1" w:color="auto"/>
                <w:right w:val="single" w:sz="4" w:space="4" w:color="auto"/>
              </w:pBdr>
              <w:spacing w:after="0" w:line="190" w:lineRule="exact"/>
              <w:ind w:left="170" w:right="57" w:hanging="113"/>
              <w:rPr>
                <w:sz w:val="16"/>
                <w:szCs w:val="16"/>
                <w:lang w:val="it-IT"/>
              </w:rPr>
            </w:pPr>
            <w:r w:rsidRPr="0017721C">
              <w:rPr>
                <w:sz w:val="16"/>
                <w:szCs w:val="16"/>
                <w:lang w:val="it-IT"/>
              </w:rPr>
              <w:t xml:space="preserve">- </w:t>
            </w:r>
            <w:r w:rsidRPr="0017721C">
              <w:rPr>
                <w:sz w:val="16"/>
                <w:szCs w:val="16"/>
                <w:lang w:val="it-IT"/>
              </w:rPr>
              <w:tab/>
              <w:t>dividendi su partecipazioni al lordo delle eventuali ritenute. I dividendi sono rilevati nell’esercizio in cui ne è stata deliberata la distribuzione (cfr. paragrafo 58 dell’OIC 21 “Partecipazioni”);</w:t>
            </w:r>
          </w:p>
          <w:p w:rsidR="0017721C" w:rsidRPr="0017721C" w:rsidRDefault="0017721C" w:rsidP="00AD5AD0">
            <w:pPr>
              <w:pBdr>
                <w:top w:val="single" w:sz="4" w:space="1" w:color="auto"/>
                <w:left w:val="single" w:sz="4" w:space="4" w:color="auto"/>
                <w:bottom w:val="single" w:sz="4" w:space="1" w:color="auto"/>
                <w:right w:val="single" w:sz="4" w:space="4" w:color="auto"/>
              </w:pBdr>
              <w:spacing w:before="0" w:after="0" w:line="190" w:lineRule="exact"/>
              <w:ind w:left="170" w:right="57" w:hanging="113"/>
              <w:rPr>
                <w:sz w:val="16"/>
                <w:szCs w:val="16"/>
                <w:lang w:val="it-IT"/>
              </w:rPr>
            </w:pPr>
            <w:r w:rsidRPr="0017721C">
              <w:rPr>
                <w:sz w:val="16"/>
                <w:szCs w:val="16"/>
                <w:lang w:val="it-IT"/>
              </w:rPr>
              <w:t xml:space="preserve">- </w:t>
            </w:r>
            <w:r w:rsidRPr="0017721C">
              <w:rPr>
                <w:sz w:val="16"/>
                <w:szCs w:val="16"/>
                <w:lang w:val="it-IT"/>
              </w:rPr>
              <w:tab/>
              <w:t>plusvalenze da alienazione (compresa la permuta) di partecipazioni iscritte nell’attivo immobilizzato o nell’attivo circolante;</w:t>
            </w:r>
          </w:p>
          <w:p w:rsidR="0017721C" w:rsidRPr="0017721C" w:rsidRDefault="0017721C" w:rsidP="00AD5AD0">
            <w:pPr>
              <w:pBdr>
                <w:top w:val="single" w:sz="4" w:space="1" w:color="auto"/>
                <w:left w:val="single" w:sz="4" w:space="4" w:color="auto"/>
                <w:bottom w:val="single" w:sz="4" w:space="1" w:color="auto"/>
                <w:right w:val="single" w:sz="4" w:space="4" w:color="auto"/>
              </w:pBdr>
              <w:spacing w:before="0" w:after="0" w:line="190" w:lineRule="exact"/>
              <w:ind w:left="170" w:right="57" w:hanging="113"/>
              <w:rPr>
                <w:sz w:val="16"/>
                <w:szCs w:val="16"/>
                <w:lang w:val="it-IT"/>
              </w:rPr>
            </w:pPr>
            <w:r w:rsidRPr="0017721C">
              <w:rPr>
                <w:sz w:val="16"/>
                <w:szCs w:val="16"/>
                <w:lang w:val="it-IT"/>
              </w:rPr>
              <w:t xml:space="preserve">- </w:t>
            </w:r>
            <w:r w:rsidRPr="0017721C">
              <w:rPr>
                <w:sz w:val="16"/>
                <w:szCs w:val="16"/>
                <w:lang w:val="it-IT"/>
              </w:rPr>
              <w:tab/>
              <w:t>ricavi da vendita di warrants e di diritti di opzione su titoli partecipativi;</w:t>
            </w:r>
          </w:p>
          <w:p w:rsidR="0017721C" w:rsidRPr="0017721C" w:rsidRDefault="0017721C" w:rsidP="00AD5AD0">
            <w:pPr>
              <w:pBdr>
                <w:top w:val="single" w:sz="4" w:space="1" w:color="auto"/>
                <w:left w:val="single" w:sz="4" w:space="4" w:color="auto"/>
                <w:bottom w:val="single" w:sz="4" w:space="1" w:color="auto"/>
                <w:right w:val="single" w:sz="4" w:space="4" w:color="auto"/>
              </w:pBdr>
              <w:spacing w:before="0" w:after="0" w:line="190" w:lineRule="exact"/>
              <w:ind w:left="170" w:right="57" w:hanging="113"/>
              <w:rPr>
                <w:sz w:val="16"/>
                <w:szCs w:val="16"/>
                <w:lang w:val="it-IT"/>
              </w:rPr>
            </w:pPr>
            <w:r w:rsidRPr="0017721C">
              <w:rPr>
                <w:sz w:val="16"/>
                <w:szCs w:val="16"/>
                <w:lang w:val="it-IT"/>
              </w:rPr>
              <w:t xml:space="preserve">- </w:t>
            </w:r>
            <w:r w:rsidRPr="0017721C">
              <w:rPr>
                <w:sz w:val="16"/>
                <w:szCs w:val="16"/>
                <w:lang w:val="it-IT"/>
              </w:rPr>
              <w:tab/>
              <w:t>utili distribuiti da joint venture e consorzi;</w:t>
            </w:r>
          </w:p>
          <w:p w:rsidR="0017721C" w:rsidRPr="0017721C" w:rsidRDefault="0017721C" w:rsidP="00AD5AD0">
            <w:pPr>
              <w:pBdr>
                <w:top w:val="single" w:sz="4" w:space="1" w:color="auto"/>
                <w:left w:val="single" w:sz="4" w:space="4" w:color="auto"/>
                <w:bottom w:val="single" w:sz="4" w:space="1" w:color="auto"/>
                <w:right w:val="single" w:sz="4" w:space="4" w:color="auto"/>
              </w:pBdr>
              <w:spacing w:before="0" w:after="0" w:line="190" w:lineRule="exact"/>
              <w:ind w:left="170" w:right="57" w:hanging="113"/>
              <w:rPr>
                <w:sz w:val="16"/>
                <w:szCs w:val="16"/>
                <w:lang w:val="it-IT"/>
              </w:rPr>
            </w:pPr>
            <w:r w:rsidRPr="0017721C">
              <w:rPr>
                <w:sz w:val="16"/>
                <w:szCs w:val="16"/>
                <w:lang w:val="it-IT"/>
              </w:rPr>
              <w:t xml:space="preserve">- </w:t>
            </w:r>
            <w:r w:rsidRPr="0017721C">
              <w:rPr>
                <w:sz w:val="16"/>
                <w:szCs w:val="16"/>
                <w:lang w:val="it-IT"/>
              </w:rPr>
              <w:tab/>
              <w:t>eventuali utili in natura distribuiti da imprese partecipate, anche in sede di liquidazione;</w:t>
            </w:r>
          </w:p>
          <w:p w:rsidR="0017721C" w:rsidRPr="0017721C" w:rsidRDefault="0017721C" w:rsidP="001E3AF5">
            <w:pPr>
              <w:pBdr>
                <w:top w:val="single" w:sz="4" w:space="1" w:color="auto"/>
                <w:left w:val="single" w:sz="4" w:space="4" w:color="auto"/>
                <w:bottom w:val="single" w:sz="4" w:space="1" w:color="auto"/>
                <w:right w:val="single" w:sz="4" w:space="4" w:color="auto"/>
              </w:pBdr>
              <w:spacing w:before="0" w:line="200" w:lineRule="exact"/>
              <w:ind w:left="170" w:right="57" w:hanging="113"/>
              <w:rPr>
                <w:sz w:val="16"/>
                <w:szCs w:val="16"/>
                <w:lang w:val="it-IT"/>
              </w:rPr>
            </w:pPr>
            <w:r w:rsidRPr="0017721C">
              <w:rPr>
                <w:sz w:val="16"/>
                <w:szCs w:val="16"/>
                <w:lang w:val="it-IT"/>
              </w:rPr>
              <w:t>-</w:t>
            </w:r>
            <w:r w:rsidRPr="0017721C">
              <w:rPr>
                <w:sz w:val="16"/>
                <w:szCs w:val="16"/>
                <w:lang w:val="it-IT"/>
              </w:rPr>
              <w:tab/>
              <w:t>plusvalenze derivanti dalla cessione di azioni della società controllante.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widowControl w:val="0"/>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widowControl w:val="0"/>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widowControl w:val="0"/>
              <w:rPr>
                <w:i/>
              </w:rPr>
            </w:pPr>
            <w:r w:rsidRPr="0017721C">
              <w:rPr>
                <w:i/>
              </w:rPr>
              <w:t>C16) Altri proventi finanziari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widowControl w:val="0"/>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widowControl w:val="0"/>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widowControl w:val="0"/>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i/>
                <w:lang w:val="it-IT"/>
              </w:rPr>
            </w:pPr>
            <w:r w:rsidRPr="0017721C">
              <w:rPr>
                <w:i/>
                <w:lang w:val="it-IT"/>
              </w:rPr>
              <w:t>C16a) Da crediti iscritti nelle immobilizzazioni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3464AE"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3464AE" w:rsidRPr="0017721C" w:rsidRDefault="003464AE" w:rsidP="0017721C">
            <w:pPr>
              <w:jc w:val="center"/>
              <w:rPr>
                <w:b/>
                <w:lang w:val="it-IT"/>
              </w:rPr>
            </w:pPr>
            <w:r w:rsidRPr="0017721C">
              <w:rPr>
                <w:b/>
                <w:lang w:val="it-IT"/>
              </w:rPr>
              <w:t>163)</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3464AE" w:rsidRPr="0017721C" w:rsidRDefault="003464AE" w:rsidP="0017721C">
            <w:pPr>
              <w:spacing w:before="40" w:line="240" w:lineRule="auto"/>
              <w:ind w:left="-57"/>
              <w:jc w:val="left"/>
              <w:rPr>
                <w:sz w:val="13"/>
                <w:szCs w:val="13"/>
                <w:lang w:val="it-IT"/>
              </w:rPr>
            </w:pPr>
            <w:r w:rsidRPr="0017721C">
              <w:rPr>
                <w:sz w:val="13"/>
                <w:szCs w:val="13"/>
                <w:lang w:val="it-IT"/>
              </w:rPr>
              <w:t>OIC 12.88</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3464AE" w:rsidRPr="0017721C" w:rsidRDefault="003464AE" w:rsidP="00AD5AD0">
            <w:pPr>
              <w:spacing w:line="214" w:lineRule="exact"/>
              <w:rPr>
                <w:lang w:val="it-IT"/>
              </w:rPr>
            </w:pPr>
            <w:r w:rsidRPr="0017721C">
              <w:rPr>
                <w:lang w:val="it-IT"/>
              </w:rPr>
              <w:t>Sono rilevati in questa voce tutti gli interessi attivi e altri proventi maturati nell’esercizio sui crediti iscritti fra le immobilizzazioni finanziarie ai sensi del parag</w:t>
            </w:r>
            <w:r w:rsidR="001E3AF5">
              <w:rPr>
                <w:lang w:val="it-IT"/>
              </w:rPr>
              <w:t xml:space="preserve">rafo 25 dell’OIC 15 “Crediti” e </w:t>
            </w:r>
            <w:r w:rsidRPr="0017721C">
              <w:rPr>
                <w:lang w:val="it-IT"/>
              </w:rPr>
              <w:t>i maggiori importi incassati sui crediti acquistati ed iscritti nelle immobilizzazioni finanziarie?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3464AE" w:rsidRPr="0017721C" w:rsidRDefault="003464AE" w:rsidP="00B56A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3464AE" w:rsidRPr="0017721C" w:rsidRDefault="003464AE" w:rsidP="00B56A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3464AE" w:rsidRPr="0017721C" w:rsidRDefault="003464AE" w:rsidP="00B56A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164)</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12.89</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AD5AD0">
            <w:pPr>
              <w:spacing w:line="214" w:lineRule="exact"/>
              <w:rPr>
                <w:lang w:val="it-IT"/>
              </w:rPr>
            </w:pPr>
            <w:r w:rsidRPr="0017721C">
              <w:rPr>
                <w:lang w:val="it-IT"/>
              </w:rPr>
              <w:t>La voce è stata suddivisa in quattro ulteriori sotto-voci, in presenza di crediti nei confronti di imprese controllate, collegate e di quelli nei confronti di controllanti e imprese sottoposte al controllo di queste ultime?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i/>
                <w:lang w:val="it-IT"/>
              </w:rPr>
            </w:pPr>
            <w:r w:rsidRPr="0017721C">
              <w:rPr>
                <w:i/>
                <w:lang w:val="it-IT"/>
              </w:rPr>
              <w:t>C16b)Da titoli iscritti nelle immobilizzazioni che non costituiscono partecipazioni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12.90</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194" w:lineRule="exact"/>
              <w:ind w:left="57" w:right="57"/>
              <w:rPr>
                <w:sz w:val="16"/>
                <w:szCs w:val="16"/>
                <w:lang w:val="it-IT"/>
              </w:rPr>
            </w:pPr>
            <w:r w:rsidRPr="0017721C">
              <w:rPr>
                <w:sz w:val="16"/>
                <w:szCs w:val="16"/>
                <w:lang w:val="it-IT"/>
              </w:rPr>
              <w:t>Possono essere inclusi nella voce:</w:t>
            </w:r>
          </w:p>
          <w:p w:rsidR="0017721C" w:rsidRPr="0017721C" w:rsidRDefault="0017721C" w:rsidP="00AD5AD0">
            <w:pPr>
              <w:pBdr>
                <w:top w:val="single" w:sz="4" w:space="1" w:color="auto"/>
                <w:left w:val="single" w:sz="4" w:space="4" w:color="auto"/>
                <w:bottom w:val="single" w:sz="4" w:space="1" w:color="auto"/>
                <w:right w:val="single" w:sz="4" w:space="4" w:color="auto"/>
              </w:pBdr>
              <w:spacing w:before="0" w:after="0" w:line="192" w:lineRule="exact"/>
              <w:ind w:left="168" w:right="57" w:hanging="111"/>
              <w:rPr>
                <w:sz w:val="16"/>
                <w:szCs w:val="16"/>
                <w:lang w:val="it-IT"/>
              </w:rPr>
            </w:pPr>
            <w:r w:rsidRPr="0017721C">
              <w:rPr>
                <w:sz w:val="16"/>
                <w:szCs w:val="16"/>
                <w:lang w:val="it-IT"/>
              </w:rPr>
              <w:t>-</w:t>
            </w:r>
            <w:r w:rsidRPr="0017721C">
              <w:rPr>
                <w:sz w:val="16"/>
                <w:szCs w:val="16"/>
                <w:lang w:val="it-IT"/>
              </w:rPr>
              <w:tab/>
              <w:t>gli interessi attivi di competenza economica dell’esercizio maturati su titoli immobilizzati (inclusivi dell’eventuale quota di scarto o premio di sottoscrizione e di negoziazione maturata nell’esercizio);</w:t>
            </w:r>
          </w:p>
          <w:p w:rsidR="0017721C" w:rsidRPr="0017721C" w:rsidRDefault="0017721C" w:rsidP="00AD5AD0">
            <w:pPr>
              <w:pBdr>
                <w:top w:val="single" w:sz="4" w:space="1" w:color="auto"/>
                <w:left w:val="single" w:sz="4" w:space="4" w:color="auto"/>
                <w:bottom w:val="single" w:sz="4" w:space="1" w:color="auto"/>
                <w:right w:val="single" w:sz="4" w:space="4" w:color="auto"/>
              </w:pBdr>
              <w:spacing w:before="0" w:after="0" w:line="192" w:lineRule="exact"/>
              <w:ind w:left="170" w:right="57" w:hanging="113"/>
              <w:rPr>
                <w:sz w:val="16"/>
                <w:szCs w:val="16"/>
                <w:lang w:val="it-IT"/>
              </w:rPr>
            </w:pPr>
            <w:r w:rsidRPr="0017721C">
              <w:rPr>
                <w:sz w:val="16"/>
                <w:szCs w:val="16"/>
                <w:lang w:val="it-IT"/>
              </w:rPr>
              <w:t>-</w:t>
            </w:r>
            <w:r w:rsidRPr="0017721C">
              <w:rPr>
                <w:sz w:val="16"/>
                <w:szCs w:val="16"/>
                <w:lang w:val="it-IT"/>
              </w:rPr>
              <w:tab/>
              <w:t xml:space="preserve">i premi percepiti per sorteggio di obbligazioni; </w:t>
            </w:r>
          </w:p>
          <w:p w:rsidR="0017721C" w:rsidRPr="0017721C" w:rsidRDefault="0017721C" w:rsidP="00AD5AD0">
            <w:pPr>
              <w:pBdr>
                <w:top w:val="single" w:sz="4" w:space="1" w:color="auto"/>
                <w:left w:val="single" w:sz="4" w:space="4" w:color="auto"/>
                <w:bottom w:val="single" w:sz="4" w:space="1" w:color="auto"/>
                <w:right w:val="single" w:sz="4" w:space="4" w:color="auto"/>
              </w:pBdr>
              <w:spacing w:before="0" w:after="0" w:line="192" w:lineRule="exact"/>
              <w:ind w:left="168" w:right="57" w:hanging="111"/>
              <w:rPr>
                <w:sz w:val="16"/>
                <w:szCs w:val="16"/>
                <w:lang w:val="it-IT"/>
              </w:rPr>
            </w:pPr>
            <w:r w:rsidRPr="0017721C">
              <w:rPr>
                <w:sz w:val="16"/>
                <w:szCs w:val="16"/>
                <w:lang w:val="it-IT"/>
              </w:rPr>
              <w:t>-</w:t>
            </w:r>
            <w:r w:rsidRPr="0017721C">
              <w:rPr>
                <w:sz w:val="16"/>
                <w:szCs w:val="16"/>
                <w:lang w:val="it-IT"/>
              </w:rPr>
              <w:tab/>
              <w:t>gli utili che derivano dalla negoziazione di titoli prima della naturale scadenza, quale differenza tra il valore contabile del titolo iscritto tra le immobilizzazioni finanziarie e il prezzo di cessione;</w:t>
            </w:r>
          </w:p>
          <w:p w:rsidR="0017721C" w:rsidRPr="0017721C" w:rsidRDefault="0017721C" w:rsidP="00AD5AD0">
            <w:pPr>
              <w:pBdr>
                <w:top w:val="single" w:sz="4" w:space="1" w:color="auto"/>
                <w:left w:val="single" w:sz="4" w:space="4" w:color="auto"/>
                <w:bottom w:val="single" w:sz="4" w:space="1" w:color="auto"/>
                <w:right w:val="single" w:sz="4" w:space="4" w:color="auto"/>
              </w:pBdr>
              <w:spacing w:before="0" w:after="0" w:line="200" w:lineRule="exact"/>
              <w:ind w:left="170" w:right="57" w:hanging="113"/>
              <w:rPr>
                <w:sz w:val="16"/>
                <w:szCs w:val="16"/>
                <w:lang w:val="it-IT"/>
              </w:rPr>
            </w:pPr>
            <w:r w:rsidRPr="0017721C">
              <w:rPr>
                <w:sz w:val="16"/>
                <w:szCs w:val="16"/>
                <w:lang w:val="it-IT"/>
              </w:rPr>
              <w:t>-</w:t>
            </w:r>
            <w:r w:rsidRPr="0017721C">
              <w:rPr>
                <w:sz w:val="16"/>
                <w:szCs w:val="16"/>
                <w:lang w:val="it-IT"/>
              </w:rPr>
              <w:tab/>
              <w:t>plusvalenze da alienazione (compresa la permuta) di titoli a reddito fisso iscritti nell’attivo Immobilizzato?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i/>
                <w:lang w:val="it-IT"/>
              </w:rPr>
            </w:pPr>
            <w:r w:rsidRPr="0017721C">
              <w:rPr>
                <w:i/>
                <w:lang w:val="it-IT"/>
              </w:rPr>
              <w:t>C16c) Da titoli iscritti nell’attivo circolante che non costituiscono partecipazioni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12.91</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widowControl w:val="0"/>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La sottovoce include:</w:t>
            </w:r>
          </w:p>
          <w:p w:rsidR="0017721C" w:rsidRPr="0017721C" w:rsidRDefault="0017721C" w:rsidP="00AD5AD0">
            <w:pPr>
              <w:widowControl w:val="0"/>
              <w:pBdr>
                <w:top w:val="single" w:sz="4" w:space="1" w:color="auto"/>
                <w:left w:val="single" w:sz="4" w:space="4" w:color="auto"/>
                <w:bottom w:val="single" w:sz="4" w:space="1" w:color="auto"/>
                <w:right w:val="single" w:sz="4" w:space="4" w:color="auto"/>
              </w:pBdr>
              <w:spacing w:before="0" w:after="0" w:line="192" w:lineRule="exact"/>
              <w:ind w:left="168" w:right="57" w:hanging="111"/>
              <w:rPr>
                <w:sz w:val="16"/>
                <w:szCs w:val="16"/>
                <w:lang w:val="it-IT"/>
              </w:rPr>
            </w:pPr>
            <w:r w:rsidRPr="0017721C">
              <w:rPr>
                <w:sz w:val="16"/>
                <w:szCs w:val="16"/>
                <w:lang w:val="it-IT"/>
              </w:rPr>
              <w:t>-</w:t>
            </w:r>
            <w:r w:rsidRPr="0017721C">
              <w:rPr>
                <w:sz w:val="16"/>
                <w:szCs w:val="16"/>
                <w:lang w:val="it-IT"/>
              </w:rPr>
              <w:tab/>
              <w:t>interessi attivi che maturano su titoli non immobilizzati (inclusivi dell’eventuale quota di scarto o premio di sottoscrizione e di negoziazione maturata nell’esercizio);</w:t>
            </w:r>
          </w:p>
          <w:p w:rsidR="0017721C" w:rsidRPr="0017721C" w:rsidRDefault="0017721C" w:rsidP="00AD5AD0">
            <w:pPr>
              <w:widowControl w:val="0"/>
              <w:pBdr>
                <w:top w:val="single" w:sz="4" w:space="1" w:color="auto"/>
                <w:left w:val="single" w:sz="4" w:space="4" w:color="auto"/>
                <w:bottom w:val="single" w:sz="4" w:space="1" w:color="auto"/>
                <w:right w:val="single" w:sz="4" w:space="4" w:color="auto"/>
              </w:pBdr>
              <w:spacing w:before="0" w:after="0" w:line="192" w:lineRule="exact"/>
              <w:ind w:left="170" w:right="57" w:hanging="113"/>
              <w:rPr>
                <w:sz w:val="16"/>
                <w:szCs w:val="16"/>
                <w:lang w:val="it-IT"/>
              </w:rPr>
            </w:pPr>
            <w:r w:rsidRPr="0017721C">
              <w:rPr>
                <w:sz w:val="16"/>
                <w:szCs w:val="16"/>
                <w:lang w:val="it-IT"/>
              </w:rPr>
              <w:t>-</w:t>
            </w:r>
            <w:r w:rsidRPr="0017721C">
              <w:rPr>
                <w:sz w:val="16"/>
                <w:szCs w:val="16"/>
                <w:lang w:val="it-IT"/>
              </w:rPr>
              <w:tab/>
              <w:t>utili che derivano dalla negoziazione di titoli non immobilizzati, corrispondenti alla differenza tra il valore contabile e il prezzo di cessione;</w:t>
            </w:r>
          </w:p>
          <w:p w:rsidR="0017721C" w:rsidRPr="0017721C" w:rsidRDefault="0017721C" w:rsidP="00AD5AD0">
            <w:pPr>
              <w:widowControl w:val="0"/>
              <w:pBdr>
                <w:top w:val="single" w:sz="4" w:space="1" w:color="auto"/>
                <w:left w:val="single" w:sz="4" w:space="4" w:color="auto"/>
                <w:bottom w:val="single" w:sz="4" w:space="1" w:color="auto"/>
                <w:right w:val="single" w:sz="4" w:space="4" w:color="auto"/>
              </w:pBdr>
              <w:spacing w:before="0" w:line="192" w:lineRule="exact"/>
              <w:ind w:left="170" w:right="57" w:hanging="113"/>
              <w:rPr>
                <w:sz w:val="16"/>
                <w:szCs w:val="16"/>
                <w:lang w:val="it-IT"/>
              </w:rPr>
            </w:pPr>
            <w:r w:rsidRPr="0017721C">
              <w:rPr>
                <w:sz w:val="16"/>
                <w:szCs w:val="16"/>
                <w:lang w:val="it-IT"/>
              </w:rPr>
              <w:t>-</w:t>
            </w:r>
            <w:r w:rsidRPr="0017721C">
              <w:rPr>
                <w:sz w:val="16"/>
                <w:szCs w:val="16"/>
                <w:lang w:val="it-IT"/>
              </w:rPr>
              <w:tab/>
              <w:t>plusvalenze da alienazione (compresa la permuta) di titoli a reddito fisso iscritti nell’attivo circolante.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i/>
                <w:lang w:val="it-IT"/>
              </w:rPr>
            </w:pPr>
            <w:r w:rsidRPr="0017721C">
              <w:rPr>
                <w:i/>
                <w:lang w:val="it-IT"/>
              </w:rPr>
              <w:t>C16d) Proventi diversi dai precedenti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12..92</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AD5AD0">
            <w:pPr>
              <w:pBdr>
                <w:top w:val="single" w:sz="4" w:space="1" w:color="auto"/>
                <w:left w:val="single" w:sz="4" w:space="4" w:color="auto"/>
                <w:bottom w:val="single" w:sz="4" w:space="1" w:color="auto"/>
                <w:right w:val="single" w:sz="4" w:space="4" w:color="auto"/>
              </w:pBdr>
              <w:spacing w:before="40" w:line="192" w:lineRule="exact"/>
              <w:ind w:left="57" w:right="57"/>
              <w:rPr>
                <w:sz w:val="16"/>
                <w:szCs w:val="16"/>
                <w:lang w:val="it-IT"/>
              </w:rPr>
            </w:pPr>
            <w:r w:rsidRPr="0017721C">
              <w:rPr>
                <w:sz w:val="16"/>
                <w:szCs w:val="16"/>
                <w:lang w:val="it-IT"/>
              </w:rPr>
              <w:t>La sottovoce include a titolo esemplificativo e non esaustivo:</w:t>
            </w:r>
          </w:p>
          <w:p w:rsidR="0017721C" w:rsidRPr="0017721C" w:rsidRDefault="0017721C" w:rsidP="00AD5AD0">
            <w:pPr>
              <w:widowControl w:val="0"/>
              <w:pBdr>
                <w:top w:val="single" w:sz="4" w:space="1" w:color="auto"/>
                <w:left w:val="single" w:sz="4" w:space="4" w:color="auto"/>
                <w:bottom w:val="single" w:sz="4" w:space="1" w:color="auto"/>
                <w:right w:val="single" w:sz="4" w:space="4" w:color="auto"/>
              </w:pBdr>
              <w:spacing w:before="0" w:line="192" w:lineRule="exact"/>
              <w:ind w:left="170" w:right="57" w:hanging="113"/>
              <w:rPr>
                <w:sz w:val="16"/>
                <w:szCs w:val="16"/>
                <w:lang w:val="it-IT"/>
              </w:rPr>
            </w:pPr>
            <w:r w:rsidRPr="0017721C">
              <w:rPr>
                <w:sz w:val="16"/>
                <w:szCs w:val="16"/>
                <w:lang w:val="it-IT"/>
              </w:rPr>
              <w:t>-</w:t>
            </w:r>
            <w:r w:rsidRPr="0017721C">
              <w:rPr>
                <w:sz w:val="16"/>
                <w:szCs w:val="16"/>
                <w:lang w:val="it-IT"/>
              </w:rPr>
              <w:tab/>
              <w:t>utili da associazioni in partecipazione e cointeressenze;</w:t>
            </w:r>
          </w:p>
          <w:p w:rsidR="0017721C" w:rsidRPr="0017721C" w:rsidRDefault="0017721C" w:rsidP="00AD5AD0">
            <w:pPr>
              <w:widowControl w:val="0"/>
              <w:pBdr>
                <w:top w:val="single" w:sz="4" w:space="1" w:color="auto"/>
                <w:left w:val="single" w:sz="4" w:space="4" w:color="auto"/>
                <w:bottom w:val="single" w:sz="4" w:space="1" w:color="auto"/>
                <w:right w:val="single" w:sz="4" w:space="4" w:color="auto"/>
              </w:pBdr>
              <w:spacing w:before="0" w:after="0" w:line="192" w:lineRule="exact"/>
              <w:ind w:left="170" w:right="57" w:hanging="113"/>
              <w:rPr>
                <w:sz w:val="16"/>
                <w:szCs w:val="16"/>
                <w:lang w:val="it-IT"/>
              </w:rPr>
            </w:pPr>
            <w:r w:rsidRPr="0017721C">
              <w:rPr>
                <w:sz w:val="16"/>
                <w:szCs w:val="16"/>
                <w:lang w:val="it-IT"/>
              </w:rPr>
              <w:t>-</w:t>
            </w:r>
            <w:r w:rsidRPr="0017721C">
              <w:rPr>
                <w:sz w:val="16"/>
                <w:szCs w:val="16"/>
                <w:lang w:val="it-IT"/>
              </w:rPr>
              <w:tab/>
              <w:t>interessi attivi su conti e depositi bancari di qualunque tipo;</w:t>
            </w:r>
          </w:p>
          <w:p w:rsidR="0017721C" w:rsidRPr="0017721C" w:rsidRDefault="0017721C" w:rsidP="00AD5AD0">
            <w:pPr>
              <w:widowControl w:val="0"/>
              <w:pBdr>
                <w:top w:val="single" w:sz="4" w:space="1" w:color="auto"/>
                <w:left w:val="single" w:sz="4" w:space="4" w:color="auto"/>
                <w:bottom w:val="single" w:sz="4" w:space="1" w:color="auto"/>
                <w:right w:val="single" w:sz="4" w:space="4" w:color="auto"/>
              </w:pBdr>
              <w:spacing w:before="0" w:after="0" w:line="192" w:lineRule="exact"/>
              <w:ind w:left="170" w:right="57" w:hanging="113"/>
              <w:rPr>
                <w:sz w:val="16"/>
                <w:szCs w:val="16"/>
                <w:lang w:val="it-IT"/>
              </w:rPr>
            </w:pPr>
            <w:r w:rsidRPr="0017721C">
              <w:rPr>
                <w:sz w:val="16"/>
                <w:szCs w:val="16"/>
                <w:lang w:val="it-IT"/>
              </w:rPr>
              <w:t>-</w:t>
            </w:r>
            <w:r w:rsidRPr="0017721C">
              <w:rPr>
                <w:sz w:val="16"/>
                <w:szCs w:val="16"/>
                <w:lang w:val="it-IT"/>
              </w:rPr>
              <w:tab/>
              <w:t>interessi di mora ed interessi per dilazioni di pagamento concessi a clienti;</w:t>
            </w:r>
          </w:p>
          <w:p w:rsidR="0017721C" w:rsidRPr="0017721C" w:rsidRDefault="0017721C" w:rsidP="00AD5AD0">
            <w:pPr>
              <w:widowControl w:val="0"/>
              <w:pBdr>
                <w:top w:val="single" w:sz="4" w:space="1" w:color="auto"/>
                <w:left w:val="single" w:sz="4" w:space="4" w:color="auto"/>
                <w:bottom w:val="single" w:sz="4" w:space="1" w:color="auto"/>
                <w:right w:val="single" w:sz="4" w:space="4" w:color="auto"/>
              </w:pBdr>
              <w:spacing w:before="0" w:after="0" w:line="192" w:lineRule="exact"/>
              <w:ind w:left="170" w:right="57" w:hanging="113"/>
              <w:rPr>
                <w:sz w:val="16"/>
                <w:szCs w:val="16"/>
                <w:lang w:val="it-IT"/>
              </w:rPr>
            </w:pPr>
            <w:r w:rsidRPr="0017721C">
              <w:rPr>
                <w:sz w:val="16"/>
                <w:szCs w:val="16"/>
                <w:lang w:val="it-IT"/>
              </w:rPr>
              <w:t>-</w:t>
            </w:r>
            <w:r w:rsidRPr="0017721C">
              <w:rPr>
                <w:sz w:val="16"/>
                <w:szCs w:val="16"/>
                <w:lang w:val="it-IT"/>
              </w:rPr>
              <w:tab/>
              <w:t>interessi maturati su crediti iscritti nell’attivo circolante, per rimborsi d’imposte, crediti verso dipendenti, crediti verso enti previdenziali, ecc.;</w:t>
            </w:r>
          </w:p>
          <w:p w:rsidR="0017721C" w:rsidRPr="0017721C" w:rsidRDefault="0017721C" w:rsidP="00AD5AD0">
            <w:pPr>
              <w:widowControl w:val="0"/>
              <w:pBdr>
                <w:top w:val="single" w:sz="4" w:space="1" w:color="auto"/>
                <w:left w:val="single" w:sz="4" w:space="4" w:color="auto"/>
                <w:bottom w:val="single" w:sz="4" w:space="1" w:color="auto"/>
                <w:right w:val="single" w:sz="4" w:space="4" w:color="auto"/>
              </w:pBdr>
              <w:spacing w:before="0" w:after="0" w:line="192" w:lineRule="exact"/>
              <w:ind w:left="170" w:right="57" w:hanging="113"/>
              <w:rPr>
                <w:sz w:val="16"/>
                <w:szCs w:val="16"/>
                <w:lang w:val="it-IT"/>
              </w:rPr>
            </w:pPr>
            <w:r w:rsidRPr="0017721C">
              <w:rPr>
                <w:sz w:val="16"/>
                <w:szCs w:val="16"/>
                <w:lang w:val="it-IT"/>
              </w:rPr>
              <w:t>-</w:t>
            </w:r>
            <w:r w:rsidRPr="0017721C">
              <w:rPr>
                <w:sz w:val="16"/>
                <w:szCs w:val="16"/>
                <w:lang w:val="it-IT"/>
              </w:rPr>
              <w:tab/>
              <w:t>sconti finanziari attivi che non hanno concorso al computo del costo ammortizzato perché non prevedibili al momento della rilevazione del debito;</w:t>
            </w:r>
          </w:p>
          <w:p w:rsidR="0017721C" w:rsidRPr="0017721C" w:rsidRDefault="0017721C" w:rsidP="00AD5AD0">
            <w:pPr>
              <w:widowControl w:val="0"/>
              <w:pBdr>
                <w:top w:val="single" w:sz="4" w:space="1" w:color="auto"/>
                <w:left w:val="single" w:sz="4" w:space="4" w:color="auto"/>
                <w:bottom w:val="single" w:sz="4" w:space="1" w:color="auto"/>
                <w:right w:val="single" w:sz="4" w:space="4" w:color="auto"/>
              </w:pBdr>
              <w:spacing w:before="0" w:after="0" w:line="192" w:lineRule="exact"/>
              <w:ind w:left="170" w:right="57" w:hanging="113"/>
              <w:rPr>
                <w:sz w:val="16"/>
                <w:szCs w:val="16"/>
                <w:lang w:val="it-IT"/>
              </w:rPr>
            </w:pPr>
            <w:r w:rsidRPr="0017721C">
              <w:rPr>
                <w:sz w:val="16"/>
                <w:szCs w:val="16"/>
                <w:lang w:val="it-IT"/>
              </w:rPr>
              <w:t>-</w:t>
            </w:r>
            <w:r w:rsidRPr="0017721C">
              <w:rPr>
                <w:sz w:val="16"/>
                <w:szCs w:val="16"/>
                <w:lang w:val="it-IT"/>
              </w:rPr>
              <w:tab/>
              <w:t>proventi relativi ad operazioni su attività oggetto di contratti di compravendita con obbligo di retrocessione a termine (pronti contro termine), ivi compresa la differenza tra prezzo a termine e prezzo a pronti, relativamente alla quota di competenza dell’esercizio;</w:t>
            </w:r>
          </w:p>
          <w:p w:rsidR="0017721C" w:rsidRPr="0017721C" w:rsidRDefault="0017721C" w:rsidP="00AD5AD0">
            <w:pPr>
              <w:widowControl w:val="0"/>
              <w:pBdr>
                <w:top w:val="single" w:sz="4" w:space="1" w:color="auto"/>
                <w:left w:val="single" w:sz="4" w:space="4" w:color="auto"/>
                <w:bottom w:val="single" w:sz="4" w:space="1" w:color="auto"/>
                <w:right w:val="single" w:sz="4" w:space="4" w:color="auto"/>
              </w:pBdr>
              <w:spacing w:before="0" w:after="0" w:line="192" w:lineRule="exact"/>
              <w:ind w:left="170" w:right="57" w:hanging="113"/>
              <w:rPr>
                <w:sz w:val="16"/>
                <w:szCs w:val="16"/>
                <w:lang w:val="it-IT"/>
              </w:rPr>
            </w:pPr>
            <w:r w:rsidRPr="0017721C">
              <w:rPr>
                <w:sz w:val="16"/>
                <w:szCs w:val="16"/>
                <w:lang w:val="it-IT"/>
              </w:rPr>
              <w:t>-</w:t>
            </w:r>
            <w:r w:rsidRPr="0017721C">
              <w:rPr>
                <w:sz w:val="16"/>
                <w:szCs w:val="16"/>
                <w:lang w:val="it-IT"/>
              </w:rPr>
              <w:tab/>
              <w:t>il provento derivante dalla differenza tra il valore contabile delle obbligazioni proprie acquistate e il costo di acquisto comprensivo degli oneri accessori;</w:t>
            </w:r>
          </w:p>
          <w:p w:rsidR="0017721C" w:rsidRPr="0017721C" w:rsidRDefault="0017721C" w:rsidP="00AD5AD0">
            <w:pPr>
              <w:widowControl w:val="0"/>
              <w:pBdr>
                <w:top w:val="single" w:sz="4" w:space="1" w:color="auto"/>
                <w:left w:val="single" w:sz="4" w:space="4" w:color="auto"/>
                <w:bottom w:val="single" w:sz="4" w:space="1" w:color="auto"/>
                <w:right w:val="single" w:sz="4" w:space="4" w:color="auto"/>
              </w:pBdr>
              <w:spacing w:before="0" w:after="0" w:line="192" w:lineRule="exact"/>
              <w:ind w:left="170" w:right="57" w:hanging="113"/>
              <w:rPr>
                <w:sz w:val="16"/>
                <w:szCs w:val="16"/>
                <w:lang w:val="it-IT"/>
              </w:rPr>
            </w:pPr>
            <w:r w:rsidRPr="0017721C">
              <w:rPr>
                <w:sz w:val="16"/>
                <w:szCs w:val="16"/>
                <w:lang w:val="it-IT"/>
              </w:rPr>
              <w:t>-</w:t>
            </w:r>
            <w:r w:rsidRPr="0017721C">
              <w:rPr>
                <w:sz w:val="16"/>
                <w:szCs w:val="16"/>
                <w:lang w:val="it-IT"/>
              </w:rPr>
              <w:tab/>
              <w:t>interessi attivi su crediti maturati nell’esercizio secondo il criterio del tasso effettivo di interesse;</w:t>
            </w:r>
          </w:p>
          <w:p w:rsidR="0017721C" w:rsidRPr="0017721C" w:rsidRDefault="0017721C" w:rsidP="00AD5AD0">
            <w:pPr>
              <w:widowControl w:val="0"/>
              <w:pBdr>
                <w:top w:val="single" w:sz="4" w:space="1" w:color="auto"/>
                <w:left w:val="single" w:sz="4" w:space="4" w:color="auto"/>
                <w:bottom w:val="single" w:sz="4" w:space="1" w:color="auto"/>
                <w:right w:val="single" w:sz="4" w:space="4" w:color="auto"/>
              </w:pBdr>
              <w:spacing w:before="0" w:after="0" w:line="192" w:lineRule="exact"/>
              <w:ind w:left="170" w:right="57" w:hanging="113"/>
              <w:rPr>
                <w:sz w:val="16"/>
                <w:szCs w:val="16"/>
                <w:lang w:val="it-IT"/>
              </w:rPr>
            </w:pPr>
            <w:r w:rsidRPr="0017721C">
              <w:rPr>
                <w:sz w:val="16"/>
                <w:szCs w:val="16"/>
                <w:lang w:val="it-IT"/>
              </w:rPr>
              <w:t>-</w:t>
            </w:r>
            <w:r w:rsidRPr="0017721C">
              <w:rPr>
                <w:sz w:val="16"/>
                <w:szCs w:val="16"/>
                <w:lang w:val="it-IT"/>
              </w:rPr>
              <w:tab/>
              <w:t>nel caso di estinzione anticipata di un debito la differenza positiva tra il valore contabile residuo del debito al momento dell’estinzione anticipata e l’esborso di disponibilità liquide;</w:t>
            </w:r>
          </w:p>
          <w:p w:rsidR="0017721C" w:rsidRPr="0017721C" w:rsidRDefault="0017721C" w:rsidP="00AD5AD0">
            <w:pPr>
              <w:widowControl w:val="0"/>
              <w:pBdr>
                <w:top w:val="single" w:sz="4" w:space="1" w:color="auto"/>
                <w:left w:val="single" w:sz="4" w:space="4" w:color="auto"/>
                <w:bottom w:val="single" w:sz="4" w:space="1" w:color="auto"/>
                <w:right w:val="single" w:sz="4" w:space="4" w:color="auto"/>
              </w:pBdr>
              <w:spacing w:before="0" w:after="0" w:line="192" w:lineRule="exact"/>
              <w:ind w:left="170" w:right="57" w:hanging="113"/>
              <w:rPr>
                <w:sz w:val="16"/>
                <w:szCs w:val="16"/>
                <w:lang w:val="it-IT"/>
              </w:rPr>
            </w:pPr>
            <w:r w:rsidRPr="0017721C">
              <w:rPr>
                <w:sz w:val="16"/>
                <w:szCs w:val="16"/>
                <w:lang w:val="it-IT"/>
              </w:rPr>
              <w:t>-</w:t>
            </w:r>
            <w:r w:rsidRPr="0017721C">
              <w:rPr>
                <w:sz w:val="16"/>
                <w:szCs w:val="16"/>
                <w:lang w:val="it-IT"/>
              </w:rPr>
              <w:tab/>
              <w:t>l’eventuale differenza, se negativa/positiva, tra il valore rideterminato del debito/credito alla data di revisione della stima dei flussi futuri e il suo precedente valore contabile alla stessa data;</w:t>
            </w:r>
          </w:p>
          <w:p w:rsidR="0017721C" w:rsidRPr="0017721C" w:rsidRDefault="0017721C" w:rsidP="00AD5AD0">
            <w:pPr>
              <w:widowControl w:val="0"/>
              <w:pBdr>
                <w:top w:val="single" w:sz="4" w:space="1" w:color="auto"/>
                <w:left w:val="single" w:sz="4" w:space="4" w:color="auto"/>
                <w:bottom w:val="single" w:sz="4" w:space="1" w:color="auto"/>
                <w:right w:val="single" w:sz="4" w:space="4" w:color="auto"/>
              </w:pBdr>
              <w:spacing w:before="0" w:line="192" w:lineRule="exact"/>
              <w:ind w:left="170" w:right="57" w:hanging="113"/>
              <w:rPr>
                <w:sz w:val="16"/>
                <w:szCs w:val="16"/>
                <w:lang w:val="it-IT"/>
              </w:rPr>
            </w:pPr>
            <w:r w:rsidRPr="0017721C">
              <w:rPr>
                <w:sz w:val="16"/>
                <w:szCs w:val="16"/>
                <w:lang w:val="it-IT"/>
              </w:rPr>
              <w:t>-</w:t>
            </w:r>
            <w:r w:rsidRPr="0017721C">
              <w:rPr>
                <w:sz w:val="16"/>
                <w:szCs w:val="16"/>
                <w:lang w:val="it-IT"/>
              </w:rPr>
              <w:tab/>
              <w:t>la differenza tra le disponibilità liquide ricevute e il valore attuale dei flussi finanziari futuri, nei casi in cui la sostanza dell’operazione non le assegni una diversa natura ;la differenza tra la rilevazione iniziale e il valore a termine del credito nei casi di credito commerciali oltre i 12 mesi senza corresponsione di interesse o con interessi significativamente diversi dal mercato</w:t>
            </w:r>
            <w:r w:rsidR="00B56A1C">
              <w:rPr>
                <w:sz w:val="16"/>
                <w:szCs w:val="16"/>
                <w:lang w:val="it-IT"/>
              </w:rPr>
              <w:t>.</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i/>
                <w:lang w:val="it-IT"/>
              </w:rPr>
            </w:pPr>
            <w:r w:rsidRPr="0017721C">
              <w:rPr>
                <w:i/>
                <w:lang w:val="it-IT"/>
              </w:rPr>
              <w:t>C17) Interessi e altri oneri finanziari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165)</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12.93</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La voce comprende tutti gli oneri finanziari qualunque sia la loro fonte?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166)</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12.93</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L’importo iscritto è pari a quanto maturato nell’esercizio, al netto dei relativi risconti?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12..94, 95</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180" w:lineRule="exact"/>
              <w:ind w:left="57" w:right="57"/>
              <w:rPr>
                <w:sz w:val="16"/>
                <w:szCs w:val="16"/>
                <w:lang w:val="it-IT"/>
              </w:rPr>
            </w:pPr>
            <w:r w:rsidRPr="0017721C">
              <w:rPr>
                <w:sz w:val="16"/>
                <w:szCs w:val="16"/>
                <w:lang w:val="it-IT"/>
              </w:rPr>
              <w:t>Si indicano, a titolo esemplificativo e non esaustivo, le seguenti tipologie di oneri finanziari:</w:t>
            </w:r>
          </w:p>
          <w:p w:rsidR="0017721C" w:rsidRPr="0017721C" w:rsidRDefault="0017721C" w:rsidP="00B56A1C">
            <w:pPr>
              <w:pBdr>
                <w:top w:val="single" w:sz="4" w:space="1" w:color="auto"/>
                <w:left w:val="single" w:sz="4" w:space="4" w:color="auto"/>
                <w:bottom w:val="single" w:sz="4" w:space="1" w:color="auto"/>
                <w:right w:val="single" w:sz="4" w:space="4" w:color="auto"/>
              </w:pBdr>
              <w:spacing w:before="40" w:line="200" w:lineRule="exact"/>
              <w:ind w:left="170" w:right="57" w:hanging="113"/>
              <w:rPr>
                <w:sz w:val="16"/>
                <w:szCs w:val="16"/>
                <w:lang w:val="it-IT"/>
              </w:rPr>
            </w:pPr>
            <w:r w:rsidRPr="0017721C">
              <w:rPr>
                <w:sz w:val="16"/>
                <w:szCs w:val="16"/>
                <w:lang w:val="it-IT"/>
              </w:rPr>
              <w:t xml:space="preserve">- </w:t>
            </w:r>
            <w:r w:rsidRPr="0017721C">
              <w:rPr>
                <w:sz w:val="16"/>
                <w:szCs w:val="16"/>
                <w:lang w:val="it-IT"/>
              </w:rPr>
              <w:tab/>
              <w:t>interessi passivi su dilazioni ottenute da fornitori ed interessi di mora;</w:t>
            </w:r>
          </w:p>
          <w:p w:rsidR="0017721C" w:rsidRPr="0017721C" w:rsidRDefault="0017721C" w:rsidP="00B56A1C">
            <w:pPr>
              <w:pBdr>
                <w:top w:val="single" w:sz="4" w:space="1" w:color="auto"/>
                <w:left w:val="single" w:sz="4" w:space="4" w:color="auto"/>
                <w:bottom w:val="single" w:sz="4" w:space="1" w:color="auto"/>
                <w:right w:val="single" w:sz="4" w:space="4" w:color="auto"/>
              </w:pBdr>
              <w:spacing w:before="40" w:line="200" w:lineRule="exact"/>
              <w:ind w:left="170" w:right="57" w:hanging="113"/>
              <w:rPr>
                <w:sz w:val="16"/>
                <w:szCs w:val="16"/>
                <w:lang w:val="it-IT"/>
              </w:rPr>
            </w:pPr>
            <w:r w:rsidRPr="0017721C">
              <w:rPr>
                <w:sz w:val="16"/>
                <w:szCs w:val="16"/>
                <w:lang w:val="it-IT"/>
              </w:rPr>
              <w:t xml:space="preserve">- </w:t>
            </w:r>
            <w:r w:rsidRPr="0017721C">
              <w:rPr>
                <w:sz w:val="16"/>
                <w:szCs w:val="16"/>
                <w:lang w:val="it-IT"/>
              </w:rPr>
              <w:tab/>
              <w:t>sconti finanziari passivi che non hanno concorso al computo del costo ammortizzato perché non prevedibili al momento della rilevazione inziale del credito;</w:t>
            </w:r>
          </w:p>
          <w:p w:rsidR="0017721C" w:rsidRPr="0017721C" w:rsidRDefault="0017721C" w:rsidP="00B56A1C">
            <w:pPr>
              <w:pBdr>
                <w:top w:val="single" w:sz="4" w:space="1" w:color="auto"/>
                <w:left w:val="single" w:sz="4" w:space="4" w:color="auto"/>
                <w:bottom w:val="single" w:sz="4" w:space="1" w:color="auto"/>
                <w:right w:val="single" w:sz="4" w:space="4" w:color="auto"/>
              </w:pBdr>
              <w:spacing w:before="40" w:line="200" w:lineRule="exact"/>
              <w:ind w:left="170" w:right="57" w:hanging="113"/>
              <w:rPr>
                <w:sz w:val="16"/>
                <w:szCs w:val="16"/>
                <w:lang w:val="it-IT"/>
              </w:rPr>
            </w:pPr>
            <w:r w:rsidRPr="0017721C">
              <w:rPr>
                <w:sz w:val="16"/>
                <w:szCs w:val="16"/>
                <w:lang w:val="it-IT"/>
              </w:rPr>
              <w:t xml:space="preserve">- </w:t>
            </w:r>
            <w:r w:rsidRPr="0017721C">
              <w:rPr>
                <w:sz w:val="16"/>
                <w:szCs w:val="16"/>
                <w:lang w:val="it-IT"/>
              </w:rPr>
              <w:tab/>
              <w:t>minusvalenze da alienazione (compresa la permuta) di titoli e partecipazioni iscritti nell’attivo immobilizzato e circolante;</w:t>
            </w:r>
          </w:p>
          <w:p w:rsidR="0017721C" w:rsidRPr="0017721C" w:rsidRDefault="0017721C" w:rsidP="00B56A1C">
            <w:pPr>
              <w:pBdr>
                <w:top w:val="single" w:sz="4" w:space="1" w:color="auto"/>
                <w:left w:val="single" w:sz="4" w:space="4" w:color="auto"/>
                <w:bottom w:val="single" w:sz="4" w:space="1" w:color="auto"/>
                <w:right w:val="single" w:sz="4" w:space="4" w:color="auto"/>
              </w:pBdr>
              <w:spacing w:before="40" w:line="200" w:lineRule="exact"/>
              <w:ind w:left="170" w:right="57" w:hanging="113"/>
              <w:rPr>
                <w:sz w:val="16"/>
                <w:szCs w:val="16"/>
                <w:lang w:val="it-IT"/>
              </w:rPr>
            </w:pPr>
            <w:r w:rsidRPr="0017721C">
              <w:rPr>
                <w:sz w:val="16"/>
                <w:szCs w:val="16"/>
                <w:lang w:val="it-IT"/>
              </w:rPr>
              <w:t xml:space="preserve">- </w:t>
            </w:r>
            <w:r w:rsidRPr="0017721C">
              <w:rPr>
                <w:sz w:val="16"/>
                <w:szCs w:val="16"/>
                <w:lang w:val="it-IT"/>
              </w:rPr>
              <w:tab/>
              <w:t>oneri, per la quota di competenza dell’esercizio, relativi ad operazioni di compravendita con obbligo di retrocessione a termine (pronti contro termine) ivi compresa la differenza tra prezzo a pronti e prezzo a termine;</w:t>
            </w:r>
          </w:p>
          <w:p w:rsidR="0017721C" w:rsidRPr="0017721C" w:rsidRDefault="0017721C" w:rsidP="00B56A1C">
            <w:pPr>
              <w:pBdr>
                <w:top w:val="single" w:sz="4" w:space="1" w:color="auto"/>
                <w:left w:val="single" w:sz="4" w:space="4" w:color="auto"/>
                <w:bottom w:val="single" w:sz="4" w:space="1" w:color="auto"/>
                <w:right w:val="single" w:sz="4" w:space="4" w:color="auto"/>
              </w:pBdr>
              <w:spacing w:before="40" w:line="200" w:lineRule="exact"/>
              <w:ind w:left="170" w:right="57" w:hanging="113"/>
              <w:rPr>
                <w:sz w:val="16"/>
                <w:szCs w:val="16"/>
                <w:lang w:val="it-IT"/>
              </w:rPr>
            </w:pPr>
            <w:r w:rsidRPr="0017721C">
              <w:rPr>
                <w:sz w:val="16"/>
                <w:szCs w:val="16"/>
                <w:lang w:val="it-IT"/>
              </w:rPr>
              <w:t xml:space="preserve">- </w:t>
            </w:r>
            <w:r w:rsidRPr="0017721C">
              <w:rPr>
                <w:sz w:val="16"/>
                <w:szCs w:val="16"/>
                <w:lang w:val="it-IT"/>
              </w:rPr>
              <w:tab/>
              <w:t>interessi passivi su debiti maturati nell’esercizio secondo il criterio del tasso effettivo di interesse;</w:t>
            </w:r>
          </w:p>
          <w:p w:rsidR="0017721C" w:rsidRPr="0017721C" w:rsidRDefault="0017721C" w:rsidP="00B56A1C">
            <w:pPr>
              <w:pBdr>
                <w:top w:val="single" w:sz="4" w:space="1" w:color="auto"/>
                <w:left w:val="single" w:sz="4" w:space="4" w:color="auto"/>
                <w:bottom w:val="single" w:sz="4" w:space="1" w:color="auto"/>
                <w:right w:val="single" w:sz="4" w:space="4" w:color="auto"/>
              </w:pBdr>
              <w:spacing w:before="40" w:line="200" w:lineRule="exact"/>
              <w:ind w:left="170" w:right="57" w:hanging="113"/>
              <w:rPr>
                <w:sz w:val="16"/>
                <w:szCs w:val="16"/>
                <w:lang w:val="it-IT"/>
              </w:rPr>
            </w:pPr>
            <w:r w:rsidRPr="0017721C">
              <w:rPr>
                <w:sz w:val="16"/>
                <w:szCs w:val="16"/>
                <w:lang w:val="it-IT"/>
              </w:rPr>
              <w:t xml:space="preserve">- </w:t>
            </w:r>
            <w:r w:rsidRPr="0017721C">
              <w:rPr>
                <w:sz w:val="16"/>
                <w:szCs w:val="16"/>
                <w:lang w:val="it-IT"/>
              </w:rPr>
              <w:tab/>
              <w:t>l’eventuale differenza, se positiva/negativa, tra il valore rideterminato del debito/credito alla data di revisione della stima dei flussi futuri e il suo precedente valore contabile alla stessa data;</w:t>
            </w:r>
          </w:p>
          <w:p w:rsidR="0017721C" w:rsidRPr="0017721C" w:rsidRDefault="0017721C" w:rsidP="00B56A1C">
            <w:pPr>
              <w:pBdr>
                <w:top w:val="single" w:sz="4" w:space="1" w:color="auto"/>
                <w:left w:val="single" w:sz="4" w:space="4" w:color="auto"/>
                <w:bottom w:val="single" w:sz="4" w:space="1" w:color="auto"/>
                <w:right w:val="single" w:sz="4" w:space="4" w:color="auto"/>
              </w:pBdr>
              <w:spacing w:before="40" w:line="200" w:lineRule="exact"/>
              <w:ind w:left="170" w:right="57" w:hanging="113"/>
              <w:rPr>
                <w:sz w:val="16"/>
                <w:szCs w:val="16"/>
                <w:lang w:val="it-IT"/>
              </w:rPr>
            </w:pPr>
            <w:r w:rsidRPr="0017721C">
              <w:rPr>
                <w:sz w:val="16"/>
                <w:szCs w:val="16"/>
                <w:lang w:val="it-IT"/>
              </w:rPr>
              <w:t xml:space="preserve">- </w:t>
            </w:r>
            <w:r w:rsidRPr="0017721C">
              <w:rPr>
                <w:sz w:val="16"/>
                <w:szCs w:val="16"/>
                <w:lang w:val="it-IT"/>
              </w:rPr>
              <w:tab/>
              <w:t>la differenza tra le disponibilità liquide erogate ed il valore attuale dei flussi finanziari futuri è rilevata tra gli oneri finanziari del conto economico al momento della rilevazione iniziale, salvo che la sostanza dell’operazione o del contratto non inducano ad attribuire a tale componente una diversa natura;</w:t>
            </w:r>
          </w:p>
          <w:p w:rsidR="0017721C" w:rsidRPr="0017721C" w:rsidRDefault="0017721C" w:rsidP="00B56A1C">
            <w:pPr>
              <w:pBdr>
                <w:top w:val="single" w:sz="4" w:space="1" w:color="auto"/>
                <w:left w:val="single" w:sz="4" w:space="4" w:color="auto"/>
                <w:bottom w:val="single" w:sz="4" w:space="1" w:color="auto"/>
                <w:right w:val="single" w:sz="4" w:space="4" w:color="auto"/>
              </w:pBdr>
              <w:spacing w:before="40" w:line="200" w:lineRule="exact"/>
              <w:ind w:left="170" w:right="57" w:hanging="113"/>
              <w:rPr>
                <w:sz w:val="16"/>
                <w:szCs w:val="16"/>
                <w:lang w:val="it-IT"/>
              </w:rPr>
            </w:pPr>
            <w:r w:rsidRPr="0017721C">
              <w:rPr>
                <w:sz w:val="16"/>
                <w:szCs w:val="16"/>
                <w:lang w:val="it-IT"/>
              </w:rPr>
              <w:t xml:space="preserve">- </w:t>
            </w:r>
            <w:r w:rsidRPr="0017721C">
              <w:rPr>
                <w:sz w:val="16"/>
                <w:szCs w:val="16"/>
                <w:lang w:val="it-IT"/>
              </w:rPr>
              <w:tab/>
              <w:t>nel caso di debiti commerciali oltre i 12 mesi senza corresponsione di interessi o con interessi significativamente diversi dai tassi di interesse di mercato la differenza tra valore di rilevazione iniziale (cfr. paragrafo 52 dell’OIC 19 “Debiti”) e il valore a termine del debito;</w:t>
            </w:r>
          </w:p>
          <w:p w:rsidR="0017721C" w:rsidRPr="0017721C" w:rsidRDefault="0017721C" w:rsidP="00B56A1C">
            <w:pPr>
              <w:pBdr>
                <w:top w:val="single" w:sz="4" w:space="1" w:color="auto"/>
                <w:left w:val="single" w:sz="4" w:space="4" w:color="auto"/>
                <w:bottom w:val="single" w:sz="4" w:space="1" w:color="auto"/>
                <w:right w:val="single" w:sz="4" w:space="4" w:color="auto"/>
              </w:pBdr>
              <w:spacing w:before="40" w:line="200" w:lineRule="exact"/>
              <w:ind w:left="170" w:right="57" w:hanging="113"/>
              <w:rPr>
                <w:sz w:val="16"/>
                <w:szCs w:val="16"/>
                <w:lang w:val="it-IT"/>
              </w:rPr>
            </w:pPr>
            <w:r w:rsidRPr="0017721C">
              <w:rPr>
                <w:sz w:val="16"/>
                <w:szCs w:val="16"/>
                <w:lang w:val="it-IT"/>
              </w:rPr>
              <w:t xml:space="preserve">- </w:t>
            </w:r>
            <w:r w:rsidRPr="0017721C">
              <w:rPr>
                <w:sz w:val="16"/>
                <w:szCs w:val="16"/>
                <w:lang w:val="it-IT"/>
              </w:rPr>
              <w:tab/>
              <w:t>perdite derivanti dalla negoziazione anticipata di titoli immobilizzati e non immobilizzati per effetto della differenza negativa fra valore contabile e il prezzo di cessione;</w:t>
            </w:r>
          </w:p>
          <w:p w:rsidR="0017721C" w:rsidRPr="0017721C" w:rsidRDefault="0017721C" w:rsidP="00B56A1C">
            <w:pPr>
              <w:pBdr>
                <w:top w:val="single" w:sz="4" w:space="1" w:color="auto"/>
                <w:left w:val="single" w:sz="4" w:space="4" w:color="auto"/>
                <w:bottom w:val="single" w:sz="4" w:space="1" w:color="auto"/>
                <w:right w:val="single" w:sz="4" w:space="4" w:color="auto"/>
              </w:pBdr>
              <w:spacing w:before="40" w:line="200" w:lineRule="exact"/>
              <w:ind w:left="170" w:right="57" w:hanging="113"/>
              <w:rPr>
                <w:sz w:val="16"/>
                <w:szCs w:val="16"/>
                <w:lang w:val="it-IT"/>
              </w:rPr>
            </w:pPr>
            <w:r w:rsidRPr="0017721C">
              <w:rPr>
                <w:sz w:val="16"/>
                <w:szCs w:val="16"/>
                <w:lang w:val="it-IT"/>
              </w:rPr>
              <w:t xml:space="preserve">- </w:t>
            </w:r>
            <w:r w:rsidRPr="0017721C">
              <w:rPr>
                <w:sz w:val="16"/>
                <w:szCs w:val="16"/>
                <w:lang w:val="it-IT"/>
              </w:rPr>
              <w:tab/>
              <w:t>perdite realizzate su crediti iscritti nelle immobilizzazioni finanziarie per la parte che eccede l’importo del credito già svalutato (cfr. paragrafo 26 dell’OIC 15 “Crediti”)</w:t>
            </w:r>
          </w:p>
          <w:p w:rsidR="0017721C" w:rsidRPr="0017721C" w:rsidRDefault="0017721C" w:rsidP="00B56A1C">
            <w:pPr>
              <w:pBdr>
                <w:top w:val="single" w:sz="4" w:space="1" w:color="auto"/>
                <w:left w:val="single" w:sz="4" w:space="4" w:color="auto"/>
                <w:bottom w:val="single" w:sz="4" w:space="1" w:color="auto"/>
                <w:right w:val="single" w:sz="4" w:space="4" w:color="auto"/>
              </w:pBdr>
              <w:spacing w:before="40" w:line="200" w:lineRule="exact"/>
              <w:ind w:left="170" w:right="57" w:hanging="113"/>
              <w:rPr>
                <w:sz w:val="16"/>
                <w:szCs w:val="16"/>
                <w:lang w:val="it-IT"/>
              </w:rPr>
            </w:pPr>
            <w:r w:rsidRPr="0017721C">
              <w:rPr>
                <w:sz w:val="16"/>
                <w:szCs w:val="16"/>
                <w:lang w:val="it-IT"/>
              </w:rPr>
              <w:t xml:space="preserve">- </w:t>
            </w:r>
            <w:r w:rsidRPr="0017721C">
              <w:rPr>
                <w:sz w:val="16"/>
                <w:szCs w:val="16"/>
                <w:lang w:val="it-IT"/>
              </w:rPr>
              <w:tab/>
              <w:t>gli interessi ed altri oneri finanziari capitalizzati.</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180" w:lineRule="exact"/>
              <w:ind w:left="93" w:right="57" w:hanging="36"/>
              <w:rPr>
                <w:sz w:val="16"/>
                <w:szCs w:val="16"/>
                <w:lang w:val="it-IT"/>
              </w:rPr>
            </w:pPr>
            <w:r w:rsidRPr="0017721C">
              <w:rPr>
                <w:sz w:val="16"/>
                <w:szCs w:val="16"/>
                <w:lang w:val="it-IT"/>
              </w:rPr>
              <w:tab/>
              <w:t>Essa deve essere suddivisa in sottovoci, in relazione agli oneri riguardanti imprese controllate, collegate controllanti ed imprese sottoposte al controllo di queste ultime.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167)</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12..96</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B56A1C">
            <w:pPr>
              <w:spacing w:line="240" w:lineRule="exact"/>
              <w:rPr>
                <w:lang w:val="it-IT"/>
              </w:rPr>
            </w:pPr>
            <w:r w:rsidRPr="0017721C">
              <w:rPr>
                <w:lang w:val="it-IT"/>
              </w:rPr>
              <w:t>In ipotesi di contributi di enti pubblici o di privati che riducono gli interessi sui finanziamenti l’importo dei contributi è portato a riduzione della voce C17, se conseguito nel medesimo esercizio in cui vengono contabilizzati gli interessi passivi?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168)</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12..96</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B56A1C">
            <w:pPr>
              <w:spacing w:line="240" w:lineRule="exact"/>
              <w:rPr>
                <w:lang w:val="it-IT"/>
              </w:rPr>
            </w:pPr>
            <w:r w:rsidRPr="0017721C">
              <w:rPr>
                <w:lang w:val="it-IT"/>
              </w:rPr>
              <w:t>Se conseguito in esercizi successivi,l’importo dei contributi è invece  iscritto alla voce C16d)?</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B56A1C">
            <w:pPr>
              <w:spacing w:line="240" w:lineRule="exact"/>
              <w:rPr>
                <w:i/>
                <w:lang w:val="it-IT"/>
              </w:rPr>
            </w:pPr>
            <w:r w:rsidRPr="0017721C">
              <w:rPr>
                <w:i/>
                <w:lang w:val="it-IT"/>
              </w:rPr>
              <w:t>C17-bis) Utili e perdite su cambi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169)</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12..97</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B56A1C">
            <w:pPr>
              <w:spacing w:line="240" w:lineRule="exact"/>
              <w:rPr>
                <w:lang w:val="it-IT"/>
              </w:rPr>
            </w:pPr>
            <w:r w:rsidRPr="0017721C">
              <w:rPr>
                <w:lang w:val="it-IT"/>
              </w:rPr>
              <w:t>In questa voce sono inseriti gli utili e le perdite su cambi, relativi ad operazioni in valuta, o realizzati nel corso dell’esercizio o determinati per effetto delle variazioni dei cambi rispetto a quelli adottati alle date di effettuazione dell’operazione?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B56A1C">
            <w:pPr>
              <w:spacing w:line="240" w:lineRule="exact"/>
              <w:rPr>
                <w:i/>
                <w:lang w:val="it-IT"/>
              </w:rPr>
            </w:pPr>
            <w:r w:rsidRPr="0017721C">
              <w:rPr>
                <w:i/>
                <w:lang w:val="it-IT"/>
              </w:rPr>
              <w:t>Società che non applicano il costo ammortizzato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12..98</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B56A1C">
            <w:pPr>
              <w:pBdr>
                <w:top w:val="single" w:sz="4" w:space="1" w:color="auto"/>
                <w:left w:val="single" w:sz="4" w:space="4" w:color="auto"/>
                <w:bottom w:val="single" w:sz="4" w:space="1" w:color="auto"/>
                <w:right w:val="single" w:sz="4" w:space="4" w:color="auto"/>
              </w:pBdr>
              <w:spacing w:line="200" w:lineRule="exact"/>
              <w:ind w:left="57" w:right="57"/>
              <w:rPr>
                <w:sz w:val="16"/>
                <w:szCs w:val="16"/>
                <w:lang w:val="it-IT"/>
              </w:rPr>
            </w:pPr>
            <w:r w:rsidRPr="0017721C">
              <w:rPr>
                <w:sz w:val="16"/>
                <w:szCs w:val="16"/>
                <w:lang w:val="it-IT"/>
              </w:rPr>
              <w:t>Le voci C16 e C17 includono a titolo esemplificativo e non esaustivo: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12.98</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B56A1C">
            <w:pPr>
              <w:pBdr>
                <w:top w:val="single" w:sz="4" w:space="1" w:color="auto"/>
                <w:left w:val="single" w:sz="4" w:space="4" w:color="auto"/>
                <w:bottom w:val="single" w:sz="4" w:space="1" w:color="auto"/>
                <w:right w:val="single" w:sz="4" w:space="4" w:color="auto"/>
              </w:pBdr>
              <w:spacing w:line="200" w:lineRule="exact"/>
              <w:ind w:left="57" w:right="57"/>
              <w:rPr>
                <w:sz w:val="16"/>
                <w:szCs w:val="16"/>
                <w:lang w:val="it-IT"/>
              </w:rPr>
            </w:pPr>
            <w:r w:rsidRPr="0017721C">
              <w:rPr>
                <w:sz w:val="16"/>
                <w:szCs w:val="16"/>
                <w:lang w:val="it-IT"/>
              </w:rPr>
              <w:t>C16a) Da crediti iscritti nelle immobilizzazioni:</w:t>
            </w:r>
          </w:p>
          <w:p w:rsidR="0017721C" w:rsidRPr="0017721C" w:rsidRDefault="0017721C" w:rsidP="00B56A1C">
            <w:pPr>
              <w:pBdr>
                <w:top w:val="single" w:sz="4" w:space="1" w:color="auto"/>
                <w:left w:val="single" w:sz="4" w:space="4" w:color="auto"/>
                <w:bottom w:val="single" w:sz="4" w:space="1" w:color="auto"/>
                <w:right w:val="single" w:sz="4" w:space="4" w:color="auto"/>
              </w:pBdr>
              <w:spacing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gli interessi attivi di competenza dell’esercizio; e i maggiori importi incassati sui crediti iscritti fra le immobilizzazioni finanziarie;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AD5AD0">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AD5AD0">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B56A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C16b) Da titoli iscritti nelle immobilizzazioni che non costituiscono partecipazioni:</w:t>
            </w:r>
          </w:p>
          <w:p w:rsidR="0017721C" w:rsidRPr="0017721C" w:rsidRDefault="0017721C" w:rsidP="00B56A1C">
            <w:pPr>
              <w:pBdr>
                <w:top w:val="single" w:sz="4" w:space="1" w:color="auto"/>
                <w:left w:val="single" w:sz="4" w:space="4" w:color="auto"/>
                <w:bottom w:val="single" w:sz="4" w:space="1" w:color="auto"/>
                <w:right w:val="single" w:sz="4" w:space="4" w:color="auto"/>
              </w:pBdr>
              <w:spacing w:before="40" w:line="200" w:lineRule="exact"/>
              <w:ind w:left="170" w:right="57" w:hanging="113"/>
              <w:rPr>
                <w:sz w:val="16"/>
                <w:szCs w:val="16"/>
                <w:lang w:val="it-IT"/>
              </w:rPr>
            </w:pPr>
            <w:r w:rsidRPr="0017721C">
              <w:rPr>
                <w:sz w:val="16"/>
                <w:szCs w:val="16"/>
                <w:lang w:val="it-IT"/>
              </w:rPr>
              <w:t xml:space="preserve">- </w:t>
            </w:r>
            <w:r w:rsidRPr="0017721C">
              <w:rPr>
                <w:sz w:val="16"/>
                <w:szCs w:val="16"/>
                <w:lang w:val="it-IT"/>
              </w:rPr>
              <w:tab/>
              <w:t>gli interessi attivi di competenza dell’esercizio, i premi di sottoscrizione e di negoziazione e, con il segno negativo, gli scarti di sottoscrizione e di negoziazione maturati nell’esercizio su titoli di debito immobilizzati;</w:t>
            </w:r>
          </w:p>
          <w:p w:rsidR="0017721C" w:rsidRPr="0017721C" w:rsidRDefault="0017721C" w:rsidP="00B56A1C">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gli utili che derivano dalla negoziazione di titoli immobilizzati prima della naturale scadenza, quale differenza tra il valore contabile dei titoli iscritti in bilancio, inclusivo delle quote maturate dei ratei/risconti iscritti e degli scarti/premi di negoziazione e di sottoscrizione, e il prezzo di cessione;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AD5AD0">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AD5AD0">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AD5AD0">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B56A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C16c) Da titoli iscritti nell’attivo circolante che non costituiscono partecipazioni:</w:t>
            </w:r>
          </w:p>
          <w:p w:rsidR="0017721C" w:rsidRPr="0017721C" w:rsidRDefault="0017721C" w:rsidP="00B56A1C">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gli interessi attivi di competenza dell’esercizio, i premi di sottoscrizione e di negoziazione e, con il segno negativo, gli scarti di sottoscrizione e di negoziazione maturati nell’esercizio su titoli di debito non immobilizzati;</w:t>
            </w:r>
          </w:p>
          <w:p w:rsidR="0017721C" w:rsidRPr="0017721C" w:rsidRDefault="0017721C" w:rsidP="00B56A1C">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gli utili che derivano dalla negoziazione di titoli non immobilizzati prima della naturale scadenza, quale differenza tra il valore contabile dei titoli iscritti in bilancio, inclusivo delle quote maturate dei ratei/risconti iscritti e degli scarti/premi di negoziazione e di sottoscrizione, e il prezzo di cessione, e tutti i proventi finanziari non compresi nella voce C15 o nelle altre sotto-voci della voce C16</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B56A1C">
            <w:pPr>
              <w:pageBreakBefore/>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B56A1C">
            <w:pPr>
              <w:pageBreakBefore/>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B56A1C">
            <w:pPr>
              <w:pageBreakBefore/>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C16d) Proventi diversi dai precedenti include tutti i proventi finanziari non compresi nella voce C15 o nelle altre sotto-voci della voce C16. Si tratta, a titolo meramente esemplificativo e non esaustivo, dei seguenti:</w:t>
            </w:r>
          </w:p>
          <w:p w:rsidR="0017721C" w:rsidRPr="0017721C" w:rsidRDefault="0017721C" w:rsidP="00B56A1C">
            <w:pPr>
              <w:pageBreakBefore/>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il valore residuo dell’aggio non ancora ammortizzato in caso di rimborso anticipato di un prestito obbligazionario emesso sopra la pari;</w:t>
            </w:r>
          </w:p>
          <w:p w:rsidR="0017721C" w:rsidRPr="0017721C" w:rsidRDefault="0017721C" w:rsidP="00B56A1C">
            <w:pPr>
              <w:pageBreakBefore/>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utili da associazioni in partecipazione e cointeressenze;</w:t>
            </w:r>
          </w:p>
          <w:p w:rsidR="0017721C" w:rsidRPr="0017721C" w:rsidRDefault="0017721C" w:rsidP="00B56A1C">
            <w:pPr>
              <w:pageBreakBefore/>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interessi attivi su conti e depositi bancari di qualunque tipo;</w:t>
            </w:r>
          </w:p>
          <w:p w:rsidR="0017721C" w:rsidRPr="0017721C" w:rsidRDefault="0017721C" w:rsidP="00B56A1C">
            <w:pPr>
              <w:pageBreakBefore/>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w:t>
            </w:r>
            <w:r w:rsidRPr="0017721C">
              <w:rPr>
                <w:sz w:val="16"/>
                <w:szCs w:val="16"/>
                <w:lang w:val="it-IT"/>
              </w:rPr>
              <w:tab/>
              <w:t>interessi di mora ed interessi per dilazioni di pagamento concessi a clienti;</w:t>
            </w:r>
          </w:p>
          <w:p w:rsidR="0017721C" w:rsidRPr="0017721C" w:rsidRDefault="0017721C" w:rsidP="00B56A1C">
            <w:pPr>
              <w:pageBreakBefore/>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interessi maturati su crediti iscritti nell’attivo circolante, per rimborsi d’imposte, crediti verso dipendenti, crediti verso enti previdenziali, ecc.;</w:t>
            </w:r>
          </w:p>
          <w:p w:rsidR="0017721C" w:rsidRPr="0017721C" w:rsidRDefault="0017721C" w:rsidP="00B56A1C">
            <w:pPr>
              <w:pageBreakBefore/>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sconti finanziari attivi che non hanno partecipato al computo del presumibile valore di realizzo perché non prevedibili al momento della rilevazione del debito;</w:t>
            </w:r>
          </w:p>
          <w:p w:rsidR="0017721C" w:rsidRPr="0017721C" w:rsidRDefault="0017721C" w:rsidP="00B56A1C">
            <w:pPr>
              <w:pageBreakBefore/>
              <w:pBdr>
                <w:top w:val="single" w:sz="4" w:space="1" w:color="auto"/>
                <w:left w:val="single" w:sz="4" w:space="4" w:color="auto"/>
                <w:bottom w:val="single" w:sz="4" w:space="1" w:color="auto"/>
                <w:right w:val="single" w:sz="4" w:space="4" w:color="auto"/>
              </w:pBdr>
              <w:spacing w:before="40" w:line="190" w:lineRule="exact"/>
              <w:ind w:left="170" w:right="57" w:hanging="113"/>
              <w:rPr>
                <w:sz w:val="16"/>
                <w:szCs w:val="16"/>
                <w:lang w:val="it-IT"/>
              </w:rPr>
            </w:pPr>
            <w:r w:rsidRPr="0017721C">
              <w:rPr>
                <w:sz w:val="16"/>
                <w:szCs w:val="16"/>
                <w:lang w:val="it-IT"/>
              </w:rPr>
              <w:t xml:space="preserve">- </w:t>
            </w:r>
            <w:r w:rsidRPr="0017721C">
              <w:rPr>
                <w:sz w:val="16"/>
                <w:szCs w:val="16"/>
                <w:lang w:val="it-IT"/>
              </w:rPr>
              <w:tab/>
              <w:t>proventi relativi ad operazioni su attività oggetto di contratti di compravendita con obbligo di retrocessione a termine (pronti contro termine), ivi compresa la differenza tra prezzo a termine e prezzo a pronti, relativamente alla quota di competenza dell’esercizio;</w:t>
            </w:r>
          </w:p>
          <w:p w:rsidR="0017721C" w:rsidRPr="0017721C" w:rsidRDefault="0017721C" w:rsidP="00B56A1C">
            <w:pPr>
              <w:pageBreakBefore/>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il provento derivante dalla differenza tra il valore nominale delle obbligazioni proprie acquistate e il costo di acquisto comprensivo degli oneri accessori;</w:t>
            </w:r>
          </w:p>
          <w:p w:rsidR="0017721C" w:rsidRPr="0017721C" w:rsidRDefault="0017721C" w:rsidP="00B56A1C">
            <w:pPr>
              <w:pageBreakBefore/>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nel caso di estinzione anticipata di un debito la differenza positiva tra il valore contabile residuo del debito al momento dell’estinzione anticipata e l’esborso di disponibilità liquide;</w:t>
            </w:r>
          </w:p>
          <w:p w:rsidR="0017721C" w:rsidRPr="0017721C" w:rsidRDefault="0017721C" w:rsidP="00B56A1C">
            <w:pPr>
              <w:pageBreakBefore/>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componenti positivi di reddito derivanti da ristrutturazioni del debito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B56A1C">
            <w:pPr>
              <w:pageBreakBefore/>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B56A1C">
            <w:pPr>
              <w:pageBreakBefore/>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B56A1C">
            <w:pPr>
              <w:pageBreakBefore/>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utlineLvl w:val="3"/>
              <w:rPr>
                <w:i/>
                <w:lang w:val="it-IT"/>
              </w:rPr>
            </w:pPr>
            <w:r w:rsidRPr="0017721C">
              <w:rPr>
                <w:i/>
                <w:lang w:val="it-IT"/>
              </w:rPr>
              <w:t>C17) Interessi e altri oneri finanziari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170)</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12..98</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La voce comprende tutti gli oneri finanziari qualunque sia la loro fonte?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171)</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12..98</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L’importo da iscrivere è pari a quanto maturato nell’esercizio, al netto dei relativi risconti?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12..98</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Si indicano, a titolo esemplificativo e non esaustivo, le seguenti tipologie di oneri finanziari:</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interessi e sconti passivi su finanziamenti ottenuti da banche ed altri istituti di credito, comprese le commissioni passive su finanziamenti e le spese bancarie e accessorie a finanziamenti;</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il valore residuo del disaggio e dei costi di transazione non ancora ammortizzati nel caso di rimborso anticipato di un prestito obbligazionario, per la parte delle obbligazioni annullate; quote di competenza dell’esercizio dei disaggi su emissione di prestiti ottenuti e di obbligazioni;</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quote di competenza dell’esercizio degli aggi (a rettifica) disaggi (ad integrazione) di emissione di prestiti e di obbligazioni;</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nel caso di estinzione anticipata di un debito, l’eventuale valore contabile residuo dei costi di transazione iscritti tra i risconti attivi;</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i costi di transazione iniziali di competenza dell’esercizio;</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le perdite che derivano dalla negoziazione di titoli prima della naturale scadenza, quale differenza tra il valore contabile dei titoli iscritti in bilancio, inclusivo delle quote maturate dei ratei/risconti iscritti e degli scarti/premi di negoziazione e di sottoscrizione, e il prezzo di cessione;</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interessi passivi su dilazioni ottenute da fornitori ed interessi di mora;</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sconti finanziari passivi che non hanno partecipato al computo del presumibile valore di realizzo perché non prevedibili al momento della rilevazione inziale del credito;</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minusvalenze da alienazione (compresa la permuta) di titoli a reddito fisso e partecipazioni iscritte nell’attivo immobilizzato e circolante; oneri, per la quota di competenza dell’esercizio, relativi ad operazioni di compravendita con obbligo di retrocessione a termine (pronti contro termine) ivi compresa la differenza tra prezzo a pronti e prezzo a termine.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E55177">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E55177">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55177">
            <w:pPr>
              <w:rPr>
                <w:i/>
                <w:lang w:val="it-IT"/>
              </w:rPr>
            </w:pPr>
            <w:r w:rsidRPr="0017721C">
              <w:rPr>
                <w:i/>
                <w:lang w:val="it-IT"/>
              </w:rPr>
              <w:t>D – Rettifiche di valore di attività e passività finanziarie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E55177">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E55177">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E55177">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12.99</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Le voci D18 “rivalutazioni” e D19 “svalutazioni a titolo meramente esemplificativo e non esaustivo, comprendono:</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svalutazioni delle partecipazioni e dei titoli a reddito fisso iscritte nell’attivo immobilizzato per erdite durevoli di valore e successivi ripristini di valore entro il limite di quanto precedentemente svalutato;</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svalutazioni dei titoli iscritti nell’attivo circolante per il presumibile minor valore di realizzo sul mercato e successivi ripristini di valore entro il limite di quanto precedentemente svalutato;</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w:t>
            </w:r>
            <w:r w:rsidRPr="0017721C">
              <w:rPr>
                <w:sz w:val="16"/>
                <w:szCs w:val="16"/>
                <w:lang w:val="it-IT"/>
              </w:rPr>
              <w:tab/>
              <w:t>differenze positive e negative di valore delle partecipazioni valutate col metodo del patrimonio netto (cfr. paragrafi 170 e 176 dell’OIC 17 “Bilancio consolidato e metodo del patrimonio netto”);</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accantonamenti al fondo per copertura perdite di società partecipate (ad esempio quote di perdite della partecipata che eccedono il valore contabile della partecipazione);</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le svalutazioni dei crediti finanziari immobilizzati (cfr. paragrafo 25 dell’OIC 15 “Crediti”);</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168" w:right="57" w:hanging="111"/>
              <w:rPr>
                <w:sz w:val="16"/>
                <w:szCs w:val="16"/>
                <w:lang w:val="it-IT"/>
              </w:rPr>
            </w:pPr>
            <w:r w:rsidRPr="0017721C">
              <w:rPr>
                <w:sz w:val="16"/>
                <w:szCs w:val="16"/>
                <w:lang w:val="it-IT"/>
              </w:rPr>
              <w:t xml:space="preserve">- </w:t>
            </w:r>
            <w:r w:rsidRPr="0017721C">
              <w:rPr>
                <w:sz w:val="16"/>
                <w:szCs w:val="16"/>
                <w:lang w:val="it-IT"/>
              </w:rPr>
              <w:tab/>
              <w:t>le variazioni al fair value positive e negative degli strumenti finanziari derivati attivi e passivi come disciplinato dai paragrafi 32-34 dell’OIC 32 “Strumenti finanziari derivati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i/>
                <w:lang w:val="it-IT"/>
              </w:rPr>
            </w:pPr>
            <w:r w:rsidRPr="0017721C">
              <w:rPr>
                <w:i/>
                <w:lang w:val="it-IT"/>
              </w:rPr>
              <w:t>20) Imposte sul reddito dell’esercizio correnti, differite e anticipate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172)</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12.100</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9B6ABC">
            <w:pPr>
              <w:spacing w:line="240" w:lineRule="exact"/>
              <w:rPr>
                <w:lang w:val="it-IT"/>
              </w:rPr>
            </w:pPr>
            <w:r w:rsidRPr="0017721C">
              <w:rPr>
                <w:lang w:val="it-IT"/>
              </w:rPr>
              <w:t>La voce contiene l’intero ammontare dei tributi di competenza dell’esercizio al quale si riferisce il bilancio o di esercizi precedenti?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173)</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12.100</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9B6ABC">
            <w:pPr>
              <w:spacing w:line="240" w:lineRule="exact"/>
              <w:rPr>
                <w:lang w:val="it-IT"/>
              </w:rPr>
            </w:pPr>
            <w:r w:rsidRPr="0017721C">
              <w:rPr>
                <w:lang w:val="it-IT"/>
              </w:rPr>
              <w:t>La voce 20) comprende altresì la differenza positiva (o negativa) tra l’ammontare dovuto a seguito della definizione di un contenzioso o di un accertamento rispetto al valore del fondo accantonato in anni precedenti?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174)</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OIC 12.100,101</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55177">
            <w:pPr>
              <w:spacing w:line="240" w:lineRule="exact"/>
              <w:rPr>
                <w:lang w:val="it-IT"/>
              </w:rPr>
            </w:pPr>
            <w:r w:rsidRPr="0017721C">
              <w:rPr>
                <w:lang w:val="it-IT"/>
              </w:rPr>
              <w:t>Nella voce 20) le imposte sul reddito dell’esercizio sono suddivise in:</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55177">
            <w:pPr>
              <w:spacing w:line="240" w:lineRule="exact"/>
              <w:ind w:left="232" w:hanging="232"/>
              <w:rPr>
                <w:lang w:val="it-IT"/>
              </w:rPr>
            </w:pPr>
            <w:r w:rsidRPr="0017721C">
              <w:rPr>
                <w:lang w:val="it-IT"/>
              </w:rPr>
              <w:t xml:space="preserve">a) </w:t>
            </w:r>
            <w:r w:rsidRPr="0017721C">
              <w:rPr>
                <w:lang w:val="it-IT"/>
              </w:rPr>
              <w:tab/>
              <w:t>imposte correnti, che accoglie le imposte dovute sul reddito imponibile dell’esercizio; comprende anche le eventuali sanzioni pecuniarie e gli interessi maturati attinenti ad eventi dell’esercizio (ad esempio, ritardato versamento degli acconti ed altre irregolarità)</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55177">
            <w:pPr>
              <w:spacing w:line="240" w:lineRule="exact"/>
              <w:ind w:left="232" w:hanging="232"/>
              <w:rPr>
                <w:lang w:val="it-IT"/>
              </w:rPr>
            </w:pPr>
            <w:r w:rsidRPr="0017721C">
              <w:rPr>
                <w:lang w:val="it-IT"/>
              </w:rPr>
              <w:t xml:space="preserve">b) </w:t>
            </w:r>
            <w:r w:rsidRPr="0017721C">
              <w:rPr>
                <w:lang w:val="it-IT"/>
              </w:rPr>
              <w:tab/>
              <w:t xml:space="preserve">imposte relative a esercizi precedenti che accoglie le imposte relative ad esercizi precedenti che possono derivare, ad esempio, da iscrizioni a ruolo, avvisi di liquidazione, avvisi di pagamento, avvisi di accertamento e di rettifica ed altre situazioni di contenzioso con l’Amministrazione Finanziaria.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La voce comprende altresì la differenza positiva (o negativa) tra l’ammontare dovuto a seguito della definizione di un contenzioso o di un accertamento rispetto al valore del fondo accantonato in esercizi precedenti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9B6ABC">
            <w:pPr>
              <w:spacing w:line="240" w:lineRule="exact"/>
              <w:rPr>
                <w:lang w:val="it-IT"/>
              </w:rPr>
            </w:pPr>
            <w:r w:rsidRPr="0017721C">
              <w:rPr>
                <w:lang w:val="it-IT"/>
              </w:rPr>
              <w:t xml:space="preserve">c) </w:t>
            </w:r>
            <w:r w:rsidRPr="0017721C">
              <w:rPr>
                <w:lang w:val="it-IT"/>
              </w:rPr>
              <w:tab/>
              <w:t>imposte differite e anticipate, che accoglie: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9B6ABC">
            <w:pPr>
              <w:spacing w:line="240" w:lineRule="exact"/>
              <w:ind w:left="518" w:hanging="283"/>
              <w:rPr>
                <w:lang w:val="it-IT"/>
              </w:rPr>
            </w:pPr>
            <w:r w:rsidRPr="0017721C">
              <w:rPr>
                <w:lang w:val="it-IT"/>
              </w:rPr>
              <w:t xml:space="preserve">i) </w:t>
            </w:r>
            <w:r w:rsidRPr="0017721C">
              <w:rPr>
                <w:lang w:val="it-IT"/>
              </w:rPr>
              <w:tab/>
              <w:t>con segno positivo l’accantonamento al fondo per imposte differite e l’utilizzo delle attività per imposte anticipate; 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9B6ABC">
            <w:pPr>
              <w:spacing w:line="240" w:lineRule="exact"/>
              <w:ind w:left="518" w:hanging="283"/>
              <w:rPr>
                <w:lang w:val="it-IT"/>
              </w:rPr>
            </w:pPr>
            <w:r w:rsidRPr="0017721C">
              <w:rPr>
                <w:lang w:val="it-IT"/>
              </w:rPr>
              <w:t xml:space="preserve">ii) </w:t>
            </w:r>
            <w:r w:rsidRPr="0017721C">
              <w:rPr>
                <w:lang w:val="it-IT"/>
              </w:rPr>
              <w:tab/>
              <w:t>con segno negativo, le imposte anticipate e l’utilizzo del fondo imposte differite?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La voce accoglie sia le imposte differite e anticipate dell’esercizio sia quelle provenienti da esercizi precedenti. Più in generale, accoglie tutte le variazioni delle attività per imposte anticipate e delle passività per imposte differite sono iscritte nel conto economico nella voce 20 relativa ad imposte differite e anticipate.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55177">
            <w:pPr>
              <w:spacing w:line="240" w:lineRule="exact"/>
              <w:ind w:left="232" w:hanging="232"/>
              <w:rPr>
                <w:lang w:val="it-IT"/>
              </w:rPr>
            </w:pPr>
            <w:r w:rsidRPr="0017721C">
              <w:rPr>
                <w:lang w:val="it-IT"/>
              </w:rPr>
              <w:t xml:space="preserve">d) </w:t>
            </w:r>
            <w:r w:rsidR="00E55177">
              <w:rPr>
                <w:lang w:val="it-IT"/>
              </w:rPr>
              <w:tab/>
            </w:r>
            <w:r w:rsidRPr="0017721C">
              <w:rPr>
                <w:lang w:val="it-IT"/>
              </w:rPr>
              <w:t>proventi da consolidato fiscale, che accoglie il compenso riconosciuto dalla consolidante alla consolidata, nell’ambito del consolidato fiscale, per il trasferimento alla consolidante delle perdite fiscali generate dalla stessa consolidata?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Le imposte anticipate e differite sono rilevate come proventi o oneri del conto economico (voce 20), salvo che l’imposta derivi da un’operazione o un fatto rilevato direttamente al patrimonio netto o da un’operazione straordinaria (cfr. paragrafo 28 dell’OIC 25 “Imposte sul reddito”)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left="-57"/>
              <w:jc w:val="left"/>
              <w:rPr>
                <w:sz w:val="13"/>
                <w:szCs w:val="13"/>
                <w:lang w:val="it-IT"/>
              </w:rPr>
            </w:pPr>
            <w:r w:rsidRPr="0017721C">
              <w:rPr>
                <w:sz w:val="13"/>
                <w:szCs w:val="13"/>
                <w:lang w:val="it-IT"/>
              </w:rPr>
              <w:t>Art. 2425 -ter</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verflowPunct/>
              <w:autoSpaceDE/>
              <w:autoSpaceDN/>
              <w:adjustRightInd/>
              <w:spacing w:before="0" w:after="0" w:line="240" w:lineRule="exact"/>
              <w:jc w:val="left"/>
              <w:textAlignment w:val="auto"/>
              <w:outlineLvl w:val="0"/>
              <w:rPr>
                <w:b/>
                <w:caps/>
                <w:kern w:val="28"/>
                <w:sz w:val="22"/>
                <w:szCs w:val="22"/>
                <w:lang w:val="it-IT"/>
              </w:rPr>
            </w:pPr>
            <w:r w:rsidRPr="0017721C">
              <w:rPr>
                <w:b/>
                <w:caps/>
                <w:kern w:val="28"/>
                <w:sz w:val="22"/>
                <w:szCs w:val="22"/>
                <w:lang w:val="it-IT"/>
              </w:rPr>
              <w:t>RENDICONTO FINANZIARIO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Definizioni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10.9</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Il rendiconto finanziario è un prospetto contabile che presenta le variazioni, positive o negative, delle disponibilità liquide avvenute in un determinato esercizio.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10.10</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I flussi finanziari rappresentano un aumento o una diminuzione dell’ammontare delle disponibilità liquide. I flussi finanziari presentati nel rendiconto finanziario derivano dall’attività operativa, dall’attività di investimento e dall’attività di finanziamento.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10.11</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Le disponibilità liquide sono rappresentate dai depositi bancari e postali, dagli assegni e dal denaro e valori in cassa. Le disponibilità liquide comprendono anche depositi bancari e postali, assegni e denaro e valori in cassa espressi in valuta estera (cfr. OIC 14 “Disponibilità liquide”).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10.12</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L’attività operativa comprende generalmente le operazioni connesse all’acquisizione, produzione e distribuzione di beni e alla fornitura di servizi, anche se riferibili a gestioni accessorie, nonché le altre operazioni non ricomprese nell’attività di investimento e di finanziamento.</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L’attività di investimento comprende le operazioni di acquisto e di vendita delle immobilizzazioni materiali, immateriali e finanziarie e delle attività finanziarie non immobilizzate.</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L’attività di finanziamento comprende le operazioni di ottenimento e di restituzione delle disponibilità liquide sotto forma di capitale di rischio o di capitale di debito.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E55177">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E55177">
            <w:pPr>
              <w:spacing w:before="40" w:line="240" w:lineRule="auto"/>
              <w:ind w:right="28"/>
              <w:jc w:val="left"/>
              <w:rPr>
                <w:sz w:val="13"/>
                <w:szCs w:val="13"/>
                <w:lang w:val="it-IT"/>
              </w:rPr>
            </w:pPr>
            <w:r w:rsidRPr="0017721C">
              <w:rPr>
                <w:sz w:val="13"/>
                <w:szCs w:val="13"/>
                <w:lang w:val="it-IT"/>
              </w:rPr>
              <w:t>OIC 10.13</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55177">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Le variazioni del capitale circolante netto sono rappresentate dalle variazioni di rimanenze, crediti, debiti, ratei e risconti connesse ai ricavi e oneri di natura operativa.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E55177">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E55177">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E55177">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10.14</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Il bilancio in forma ordinaria è il bilancio redatto secondo le disposizioni del codice civile dalle società che non redigono il bilancio in forma abbreviata ai sensi dell’art. 2435-bis CC</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 xml:space="preserve">Contenuto e struttura del rendiconto finanziario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175)</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Art.2425 ter CC</w:t>
            </w:r>
          </w:p>
          <w:p w:rsidR="0017721C" w:rsidRPr="0017721C" w:rsidRDefault="0017721C" w:rsidP="0017721C">
            <w:pPr>
              <w:spacing w:before="40" w:line="240" w:lineRule="auto"/>
              <w:ind w:right="28"/>
              <w:jc w:val="left"/>
              <w:rPr>
                <w:sz w:val="13"/>
                <w:szCs w:val="13"/>
                <w:lang w:val="it-IT"/>
              </w:rPr>
            </w:pPr>
            <w:r w:rsidRPr="0017721C">
              <w:rPr>
                <w:sz w:val="13"/>
                <w:szCs w:val="13"/>
                <w:lang w:val="it-IT"/>
              </w:rPr>
              <w:t>OIC 10.15</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55177">
            <w:pPr>
              <w:spacing w:line="240" w:lineRule="exact"/>
              <w:rPr>
                <w:lang w:val="it-IT"/>
              </w:rPr>
            </w:pPr>
            <w:r w:rsidRPr="0017721C">
              <w:rPr>
                <w:lang w:val="it-IT"/>
              </w:rPr>
              <w:t>Dal rendiconto finanziario risultano, per l’esercizio a cui è riferito il bilancio e per quello precedente, l’ammontare e la composizione delle disponibilità liquide, all’inizio e alla fine dell’esercizio, ed i flussi finanziari dell’esercizio derivanti dall’attività operativa, da quella di investimento, da quella di finanziamento, ivi comprese, le operazioni con soci?.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176)</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10.16</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9B6ABC">
            <w:pPr>
              <w:spacing w:line="240" w:lineRule="exact"/>
              <w:rPr>
                <w:lang w:val="it-IT"/>
              </w:rPr>
            </w:pPr>
            <w:r w:rsidRPr="0017721C">
              <w:rPr>
                <w:lang w:val="it-IT"/>
              </w:rPr>
              <w:t>Nel rendiconto finanziario i singoli flussi finanziari sono stati presentati distintamente in una delle seguenti categorie,nella sequenza indicata: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9B6ABC">
            <w:pPr>
              <w:spacing w:line="240" w:lineRule="exact"/>
            </w:pPr>
            <w:r w:rsidRPr="0017721C">
              <w:t>a. attività operativa;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9B6ABC">
            <w:pPr>
              <w:spacing w:line="240" w:lineRule="exact"/>
            </w:pPr>
            <w:r w:rsidRPr="0017721C">
              <w:t>b. attività di investimento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9B6ABC">
            <w:pPr>
              <w:spacing w:line="240" w:lineRule="exact"/>
            </w:pPr>
            <w:r w:rsidRPr="0017721C">
              <w:t>c. attività di finanziamento?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10.17</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Il flusso finanziario dell’attività operativa può essere determinato o con il metodo indiretto (rettificando l’utile o la perdita d’esercizio riportato nel conto economico) o con il metodo diretto (evidenziando i flussi finanziari).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9B6ABC">
            <w:pPr>
              <w:pageBreakBefore/>
              <w:jc w:val="center"/>
              <w:rPr>
                <w:b/>
                <w:lang w:val="it-IT"/>
              </w:rPr>
            </w:pPr>
            <w:r w:rsidRPr="0017721C">
              <w:rPr>
                <w:b/>
                <w:lang w:val="it-IT"/>
              </w:rPr>
              <w:t>177)</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9B6ABC">
            <w:pPr>
              <w:pageBreakBefore/>
              <w:spacing w:before="40" w:line="240" w:lineRule="auto"/>
              <w:ind w:right="28"/>
              <w:jc w:val="left"/>
              <w:rPr>
                <w:sz w:val="13"/>
                <w:szCs w:val="13"/>
                <w:lang w:val="it-IT"/>
              </w:rPr>
            </w:pPr>
            <w:r w:rsidRPr="0017721C">
              <w:rPr>
                <w:sz w:val="13"/>
                <w:szCs w:val="13"/>
                <w:lang w:val="it-IT"/>
              </w:rPr>
              <w:t>OIC 10.18</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9B6ABC">
            <w:pPr>
              <w:pageBreakBefore/>
              <w:spacing w:line="240" w:lineRule="exact"/>
              <w:rPr>
                <w:lang w:val="it-IT"/>
              </w:rPr>
            </w:pPr>
            <w:r w:rsidRPr="0017721C">
              <w:rPr>
                <w:lang w:val="it-IT"/>
              </w:rPr>
              <w:t>La somma algebrica dei flussi finanziari di ciascuna categoria sopraindicata rappresenta la variazione netta (incremento o decremento) delle disponibilità liquide avvenuta nel corso dell’esercizio?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9B6ABC">
            <w:pPr>
              <w:pageBreakBefore/>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9B6ABC">
            <w:pPr>
              <w:pageBreakBefore/>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9B6ABC">
            <w:pPr>
              <w:pageBreakBefore/>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178)</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10.19</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55177">
            <w:pPr>
              <w:spacing w:line="240" w:lineRule="exact"/>
              <w:rPr>
                <w:lang w:val="it-IT"/>
              </w:rPr>
            </w:pPr>
            <w:r w:rsidRPr="0017721C">
              <w:rPr>
                <w:lang w:val="it-IT"/>
              </w:rPr>
              <w:t>La forma di presentazione del rendiconto finanziario è di tipo scalare?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utlineLvl w:val="2"/>
              <w:rPr>
                <w:b/>
                <w:bCs/>
                <w:i/>
                <w:lang w:val="it-IT"/>
              </w:rPr>
            </w:pPr>
            <w:r w:rsidRPr="0017721C">
              <w:rPr>
                <w:b/>
                <w:bCs/>
                <w:i/>
                <w:lang w:val="it-IT"/>
              </w:rPr>
              <w:t>Aggiunta, suddivisione e raggruppamento di flussi finanziari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179)</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10.20</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55177">
            <w:pPr>
              <w:spacing w:line="240" w:lineRule="exact"/>
              <w:rPr>
                <w:lang w:val="it-IT"/>
              </w:rPr>
            </w:pPr>
            <w:r w:rsidRPr="0017721C">
              <w:rPr>
                <w:lang w:val="it-IT"/>
              </w:rPr>
              <w:t>La società aggiunge ulteriori flussi finanziari rispetto a quelli previsti negli schemi di riferimento qualora sia necessario ai fini della chiarezza e della rappresentazione veritiera e corretta della situazione finanziaria?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10.21</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I singoli flussi finanziari presentati nelle categorie precedute dalle lettere maiuscole possono essere ulteriormente suddivisi per fornire una migliore descrizione delle attività svolte dalla società</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10.22</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I singoli flussi finanziari presentati nelle categorie precedute dalle lettere maiuscole possono essere raggruppati quando il loro raggruppamento favorisce la chiarezza del rendiconto o quando è irrilevante ai fini della rappresentazione veritiera e corretta della situazione finanziaria della società.</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180)</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10.23</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55177">
            <w:pPr>
              <w:spacing w:line="240" w:lineRule="exact"/>
              <w:rPr>
                <w:lang w:val="it-IT"/>
              </w:rPr>
            </w:pPr>
            <w:r w:rsidRPr="0017721C">
              <w:rPr>
                <w:lang w:val="it-IT"/>
              </w:rPr>
              <w:t>Per ogni flusso finanziario presentato nel rendiconto è indicato l’importo del flusso corrispondente dell’esercizio precedente?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181)</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10.23</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55177">
            <w:pPr>
              <w:spacing w:line="240" w:lineRule="exact"/>
              <w:rPr>
                <w:lang w:val="it-IT"/>
              </w:rPr>
            </w:pPr>
            <w:r w:rsidRPr="0017721C">
              <w:rPr>
                <w:lang w:val="it-IT"/>
              </w:rPr>
              <w:t>Se i flussi non sono comparabili, quelli relativi all’esercizio precedente sono stati adattati?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182)</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10.23</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55177">
            <w:pPr>
              <w:spacing w:line="240" w:lineRule="exact"/>
              <w:rPr>
                <w:lang w:val="it-IT"/>
              </w:rPr>
            </w:pPr>
            <w:r w:rsidRPr="0017721C">
              <w:rPr>
                <w:lang w:val="it-IT"/>
              </w:rPr>
              <w:t>La non comparabilità e l’adattamento, o l’impossibilità di questo, sono segnalati e commentati in calce al rendiconto finanziario?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utlineLvl w:val="2"/>
              <w:rPr>
                <w:b/>
                <w:bCs/>
                <w:i/>
              </w:rPr>
            </w:pPr>
            <w:r w:rsidRPr="0017721C">
              <w:rPr>
                <w:b/>
                <w:bCs/>
                <w:i/>
              </w:rPr>
              <w:t>Compensazioni di flussi finanziari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183)</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10.24</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55177">
            <w:pPr>
              <w:spacing w:line="240" w:lineRule="exact"/>
              <w:rPr>
                <w:lang w:val="it-IT"/>
              </w:rPr>
            </w:pPr>
            <w:r w:rsidRPr="0017721C">
              <w:rPr>
                <w:lang w:val="it-IT"/>
              </w:rPr>
              <w:t>I flussi finanziari sono presentati al lordo del loro ammontare, cioè senza compensazioni, salvo ove diversamente indicato?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10.24</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La compensazione tra flussi finanziari di segno opposto non è consentita per non alterare la significatività del rendiconto finanziario; ciò è valido sia tra flussi finanziari di categorie differenti sia tra flussi finanziari di una medesima categoria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utlineLvl w:val="2"/>
              <w:rPr>
                <w:b/>
                <w:bCs/>
                <w:i/>
              </w:rPr>
            </w:pPr>
            <w:r w:rsidRPr="0017721C">
              <w:rPr>
                <w:b/>
                <w:bCs/>
                <w:i/>
              </w:rPr>
              <w:t xml:space="preserve">Dettaglio delle disponibilità liquide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184)</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10.25</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Nel rendiconto finanziario sono indicati l’ammontare e la composizione delle disponibilità liquide, all’inizio e alla fine dell’esercizio?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Classificazione dei flussi finanziari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utlineLvl w:val="2"/>
              <w:rPr>
                <w:b/>
                <w:bCs/>
                <w:i/>
              </w:rPr>
            </w:pPr>
            <w:r w:rsidRPr="0017721C">
              <w:rPr>
                <w:b/>
                <w:bCs/>
                <w:i/>
              </w:rPr>
              <w:t>Attività operativa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10.26</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I flussi finanziari dell’attività operativa comprendono generalmente i flussi che derivano dall’acquisizione, produzione e distribuzione di beni e dalla fornitura di servizi, anche se riferibili a gestioni accessorie, e gli altri flussi non ricompresi nell’attività di investimento e di finanziamento.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10.27</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Alcuni esempi di flussi finanziari generati o assorbiti dall’attività operativa sono:</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w:t>
            </w:r>
            <w:r w:rsidRPr="0017721C">
              <w:rPr>
                <w:sz w:val="16"/>
                <w:szCs w:val="16"/>
                <w:lang w:val="it-IT"/>
              </w:rPr>
              <w:tab/>
              <w:t>incassi dalla vendita di prodotti e dalla prestazione di servizi;</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w:t>
            </w:r>
            <w:r w:rsidRPr="0017721C">
              <w:rPr>
                <w:sz w:val="16"/>
                <w:szCs w:val="16"/>
                <w:lang w:val="it-IT"/>
              </w:rPr>
              <w:tab/>
              <w:t>incassi da royalty, commissioni, compensi, rimborsi assicurativi e altri ricavi;</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w:t>
            </w:r>
            <w:r w:rsidRPr="0017721C">
              <w:rPr>
                <w:sz w:val="16"/>
                <w:szCs w:val="16"/>
                <w:lang w:val="it-IT"/>
              </w:rPr>
              <w:tab/>
              <w:t>pagamenti per l’acquisto di materia prima, semilavorati, merci e altri fattori produttivi;</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w:t>
            </w:r>
            <w:r w:rsidRPr="0017721C">
              <w:rPr>
                <w:sz w:val="16"/>
                <w:szCs w:val="16"/>
                <w:lang w:val="it-IT"/>
              </w:rPr>
              <w:tab/>
              <w:t>pagamenti per l’acquisizione di servizi;</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w:t>
            </w:r>
            <w:r w:rsidRPr="0017721C">
              <w:rPr>
                <w:sz w:val="16"/>
                <w:szCs w:val="16"/>
                <w:lang w:val="it-IT"/>
              </w:rPr>
              <w:tab/>
              <w:t>pagamenti a, e per conto di, dipendenti;</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w:t>
            </w:r>
            <w:r w:rsidRPr="0017721C">
              <w:rPr>
                <w:sz w:val="16"/>
                <w:szCs w:val="16"/>
                <w:lang w:val="it-IT"/>
              </w:rPr>
              <w:tab/>
              <w:t>pagamenti e rimborsi di imposte;</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w:t>
            </w:r>
            <w:r w:rsidRPr="0017721C">
              <w:rPr>
                <w:sz w:val="16"/>
                <w:szCs w:val="16"/>
                <w:lang w:val="it-IT"/>
              </w:rPr>
              <w:tab/>
              <w:t>incassi per proventi finanziari.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E55177">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E55177">
            <w:pPr>
              <w:spacing w:before="40" w:line="240" w:lineRule="auto"/>
              <w:ind w:right="28"/>
              <w:jc w:val="left"/>
              <w:rPr>
                <w:sz w:val="13"/>
                <w:szCs w:val="13"/>
                <w:lang w:val="it-IT"/>
              </w:rPr>
            </w:pPr>
            <w:r w:rsidRPr="0017721C">
              <w:rPr>
                <w:sz w:val="13"/>
                <w:szCs w:val="13"/>
                <w:lang w:val="it-IT"/>
              </w:rPr>
              <w:t>OIC 10.28</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55177">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L’attività operativa è composta da operazioni che si concretizzano in ricavi e in costi necessari per produrre tali ricavi. Le operazioni dell’attività operativa sono riflesse nel conto economico e rappresentano anche le fonti di finanziamento dell’impresa, in particolare quelle dell’autofinanziamento. Da esse si genera la liquidità necessaria per finanziare la gestione futura.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E55177">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E55177">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E55177">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185)</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10.29</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55177">
            <w:pPr>
              <w:spacing w:line="240" w:lineRule="exact"/>
              <w:rPr>
                <w:lang w:val="it-IT"/>
              </w:rPr>
            </w:pPr>
            <w:r w:rsidRPr="0017721C">
              <w:rPr>
                <w:lang w:val="it-IT"/>
              </w:rPr>
              <w:t xml:space="preserve">Il flusso finanziario derivante dall’attività operativa è determinato con il metodo indiretto,mediante il quale l’utile (o la perdita) dell’esercizio, oppure l’utile (o la perdita) prima delle imposte, è rettificato per tenere conto di: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E55177" w:rsidRDefault="00E55177" w:rsidP="00E55177">
            <w:pPr>
              <w:spacing w:line="240" w:lineRule="exact"/>
              <w:ind w:left="426" w:hanging="284"/>
              <w:rPr>
                <w:lang w:val="it-IT"/>
              </w:rPr>
            </w:pPr>
            <w:r>
              <w:rPr>
                <w:lang w:val="it-IT"/>
              </w:rPr>
              <w:t xml:space="preserve">- </w:t>
            </w:r>
            <w:r>
              <w:rPr>
                <w:lang w:val="it-IT"/>
              </w:rPr>
              <w:tab/>
            </w:r>
            <w:r w:rsidR="0017721C" w:rsidRPr="00E55177">
              <w:rPr>
                <w:lang w:val="it-IT"/>
              </w:rPr>
              <w:t xml:space="preserve">elementi di natura non monetaria, ossia poste contabili che non hanno richiesto esborso/incasso di disponibilità liquide nel corso dell’esercizio e che non hanno avuto contropartita nel capitale circolante netto;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E55177" w:rsidRDefault="00E55177" w:rsidP="00E55177">
            <w:pPr>
              <w:spacing w:line="240" w:lineRule="exact"/>
              <w:ind w:left="426" w:hanging="284"/>
              <w:rPr>
                <w:lang w:val="it-IT"/>
              </w:rPr>
            </w:pPr>
            <w:r>
              <w:rPr>
                <w:lang w:val="it-IT"/>
              </w:rPr>
              <w:t>-</w:t>
            </w:r>
            <w:r>
              <w:rPr>
                <w:lang w:val="it-IT"/>
              </w:rPr>
              <w:tab/>
              <w:t xml:space="preserve"> </w:t>
            </w:r>
            <w:r w:rsidR="0017721C" w:rsidRPr="00E55177">
              <w:rPr>
                <w:lang w:val="it-IT"/>
              </w:rPr>
              <w:t>variazioni del capitale circolante netto connesse ai costi o ricavi dell’attività operativa.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E55177" w:rsidRDefault="00E55177" w:rsidP="00E55177">
            <w:pPr>
              <w:spacing w:line="240" w:lineRule="exact"/>
              <w:ind w:left="426" w:hanging="284"/>
              <w:rPr>
                <w:lang w:val="it-IT"/>
              </w:rPr>
            </w:pPr>
            <w:r>
              <w:rPr>
                <w:lang w:val="it-IT"/>
              </w:rPr>
              <w:t xml:space="preserve">- </w:t>
            </w:r>
            <w:r>
              <w:rPr>
                <w:lang w:val="it-IT"/>
              </w:rPr>
              <w:tab/>
            </w:r>
            <w:r w:rsidR="0017721C" w:rsidRPr="00E55177">
              <w:rPr>
                <w:lang w:val="it-IT"/>
              </w:rPr>
              <w:t>operazioni i cui effetti sono ricompresi tra i flussi derivanti dall’attività di investimento e finanziamento?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E55177">
            <w:pPr>
              <w:pageBreakBefore/>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E55177">
            <w:pPr>
              <w:pageBreakBefore/>
              <w:spacing w:before="40" w:line="240" w:lineRule="auto"/>
              <w:ind w:right="28"/>
              <w:jc w:val="left"/>
              <w:rPr>
                <w:sz w:val="13"/>
                <w:szCs w:val="13"/>
                <w:lang w:val="it-IT"/>
              </w:rPr>
            </w:pPr>
            <w:r w:rsidRPr="0017721C">
              <w:rPr>
                <w:sz w:val="13"/>
                <w:szCs w:val="13"/>
                <w:lang w:val="it-IT"/>
              </w:rPr>
              <w:t>OIC 10.30</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55177">
            <w:pPr>
              <w:pageBreakBefore/>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L’utile/perdita dell’esercizio è rettificato, per tener conto delle variazioni del capitale circolante netto, nelle circostanze di seguito indicate (a titolo esemplificativo):</w:t>
            </w:r>
          </w:p>
          <w:p w:rsidR="0017721C" w:rsidRPr="0017721C" w:rsidRDefault="0017721C" w:rsidP="00E55177">
            <w:pPr>
              <w:pageBreakBefore/>
              <w:pBdr>
                <w:top w:val="single" w:sz="4" w:space="1" w:color="auto"/>
                <w:left w:val="single" w:sz="4" w:space="4" w:color="auto"/>
                <w:bottom w:val="single" w:sz="4" w:space="1" w:color="auto"/>
                <w:right w:val="single" w:sz="4" w:space="4" w:color="auto"/>
              </w:pBdr>
              <w:spacing w:before="40" w:line="200" w:lineRule="exact"/>
              <w:ind w:left="235" w:right="57" w:hanging="178"/>
              <w:rPr>
                <w:sz w:val="16"/>
                <w:szCs w:val="16"/>
                <w:lang w:val="it-IT"/>
              </w:rPr>
            </w:pPr>
            <w:r w:rsidRPr="0017721C">
              <w:rPr>
                <w:sz w:val="16"/>
                <w:szCs w:val="16"/>
                <w:lang w:val="it-IT"/>
              </w:rPr>
              <w:t xml:space="preserve">- </w:t>
            </w:r>
            <w:r w:rsidRPr="0017721C">
              <w:rPr>
                <w:sz w:val="16"/>
                <w:szCs w:val="16"/>
                <w:lang w:val="it-IT"/>
              </w:rPr>
              <w:tab/>
              <w:t>l’incremento dei crediti verso clienti è sottratto dall’utile (perdita) dell’esercizio, in quanto tale aumento rappresenta il minore ammontare incassato dai clienti rispetto ai ricavi di competenza dell’esercizio e accreditati al conto economico; al contrario una diminuzione dei crediti è aggiunta all’utile (perdita) dell’esercizio in quanto rappresenta il maggior ammontare dei crediti incassati rispetto ai ricavi di competenza dell’esercizio e accreditati al conto economico;</w:t>
            </w:r>
          </w:p>
          <w:p w:rsidR="0017721C" w:rsidRPr="0017721C" w:rsidRDefault="0017721C" w:rsidP="00E55177">
            <w:pPr>
              <w:pageBreakBefore/>
              <w:pBdr>
                <w:top w:val="single" w:sz="4" w:space="1" w:color="auto"/>
                <w:left w:val="single" w:sz="4" w:space="4" w:color="auto"/>
                <w:bottom w:val="single" w:sz="4" w:space="1" w:color="auto"/>
                <w:right w:val="single" w:sz="4" w:space="4" w:color="auto"/>
              </w:pBdr>
              <w:spacing w:before="40" w:line="200" w:lineRule="exact"/>
              <w:ind w:left="235" w:right="57" w:hanging="178"/>
              <w:rPr>
                <w:sz w:val="16"/>
                <w:szCs w:val="16"/>
                <w:lang w:val="it-IT"/>
              </w:rPr>
            </w:pPr>
            <w:r w:rsidRPr="0017721C">
              <w:rPr>
                <w:sz w:val="16"/>
                <w:szCs w:val="16"/>
                <w:lang w:val="it-IT"/>
              </w:rPr>
              <w:t xml:space="preserve">- </w:t>
            </w:r>
            <w:r w:rsidRPr="0017721C">
              <w:rPr>
                <w:sz w:val="16"/>
                <w:szCs w:val="16"/>
                <w:lang w:val="it-IT"/>
              </w:rPr>
              <w:tab/>
              <w:t>l’incremento (decremento) dei debiti verso fornitori è sommato (sottratto) all’utile (perdita) dell’esercizio, in quanto rappresenta una parte di costi della produzione non ancora pagata (o una parte di costi della produzione pagata in più rispetto ai costi di competenza);</w:t>
            </w:r>
          </w:p>
          <w:p w:rsidR="0017721C" w:rsidRPr="0017721C" w:rsidRDefault="0017721C" w:rsidP="00E55177">
            <w:pPr>
              <w:pageBreakBefore/>
              <w:pBdr>
                <w:top w:val="single" w:sz="4" w:space="1" w:color="auto"/>
                <w:left w:val="single" w:sz="4" w:space="4" w:color="auto"/>
                <w:bottom w:val="single" w:sz="4" w:space="1" w:color="auto"/>
                <w:right w:val="single" w:sz="4" w:space="4" w:color="auto"/>
              </w:pBdr>
              <w:spacing w:before="40" w:line="200" w:lineRule="exact"/>
              <w:ind w:left="235" w:right="57" w:hanging="178"/>
              <w:rPr>
                <w:sz w:val="16"/>
                <w:szCs w:val="16"/>
                <w:lang w:val="it-IT"/>
              </w:rPr>
            </w:pPr>
            <w:r w:rsidRPr="0017721C">
              <w:rPr>
                <w:sz w:val="16"/>
                <w:szCs w:val="16"/>
                <w:lang w:val="it-IT"/>
              </w:rPr>
              <w:t xml:space="preserve">- </w:t>
            </w:r>
            <w:r w:rsidRPr="0017721C">
              <w:rPr>
                <w:sz w:val="16"/>
                <w:szCs w:val="16"/>
                <w:lang w:val="it-IT"/>
              </w:rPr>
              <w:tab/>
              <w:t xml:space="preserve">l’incremento (decremento) delle rimanenze è sottratto (sommato) all’utile (perdita) dell’esercizio poiché nel calcolo dell’utile sono considerati i costi della produzione, che comprendono oltre agli acquisti anche la variazione delle rimanenze, mentre per le variazioni di disponibilità liquida hanno rilievo solo gli acquisti. </w:t>
            </w:r>
          </w:p>
          <w:p w:rsidR="0017721C" w:rsidRPr="0017721C" w:rsidRDefault="0017721C" w:rsidP="00E55177">
            <w:pPr>
              <w:pageBreakBefore/>
              <w:pBdr>
                <w:top w:val="single" w:sz="4" w:space="1" w:color="auto"/>
                <w:left w:val="single" w:sz="4" w:space="4" w:color="auto"/>
                <w:bottom w:val="single" w:sz="4" w:space="1" w:color="auto"/>
                <w:right w:val="single" w:sz="4" w:space="4" w:color="auto"/>
              </w:pBdr>
              <w:spacing w:before="40" w:line="200" w:lineRule="exact"/>
              <w:ind w:left="235" w:right="57" w:hanging="178"/>
              <w:rPr>
                <w:sz w:val="16"/>
                <w:szCs w:val="16"/>
                <w:lang w:val="it-IT"/>
              </w:rPr>
            </w:pPr>
            <w:r w:rsidRPr="0017721C">
              <w:rPr>
                <w:sz w:val="16"/>
                <w:szCs w:val="16"/>
                <w:lang w:val="it-IT"/>
              </w:rPr>
              <w:t xml:space="preserve">- </w:t>
            </w:r>
            <w:r w:rsidRPr="0017721C">
              <w:rPr>
                <w:sz w:val="16"/>
                <w:szCs w:val="16"/>
                <w:lang w:val="it-IT"/>
              </w:rPr>
              <w:tab/>
              <w:t>l’aumento dei ratei passivi è aggiunto all’utile/perdita dell’esercizio in quanto tale aumento rappresenta il maggior ammontare delle spese non ancora pagate tramite liquidità rispetto alle spese addebitate a conto economico?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E55177">
            <w:pPr>
              <w:pageBreakBefore/>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E55177">
            <w:pPr>
              <w:pageBreakBefore/>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E55177">
            <w:pPr>
              <w:pageBreakBefore/>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10.31</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Il flusso finanziario derivante dall’attività operativa può essere determinato anche con il metodo diretto, presentando i flussi finanziari positivi e negativi lordi derivanti dalle operazioni incluse nell’attività operativa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utlineLvl w:val="2"/>
              <w:rPr>
                <w:b/>
                <w:bCs/>
                <w:i/>
              </w:rPr>
            </w:pPr>
            <w:r w:rsidRPr="0017721C">
              <w:rPr>
                <w:b/>
                <w:bCs/>
                <w:i/>
              </w:rPr>
              <w:t>Attività di investimento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186)</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10.32</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I flussi finanziari dell’attività di investimento comprendono i flussi che derivano dall’acquisto e dalla vendita delle immobilizzazioni materiali, immateriali e finanziarie e delle attività finanziarie non immobilizzate?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10.33</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In via esemplificativa, i flussi finanziari generati o assorbiti dall’attività di investimento derivano da:</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233" w:right="57" w:hanging="176"/>
              <w:rPr>
                <w:sz w:val="16"/>
                <w:szCs w:val="16"/>
                <w:lang w:val="it-IT"/>
              </w:rPr>
            </w:pPr>
            <w:r w:rsidRPr="0017721C">
              <w:rPr>
                <w:sz w:val="16"/>
                <w:szCs w:val="16"/>
                <w:lang w:val="it-IT"/>
              </w:rPr>
              <w:t xml:space="preserve">- </w:t>
            </w:r>
            <w:r w:rsidRPr="0017721C">
              <w:rPr>
                <w:sz w:val="16"/>
                <w:szCs w:val="16"/>
                <w:lang w:val="it-IT"/>
              </w:rPr>
              <w:tab/>
              <w:t>acquisti o vendite di fabbricati, impianti, attrezzature o altre immobilizzazioni materiali (incluse le immobilizzazioni materiali di costruzione interna);</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233" w:right="57" w:hanging="176"/>
              <w:rPr>
                <w:sz w:val="16"/>
                <w:szCs w:val="16"/>
                <w:lang w:val="it-IT"/>
              </w:rPr>
            </w:pPr>
            <w:r w:rsidRPr="0017721C">
              <w:rPr>
                <w:sz w:val="16"/>
                <w:szCs w:val="16"/>
                <w:lang w:val="it-IT"/>
              </w:rPr>
              <w:t xml:space="preserve">- </w:t>
            </w:r>
            <w:r w:rsidRPr="0017721C">
              <w:rPr>
                <w:sz w:val="16"/>
                <w:szCs w:val="16"/>
                <w:lang w:val="it-IT"/>
              </w:rPr>
              <w:tab/>
              <w:t>acquisti o vendite di immobilizzazioni immateriali, quali ad esempio i brevetti, i marchi, le concessioni; questi pagamenti comprendono anche quelli relativi agli oneri pluriennali capitalizzati;</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233" w:right="57" w:hanging="176"/>
              <w:rPr>
                <w:sz w:val="16"/>
                <w:szCs w:val="16"/>
                <w:lang w:val="it-IT"/>
              </w:rPr>
            </w:pPr>
            <w:r w:rsidRPr="0017721C">
              <w:rPr>
                <w:sz w:val="16"/>
                <w:szCs w:val="16"/>
                <w:lang w:val="it-IT"/>
              </w:rPr>
              <w:t xml:space="preserve">- </w:t>
            </w:r>
            <w:r w:rsidRPr="0017721C">
              <w:rPr>
                <w:sz w:val="16"/>
                <w:szCs w:val="16"/>
                <w:lang w:val="it-IT"/>
              </w:rPr>
              <w:tab/>
              <w:t>acquisizioni o cessioni di partecipazioni in imprese controllate e collegate;</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233" w:right="57" w:hanging="176"/>
              <w:rPr>
                <w:sz w:val="16"/>
                <w:szCs w:val="16"/>
                <w:lang w:val="it-IT"/>
              </w:rPr>
            </w:pPr>
            <w:r w:rsidRPr="0017721C">
              <w:rPr>
                <w:sz w:val="16"/>
                <w:szCs w:val="16"/>
                <w:lang w:val="it-IT"/>
              </w:rPr>
              <w:t xml:space="preserve">- </w:t>
            </w:r>
            <w:r w:rsidRPr="0017721C">
              <w:rPr>
                <w:sz w:val="16"/>
                <w:szCs w:val="16"/>
                <w:lang w:val="it-IT"/>
              </w:rPr>
              <w:tab/>
              <w:t>acquisizioni o cessioni di altre partecipazioni;</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233" w:right="57" w:hanging="176"/>
              <w:rPr>
                <w:sz w:val="16"/>
                <w:szCs w:val="16"/>
                <w:lang w:val="it-IT"/>
              </w:rPr>
            </w:pPr>
            <w:r w:rsidRPr="0017721C">
              <w:rPr>
                <w:sz w:val="16"/>
                <w:szCs w:val="16"/>
                <w:lang w:val="it-IT"/>
              </w:rPr>
              <w:t xml:space="preserve">- </w:t>
            </w:r>
            <w:r w:rsidRPr="0017721C">
              <w:rPr>
                <w:sz w:val="16"/>
                <w:szCs w:val="16"/>
                <w:lang w:val="it-IT"/>
              </w:rPr>
              <w:tab/>
              <w:t>acquisizioni o cessioni di altri titoli, inclusi titoli di Stato e obbligazioni;</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233" w:right="57" w:hanging="176"/>
              <w:rPr>
                <w:sz w:val="16"/>
                <w:szCs w:val="16"/>
                <w:lang w:val="it-IT"/>
              </w:rPr>
            </w:pPr>
            <w:r w:rsidRPr="0017721C">
              <w:rPr>
                <w:sz w:val="16"/>
                <w:szCs w:val="16"/>
                <w:lang w:val="it-IT"/>
              </w:rPr>
              <w:t xml:space="preserve">- </w:t>
            </w:r>
            <w:r w:rsidRPr="0017721C">
              <w:rPr>
                <w:sz w:val="16"/>
                <w:szCs w:val="16"/>
                <w:lang w:val="it-IT"/>
              </w:rPr>
              <w:tab/>
              <w:t>erogazioni di anticipazioni e prestiti fatti a terzi e incassi per il loro rimborso.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187)</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10.34</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I flussi finanziari derivanti dall’acquisto di immobilizzazioni sono distintamente presentati nell’attività di investimento, per l’uscita effettivamente sostenuta nell’esercizio, pari al complessivo prezzo di acquisto rettificato dalla variazione dei debiti verso fornitori di immobilizzazioni?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188)</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10.35</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I flussi finanziari derivanti dalla vendita di immobilizzazioni sono distintamente presentati nell’attività di investimento, per l’entrata effettivamente incassata nell’esercizio pari al cd. Prezzo di realizzo (cioè il valore netto contabile aumentato della plusvalenza o ridotto dalla minusvalenza) rettificato dalla variazione dei crediti verso clienti per immobilizzazioni?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189)</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10.36</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La società rettifica l’utile/perdita dell’esercizio nell’attività operativa per il valore della plus/minusvalenza?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190)</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10.37</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La società presenta distintamente i principali incassi o pagamenti derivanti dall’attività di investimento, distinguendoli a seconda delle diverse classi di immobilizzazioni (immateriali, materiali e finanziarie), indicando separatamente le attività finanziarie non immobilizzate?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utlineLvl w:val="2"/>
              <w:rPr>
                <w:b/>
                <w:bCs/>
                <w:i/>
              </w:rPr>
            </w:pPr>
            <w:r w:rsidRPr="0017721C">
              <w:rPr>
                <w:b/>
                <w:bCs/>
                <w:i/>
              </w:rPr>
              <w:t>Attività di finanziamento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191)</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10.38</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I flussi finanziari dell’attività di finanziamento comprendono i flussi che derivano dall’ottenimento o dalla restituzione di disponibilità liquide sotto forma di capitale di rischio o di capitale di debito?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E55177">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E55177">
            <w:pPr>
              <w:spacing w:before="40" w:line="240" w:lineRule="auto"/>
              <w:ind w:right="28"/>
              <w:jc w:val="left"/>
              <w:rPr>
                <w:sz w:val="13"/>
                <w:szCs w:val="13"/>
                <w:lang w:val="it-IT"/>
              </w:rPr>
            </w:pPr>
            <w:r w:rsidRPr="0017721C">
              <w:rPr>
                <w:sz w:val="13"/>
                <w:szCs w:val="13"/>
                <w:lang w:val="it-IT"/>
              </w:rPr>
              <w:t>OIC 10.39</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55177">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In via esemplificativa, i flussi finanziari generati o assorbiti dall’attività di finanziamento sono:</w:t>
            </w:r>
          </w:p>
          <w:p w:rsidR="0017721C" w:rsidRPr="0017721C" w:rsidRDefault="0017721C" w:rsidP="00E55177">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 </w:t>
            </w:r>
            <w:r w:rsidRPr="0017721C">
              <w:rPr>
                <w:sz w:val="16"/>
                <w:szCs w:val="16"/>
                <w:lang w:val="it-IT"/>
              </w:rPr>
              <w:tab/>
              <w:t>incassi derivanti dall’emissione di azioni o di quote rappresentative del capitale di rischio;</w:t>
            </w:r>
          </w:p>
          <w:p w:rsidR="0017721C" w:rsidRPr="0017721C" w:rsidRDefault="0017721C" w:rsidP="00E55177">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 </w:t>
            </w:r>
            <w:r w:rsidRPr="0017721C">
              <w:rPr>
                <w:sz w:val="16"/>
                <w:szCs w:val="16"/>
                <w:lang w:val="it-IT"/>
              </w:rPr>
              <w:tab/>
              <w:t>pagamento dei dividendi;</w:t>
            </w:r>
          </w:p>
          <w:p w:rsidR="0017721C" w:rsidRPr="0017721C" w:rsidRDefault="0017721C" w:rsidP="00E55177">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 </w:t>
            </w:r>
            <w:r w:rsidRPr="0017721C">
              <w:rPr>
                <w:sz w:val="16"/>
                <w:szCs w:val="16"/>
                <w:lang w:val="it-IT"/>
              </w:rPr>
              <w:tab/>
              <w:t>pagamenti per il rimborso del capitale di rischio, anche sotto forma di acquisto di azioni proprie;</w:t>
            </w:r>
          </w:p>
          <w:p w:rsidR="0017721C" w:rsidRPr="0017721C" w:rsidRDefault="0017721C" w:rsidP="00E55177">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 </w:t>
            </w:r>
            <w:r w:rsidRPr="0017721C">
              <w:rPr>
                <w:sz w:val="16"/>
                <w:szCs w:val="16"/>
                <w:lang w:val="it-IT"/>
              </w:rPr>
              <w:tab/>
              <w:t xml:space="preserve">incassi o pagamenti derivanti dall’emissione o dal rimborso di prestiti obbligazionari, titoli a reddito fisso, </w:t>
            </w:r>
            <w:r w:rsidRPr="0017721C">
              <w:rPr>
                <w:sz w:val="16"/>
                <w:szCs w:val="16"/>
                <w:lang w:val="it-IT"/>
              </w:rPr>
              <w:tab/>
              <w:t>accensione o restituzione di mutui e altri finanziamenti a breve o lungo termine;</w:t>
            </w:r>
          </w:p>
          <w:p w:rsidR="0017721C" w:rsidRPr="0017721C" w:rsidRDefault="0017721C" w:rsidP="00E55177">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 </w:t>
            </w:r>
            <w:r w:rsidRPr="0017721C">
              <w:rPr>
                <w:sz w:val="16"/>
                <w:szCs w:val="16"/>
                <w:lang w:val="it-IT"/>
              </w:rPr>
              <w:tab/>
              <w:t>incremento o decremento di altri debiti, anche a breve o medio termine, aventi natura finanziaria.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E55177">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E55177">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E55177">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192)</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10.40</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La società presenta distintamente le principali categorie di incassi o pagamenti derivanti dall’attività di finanziamento, distinguendo i flussi finanziari derivanti dal capitale di rischio e dal capitale di debito?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E55177">
            <w:pPr>
              <w:pageBreakBefore/>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E55177">
            <w:pPr>
              <w:pageBreakBefore/>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E55177">
            <w:pPr>
              <w:pageBreakBefore/>
              <w:overflowPunct/>
              <w:autoSpaceDE/>
              <w:autoSpaceDN/>
              <w:adjustRightInd/>
              <w:spacing w:line="240" w:lineRule="exact"/>
              <w:jc w:val="left"/>
              <w:textAlignment w:val="auto"/>
              <w:outlineLvl w:val="1"/>
              <w:rPr>
                <w:b/>
                <w:sz w:val="22"/>
                <w:szCs w:val="22"/>
                <w:lang w:val="it-IT"/>
              </w:rPr>
            </w:pPr>
            <w:r w:rsidRPr="0017721C">
              <w:rPr>
                <w:b/>
                <w:sz w:val="22"/>
                <w:szCs w:val="22"/>
                <w:lang w:val="it-IT"/>
              </w:rPr>
              <w:t>Casi particolari di flussi finanziari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E55177">
            <w:pPr>
              <w:pageBreakBefore/>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E55177">
            <w:pPr>
              <w:pageBreakBefore/>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E55177">
            <w:pPr>
              <w:pageBreakBefore/>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utlineLvl w:val="2"/>
              <w:rPr>
                <w:b/>
                <w:bCs/>
                <w:i/>
              </w:rPr>
            </w:pPr>
            <w:r w:rsidRPr="0017721C">
              <w:rPr>
                <w:b/>
                <w:bCs/>
                <w:i/>
              </w:rPr>
              <w:t>Interessi e dividendi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193)</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10.41</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Gli interessi pagati e incassati sono presentati distintamente tra i flussi finanziari della attività operativa, salvo particolari casi in cui essi si riferiscono direttamente ad investimenti (attività di investimento) o a finanziamenti (attività di finanziamento)?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194)</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10.42</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I dividendi incassati e pagati sono presentati distintamente, rispettivamente, nella attività operativa e nell’attività di finanziamento?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195)</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10.43</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I flussi finanziari degli interessi e dei dividendi sono presentati in modo distinto?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196)</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10.43</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La classificazione dei flussi finanziari di interessi e dividendi è mantenuta costante nel tempo?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widowControl w:val="0"/>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widowControl w:val="0"/>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utlineLvl w:val="2"/>
              <w:rPr>
                <w:b/>
                <w:bCs/>
                <w:i/>
              </w:rPr>
            </w:pPr>
            <w:r w:rsidRPr="0017721C">
              <w:rPr>
                <w:b/>
                <w:bCs/>
                <w:i/>
              </w:rPr>
              <w:t>Imposte sul reddito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widowControl w:val="0"/>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widowControl w:val="0"/>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widowControl w:val="0"/>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keepNext/>
              <w:widowControl w:val="0"/>
              <w:jc w:val="center"/>
              <w:rPr>
                <w:b/>
                <w:lang w:val="it-IT"/>
              </w:rPr>
            </w:pPr>
            <w:r w:rsidRPr="0017721C">
              <w:rPr>
                <w:b/>
                <w:lang w:val="it-IT"/>
              </w:rPr>
              <w:t>197)</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keepNext/>
              <w:widowControl w:val="0"/>
              <w:spacing w:before="40" w:line="240" w:lineRule="auto"/>
              <w:ind w:right="28"/>
              <w:jc w:val="left"/>
              <w:rPr>
                <w:sz w:val="13"/>
                <w:szCs w:val="13"/>
                <w:lang w:val="it-IT"/>
              </w:rPr>
            </w:pPr>
            <w:r w:rsidRPr="0017721C">
              <w:rPr>
                <w:sz w:val="13"/>
                <w:szCs w:val="13"/>
                <w:lang w:val="it-IT"/>
              </w:rPr>
              <w:t>OIC 10.44</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widowControl w:val="0"/>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I flussi finanziari relativi alle imposte sul reddito sono indicati distintamente e classificati nella attività operativa?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keepNext/>
              <w:widowControl w:val="0"/>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keepNext/>
              <w:widowControl w:val="0"/>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keepNext/>
              <w:widowControl w:val="0"/>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utlineLvl w:val="2"/>
              <w:rPr>
                <w:b/>
                <w:bCs/>
                <w:i/>
                <w:lang w:val="it-IT"/>
              </w:rPr>
            </w:pPr>
            <w:r w:rsidRPr="0017721C">
              <w:rPr>
                <w:b/>
                <w:bCs/>
                <w:i/>
                <w:lang w:val="it-IT"/>
              </w:rPr>
              <w:t>Flussi finanziari in valuta estera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198)</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10.45</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I flussi finanziari derivanti da operazioni in valuta estera sono iscritti nel bilancio della società in euro applicando il tasso di cambio al momento in cui avviene il flusso finanziario?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199)</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10.46</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L’utile o la perdita dell’esercizio è stato rettificato per tener conto degli utili o perdite derivanti da variazioni nei cambi in valuta estera non realizzati che non rappresentano flussi finanziari in quanto non hanno natura monetaria?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200)</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10.47</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L’effetto delle variazioni dei cambi sulle disponibilità liquide possedute in valuta estera è presentato in modo distinto rispetto ai flussi finanziari dell’attività operativa, dell’attività di investimento e di finanziamento?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utlineLvl w:val="2"/>
              <w:rPr>
                <w:b/>
                <w:bCs/>
                <w:i/>
              </w:rPr>
            </w:pPr>
            <w:r w:rsidRPr="0017721C">
              <w:rPr>
                <w:b/>
                <w:bCs/>
                <w:i/>
              </w:rPr>
              <w:t>Strumenti derivati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201)</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10.48</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I flussi finanziari derivanti da strumenti finanziari derivati (come definiti nell’OIC 32) sono presentati nel rendiconto finanziario nell’attività di investimento?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202)</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10.49</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Se uno strumento finanziario derivato è designato come uno strumento di copertura, i relativi flussi finanziari sono presentati nella medesima categoria dei flussi finanziari dell’elemento coperto?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203)</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10.49</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I flussi finanziari del derivato di copertura in entrata e in uscita sono evidenziati in modo separato rispetto ai flussi dell’elemento coperto?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utlineLvl w:val="2"/>
              <w:rPr>
                <w:b/>
                <w:bCs/>
                <w:i/>
                <w:lang w:val="it-IT"/>
              </w:rPr>
            </w:pPr>
            <w:r w:rsidRPr="0017721C">
              <w:rPr>
                <w:b/>
                <w:bCs/>
                <w:i/>
                <w:lang w:val="it-IT"/>
              </w:rPr>
              <w:t>Acquisto e cessione rami d’azienda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204)</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10.50</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Il flusso finanziario derivante dal corrispettivo pagato/incassato per l’acquisizione e la cessione di rami d’azienda è presentato distintamente nell’attività di investimento, al netto delle disponibilità liquide acquisite o dismesse come parte dell’operazione?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205)</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10.51</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In caso di acquisizione o cessione di rami d’azienda, la società ha indicato in calce al rendiconto finanziario le seguenti informazioni: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E55177" w:rsidP="00E55177">
            <w:pPr>
              <w:overflowPunct/>
              <w:autoSpaceDE/>
              <w:autoSpaceDN/>
              <w:adjustRightInd/>
              <w:ind w:left="426" w:hanging="283"/>
              <w:textAlignment w:val="auto"/>
              <w:rPr>
                <w:lang w:val="it-IT"/>
              </w:rPr>
            </w:pPr>
            <w:r>
              <w:rPr>
                <w:lang w:val="it-IT"/>
              </w:rPr>
              <w:t>-</w:t>
            </w:r>
            <w:r>
              <w:rPr>
                <w:lang w:val="it-IT"/>
              </w:rPr>
              <w:tab/>
            </w:r>
            <w:r w:rsidR="0017721C" w:rsidRPr="0017721C">
              <w:rPr>
                <w:lang w:val="it-IT"/>
              </w:rPr>
              <w:t>i corrispettivi totali pagati o ricevuti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E55177" w:rsidP="00E55177">
            <w:pPr>
              <w:overflowPunct/>
              <w:autoSpaceDE/>
              <w:autoSpaceDN/>
              <w:adjustRightInd/>
              <w:ind w:left="426" w:hanging="283"/>
              <w:textAlignment w:val="auto"/>
              <w:rPr>
                <w:lang w:val="it-IT"/>
              </w:rPr>
            </w:pPr>
            <w:r>
              <w:rPr>
                <w:lang w:val="it-IT"/>
              </w:rPr>
              <w:t>-</w:t>
            </w:r>
            <w:r>
              <w:rPr>
                <w:lang w:val="it-IT"/>
              </w:rPr>
              <w:tab/>
            </w:r>
            <w:r w:rsidR="0017721C" w:rsidRPr="0017721C">
              <w:rPr>
                <w:lang w:val="it-IT"/>
              </w:rPr>
              <w:t>la parte dei corrispettivi consistente in disponibilità liquide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E55177" w:rsidP="00E55177">
            <w:pPr>
              <w:overflowPunct/>
              <w:autoSpaceDE/>
              <w:autoSpaceDN/>
              <w:adjustRightInd/>
              <w:ind w:left="426" w:hanging="283"/>
              <w:textAlignment w:val="auto"/>
              <w:rPr>
                <w:lang w:val="it-IT"/>
              </w:rPr>
            </w:pPr>
            <w:r>
              <w:rPr>
                <w:lang w:val="it-IT"/>
              </w:rPr>
              <w:t>-</w:t>
            </w:r>
            <w:r>
              <w:rPr>
                <w:lang w:val="it-IT"/>
              </w:rPr>
              <w:tab/>
            </w:r>
            <w:r w:rsidR="0017721C" w:rsidRPr="0017721C">
              <w:rPr>
                <w:lang w:val="it-IT"/>
              </w:rPr>
              <w:t>l’ammontare delle disponibilità liquide acquisito o ceduto con l’operazione di acquisizione/cessione del ramo d’azienda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E55177" w:rsidP="00E55177">
            <w:pPr>
              <w:overflowPunct/>
              <w:autoSpaceDE/>
              <w:autoSpaceDN/>
              <w:adjustRightInd/>
              <w:ind w:left="426" w:hanging="283"/>
              <w:textAlignment w:val="auto"/>
              <w:rPr>
                <w:lang w:val="it-IT"/>
              </w:rPr>
            </w:pPr>
            <w:r>
              <w:rPr>
                <w:lang w:val="it-IT"/>
              </w:rPr>
              <w:t>-</w:t>
            </w:r>
            <w:r>
              <w:rPr>
                <w:lang w:val="it-IT"/>
              </w:rPr>
              <w:tab/>
            </w:r>
            <w:r w:rsidR="0017721C" w:rsidRPr="0017721C">
              <w:rPr>
                <w:lang w:val="it-IT"/>
              </w:rPr>
              <w:t>il valore contabile delle attività/passività acquisite o cedute?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10.52</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Il flusso finanziario relativo all’acquisizione di un ramo d’azienda non può essere compensato con quello relativo alla cessione di un altro ramo d’azienda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Operazioni non monetarie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206)</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10.53</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 xml:space="preserve">Le operazioni di investimento o di finanziamento che non richiedono l’impiego di disponibilità liquide sono state escluse dal rendiconto finanziario?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Lines/>
              <w:pBdr>
                <w:top w:val="single" w:sz="4" w:space="1" w:color="auto"/>
                <w:left w:val="single" w:sz="4" w:space="4" w:color="auto"/>
                <w:bottom w:val="single" w:sz="4" w:space="1" w:color="auto"/>
                <w:right w:val="single" w:sz="4" w:space="4" w:color="auto"/>
              </w:pBdr>
              <w:spacing w:line="180" w:lineRule="exact"/>
              <w:ind w:left="57" w:right="57"/>
              <w:rPr>
                <w:sz w:val="16"/>
                <w:szCs w:val="16"/>
                <w:lang w:val="it-IT"/>
              </w:rPr>
            </w:pPr>
            <w:r w:rsidRPr="0017721C">
              <w:rPr>
                <w:sz w:val="16"/>
                <w:szCs w:val="16"/>
                <w:lang w:val="it-IT"/>
              </w:rPr>
              <w:t xml:space="preserve">Alcuni esempi di operazioni non monetarie sono: </w:t>
            </w:r>
          </w:p>
          <w:p w:rsidR="0017721C" w:rsidRPr="0017721C" w:rsidRDefault="0017721C" w:rsidP="0017721C">
            <w:pPr>
              <w:keepLines/>
              <w:pBdr>
                <w:top w:val="single" w:sz="4" w:space="1" w:color="auto"/>
                <w:left w:val="single" w:sz="4" w:space="4" w:color="auto"/>
                <w:bottom w:val="single" w:sz="4" w:space="1" w:color="auto"/>
                <w:right w:val="single" w:sz="4" w:space="4" w:color="auto"/>
              </w:pBdr>
              <w:spacing w:line="180" w:lineRule="exact"/>
              <w:ind w:left="235" w:right="57" w:hanging="178"/>
              <w:rPr>
                <w:sz w:val="16"/>
                <w:szCs w:val="16"/>
                <w:lang w:val="it-IT"/>
              </w:rPr>
            </w:pPr>
            <w:r w:rsidRPr="0017721C">
              <w:rPr>
                <w:sz w:val="16"/>
                <w:szCs w:val="16"/>
                <w:lang w:val="it-IT"/>
              </w:rPr>
              <w:t>i)</w:t>
            </w:r>
            <w:r w:rsidRPr="0017721C">
              <w:rPr>
                <w:sz w:val="16"/>
                <w:szCs w:val="16"/>
                <w:lang w:val="it-IT"/>
              </w:rPr>
              <w:tab/>
              <w:t xml:space="preserve">lo scambio di partecipazioni; </w:t>
            </w:r>
          </w:p>
          <w:p w:rsidR="0017721C" w:rsidRPr="0017721C" w:rsidRDefault="0017721C" w:rsidP="0017721C">
            <w:pPr>
              <w:keepLines/>
              <w:pBdr>
                <w:top w:val="single" w:sz="4" w:space="1" w:color="auto"/>
                <w:left w:val="single" w:sz="4" w:space="4" w:color="auto"/>
                <w:bottom w:val="single" w:sz="4" w:space="1" w:color="auto"/>
                <w:right w:val="single" w:sz="4" w:space="4" w:color="auto"/>
              </w:pBdr>
              <w:spacing w:line="180" w:lineRule="exact"/>
              <w:ind w:left="235" w:right="57" w:hanging="178"/>
              <w:rPr>
                <w:sz w:val="16"/>
                <w:szCs w:val="16"/>
                <w:lang w:val="it-IT"/>
              </w:rPr>
            </w:pPr>
            <w:r w:rsidRPr="0017721C">
              <w:rPr>
                <w:sz w:val="16"/>
                <w:szCs w:val="16"/>
                <w:lang w:val="it-IT"/>
              </w:rPr>
              <w:t>ii)</w:t>
            </w:r>
            <w:r w:rsidRPr="0017721C">
              <w:rPr>
                <w:sz w:val="16"/>
                <w:szCs w:val="16"/>
                <w:lang w:val="it-IT"/>
              </w:rPr>
              <w:tab/>
              <w:t xml:space="preserve">la conversione di debiti in capitale; </w:t>
            </w:r>
          </w:p>
          <w:p w:rsidR="0017721C" w:rsidRPr="0017721C" w:rsidRDefault="0017721C" w:rsidP="0017721C">
            <w:pPr>
              <w:keepLines/>
              <w:pBdr>
                <w:top w:val="single" w:sz="4" w:space="1" w:color="auto"/>
                <w:left w:val="single" w:sz="4" w:space="4" w:color="auto"/>
                <w:bottom w:val="single" w:sz="4" w:space="1" w:color="auto"/>
                <w:right w:val="single" w:sz="4" w:space="4" w:color="auto"/>
              </w:pBdr>
              <w:spacing w:line="180" w:lineRule="exact"/>
              <w:ind w:left="235" w:right="57" w:hanging="178"/>
              <w:rPr>
                <w:sz w:val="16"/>
                <w:szCs w:val="16"/>
                <w:lang w:val="it-IT"/>
              </w:rPr>
            </w:pPr>
            <w:r w:rsidRPr="0017721C">
              <w:rPr>
                <w:sz w:val="16"/>
                <w:szCs w:val="16"/>
                <w:lang w:val="it-IT"/>
              </w:rPr>
              <w:t>iii)</w:t>
            </w:r>
            <w:r w:rsidRPr="0017721C">
              <w:rPr>
                <w:sz w:val="16"/>
                <w:szCs w:val="16"/>
                <w:lang w:val="it-IT"/>
              </w:rPr>
              <w:tab/>
              <w:t>la permuta di attività.</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Informazioni in calce al rendiconto finanzario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207)</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10.54</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Se rilevanti, la società ha presentato in calce al rendiconto finanziario l’ammontare dei saldi significativi di disponibilità liquide che non sono liberamente utilizzabili dalla società, illustrando le circostanze in base alle quali tali ammontari non sono utilizzabili?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Disposizioni di prima applicazione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208)</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Art.2425-ter CC</w:t>
            </w:r>
          </w:p>
          <w:p w:rsidR="0017721C" w:rsidRPr="0017721C" w:rsidRDefault="0017721C" w:rsidP="0017721C">
            <w:pPr>
              <w:spacing w:before="40" w:line="240" w:lineRule="auto"/>
              <w:ind w:right="28"/>
              <w:jc w:val="left"/>
              <w:rPr>
                <w:sz w:val="13"/>
                <w:szCs w:val="13"/>
                <w:lang w:val="it-IT"/>
              </w:rPr>
            </w:pPr>
            <w:r w:rsidRPr="0017721C">
              <w:rPr>
                <w:sz w:val="13"/>
                <w:szCs w:val="13"/>
                <w:lang w:val="it-IT"/>
              </w:rPr>
              <w:t>OIC 10.56</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Dal rendiconto finanziario risultano, per l’esercizio a cui è riferito il bilancio e per quello precedente, l’ammontare e la composizione delle disponibilità liquide, all’inizio e alla fine dell’esercizio, ed i flussi finanziari dell’esercizio derivanti dall’attività operativa, da quella di investimento, da quella di finanziamento, ivi comprese, le operazioni con soci?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9B6ABC">
            <w:pPr>
              <w:pageBreakBefore/>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9B6ABC">
            <w:pPr>
              <w:pageBreakBefore/>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9B6ABC">
            <w:pPr>
              <w:pageBreakBefore/>
              <w:overflowPunct/>
              <w:autoSpaceDE/>
              <w:autoSpaceDN/>
              <w:adjustRightInd/>
              <w:spacing w:before="0" w:after="0" w:line="240" w:lineRule="exact"/>
              <w:jc w:val="left"/>
              <w:textAlignment w:val="auto"/>
              <w:outlineLvl w:val="0"/>
              <w:rPr>
                <w:b/>
                <w:caps/>
                <w:kern w:val="28"/>
                <w:sz w:val="22"/>
                <w:szCs w:val="22"/>
                <w:lang w:val="it-IT"/>
              </w:rPr>
            </w:pPr>
            <w:r w:rsidRPr="0017721C">
              <w:rPr>
                <w:b/>
                <w:caps/>
                <w:kern w:val="28"/>
                <w:sz w:val="22"/>
                <w:szCs w:val="22"/>
                <w:lang w:val="it-IT"/>
              </w:rPr>
              <w:t>Nota Integrativa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9B6ABC">
            <w:pPr>
              <w:pageBreakBefore/>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9B6ABC">
            <w:pPr>
              <w:pageBreakBefore/>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9B6ABC">
            <w:pPr>
              <w:pageBreakBefore/>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209)</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en-US"/>
              </w:rPr>
            </w:pPr>
            <w:r w:rsidRPr="0017721C">
              <w:rPr>
                <w:sz w:val="13"/>
                <w:szCs w:val="13"/>
                <w:lang w:val="en-US"/>
              </w:rPr>
              <w:t>Art.38,c.1,  D.Lgs 127/91</w:t>
            </w:r>
          </w:p>
          <w:p w:rsidR="0017721C" w:rsidRPr="0017721C" w:rsidRDefault="0017721C" w:rsidP="0017721C">
            <w:pPr>
              <w:spacing w:before="40" w:line="240" w:lineRule="auto"/>
              <w:ind w:right="28"/>
              <w:jc w:val="left"/>
              <w:rPr>
                <w:sz w:val="13"/>
                <w:szCs w:val="13"/>
                <w:lang w:val="en-US"/>
              </w:rPr>
            </w:pPr>
            <w:r w:rsidRPr="0017721C">
              <w:rPr>
                <w:sz w:val="13"/>
                <w:szCs w:val="13"/>
                <w:lang w:val="en-US"/>
              </w:rPr>
              <w:t>OIC 17.129</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216A6">
            <w:pPr>
              <w:spacing w:line="230" w:lineRule="exact"/>
              <w:rPr>
                <w:lang w:val="it-IT"/>
              </w:rPr>
            </w:pPr>
            <w:r w:rsidRPr="0017721C">
              <w:rPr>
                <w:lang w:val="it-IT"/>
              </w:rPr>
              <w:t xml:space="preserve">La </w:t>
            </w:r>
            <w:r w:rsidR="005B7E0D">
              <w:rPr>
                <w:lang w:val="it-IT"/>
              </w:rPr>
              <w:t>Nota Integrativa</w:t>
            </w:r>
            <w:r w:rsidRPr="0017721C">
              <w:rPr>
                <w:lang w:val="it-IT"/>
              </w:rPr>
              <w:t xml:space="preserve"> indica, oltre a quanto indicato per le specifiche voci analizzate nelle sezioni successive: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5F6657" w:rsidRDefault="0017721C" w:rsidP="00A31C3F">
            <w:pPr>
              <w:pStyle w:val="Paragrafoelenco"/>
              <w:numPr>
                <w:ilvl w:val="0"/>
                <w:numId w:val="93"/>
              </w:numPr>
              <w:tabs>
                <w:tab w:val="num" w:pos="392"/>
              </w:tabs>
              <w:overflowPunct/>
              <w:autoSpaceDE/>
              <w:autoSpaceDN/>
              <w:adjustRightInd/>
              <w:spacing w:line="230" w:lineRule="exact"/>
              <w:textAlignment w:val="auto"/>
              <w:rPr>
                <w:lang w:val="it-IT"/>
              </w:rPr>
            </w:pPr>
            <w:r w:rsidRPr="005F6657">
              <w:rPr>
                <w:lang w:val="it-IT"/>
              </w:rPr>
              <w:t>i criteri di valutazione applicati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widowControl w:val="0"/>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widowControl w:val="0"/>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widowControl w:val="0"/>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A questo riguardo, la </w:t>
            </w:r>
            <w:r w:rsidR="005B7E0D">
              <w:rPr>
                <w:sz w:val="16"/>
                <w:szCs w:val="16"/>
                <w:lang w:val="it-IT"/>
              </w:rPr>
              <w:t>Nota Integrativa</w:t>
            </w:r>
            <w:r w:rsidRPr="0017721C">
              <w:rPr>
                <w:sz w:val="16"/>
                <w:szCs w:val="16"/>
                <w:lang w:val="it-IT"/>
              </w:rPr>
              <w:t xml:space="preserve"> deve fornire le informazioni di cui all’articolo 2427, punto 22, del codice civile, relative alle operazioni di locazione finanziaria quando la società contabilizza, anche nel bilancio consolidato, queste tipologie di locazioni con il metodo applicabile ai bilanci d’esercizio.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widowControl w:val="0"/>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widowControl w:val="0"/>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widowControl w:val="0"/>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5F6657" w:rsidRDefault="0017721C" w:rsidP="00A31C3F">
            <w:pPr>
              <w:pStyle w:val="Paragrafoelenco"/>
              <w:numPr>
                <w:ilvl w:val="0"/>
                <w:numId w:val="93"/>
              </w:numPr>
              <w:tabs>
                <w:tab w:val="num" w:pos="392"/>
              </w:tabs>
              <w:overflowPunct/>
              <w:autoSpaceDE/>
              <w:autoSpaceDN/>
              <w:adjustRightInd/>
              <w:spacing w:line="230" w:lineRule="exact"/>
              <w:textAlignment w:val="auto"/>
              <w:rPr>
                <w:lang w:val="it-IT"/>
              </w:rPr>
            </w:pPr>
            <w:r w:rsidRPr="005F6657">
              <w:rPr>
                <w:lang w:val="it-IT"/>
              </w:rPr>
              <w:t>i criteri e i tassi applicati nella conversione dei bilanci espressi in moneta non avente corso legale nello Stato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216A6">
            <w:pPr>
              <w:spacing w:line="230" w:lineRule="exact"/>
              <w:ind w:left="377" w:hanging="377"/>
              <w:rPr>
                <w:lang w:val="it-IT"/>
              </w:rPr>
            </w:pPr>
            <w:r w:rsidRPr="0017721C">
              <w:rPr>
                <w:lang w:val="it-IT"/>
              </w:rPr>
              <w:t>b-</w:t>
            </w:r>
            <w:r w:rsidRPr="0017721C">
              <w:rPr>
                <w:sz w:val="18"/>
                <w:lang w:val="it-IT"/>
              </w:rPr>
              <w:t>bis)</w:t>
            </w:r>
            <w:r w:rsidRPr="0017721C">
              <w:rPr>
                <w:lang w:val="it-IT"/>
              </w:rPr>
              <w:t xml:space="preserve"> i movimenti delle immobilizzazioni, specificando per ciascuna voce: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5F6657" w:rsidP="001216A6">
            <w:pPr>
              <w:overflowPunct/>
              <w:autoSpaceDE/>
              <w:autoSpaceDN/>
              <w:adjustRightInd/>
              <w:spacing w:line="230" w:lineRule="exact"/>
              <w:ind w:left="709" w:hanging="191"/>
              <w:contextualSpacing/>
              <w:textAlignment w:val="auto"/>
              <w:rPr>
                <w:lang w:val="it-IT"/>
              </w:rPr>
            </w:pPr>
            <w:r>
              <w:rPr>
                <w:lang w:val="it-IT"/>
              </w:rPr>
              <w:t>-</w:t>
            </w:r>
            <w:r>
              <w:rPr>
                <w:lang w:val="it-IT"/>
              </w:rPr>
              <w:tab/>
            </w:r>
            <w:r w:rsidR="0017721C" w:rsidRPr="0017721C">
              <w:rPr>
                <w:lang w:val="it-IT"/>
              </w:rPr>
              <w:t>il costo;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5F6657" w:rsidP="001216A6">
            <w:pPr>
              <w:overflowPunct/>
              <w:autoSpaceDE/>
              <w:autoSpaceDN/>
              <w:adjustRightInd/>
              <w:spacing w:line="230" w:lineRule="exact"/>
              <w:ind w:left="709" w:hanging="191"/>
              <w:contextualSpacing/>
              <w:textAlignment w:val="auto"/>
              <w:rPr>
                <w:lang w:val="it-IT"/>
              </w:rPr>
            </w:pPr>
            <w:r>
              <w:rPr>
                <w:lang w:val="it-IT"/>
              </w:rPr>
              <w:t>-</w:t>
            </w:r>
            <w:r>
              <w:rPr>
                <w:lang w:val="it-IT"/>
              </w:rPr>
              <w:tab/>
            </w:r>
            <w:r w:rsidR="0017721C" w:rsidRPr="0017721C">
              <w:rPr>
                <w:lang w:val="it-IT"/>
              </w:rPr>
              <w:t>le precedenti rivalutazioni, ammortamenti e svalutazioni;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5F6657" w:rsidP="001216A6">
            <w:pPr>
              <w:overflowPunct/>
              <w:autoSpaceDE/>
              <w:autoSpaceDN/>
              <w:adjustRightInd/>
              <w:spacing w:line="230" w:lineRule="exact"/>
              <w:ind w:left="709" w:hanging="191"/>
              <w:contextualSpacing/>
              <w:textAlignment w:val="auto"/>
              <w:rPr>
                <w:lang w:val="it-IT"/>
              </w:rPr>
            </w:pPr>
            <w:r>
              <w:rPr>
                <w:lang w:val="it-IT"/>
              </w:rPr>
              <w:t xml:space="preserve">- </w:t>
            </w:r>
            <w:r>
              <w:rPr>
                <w:lang w:val="it-IT"/>
              </w:rPr>
              <w:tab/>
            </w:r>
            <w:r w:rsidR="0017721C" w:rsidRPr="0017721C">
              <w:rPr>
                <w:lang w:val="it-IT"/>
              </w:rPr>
              <w:t xml:space="preserve">le acquisizioni, gli spostamenti da una ad altra voce, le alienazioni avvenuti </w:t>
            </w:r>
            <w:r>
              <w:rPr>
                <w:lang w:val="it-IT"/>
              </w:rPr>
              <w:t xml:space="preserve"> </w:t>
            </w:r>
            <w:r w:rsidR="0017721C" w:rsidRPr="0017721C">
              <w:rPr>
                <w:lang w:val="it-IT"/>
              </w:rPr>
              <w:t>nell'esercizio;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5F6657" w:rsidP="001216A6">
            <w:pPr>
              <w:overflowPunct/>
              <w:autoSpaceDE/>
              <w:autoSpaceDN/>
              <w:adjustRightInd/>
              <w:spacing w:line="230" w:lineRule="exact"/>
              <w:ind w:left="709" w:hanging="191"/>
              <w:contextualSpacing/>
              <w:textAlignment w:val="auto"/>
              <w:rPr>
                <w:lang w:val="it-IT"/>
              </w:rPr>
            </w:pPr>
            <w:r>
              <w:rPr>
                <w:lang w:val="it-IT"/>
              </w:rPr>
              <w:t xml:space="preserve">- </w:t>
            </w:r>
            <w:r>
              <w:rPr>
                <w:lang w:val="it-IT"/>
              </w:rPr>
              <w:tab/>
            </w:r>
            <w:r w:rsidR="0017721C" w:rsidRPr="0017721C">
              <w:rPr>
                <w:lang w:val="it-IT"/>
              </w:rPr>
              <w:t>le rivalutazioni, gli ammortamenti e le svalutazioni effettuati nell'esercizio;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5F6657" w:rsidP="001216A6">
            <w:pPr>
              <w:overflowPunct/>
              <w:autoSpaceDE/>
              <w:autoSpaceDN/>
              <w:adjustRightInd/>
              <w:spacing w:line="230" w:lineRule="exact"/>
              <w:ind w:left="709" w:hanging="191"/>
              <w:contextualSpacing/>
              <w:textAlignment w:val="auto"/>
              <w:rPr>
                <w:lang w:val="it-IT"/>
              </w:rPr>
            </w:pPr>
            <w:r>
              <w:rPr>
                <w:lang w:val="it-IT"/>
              </w:rPr>
              <w:t xml:space="preserve">- </w:t>
            </w:r>
            <w:r>
              <w:rPr>
                <w:lang w:val="it-IT"/>
              </w:rPr>
              <w:tab/>
            </w:r>
            <w:r w:rsidR="0017721C" w:rsidRPr="0017721C">
              <w:rPr>
                <w:lang w:val="it-IT"/>
              </w:rPr>
              <w:t>il totale delle rivalutazioni riguardanti le immobilizzazioni esistenti alla chiusura dell'esercizio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5F6657" w:rsidRDefault="0017721C" w:rsidP="00A31C3F">
            <w:pPr>
              <w:pStyle w:val="Paragrafoelenco"/>
              <w:numPr>
                <w:ilvl w:val="0"/>
                <w:numId w:val="93"/>
              </w:numPr>
              <w:tabs>
                <w:tab w:val="num" w:pos="392"/>
              </w:tabs>
              <w:overflowPunct/>
              <w:autoSpaceDE/>
              <w:autoSpaceDN/>
              <w:adjustRightInd/>
              <w:spacing w:line="230" w:lineRule="exact"/>
              <w:textAlignment w:val="auto"/>
              <w:rPr>
                <w:lang w:val="it-IT"/>
              </w:rPr>
            </w:pPr>
            <w:r w:rsidRPr="005F6657">
              <w:rPr>
                <w:lang w:val="it-IT"/>
              </w:rPr>
              <w:t>le ragioni delle più significative variazioni intervenute nella consistenza delle altre voci dell’attivo e del passivo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5F6657" w:rsidRDefault="0017721C" w:rsidP="00A31C3F">
            <w:pPr>
              <w:pStyle w:val="Paragrafoelenco"/>
              <w:numPr>
                <w:ilvl w:val="0"/>
                <w:numId w:val="93"/>
              </w:numPr>
              <w:tabs>
                <w:tab w:val="num" w:pos="392"/>
              </w:tabs>
              <w:overflowPunct/>
              <w:autoSpaceDE/>
              <w:autoSpaceDN/>
              <w:adjustRightInd/>
              <w:spacing w:line="230" w:lineRule="exact"/>
              <w:textAlignment w:val="auto"/>
              <w:rPr>
                <w:lang w:val="it-IT"/>
              </w:rPr>
            </w:pPr>
            <w:r w:rsidRPr="005F6657">
              <w:rPr>
                <w:lang w:val="it-IT"/>
              </w:rPr>
              <w:t>la composizione delle voci: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5F6657" w:rsidP="001216A6">
            <w:pPr>
              <w:overflowPunct/>
              <w:autoSpaceDE/>
              <w:autoSpaceDN/>
              <w:adjustRightInd/>
              <w:spacing w:line="230" w:lineRule="exact"/>
              <w:ind w:left="567" w:hanging="141"/>
              <w:contextualSpacing/>
              <w:textAlignment w:val="auto"/>
              <w:rPr>
                <w:lang w:val="it-IT"/>
              </w:rPr>
            </w:pPr>
            <w:r>
              <w:rPr>
                <w:lang w:val="it-IT"/>
              </w:rPr>
              <w:t>-</w:t>
            </w:r>
            <w:r>
              <w:rPr>
                <w:lang w:val="it-IT"/>
              </w:rPr>
              <w:tab/>
            </w:r>
            <w:r w:rsidR="0017721C" w:rsidRPr="0017721C">
              <w:rPr>
                <w:lang w:val="it-IT"/>
              </w:rPr>
              <w:t>costi di impianto e ampliamento” 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5F6657" w:rsidP="001216A6">
            <w:pPr>
              <w:overflowPunct/>
              <w:autoSpaceDE/>
              <w:autoSpaceDN/>
              <w:adjustRightInd/>
              <w:spacing w:line="230" w:lineRule="exact"/>
              <w:ind w:left="567" w:hanging="141"/>
              <w:contextualSpacing/>
              <w:textAlignment w:val="auto"/>
              <w:rPr>
                <w:lang w:val="it-IT"/>
              </w:rPr>
            </w:pPr>
            <w:r>
              <w:rPr>
                <w:lang w:val="it-IT"/>
              </w:rPr>
              <w:t>-</w:t>
            </w:r>
            <w:r>
              <w:rPr>
                <w:lang w:val="it-IT"/>
              </w:rPr>
              <w:tab/>
            </w:r>
            <w:r w:rsidR="0017721C" w:rsidRPr="0017721C">
              <w:rPr>
                <w:lang w:val="it-IT"/>
              </w:rPr>
              <w:t>costi di sviluppo”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5F6657" w:rsidRDefault="0017721C" w:rsidP="00A31C3F">
            <w:pPr>
              <w:pStyle w:val="Paragrafoelenco"/>
              <w:numPr>
                <w:ilvl w:val="0"/>
                <w:numId w:val="93"/>
              </w:numPr>
              <w:tabs>
                <w:tab w:val="num" w:pos="392"/>
              </w:tabs>
              <w:overflowPunct/>
              <w:autoSpaceDE/>
              <w:autoSpaceDN/>
              <w:adjustRightInd/>
              <w:spacing w:line="230" w:lineRule="exact"/>
              <w:textAlignment w:val="auto"/>
              <w:rPr>
                <w:lang w:val="it-IT"/>
              </w:rPr>
            </w:pPr>
            <w:r w:rsidRPr="005F6657">
              <w:rPr>
                <w:lang w:val="it-IT"/>
              </w:rPr>
              <w:t>distintamente per ciascuna voce: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5F6657" w:rsidP="001216A6">
            <w:pPr>
              <w:overflowPunct/>
              <w:autoSpaceDE/>
              <w:autoSpaceDN/>
              <w:adjustRightInd/>
              <w:spacing w:line="230" w:lineRule="exact"/>
              <w:ind w:left="567" w:hanging="141"/>
              <w:contextualSpacing/>
              <w:textAlignment w:val="auto"/>
              <w:rPr>
                <w:lang w:val="it-IT"/>
              </w:rPr>
            </w:pPr>
            <w:r>
              <w:rPr>
                <w:lang w:val="it-IT"/>
              </w:rPr>
              <w:t>-</w:t>
            </w:r>
            <w:r>
              <w:rPr>
                <w:lang w:val="it-IT"/>
              </w:rPr>
              <w:tab/>
            </w:r>
            <w:r w:rsidR="0017721C" w:rsidRPr="0017721C">
              <w:rPr>
                <w:lang w:val="it-IT"/>
              </w:rPr>
              <w:t>l’ammontare dei crediti e dei debiti di durata residua superiore a cinque anni, 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5F6657" w:rsidP="001216A6">
            <w:pPr>
              <w:overflowPunct/>
              <w:autoSpaceDE/>
              <w:autoSpaceDN/>
              <w:adjustRightInd/>
              <w:spacing w:line="230" w:lineRule="exact"/>
              <w:ind w:left="567" w:hanging="141"/>
              <w:contextualSpacing/>
              <w:textAlignment w:val="auto"/>
              <w:rPr>
                <w:lang w:val="it-IT"/>
              </w:rPr>
            </w:pPr>
            <w:r>
              <w:rPr>
                <w:lang w:val="it-IT"/>
              </w:rPr>
              <w:t>-</w:t>
            </w:r>
            <w:r>
              <w:rPr>
                <w:lang w:val="it-IT"/>
              </w:rPr>
              <w:tab/>
            </w:r>
            <w:r w:rsidR="0017721C" w:rsidRPr="0017721C">
              <w:rPr>
                <w:lang w:val="it-IT"/>
              </w:rPr>
              <w:t>dei debiti assistiti da garanzie reali su beni di imprese incluse nel consolidamento, con specifica indicazione della natura delle garanzie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5F6657" w:rsidRDefault="0017721C" w:rsidP="00A31C3F">
            <w:pPr>
              <w:pStyle w:val="Paragrafoelenco"/>
              <w:numPr>
                <w:ilvl w:val="0"/>
                <w:numId w:val="93"/>
              </w:numPr>
              <w:tabs>
                <w:tab w:val="num" w:pos="392"/>
              </w:tabs>
              <w:overflowPunct/>
              <w:autoSpaceDE/>
              <w:autoSpaceDN/>
              <w:adjustRightInd/>
              <w:spacing w:line="230" w:lineRule="exact"/>
              <w:textAlignment w:val="auto"/>
              <w:rPr>
                <w:lang w:val="it-IT"/>
              </w:rPr>
            </w:pPr>
            <w:r w:rsidRPr="005F6657">
              <w:rPr>
                <w:lang w:val="it-IT"/>
              </w:rPr>
              <w:t xml:space="preserve">la composizione delle voci: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5F6657" w:rsidP="001216A6">
            <w:pPr>
              <w:overflowPunct/>
              <w:autoSpaceDE/>
              <w:autoSpaceDN/>
              <w:adjustRightInd/>
              <w:spacing w:line="230" w:lineRule="exact"/>
              <w:ind w:left="567" w:hanging="141"/>
              <w:contextualSpacing/>
              <w:textAlignment w:val="auto"/>
              <w:rPr>
                <w:lang w:val="it-IT"/>
              </w:rPr>
            </w:pPr>
            <w:r>
              <w:rPr>
                <w:lang w:val="it-IT"/>
              </w:rPr>
              <w:t>-</w:t>
            </w:r>
            <w:r>
              <w:rPr>
                <w:lang w:val="it-IT"/>
              </w:rPr>
              <w:tab/>
            </w:r>
            <w:r w:rsidR="0017721C" w:rsidRPr="0017721C">
              <w:rPr>
                <w:lang w:val="it-IT"/>
              </w:rPr>
              <w:t xml:space="preserve">ratei e risconti, e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5F6657" w:rsidP="001216A6">
            <w:pPr>
              <w:overflowPunct/>
              <w:autoSpaceDE/>
              <w:autoSpaceDN/>
              <w:adjustRightInd/>
              <w:spacing w:line="230" w:lineRule="exact"/>
              <w:ind w:left="567" w:hanging="141"/>
              <w:contextualSpacing/>
              <w:textAlignment w:val="auto"/>
              <w:rPr>
                <w:lang w:val="it-IT"/>
              </w:rPr>
            </w:pPr>
            <w:r>
              <w:rPr>
                <w:lang w:val="it-IT"/>
              </w:rPr>
              <w:t>-</w:t>
            </w:r>
            <w:r>
              <w:rPr>
                <w:lang w:val="it-IT"/>
              </w:rPr>
              <w:tab/>
            </w:r>
            <w:r w:rsidR="0017721C" w:rsidRPr="0017721C">
              <w:rPr>
                <w:lang w:val="it-IT"/>
              </w:rPr>
              <w:t>della voce “altri accantonamenti” dello stato patrimoniale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5F6657" w:rsidRDefault="0017721C" w:rsidP="00A31C3F">
            <w:pPr>
              <w:pStyle w:val="Paragrafoelenco"/>
              <w:numPr>
                <w:ilvl w:val="0"/>
                <w:numId w:val="93"/>
              </w:numPr>
              <w:tabs>
                <w:tab w:val="num" w:pos="392"/>
              </w:tabs>
              <w:overflowPunct/>
              <w:autoSpaceDE/>
              <w:autoSpaceDN/>
              <w:adjustRightInd/>
              <w:spacing w:line="230" w:lineRule="exact"/>
              <w:textAlignment w:val="auto"/>
              <w:rPr>
                <w:lang w:val="it-IT"/>
              </w:rPr>
            </w:pPr>
            <w:r w:rsidRPr="005F6657">
              <w:rPr>
                <w:lang w:val="it-IT"/>
              </w:rPr>
              <w:t>l’ammontare degli oneri finanziari imputati nell’esercizio ai valori iscritti nell’attivo dello stato patrimoniale, distintamente per ciascuna voce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5F6657" w:rsidRDefault="0017721C" w:rsidP="00A31C3F">
            <w:pPr>
              <w:pStyle w:val="Paragrafoelenco"/>
              <w:numPr>
                <w:ilvl w:val="0"/>
                <w:numId w:val="93"/>
              </w:numPr>
              <w:tabs>
                <w:tab w:val="left" w:pos="709"/>
              </w:tabs>
              <w:overflowPunct/>
              <w:autoSpaceDE/>
              <w:autoSpaceDN/>
              <w:adjustRightInd/>
              <w:spacing w:line="230" w:lineRule="exact"/>
              <w:textAlignment w:val="auto"/>
              <w:rPr>
                <w:lang w:val="it-IT"/>
              </w:rPr>
            </w:pPr>
            <w:r w:rsidRPr="005F6657">
              <w:rPr>
                <w:lang w:val="it-IT"/>
              </w:rPr>
              <w:t xml:space="preserve">- </w:t>
            </w:r>
            <w:r w:rsidRPr="005F6657">
              <w:rPr>
                <w:lang w:val="it-IT"/>
              </w:rPr>
              <w:tab/>
              <w:t xml:space="preserve">l'importo complessivo degli impegni, delle garanzie e delle passività potenziali non </w:t>
            </w:r>
            <w:r w:rsidRPr="005F6657">
              <w:rPr>
                <w:lang w:val="it-IT"/>
              </w:rPr>
              <w:tab/>
              <w:t xml:space="preserve">risultanti dallo stato patrimoniale;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5F6657" w:rsidP="001216A6">
            <w:pPr>
              <w:overflowPunct/>
              <w:autoSpaceDE/>
              <w:autoSpaceDN/>
              <w:adjustRightInd/>
              <w:spacing w:line="230" w:lineRule="exact"/>
              <w:ind w:left="709" w:hanging="283"/>
              <w:contextualSpacing/>
              <w:textAlignment w:val="auto"/>
              <w:rPr>
                <w:lang w:val="it-IT"/>
              </w:rPr>
            </w:pPr>
            <w:r>
              <w:rPr>
                <w:lang w:val="it-IT"/>
              </w:rPr>
              <w:t>-</w:t>
            </w:r>
            <w:r>
              <w:rPr>
                <w:lang w:val="it-IT"/>
              </w:rPr>
              <w:tab/>
            </w:r>
            <w:r w:rsidR="0017721C" w:rsidRPr="0017721C">
              <w:rPr>
                <w:lang w:val="it-IT"/>
              </w:rPr>
              <w:t>l’indicazione della natura delle garanzie reali prestate;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5F6657" w:rsidP="001216A6">
            <w:pPr>
              <w:tabs>
                <w:tab w:val="left" w:pos="335"/>
              </w:tabs>
              <w:overflowPunct/>
              <w:autoSpaceDE/>
              <w:autoSpaceDN/>
              <w:adjustRightInd/>
              <w:spacing w:line="230" w:lineRule="exact"/>
              <w:ind w:left="709" w:hanging="283"/>
              <w:contextualSpacing/>
              <w:textAlignment w:val="auto"/>
              <w:rPr>
                <w:lang w:val="it-IT"/>
              </w:rPr>
            </w:pPr>
            <w:r>
              <w:rPr>
                <w:lang w:val="it-IT"/>
              </w:rPr>
              <w:t>-</w:t>
            </w:r>
            <w:r>
              <w:rPr>
                <w:lang w:val="it-IT"/>
              </w:rPr>
              <w:tab/>
            </w:r>
            <w:r w:rsidR="0017721C" w:rsidRPr="0017721C">
              <w:rPr>
                <w:lang w:val="it-IT"/>
              </w:rPr>
              <w:t>gli impegni esistenti in materia di trattamento di quiescenza e simili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5F6657" w:rsidRDefault="0017721C" w:rsidP="00A31C3F">
            <w:pPr>
              <w:pStyle w:val="Paragrafoelenco"/>
              <w:numPr>
                <w:ilvl w:val="0"/>
                <w:numId w:val="93"/>
              </w:numPr>
              <w:tabs>
                <w:tab w:val="num" w:pos="392"/>
              </w:tabs>
              <w:overflowPunct/>
              <w:autoSpaceDE/>
              <w:autoSpaceDN/>
              <w:adjustRightInd/>
              <w:spacing w:line="230" w:lineRule="exact"/>
              <w:textAlignment w:val="auto"/>
              <w:rPr>
                <w:lang w:val="it-IT"/>
              </w:rPr>
            </w:pPr>
            <w:r w:rsidRPr="005F6657">
              <w:rPr>
                <w:lang w:val="it-IT"/>
              </w:rPr>
              <w:t xml:space="preserve">la suddivisione dei ricavi delle vendite e delle prestazioni: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5F6657" w:rsidP="001216A6">
            <w:pPr>
              <w:overflowPunct/>
              <w:autoSpaceDE/>
              <w:autoSpaceDN/>
              <w:adjustRightInd/>
              <w:spacing w:line="230" w:lineRule="exact"/>
              <w:ind w:left="567" w:hanging="141"/>
              <w:contextualSpacing/>
              <w:textAlignment w:val="auto"/>
              <w:rPr>
                <w:lang w:val="it-IT"/>
              </w:rPr>
            </w:pPr>
            <w:r>
              <w:rPr>
                <w:lang w:val="it-IT"/>
              </w:rPr>
              <w:t>-</w:t>
            </w:r>
            <w:r>
              <w:rPr>
                <w:lang w:val="it-IT"/>
              </w:rPr>
              <w:tab/>
            </w:r>
            <w:r w:rsidR="0017721C" w:rsidRPr="0017721C">
              <w:rPr>
                <w:lang w:val="it-IT"/>
              </w:rPr>
              <w:t>secondo categorie di attività 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5F6657" w:rsidP="001216A6">
            <w:pPr>
              <w:overflowPunct/>
              <w:autoSpaceDE/>
              <w:autoSpaceDN/>
              <w:adjustRightInd/>
              <w:spacing w:line="230" w:lineRule="exact"/>
              <w:ind w:left="567" w:hanging="141"/>
              <w:contextualSpacing/>
              <w:textAlignment w:val="auto"/>
              <w:rPr>
                <w:lang w:val="it-IT"/>
              </w:rPr>
            </w:pPr>
            <w:r>
              <w:rPr>
                <w:lang w:val="it-IT"/>
              </w:rPr>
              <w:t>-</w:t>
            </w:r>
            <w:r>
              <w:rPr>
                <w:lang w:val="it-IT"/>
              </w:rPr>
              <w:tab/>
            </w:r>
            <w:r w:rsidR="0017721C" w:rsidRPr="0017721C">
              <w:rPr>
                <w:lang w:val="it-IT"/>
              </w:rPr>
              <w:t>secondo aree geografiche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216A6">
            <w:pPr>
              <w:overflowPunct/>
              <w:autoSpaceDE/>
              <w:autoSpaceDN/>
              <w:adjustRightInd/>
              <w:spacing w:line="230" w:lineRule="exact"/>
              <w:ind w:left="392" w:hanging="360"/>
              <w:textAlignment w:val="auto"/>
              <w:rPr>
                <w:lang w:val="it-IT"/>
              </w:rPr>
            </w:pPr>
            <w:r w:rsidRPr="0017721C">
              <w:rPr>
                <w:lang w:val="it-IT"/>
              </w:rPr>
              <w:t>l)</w:t>
            </w:r>
            <w:r w:rsidRPr="0017721C">
              <w:rPr>
                <w:lang w:val="it-IT"/>
              </w:rPr>
              <w:tab/>
              <w:t>la suddivisione degli interessi e degli altri oneri finanziari tra prestiti obbligazionari, debiti verso banche e altri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216A6">
            <w:pPr>
              <w:overflowPunct/>
              <w:autoSpaceDE/>
              <w:autoSpaceDN/>
              <w:adjustRightInd/>
              <w:spacing w:line="230" w:lineRule="exact"/>
              <w:ind w:left="392" w:hanging="360"/>
              <w:textAlignment w:val="auto"/>
              <w:rPr>
                <w:lang w:val="it-IT"/>
              </w:rPr>
            </w:pPr>
            <w:r w:rsidRPr="0017721C">
              <w:rPr>
                <w:lang w:val="it-IT"/>
              </w:rPr>
              <w:t>m)</w:t>
            </w:r>
            <w:r w:rsidRPr="0017721C">
              <w:rPr>
                <w:lang w:val="it-IT"/>
              </w:rPr>
              <w:tab/>
              <w:t>l'importo e la natura dei singoli elementi di ricavo o di costo di entità o incidenza eccezionali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216A6">
            <w:pPr>
              <w:overflowPunct/>
              <w:autoSpaceDE/>
              <w:autoSpaceDN/>
              <w:adjustRightInd/>
              <w:spacing w:line="230" w:lineRule="exact"/>
              <w:ind w:left="392" w:hanging="360"/>
              <w:textAlignment w:val="auto"/>
              <w:rPr>
                <w:lang w:val="it-IT"/>
              </w:rPr>
            </w:pPr>
            <w:r w:rsidRPr="0017721C">
              <w:rPr>
                <w:lang w:val="it-IT"/>
              </w:rPr>
              <w:t xml:space="preserve">n) </w:t>
            </w:r>
            <w:r w:rsidRPr="0017721C">
              <w:rPr>
                <w:lang w:val="it-IT"/>
              </w:rPr>
              <w:tab/>
              <w:t>il numero medio, suddiviso per categorie, dei dipendenti delle imprese incluse nel consolidamento, con separata indicazione di quello relativo alle imprese incluse ai sensi dell’articolo 37 del D.lgs. 127/91</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216A6">
            <w:pPr>
              <w:overflowPunct/>
              <w:autoSpaceDE/>
              <w:autoSpaceDN/>
              <w:adjustRightInd/>
              <w:spacing w:line="230" w:lineRule="exact"/>
              <w:ind w:left="392" w:hanging="360"/>
              <w:textAlignment w:val="auto"/>
              <w:rPr>
                <w:lang w:val="it-IT"/>
              </w:rPr>
            </w:pPr>
            <w:r w:rsidRPr="0017721C">
              <w:rPr>
                <w:lang w:val="it-IT"/>
              </w:rPr>
              <w:t xml:space="preserve">o) </w:t>
            </w:r>
            <w:r w:rsidRPr="0017721C">
              <w:rPr>
                <w:lang w:val="it-IT"/>
              </w:rPr>
              <w:tab/>
              <w:t xml:space="preserve">cumulativamente per ciascuna categoria: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1216A6">
            <w:pPr>
              <w:overflowPunct/>
              <w:autoSpaceDE/>
              <w:autoSpaceDN/>
              <w:adjustRightInd/>
              <w:spacing w:line="230" w:lineRule="exact"/>
              <w:ind w:left="567" w:hanging="141"/>
              <w:contextualSpacing/>
              <w:textAlignment w:val="auto"/>
              <w:rPr>
                <w:lang w:val="it-IT"/>
              </w:rPr>
            </w:pPr>
            <w:r>
              <w:rPr>
                <w:lang w:val="it-IT"/>
              </w:rPr>
              <w:t>-</w:t>
            </w:r>
            <w:r>
              <w:rPr>
                <w:lang w:val="it-IT"/>
              </w:rPr>
              <w:tab/>
            </w:r>
            <w:r w:rsidR="0017721C" w:rsidRPr="0017721C">
              <w:rPr>
                <w:lang w:val="it-IT"/>
              </w:rPr>
              <w:t>l'ammontare dei compensi, delle anticipazioni e dei crediti concessi agli amministratori e ai sindaci dell'impresa controllante per lo svolgimento di tali funzioni anche in altre imprese incluse nel consolidamento,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1216A6">
            <w:pPr>
              <w:overflowPunct/>
              <w:autoSpaceDE/>
              <w:autoSpaceDN/>
              <w:adjustRightInd/>
              <w:spacing w:line="230" w:lineRule="exact"/>
              <w:ind w:left="567" w:hanging="141"/>
              <w:contextualSpacing/>
              <w:textAlignment w:val="auto"/>
              <w:rPr>
                <w:lang w:val="it-IT"/>
              </w:rPr>
            </w:pPr>
            <w:r>
              <w:rPr>
                <w:lang w:val="it-IT"/>
              </w:rPr>
              <w:t>-</w:t>
            </w:r>
            <w:r>
              <w:rPr>
                <w:lang w:val="it-IT"/>
              </w:rPr>
              <w:tab/>
            </w:r>
            <w:r w:rsidR="0017721C" w:rsidRPr="0017721C">
              <w:rPr>
                <w:lang w:val="it-IT"/>
              </w:rPr>
              <w:t>precisando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1216A6">
            <w:pPr>
              <w:overflowPunct/>
              <w:autoSpaceDE/>
              <w:autoSpaceDN/>
              <w:adjustRightInd/>
              <w:spacing w:line="230" w:lineRule="exact"/>
              <w:ind w:left="851" w:hanging="283"/>
              <w:contextualSpacing/>
              <w:textAlignment w:val="auto"/>
              <w:rPr>
                <w:lang w:val="it-IT"/>
              </w:rPr>
            </w:pPr>
            <w:r>
              <w:rPr>
                <w:lang w:val="it-IT"/>
              </w:rPr>
              <w:t>i)</w:t>
            </w:r>
            <w:r>
              <w:rPr>
                <w:lang w:val="it-IT"/>
              </w:rPr>
              <w:tab/>
            </w:r>
            <w:r w:rsidR="0017721C" w:rsidRPr="0017721C">
              <w:rPr>
                <w:lang w:val="it-IT"/>
              </w:rPr>
              <w:t>il tasso d'interesse,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1216A6">
            <w:pPr>
              <w:overflowPunct/>
              <w:autoSpaceDE/>
              <w:autoSpaceDN/>
              <w:adjustRightInd/>
              <w:spacing w:line="230" w:lineRule="exact"/>
              <w:ind w:left="851" w:hanging="283"/>
              <w:contextualSpacing/>
              <w:textAlignment w:val="auto"/>
              <w:rPr>
                <w:lang w:val="it-IT"/>
              </w:rPr>
            </w:pPr>
            <w:r>
              <w:rPr>
                <w:lang w:val="it-IT"/>
              </w:rPr>
              <w:t>ii)</w:t>
            </w:r>
            <w:r>
              <w:rPr>
                <w:lang w:val="it-IT"/>
              </w:rPr>
              <w:tab/>
            </w:r>
            <w:r w:rsidR="0017721C" w:rsidRPr="0017721C">
              <w:rPr>
                <w:lang w:val="it-IT"/>
              </w:rPr>
              <w:t>le principali condizioni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1216A6">
            <w:pPr>
              <w:overflowPunct/>
              <w:autoSpaceDE/>
              <w:autoSpaceDN/>
              <w:adjustRightInd/>
              <w:spacing w:line="230" w:lineRule="exact"/>
              <w:ind w:left="851" w:hanging="283"/>
              <w:contextualSpacing/>
              <w:textAlignment w:val="auto"/>
              <w:rPr>
                <w:lang w:val="it-IT"/>
              </w:rPr>
            </w:pPr>
            <w:r>
              <w:rPr>
                <w:lang w:val="it-IT"/>
              </w:rPr>
              <w:t>iii)</w:t>
            </w:r>
            <w:r>
              <w:rPr>
                <w:lang w:val="it-IT"/>
              </w:rPr>
              <w:tab/>
            </w:r>
            <w:r w:rsidR="0017721C" w:rsidRPr="0017721C">
              <w:rPr>
                <w:lang w:val="it-IT"/>
              </w:rPr>
              <w:t>gli importi eventualmente rimborsati, cancellati o oggetto di rinuncia, nonchè</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1216A6">
            <w:pPr>
              <w:overflowPunct/>
              <w:autoSpaceDE/>
              <w:autoSpaceDN/>
              <w:adjustRightInd/>
              <w:spacing w:line="230" w:lineRule="exact"/>
              <w:ind w:left="851" w:hanging="283"/>
              <w:contextualSpacing/>
              <w:textAlignment w:val="auto"/>
              <w:rPr>
                <w:lang w:val="it-IT"/>
              </w:rPr>
            </w:pPr>
            <w:r>
              <w:rPr>
                <w:lang w:val="it-IT"/>
              </w:rPr>
              <w:t>iv)</w:t>
            </w:r>
            <w:r>
              <w:rPr>
                <w:lang w:val="it-IT"/>
              </w:rPr>
              <w:tab/>
            </w:r>
            <w:r w:rsidR="0017721C" w:rsidRPr="0017721C">
              <w:rPr>
                <w:lang w:val="it-IT"/>
              </w:rPr>
              <w:t>gli impegni assunti per loro conto per effetto di garanzie di qualsiasi tipo prestate, precisando il totale per ciascuna categoria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216A6">
            <w:pPr>
              <w:pageBreakBefore/>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216A6">
            <w:pPr>
              <w:pageBreakBefore/>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216A6">
            <w:pPr>
              <w:pageBreakBefore/>
              <w:overflowPunct/>
              <w:autoSpaceDE/>
              <w:autoSpaceDN/>
              <w:adjustRightInd/>
              <w:spacing w:line="230" w:lineRule="exact"/>
              <w:ind w:left="392" w:hanging="360"/>
              <w:textAlignment w:val="auto"/>
              <w:rPr>
                <w:lang w:val="it-IT"/>
              </w:rPr>
            </w:pPr>
            <w:r w:rsidRPr="0017721C">
              <w:rPr>
                <w:lang w:val="it-IT"/>
              </w:rPr>
              <w:t>o-</w:t>
            </w:r>
            <w:r w:rsidRPr="0017721C">
              <w:rPr>
                <w:sz w:val="18"/>
                <w:lang w:val="it-IT"/>
              </w:rPr>
              <w:t>ter</w:t>
            </w:r>
            <w:r w:rsidRPr="0017721C">
              <w:rPr>
                <w:lang w:val="it-IT"/>
              </w:rPr>
              <w:t>) per ciascuna categoria di strumenti finanziari derivati: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216A6">
            <w:pPr>
              <w:pageBreakBefore/>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216A6">
            <w:pPr>
              <w:pageBreakBefore/>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216A6">
            <w:pPr>
              <w:pageBreakBefore/>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216A6">
            <w:pPr>
              <w:spacing w:line="230" w:lineRule="exact"/>
              <w:ind w:left="802" w:hanging="284"/>
            </w:pPr>
            <w:r w:rsidRPr="001216A6">
              <w:rPr>
                <w:sz w:val="18"/>
              </w:rPr>
              <w:t>1)</w:t>
            </w:r>
            <w:r w:rsidRPr="0017721C">
              <w:t xml:space="preserve"> </w:t>
            </w:r>
            <w:r w:rsidRPr="0017721C">
              <w:tab/>
              <w:t>il loro fair value;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ind w:left="802" w:hanging="284"/>
              <w:rPr>
                <w:lang w:val="it-IT"/>
              </w:rPr>
            </w:pPr>
            <w:r w:rsidRPr="001216A6">
              <w:rPr>
                <w:sz w:val="18"/>
                <w:lang w:val="it-IT"/>
              </w:rPr>
              <w:t>2)</w:t>
            </w:r>
            <w:r w:rsidRPr="0017721C">
              <w:rPr>
                <w:lang w:val="it-IT"/>
              </w:rPr>
              <w:tab/>
              <w:t>informazioni sulla loro entità e sulla loro natura, compresi i termini e le condizioni significative che possono  influenzare l'importo, le scadenze e la certezza dei flussi finanziari futuri;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ind w:left="802" w:hanging="284"/>
              <w:rPr>
                <w:lang w:val="it-IT"/>
              </w:rPr>
            </w:pPr>
            <w:r w:rsidRPr="001216A6">
              <w:rPr>
                <w:sz w:val="18"/>
                <w:lang w:val="it-IT"/>
              </w:rPr>
              <w:t>2</w:t>
            </w:r>
            <w:r w:rsidRPr="0017721C">
              <w:rPr>
                <w:lang w:val="it-IT"/>
              </w:rPr>
              <w:t>-</w:t>
            </w:r>
            <w:r w:rsidRPr="0017721C">
              <w:rPr>
                <w:sz w:val="18"/>
                <w:lang w:val="it-IT"/>
              </w:rPr>
              <w:t>bis</w:t>
            </w:r>
            <w:r w:rsidRPr="0017721C">
              <w:rPr>
                <w:lang w:val="it-IT"/>
              </w:rPr>
              <w:t>) gli assunti fondamentali su cui si basano i modelli e le tecniche di valutazione, qualora il fair value non sia stato determinato sulla base di evidenze di mercato;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ind w:left="802" w:hanging="284"/>
              <w:rPr>
                <w:lang w:val="it-IT"/>
              </w:rPr>
            </w:pPr>
            <w:r w:rsidRPr="001216A6">
              <w:rPr>
                <w:sz w:val="18"/>
                <w:lang w:val="it-IT"/>
              </w:rPr>
              <w:t>2</w:t>
            </w:r>
            <w:r w:rsidRPr="0017721C">
              <w:rPr>
                <w:lang w:val="it-IT"/>
              </w:rPr>
              <w:t>-</w:t>
            </w:r>
            <w:r w:rsidRPr="0017721C">
              <w:rPr>
                <w:sz w:val="18"/>
                <w:lang w:val="it-IT"/>
              </w:rPr>
              <w:t>ter</w:t>
            </w:r>
            <w:r w:rsidRPr="0017721C">
              <w:rPr>
                <w:lang w:val="it-IT"/>
              </w:rPr>
              <w:t>) le variazioni di valore iscritte direttamente nel conto economico, nonché quelle imputate alle riserve di patrimonio netto;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ind w:left="802" w:hanging="284"/>
              <w:rPr>
                <w:lang w:val="it-IT"/>
              </w:rPr>
            </w:pPr>
            <w:r w:rsidRPr="001216A6">
              <w:rPr>
                <w:sz w:val="18"/>
                <w:lang w:val="it-IT"/>
              </w:rPr>
              <w:t>2</w:t>
            </w:r>
            <w:r w:rsidRPr="0017721C">
              <w:rPr>
                <w:lang w:val="it-IT"/>
              </w:rPr>
              <w:t>-</w:t>
            </w:r>
            <w:r w:rsidRPr="0017721C">
              <w:rPr>
                <w:sz w:val="18"/>
                <w:lang w:val="it-IT"/>
              </w:rPr>
              <w:t>quater</w:t>
            </w:r>
            <w:r w:rsidRPr="0017721C">
              <w:rPr>
                <w:lang w:val="it-IT"/>
              </w:rPr>
              <w:t>) una tabella che indichi i movimenti delle riserve di fair value avvenuti nell'esercizio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ind w:left="660" w:hanging="660"/>
              <w:rPr>
                <w:lang w:val="it-IT"/>
              </w:rPr>
            </w:pPr>
            <w:r w:rsidRPr="0017721C">
              <w:rPr>
                <w:lang w:val="it-IT"/>
              </w:rPr>
              <w:t>o-</w:t>
            </w:r>
            <w:r w:rsidRPr="0017721C">
              <w:rPr>
                <w:sz w:val="18"/>
                <w:lang w:val="it-IT"/>
              </w:rPr>
              <w:t>quater</w:t>
            </w:r>
            <w:r w:rsidRPr="0017721C">
              <w:rPr>
                <w:lang w:val="it-IT"/>
              </w:rPr>
              <w:t>) per le immobilizzazioni finanziarie iscritte a un valore superiore al loro fair value, con esclusione delle partecipazioni in società controllate e collegate ai sensi dell’articolo 2359 del codice civile e delle partecipazioni in joint venture: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ind w:left="802" w:hanging="284"/>
              <w:rPr>
                <w:lang w:val="it-IT"/>
              </w:rPr>
            </w:pPr>
            <w:r w:rsidRPr="001216A6">
              <w:rPr>
                <w:sz w:val="18"/>
                <w:lang w:val="it-IT"/>
              </w:rPr>
              <w:t>1</w:t>
            </w:r>
            <w:r w:rsidRPr="0017721C">
              <w:rPr>
                <w:lang w:val="it-IT"/>
              </w:rPr>
              <w:t>) il valore contabile e il fair value delle singole attività, o di appropriati raggruppamenti di tali attività;</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ind w:left="802" w:hanging="284"/>
              <w:rPr>
                <w:lang w:val="it-IT"/>
              </w:rPr>
            </w:pPr>
            <w:r w:rsidRPr="001216A6">
              <w:rPr>
                <w:sz w:val="18"/>
                <w:lang w:val="it-IT"/>
              </w:rPr>
              <w:t>2</w:t>
            </w:r>
            <w:r w:rsidRPr="0017721C">
              <w:rPr>
                <w:lang w:val="it-IT"/>
              </w:rPr>
              <w:t>)</w:t>
            </w:r>
            <w:r w:rsidRPr="0017721C">
              <w:rPr>
                <w:lang w:val="it-IT"/>
              </w:rPr>
              <w:tab/>
              <w:t>i motivi per i quali il valore contabile non è stato ridotto, inclusa la natura degli elementi sostanziali sui quali si basa il convincimento che tale valore possa essere recuperato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ind w:left="944" w:hanging="944"/>
              <w:rPr>
                <w:lang w:val="it-IT"/>
              </w:rPr>
            </w:pPr>
            <w:r w:rsidRPr="0017721C">
              <w:rPr>
                <w:lang w:val="it-IT"/>
              </w:rPr>
              <w:t>o-</w:t>
            </w:r>
            <w:r w:rsidRPr="0017721C">
              <w:rPr>
                <w:sz w:val="18"/>
                <w:lang w:val="it-IT"/>
              </w:rPr>
              <w:t>quinquies</w:t>
            </w:r>
            <w:r w:rsidRPr="0017721C">
              <w:rPr>
                <w:lang w:val="it-IT"/>
              </w:rPr>
              <w:t xml:space="preserve">) </w:t>
            </w:r>
            <w:r w:rsidRPr="0017721C">
              <w:rPr>
                <w:lang w:val="it-IT"/>
              </w:rPr>
              <w:tab/>
              <w:t xml:space="preserve">le operazioni realizzate con parti correlate, precisando qualora non siano state concluse a normali condizioni di mercato: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1216A6">
            <w:pPr>
              <w:overflowPunct/>
              <w:autoSpaceDE/>
              <w:autoSpaceDN/>
              <w:adjustRightInd/>
              <w:ind w:left="1134" w:hanging="141"/>
              <w:contextualSpacing/>
              <w:textAlignment w:val="auto"/>
              <w:rPr>
                <w:lang w:val="it-IT"/>
              </w:rPr>
            </w:pPr>
            <w:r>
              <w:rPr>
                <w:lang w:val="it-IT"/>
              </w:rPr>
              <w:t>-</w:t>
            </w:r>
            <w:r>
              <w:rPr>
                <w:lang w:val="it-IT"/>
              </w:rPr>
              <w:tab/>
            </w:r>
            <w:r w:rsidR="0017721C" w:rsidRPr="0017721C">
              <w:rPr>
                <w:lang w:val="it-IT"/>
              </w:rPr>
              <w:t>l’importo,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1216A6">
            <w:pPr>
              <w:overflowPunct/>
              <w:autoSpaceDE/>
              <w:autoSpaceDN/>
              <w:adjustRightInd/>
              <w:ind w:left="1134" w:hanging="141"/>
              <w:contextualSpacing/>
              <w:textAlignment w:val="auto"/>
              <w:rPr>
                <w:lang w:val="it-IT"/>
              </w:rPr>
            </w:pPr>
            <w:r>
              <w:rPr>
                <w:lang w:val="it-IT"/>
              </w:rPr>
              <w:t>-</w:t>
            </w:r>
            <w:r>
              <w:rPr>
                <w:lang w:val="it-IT"/>
              </w:rPr>
              <w:tab/>
            </w:r>
            <w:r w:rsidR="0017721C" w:rsidRPr="0017721C">
              <w:rPr>
                <w:lang w:val="it-IT"/>
              </w:rPr>
              <w:t xml:space="preserve">la natura del rapporto, e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1216A6">
            <w:pPr>
              <w:overflowPunct/>
              <w:autoSpaceDE/>
              <w:autoSpaceDN/>
              <w:adjustRightInd/>
              <w:ind w:left="1134" w:hanging="141"/>
              <w:contextualSpacing/>
              <w:textAlignment w:val="auto"/>
              <w:rPr>
                <w:lang w:val="it-IT"/>
              </w:rPr>
            </w:pPr>
            <w:r>
              <w:rPr>
                <w:lang w:val="it-IT"/>
              </w:rPr>
              <w:t>-</w:t>
            </w:r>
            <w:r>
              <w:rPr>
                <w:lang w:val="it-IT"/>
              </w:rPr>
              <w:tab/>
            </w:r>
            <w:r w:rsidR="0017721C" w:rsidRPr="0017721C">
              <w:rPr>
                <w:lang w:val="it-IT"/>
              </w:rPr>
              <w:t>ogni altra informazione necessaria per la comprensione del bilancio relativa a tali operazioni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Le informazioni relative alle singole operazioni possono essere aggregate secondo la loro natura, salvo quando la loro separata evidenza sia necessaria per comprendere gli effetti delle operazioni medesime sulla situazione patrimoniale e finanziaria e sul risultato economico consolidati?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0439">
            <w:pPr>
              <w:spacing w:line="214" w:lineRule="exact"/>
              <w:ind w:left="658" w:hanging="658"/>
              <w:rPr>
                <w:lang w:val="it-IT"/>
              </w:rPr>
            </w:pPr>
            <w:r w:rsidRPr="0017721C">
              <w:rPr>
                <w:lang w:val="it-IT"/>
              </w:rPr>
              <w:t>o-</w:t>
            </w:r>
            <w:r w:rsidRPr="0017721C">
              <w:rPr>
                <w:sz w:val="18"/>
                <w:lang w:val="it-IT"/>
              </w:rPr>
              <w:t>sexies</w:t>
            </w:r>
            <w:r w:rsidRPr="0017721C">
              <w:rPr>
                <w:lang w:val="it-IT"/>
              </w:rPr>
              <w:t>) la natura e l’obiettivo economico di accordi non risultanti dallo stato patrimoniale, con indicazione del loro effetto patrimoniale, finanziario ed economico, a condizione che i rischi e i benefici da essi derivanti siano significativi e l’indicazione degli stessi sia necessaria per valutare la situazione patrimoniale e finanziaria e il risultato economico consolidati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ind w:left="660" w:hanging="660"/>
              <w:rPr>
                <w:lang w:val="it-IT"/>
              </w:rPr>
            </w:pPr>
            <w:r w:rsidRPr="0017721C">
              <w:rPr>
                <w:lang w:val="it-IT"/>
              </w:rPr>
              <w:t>o-</w:t>
            </w:r>
            <w:r w:rsidRPr="0017721C">
              <w:rPr>
                <w:sz w:val="18"/>
                <w:lang w:val="it-IT"/>
              </w:rPr>
              <w:t>septies</w:t>
            </w:r>
            <w:r w:rsidRPr="0017721C">
              <w:rPr>
                <w:lang w:val="it-IT"/>
              </w:rPr>
              <w:t xml:space="preserve">) separatamente, l’importo dei corrispettivi spettanti al revisore legale o alla società di </w:t>
            </w:r>
            <w:r w:rsidRPr="0017721C">
              <w:rPr>
                <w:lang w:val="it-IT"/>
              </w:rPr>
              <w:tab/>
              <w:t>revisione legale: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1216A6">
            <w:pPr>
              <w:overflowPunct/>
              <w:autoSpaceDE/>
              <w:autoSpaceDN/>
              <w:adjustRightInd/>
              <w:ind w:left="851" w:hanging="191"/>
              <w:textAlignment w:val="auto"/>
              <w:rPr>
                <w:lang w:val="it-IT"/>
              </w:rPr>
            </w:pPr>
            <w:r>
              <w:rPr>
                <w:lang w:val="it-IT"/>
              </w:rPr>
              <w:t>-</w:t>
            </w:r>
            <w:r>
              <w:rPr>
                <w:lang w:val="it-IT"/>
              </w:rPr>
              <w:tab/>
            </w:r>
            <w:r w:rsidR="0017721C" w:rsidRPr="0017721C">
              <w:rPr>
                <w:lang w:val="it-IT"/>
              </w:rPr>
              <w:t>per la revisione dei conti consolidati,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1216A6">
            <w:pPr>
              <w:overflowPunct/>
              <w:autoSpaceDE/>
              <w:autoSpaceDN/>
              <w:adjustRightInd/>
              <w:ind w:left="851" w:hanging="191"/>
              <w:textAlignment w:val="auto"/>
              <w:rPr>
                <w:lang w:val="it-IT"/>
              </w:rPr>
            </w:pPr>
            <w:r>
              <w:rPr>
                <w:lang w:val="it-IT"/>
              </w:rPr>
              <w:t>-</w:t>
            </w:r>
            <w:r>
              <w:rPr>
                <w:lang w:val="it-IT"/>
              </w:rPr>
              <w:tab/>
            </w:r>
            <w:r w:rsidR="0017721C" w:rsidRPr="0017721C">
              <w:rPr>
                <w:lang w:val="it-IT"/>
              </w:rPr>
              <w:t>per gli altri servizi di verifica,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1216A6">
            <w:pPr>
              <w:overflowPunct/>
              <w:autoSpaceDE/>
              <w:autoSpaceDN/>
              <w:adjustRightInd/>
              <w:ind w:left="851" w:hanging="191"/>
              <w:textAlignment w:val="auto"/>
              <w:rPr>
                <w:lang w:val="it-IT"/>
              </w:rPr>
            </w:pPr>
            <w:r>
              <w:rPr>
                <w:lang w:val="it-IT"/>
              </w:rPr>
              <w:t>-</w:t>
            </w:r>
            <w:r>
              <w:rPr>
                <w:lang w:val="it-IT"/>
              </w:rPr>
              <w:tab/>
            </w:r>
            <w:r w:rsidR="0017721C" w:rsidRPr="0017721C">
              <w:rPr>
                <w:lang w:val="it-IT"/>
              </w:rPr>
              <w:t>per i servizi di consulenza fiscale, 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1216A6">
            <w:pPr>
              <w:overflowPunct/>
              <w:autoSpaceDE/>
              <w:autoSpaceDN/>
              <w:adjustRightInd/>
              <w:ind w:left="851" w:hanging="191"/>
              <w:textAlignment w:val="auto"/>
              <w:rPr>
                <w:lang w:val="it-IT"/>
              </w:rPr>
            </w:pPr>
            <w:r>
              <w:rPr>
                <w:lang w:val="it-IT"/>
              </w:rPr>
              <w:t>-</w:t>
            </w:r>
            <w:r>
              <w:rPr>
                <w:lang w:val="it-IT"/>
              </w:rPr>
              <w:tab/>
            </w:r>
            <w:r w:rsidR="0017721C" w:rsidRPr="0017721C">
              <w:rPr>
                <w:lang w:val="it-IT"/>
              </w:rPr>
              <w:t xml:space="preserve">per altri servizi diversi dalla revisione legale forniti al gruppo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ind w:left="660" w:hanging="660"/>
              <w:rPr>
                <w:lang w:val="it-IT"/>
              </w:rPr>
            </w:pPr>
            <w:r w:rsidRPr="0017721C">
              <w:rPr>
                <w:lang w:val="it-IT"/>
              </w:rPr>
              <w:t>o-</w:t>
            </w:r>
            <w:r w:rsidRPr="0017721C">
              <w:rPr>
                <w:sz w:val="18"/>
                <w:lang w:val="it-IT"/>
              </w:rPr>
              <w:t>octies</w:t>
            </w:r>
            <w:r w:rsidRPr="0017721C">
              <w:rPr>
                <w:lang w:val="it-IT"/>
              </w:rPr>
              <w:t xml:space="preserve">) </w:t>
            </w:r>
            <w:r w:rsidRPr="0017721C">
              <w:rPr>
                <w:lang w:val="it-IT"/>
              </w:rPr>
              <w:tab/>
              <w:t>il nome e la sede legale dell'impresa che redige il bilancio consolidato dell’insieme più grande di imprese di cui l'impresa fa parte in quanto impresa controllata, nonché il luogo in cui è disponibile la copia del bilancio consolidato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ind w:left="660" w:hanging="660"/>
              <w:rPr>
                <w:lang w:val="it-IT"/>
              </w:rPr>
            </w:pPr>
            <w:r w:rsidRPr="0017721C">
              <w:rPr>
                <w:lang w:val="it-IT"/>
              </w:rPr>
              <w:t>o-</w:t>
            </w:r>
            <w:r w:rsidRPr="0017721C">
              <w:rPr>
                <w:sz w:val="18"/>
                <w:lang w:val="it-IT"/>
              </w:rPr>
              <w:t>novies</w:t>
            </w:r>
            <w:r w:rsidRPr="0017721C">
              <w:rPr>
                <w:lang w:val="it-IT"/>
              </w:rPr>
              <w:t>)</w:t>
            </w:r>
            <w:r w:rsidR="008C0439">
              <w:rPr>
                <w:lang w:val="it-IT"/>
              </w:rPr>
              <w:t xml:space="preserve"> </w:t>
            </w:r>
            <w:r w:rsidRPr="0017721C">
              <w:rPr>
                <w:lang w:val="it-IT"/>
              </w:rPr>
              <w:tab/>
              <w:t>il nome e la sede legale dell'impresa che redige il bilancio consolidato dell'insieme più piccolo di imprese di cui l'impresa fa parte in quanto impresa controllata nonché il luogo in cui è' disponibile la copia del bilancio consolidato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0439">
            <w:pPr>
              <w:ind w:left="658" w:hanging="658"/>
              <w:rPr>
                <w:lang w:val="it-IT"/>
              </w:rPr>
            </w:pPr>
            <w:r w:rsidRPr="0017721C">
              <w:rPr>
                <w:lang w:val="it-IT"/>
              </w:rPr>
              <w:t>o-</w:t>
            </w:r>
            <w:r w:rsidRPr="0017721C">
              <w:rPr>
                <w:sz w:val="18"/>
                <w:lang w:val="it-IT"/>
              </w:rPr>
              <w:t>decies</w:t>
            </w:r>
            <w:r w:rsidRPr="0017721C">
              <w:rPr>
                <w:lang w:val="it-IT"/>
              </w:rPr>
              <w:t xml:space="preserve">) </w:t>
            </w:r>
            <w:r w:rsidRPr="0017721C">
              <w:rPr>
                <w:lang w:val="it-IT"/>
              </w:rPr>
              <w:tab/>
              <w:t>la natura e l'effetto patrimoniale, finanziario ed economico dei fatti di rilievo avvenuti dopo la data di riferimento del bilancio consolidato”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210)</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17.130</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0439">
            <w:pPr>
              <w:rPr>
                <w:lang w:val="it-IT"/>
              </w:rPr>
            </w:pPr>
            <w:r w:rsidRPr="0017721C">
              <w:rPr>
                <w:lang w:val="it-IT"/>
              </w:rPr>
              <w:t xml:space="preserve">La società indica nella </w:t>
            </w:r>
            <w:r w:rsidR="005B7E0D">
              <w:rPr>
                <w:lang w:val="it-IT"/>
              </w:rPr>
              <w:t>Nota Integrativa</w:t>
            </w:r>
            <w:r w:rsidRPr="0017721C">
              <w:rPr>
                <w:lang w:val="it-IT"/>
              </w:rPr>
              <w:t xml:space="preserve"> del bilancio consolidato per quali partecipazioni e per quali motivi è stata utilizzata la data in cui l’impresa è inclusa per la prima volta nel consolidamento per il calcolo della differenza di annullamento derivante dall’eliminazione delle partecipazioni contro il patrimonio netto delle controllate con riferimento alle partecipazioni incluse per la prima volta nell’area di consolidamento?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1216A6">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216A6">
            <w:pPr>
              <w:jc w:val="center"/>
              <w:rPr>
                <w:b/>
                <w:lang w:val="it-IT"/>
              </w:rPr>
            </w:pPr>
            <w:r w:rsidRPr="0017721C">
              <w:rPr>
                <w:b/>
                <w:lang w:val="it-IT"/>
              </w:rPr>
              <w:t>211)</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216A6">
            <w:pPr>
              <w:spacing w:before="40" w:line="240" w:lineRule="auto"/>
              <w:ind w:right="28"/>
              <w:jc w:val="left"/>
              <w:rPr>
                <w:sz w:val="13"/>
                <w:szCs w:val="13"/>
                <w:lang w:val="en-US"/>
              </w:rPr>
            </w:pPr>
            <w:r w:rsidRPr="0017721C">
              <w:rPr>
                <w:sz w:val="13"/>
                <w:szCs w:val="13"/>
                <w:lang w:val="en-US"/>
              </w:rPr>
              <w:t>Art.38,c.2,  D.Lgs 127/91</w:t>
            </w:r>
          </w:p>
          <w:p w:rsidR="0017721C" w:rsidRPr="0017721C" w:rsidRDefault="0017721C" w:rsidP="001216A6">
            <w:pPr>
              <w:spacing w:before="40" w:line="240" w:lineRule="auto"/>
              <w:ind w:right="28"/>
              <w:jc w:val="left"/>
              <w:rPr>
                <w:sz w:val="13"/>
                <w:szCs w:val="13"/>
                <w:lang w:val="en-US"/>
              </w:rPr>
            </w:pPr>
            <w:r w:rsidRPr="0017721C">
              <w:rPr>
                <w:sz w:val="13"/>
                <w:szCs w:val="13"/>
                <w:lang w:val="en-US"/>
              </w:rPr>
              <w:t>OIC 17.131</w:t>
            </w:r>
          </w:p>
        </w:tc>
        <w:tc>
          <w:tcPr>
            <w:tcW w:w="6912"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8C0439">
            <w:pPr>
              <w:spacing w:line="214" w:lineRule="exact"/>
              <w:jc w:val="left"/>
              <w:rPr>
                <w:lang w:val="it-IT"/>
              </w:rPr>
            </w:pPr>
            <w:r w:rsidRPr="0017721C">
              <w:rPr>
                <w:lang w:val="it-IT"/>
              </w:rPr>
              <w:t xml:space="preserve">La </w:t>
            </w:r>
            <w:r w:rsidR="005B7E0D">
              <w:rPr>
                <w:lang w:val="it-IT"/>
              </w:rPr>
              <w:t>Nota Integrativa</w:t>
            </w:r>
            <w:r w:rsidRPr="0017721C">
              <w:rPr>
                <w:lang w:val="it-IT"/>
              </w:rPr>
              <w:t xml:space="preserve"> indica altresi: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216A6">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216A6">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216A6">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0439">
            <w:pPr>
              <w:numPr>
                <w:ilvl w:val="0"/>
                <w:numId w:val="12"/>
              </w:numPr>
              <w:overflowPunct/>
              <w:autoSpaceDE/>
              <w:autoSpaceDN/>
              <w:adjustRightInd/>
              <w:spacing w:line="214" w:lineRule="exact"/>
              <w:textAlignment w:val="auto"/>
              <w:rPr>
                <w:lang w:val="it-IT"/>
              </w:rPr>
            </w:pPr>
            <w:r w:rsidRPr="0017721C">
              <w:rPr>
                <w:lang w:val="it-IT"/>
              </w:rPr>
              <w:t>l’elenco delle imprese incluse nel consolidamento col metodo integrale ai sensi dell’articolo 26 del D.lgs. 127/91?.</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8C0439">
            <w:pPr>
              <w:tabs>
                <w:tab w:val="num" w:pos="392"/>
              </w:tabs>
              <w:overflowPunct/>
              <w:autoSpaceDE/>
              <w:autoSpaceDN/>
              <w:adjustRightInd/>
              <w:spacing w:line="214" w:lineRule="exact"/>
              <w:ind w:left="392" w:hanging="360"/>
              <w:textAlignment w:val="auto"/>
              <w:rPr>
                <w:lang w:val="it-IT"/>
              </w:rPr>
            </w:pPr>
            <w:r>
              <w:rPr>
                <w:lang w:val="it-IT"/>
              </w:rPr>
              <w:t>b)</w:t>
            </w:r>
            <w:r>
              <w:rPr>
                <w:lang w:val="it-IT"/>
              </w:rPr>
              <w:tab/>
            </w:r>
            <w:r w:rsidR="0017721C" w:rsidRPr="0017721C">
              <w:rPr>
                <w:lang w:val="it-IT"/>
              </w:rPr>
              <w:t>l’elenco delle imprese incluse nel consolidamento col metodo proporzionale ai sensi dell’articolo 37 del D.lgs. 127/91?</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8C0439">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8C0439">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8C0439">
            <w:pPr>
              <w:tabs>
                <w:tab w:val="num" w:pos="392"/>
              </w:tabs>
              <w:overflowPunct/>
              <w:autoSpaceDE/>
              <w:autoSpaceDN/>
              <w:adjustRightInd/>
              <w:spacing w:line="214" w:lineRule="exact"/>
              <w:ind w:left="391" w:hanging="357"/>
              <w:textAlignment w:val="auto"/>
              <w:rPr>
                <w:lang w:val="it-IT"/>
              </w:rPr>
            </w:pPr>
            <w:r>
              <w:rPr>
                <w:lang w:val="it-IT"/>
              </w:rPr>
              <w:t>c)</w:t>
            </w:r>
            <w:r>
              <w:rPr>
                <w:lang w:val="it-IT"/>
              </w:rPr>
              <w:tab/>
            </w:r>
            <w:r w:rsidR="0017721C" w:rsidRPr="0017721C">
              <w:rPr>
                <w:lang w:val="it-IT"/>
              </w:rPr>
              <w:t>l’elenco delle partecipazioni valutate con il metodo del patrimonio netto ai sensi del comma 1 dell’articolo 36 del D.lgs. 127/91?</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8C0439">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8C0439">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8C0439">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1216A6">
            <w:pPr>
              <w:tabs>
                <w:tab w:val="num" w:pos="392"/>
              </w:tabs>
              <w:overflowPunct/>
              <w:autoSpaceDE/>
              <w:autoSpaceDN/>
              <w:adjustRightInd/>
              <w:spacing w:line="240" w:lineRule="exact"/>
              <w:ind w:left="392" w:hanging="360"/>
              <w:textAlignment w:val="auto"/>
              <w:rPr>
                <w:lang w:val="it-IT"/>
              </w:rPr>
            </w:pPr>
            <w:r>
              <w:rPr>
                <w:lang w:val="it-IT"/>
              </w:rPr>
              <w:t>d)</w:t>
            </w:r>
            <w:r>
              <w:rPr>
                <w:lang w:val="it-IT"/>
              </w:rPr>
              <w:tab/>
            </w:r>
            <w:r w:rsidR="0017721C" w:rsidRPr="0017721C">
              <w:rPr>
                <w:lang w:val="it-IT"/>
              </w:rPr>
              <w:t>l’elenco delle altre partecipazioni in imprese controllate e collegate”, non consolidate né valutate con il metodo del patrimonio netto a causa della irrilevanza delle stesse o perché detenute esclusivamente per la alienazione?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1216A6">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212)</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Art.39,     D.Lgs 127/91</w:t>
            </w:r>
          </w:p>
          <w:p w:rsidR="0017721C" w:rsidRPr="0017721C" w:rsidRDefault="0017721C" w:rsidP="0017721C">
            <w:pPr>
              <w:spacing w:before="40" w:line="240" w:lineRule="auto"/>
              <w:ind w:right="28"/>
              <w:jc w:val="left"/>
              <w:rPr>
                <w:sz w:val="13"/>
                <w:szCs w:val="13"/>
                <w:lang w:val="it-IT"/>
              </w:rPr>
            </w:pPr>
            <w:r w:rsidRPr="0017721C">
              <w:rPr>
                <w:sz w:val="13"/>
                <w:szCs w:val="13"/>
                <w:lang w:val="it-IT"/>
              </w:rPr>
              <w:t>OIC 17.132</w:t>
            </w:r>
          </w:p>
        </w:tc>
        <w:tc>
          <w:tcPr>
            <w:tcW w:w="6912"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216A6">
            <w:pPr>
              <w:jc w:val="left"/>
              <w:rPr>
                <w:lang w:val="it-IT"/>
              </w:rPr>
            </w:pPr>
            <w:r w:rsidRPr="0017721C">
              <w:rPr>
                <w:lang w:val="it-IT"/>
              </w:rPr>
              <w:t>Tali elenchi indicano per ciascuna impresa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1216A6">
            <w:pPr>
              <w:overflowPunct/>
              <w:autoSpaceDE/>
              <w:autoSpaceDN/>
              <w:adjustRightInd/>
              <w:ind w:left="426" w:hanging="394"/>
              <w:textAlignment w:val="auto"/>
              <w:rPr>
                <w:lang w:val="it-IT"/>
              </w:rPr>
            </w:pPr>
            <w:r>
              <w:rPr>
                <w:lang w:val="it-IT"/>
              </w:rPr>
              <w:t>a)</w:t>
            </w:r>
            <w:r>
              <w:rPr>
                <w:lang w:val="it-IT"/>
              </w:rPr>
              <w:tab/>
            </w:r>
            <w:r w:rsidR="0017721C" w:rsidRPr="0017721C">
              <w:rPr>
                <w:lang w:val="it-IT"/>
              </w:rPr>
              <w:t>la denominazione, la sede e il capitale sociale?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17721C">
            <w:pPr>
              <w:tabs>
                <w:tab w:val="num" w:pos="392"/>
              </w:tabs>
              <w:overflowPunct/>
              <w:autoSpaceDE/>
              <w:autoSpaceDN/>
              <w:adjustRightInd/>
              <w:ind w:left="392" w:hanging="360"/>
              <w:textAlignment w:val="auto"/>
              <w:rPr>
                <w:lang w:val="it-IT"/>
              </w:rPr>
            </w:pPr>
            <w:r>
              <w:rPr>
                <w:lang w:val="it-IT"/>
              </w:rPr>
              <w:t>b)</w:t>
            </w:r>
            <w:r>
              <w:rPr>
                <w:lang w:val="it-IT"/>
              </w:rPr>
              <w:tab/>
            </w:r>
            <w:r w:rsidR="0017721C" w:rsidRPr="0017721C">
              <w:rPr>
                <w:lang w:val="it-IT"/>
              </w:rPr>
              <w:t>le quote possedute, direttamente o per il tramite di società fiduciarie o per interposta persona,dalla controllante e da ciascuna delle controllate?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17721C">
            <w:pPr>
              <w:tabs>
                <w:tab w:val="num" w:pos="392"/>
              </w:tabs>
              <w:overflowPunct/>
              <w:autoSpaceDE/>
              <w:autoSpaceDN/>
              <w:adjustRightInd/>
              <w:ind w:left="392" w:hanging="360"/>
              <w:textAlignment w:val="auto"/>
              <w:rPr>
                <w:lang w:val="it-IT"/>
              </w:rPr>
            </w:pPr>
            <w:r>
              <w:rPr>
                <w:lang w:val="it-IT"/>
              </w:rPr>
              <w:t>c)</w:t>
            </w:r>
            <w:r>
              <w:rPr>
                <w:lang w:val="it-IT"/>
              </w:rPr>
              <w:tab/>
            </w:r>
            <w:r w:rsidR="0017721C" w:rsidRPr="0017721C">
              <w:rPr>
                <w:lang w:val="it-IT"/>
              </w:rPr>
              <w:t>se diversa, la percentuale dei voti complessivamente spettanti nell’assemblea ordinaria”?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1216A6">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213)</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Art.39      D.Lgs 127/91</w:t>
            </w:r>
          </w:p>
          <w:p w:rsidR="0017721C" w:rsidRPr="0017721C" w:rsidRDefault="0017721C" w:rsidP="0017721C">
            <w:pPr>
              <w:spacing w:before="40" w:line="240" w:lineRule="auto"/>
              <w:ind w:right="28"/>
              <w:jc w:val="left"/>
              <w:rPr>
                <w:sz w:val="13"/>
                <w:szCs w:val="13"/>
                <w:lang w:val="it-IT"/>
              </w:rPr>
            </w:pPr>
            <w:r w:rsidRPr="0017721C">
              <w:rPr>
                <w:sz w:val="13"/>
                <w:szCs w:val="13"/>
                <w:lang w:val="it-IT"/>
              </w:rPr>
              <w:t>OIC 17.133</w:t>
            </w:r>
          </w:p>
        </w:tc>
        <w:tc>
          <w:tcPr>
            <w:tcW w:w="6912"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216A6">
            <w:pPr>
              <w:jc w:val="left"/>
            </w:pPr>
            <w:r w:rsidRPr="0017721C">
              <w:t xml:space="preserve">La </w:t>
            </w:r>
            <w:r w:rsidR="005B7E0D">
              <w:t>Nota Integrativa</w:t>
            </w:r>
            <w:r w:rsidRPr="0017721C">
              <w:t xml:space="preserve">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8C0439">
            <w:pPr>
              <w:overflowPunct/>
              <w:autoSpaceDE/>
              <w:autoSpaceDN/>
              <w:adjustRightInd/>
              <w:ind w:left="426" w:hanging="394"/>
              <w:textAlignment w:val="auto"/>
              <w:rPr>
                <w:lang w:val="it-IT"/>
              </w:rPr>
            </w:pPr>
            <w:r>
              <w:rPr>
                <w:lang w:val="it-IT"/>
              </w:rPr>
              <w:t>a)</w:t>
            </w:r>
            <w:r>
              <w:rPr>
                <w:lang w:val="it-IT"/>
              </w:rPr>
              <w:tab/>
            </w:r>
            <w:r w:rsidR="0017721C" w:rsidRPr="0017721C">
              <w:rPr>
                <w:lang w:val="it-IT"/>
              </w:rPr>
              <w:t>indica la ragione dell’inclusione di una società in uno degli elenchi di cui al paragrafo 131 dell’OIC 17, nei casi in cui essa non sia già evidente dalle indicazioni fornite in base alle lettere b) e c) del comma 1, che è riportato nel punto precedente?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8C0439">
            <w:pPr>
              <w:tabs>
                <w:tab w:val="num" w:pos="392"/>
              </w:tabs>
              <w:overflowPunct/>
              <w:autoSpaceDE/>
              <w:autoSpaceDN/>
              <w:adjustRightInd/>
              <w:ind w:left="392" w:hanging="360"/>
              <w:textAlignment w:val="auto"/>
              <w:rPr>
                <w:lang w:val="it-IT"/>
              </w:rPr>
            </w:pPr>
            <w:r>
              <w:rPr>
                <w:lang w:val="it-IT"/>
              </w:rPr>
              <w:t>b)</w:t>
            </w:r>
            <w:r>
              <w:rPr>
                <w:lang w:val="it-IT"/>
              </w:rPr>
              <w:tab/>
            </w:r>
            <w:r w:rsidR="0017721C" w:rsidRPr="0017721C">
              <w:rPr>
                <w:lang w:val="it-IT"/>
              </w:rPr>
              <w:t>fornisce le informazioni che permettono un confronto significativo tra lo stato patrimoniale e il conto economico dell’esercizio con quelli dell’esercizio precedente, nel caso in cui abbia avuto luogo una variazione notevole della composizione del complesso delle imprese incluse nell’area di consolidamento?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17.133</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Le informazioni di cui al punto b) possono essere alternativamente fornite mediante adattamento dello stato patrimoniale e del conto economico dell’esercizio precedente.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214)</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17.133</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 xml:space="preserve">In ogni caso, la </w:t>
            </w:r>
            <w:r w:rsidR="005B7E0D">
              <w:rPr>
                <w:lang w:val="it-IT"/>
              </w:rPr>
              <w:t>Nota Integrativa</w:t>
            </w:r>
            <w:r w:rsidRPr="0017721C">
              <w:rPr>
                <w:lang w:val="it-IT"/>
              </w:rPr>
              <w:t xml:space="preserve"> fornisce i dati rilevanti relativi all’esercizio precedente l’acquisizione di una controllata qualora la sua acquisizione comporti una notevole variazione della composizione del gruppo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Art.39      D.Lgs 127/91</w:t>
            </w:r>
          </w:p>
          <w:p w:rsidR="0017721C" w:rsidRPr="0017721C" w:rsidRDefault="0017721C" w:rsidP="0017721C">
            <w:pPr>
              <w:spacing w:before="40" w:line="240" w:lineRule="auto"/>
              <w:ind w:right="28"/>
              <w:jc w:val="left"/>
              <w:rPr>
                <w:sz w:val="13"/>
                <w:szCs w:val="13"/>
                <w:lang w:val="it-IT"/>
              </w:rPr>
            </w:pPr>
            <w:r w:rsidRPr="0017721C">
              <w:rPr>
                <w:sz w:val="13"/>
                <w:szCs w:val="13"/>
                <w:lang w:val="it-IT"/>
              </w:rPr>
              <w:t>OIC 17.134</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È consentita l’omissione dell’indicazione delle imprese qualora la inclusione negli elenchi” (indicati al paragrafo 131) “possa arrecare grave pregiudizio ad imprese incluse nel consolidamento o ad imprese da queste controllate o con queste collegate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215)</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en-US"/>
              </w:rPr>
            </w:pPr>
            <w:r w:rsidRPr="0017721C">
              <w:rPr>
                <w:sz w:val="13"/>
                <w:szCs w:val="13"/>
                <w:lang w:val="en-US"/>
              </w:rPr>
              <w:t>Art.27, c.5, D.Lgs 127/91</w:t>
            </w:r>
          </w:p>
          <w:p w:rsidR="0017721C" w:rsidRPr="0017721C" w:rsidRDefault="0017721C" w:rsidP="0017721C">
            <w:pPr>
              <w:spacing w:before="40" w:line="240" w:lineRule="auto"/>
              <w:ind w:right="28"/>
              <w:jc w:val="left"/>
              <w:rPr>
                <w:sz w:val="13"/>
                <w:szCs w:val="13"/>
                <w:lang w:val="en-US"/>
              </w:rPr>
            </w:pPr>
            <w:r w:rsidRPr="0017721C">
              <w:rPr>
                <w:sz w:val="13"/>
                <w:szCs w:val="13"/>
                <w:lang w:val="en-US"/>
              </w:rPr>
              <w:t>OIC 17.135</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 xml:space="preserve">La </w:t>
            </w:r>
            <w:r w:rsidR="005B7E0D">
              <w:rPr>
                <w:lang w:val="it-IT"/>
              </w:rPr>
              <w:t>Nota Integrativa</w:t>
            </w:r>
            <w:r w:rsidRPr="0017721C">
              <w:rPr>
                <w:lang w:val="it-IT"/>
              </w:rPr>
              <w:t xml:space="preserve"> al bilancio d’esercizio della società controllante esonerata dall’obbligo di redazione del bilancio consolidato in base alle norme vigenti, indica le ragioni dell’esonero?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216)</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en-US"/>
              </w:rPr>
            </w:pPr>
            <w:r w:rsidRPr="0017721C">
              <w:rPr>
                <w:sz w:val="13"/>
                <w:szCs w:val="13"/>
                <w:lang w:val="en-US"/>
              </w:rPr>
              <w:t>Art.27, c.5, D.Lgs 127/91</w:t>
            </w:r>
          </w:p>
          <w:p w:rsidR="0017721C" w:rsidRPr="0017721C" w:rsidRDefault="0017721C" w:rsidP="0017721C">
            <w:pPr>
              <w:spacing w:before="40" w:line="240" w:lineRule="auto"/>
              <w:ind w:right="28"/>
              <w:jc w:val="left"/>
              <w:rPr>
                <w:sz w:val="13"/>
                <w:szCs w:val="13"/>
                <w:lang w:val="en-US"/>
              </w:rPr>
            </w:pPr>
            <w:r w:rsidRPr="0017721C">
              <w:rPr>
                <w:sz w:val="13"/>
                <w:szCs w:val="13"/>
                <w:lang w:val="en-US"/>
              </w:rPr>
              <w:t>OIC 17.135</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 xml:space="preserve">In particolare, in caso di esonero riservato alle cd. subholdings, la </w:t>
            </w:r>
            <w:r w:rsidR="005B7E0D">
              <w:rPr>
                <w:lang w:val="it-IT"/>
              </w:rPr>
              <w:t>Nota Integrativa</w:t>
            </w:r>
            <w:r w:rsidRPr="0017721C">
              <w:rPr>
                <w:lang w:val="it-IT"/>
              </w:rPr>
              <w:t xml:space="preserve"> indica altresì  la denominazione e la sede della società controllante che redige il bilancio consolidato?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217)</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en-US"/>
              </w:rPr>
            </w:pPr>
            <w:r w:rsidRPr="0017721C">
              <w:rPr>
                <w:sz w:val="13"/>
                <w:szCs w:val="13"/>
                <w:lang w:val="en-US"/>
              </w:rPr>
              <w:t>Art.29, c.3, D.Lgs 127/91</w:t>
            </w:r>
          </w:p>
          <w:p w:rsidR="0017721C" w:rsidRPr="0017721C" w:rsidRDefault="0017721C" w:rsidP="0017721C">
            <w:pPr>
              <w:spacing w:before="40" w:line="240" w:lineRule="auto"/>
              <w:ind w:right="28"/>
              <w:jc w:val="left"/>
              <w:rPr>
                <w:sz w:val="13"/>
                <w:szCs w:val="13"/>
                <w:lang w:val="en-US"/>
              </w:rPr>
            </w:pPr>
            <w:r w:rsidRPr="0017721C">
              <w:rPr>
                <w:sz w:val="13"/>
                <w:szCs w:val="13"/>
                <w:lang w:val="en-US"/>
              </w:rPr>
              <w:t>OIC 17.136</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Il bilancio consolidato fornisce le informazioni supplementari necessarie a dare una rappresentazione veritiera e corretta della situazione patrimoniale e finanziaria e del risultato economico dell’esercizio del gruppo di imprese incluso nell’area di consolidamento?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218)</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en-US"/>
              </w:rPr>
            </w:pPr>
            <w:r w:rsidRPr="0017721C">
              <w:rPr>
                <w:sz w:val="13"/>
                <w:szCs w:val="13"/>
                <w:lang w:val="en-US"/>
              </w:rPr>
              <w:t>Art.29, c.4, D.Lgs 127/91</w:t>
            </w:r>
          </w:p>
          <w:p w:rsidR="0017721C" w:rsidRPr="0017721C" w:rsidRDefault="0017721C" w:rsidP="0017721C">
            <w:pPr>
              <w:spacing w:before="40" w:line="240" w:lineRule="auto"/>
              <w:ind w:right="28"/>
              <w:jc w:val="left"/>
              <w:rPr>
                <w:sz w:val="13"/>
                <w:szCs w:val="13"/>
                <w:lang w:val="en-US"/>
              </w:rPr>
            </w:pPr>
            <w:r w:rsidRPr="0017721C">
              <w:rPr>
                <w:sz w:val="13"/>
                <w:szCs w:val="13"/>
                <w:lang w:val="en-US"/>
              </w:rPr>
              <w:t>OIC 17.136</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 xml:space="preserve">Inoltre, la </w:t>
            </w:r>
            <w:r w:rsidR="005B7E0D">
              <w:rPr>
                <w:lang w:val="it-IT"/>
              </w:rPr>
              <w:t>Nota Integrativa</w:t>
            </w:r>
            <w:r w:rsidRPr="0017721C">
              <w:rPr>
                <w:lang w:val="it-IT"/>
              </w:rPr>
              <w:t xml:space="preserve"> fornisce: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1216A6">
            <w:pPr>
              <w:overflowPunct/>
              <w:autoSpaceDE/>
              <w:autoSpaceDN/>
              <w:adjustRightInd/>
              <w:ind w:left="426" w:hanging="394"/>
              <w:textAlignment w:val="auto"/>
              <w:rPr>
                <w:lang w:val="it-IT"/>
              </w:rPr>
            </w:pPr>
            <w:r>
              <w:rPr>
                <w:lang w:val="it-IT"/>
              </w:rPr>
              <w:t>a)</w:t>
            </w:r>
            <w:r>
              <w:rPr>
                <w:lang w:val="it-IT"/>
              </w:rPr>
              <w:tab/>
            </w:r>
            <w:r w:rsidR="0017721C" w:rsidRPr="0017721C">
              <w:rPr>
                <w:lang w:val="it-IT"/>
              </w:rPr>
              <w:t>le motivazioni della deroga all’applicazione di una disposizione di cui al D.lgs. 127/91, nel caso in cui, eccezionalmente, essa risulti incompatibile con la rappresentazione veritiera e corretta;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1216A6">
            <w:pPr>
              <w:tabs>
                <w:tab w:val="num" w:pos="392"/>
              </w:tabs>
              <w:overflowPunct/>
              <w:autoSpaceDE/>
              <w:autoSpaceDN/>
              <w:adjustRightInd/>
              <w:ind w:left="426" w:hanging="394"/>
              <w:textAlignment w:val="auto"/>
              <w:rPr>
                <w:lang w:val="it-IT"/>
              </w:rPr>
            </w:pPr>
            <w:r>
              <w:rPr>
                <w:lang w:val="it-IT"/>
              </w:rPr>
              <w:t>b)</w:t>
            </w:r>
            <w:r>
              <w:rPr>
                <w:lang w:val="it-IT"/>
              </w:rPr>
              <w:tab/>
            </w:r>
            <w:r w:rsidR="0017721C" w:rsidRPr="0017721C">
              <w:rPr>
                <w:lang w:val="it-IT"/>
              </w:rPr>
              <w:t>le motivazioni della deroga all’obbligo di non modificare i criteri di valutazione da un esercizio all’altro e l’influenza della stessa sulla rappresentazione della situazione patrimoniale e finanziaria e del risultato economico consolidati?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219)</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Art.30, D.Lgs 127/91</w:t>
            </w:r>
          </w:p>
          <w:p w:rsidR="0017721C" w:rsidRPr="0017721C" w:rsidRDefault="0017721C" w:rsidP="0017721C">
            <w:pPr>
              <w:spacing w:before="40" w:line="240" w:lineRule="auto"/>
              <w:ind w:right="28"/>
              <w:jc w:val="left"/>
              <w:rPr>
                <w:sz w:val="13"/>
                <w:szCs w:val="13"/>
                <w:lang w:val="it-IT"/>
              </w:rPr>
            </w:pPr>
            <w:r w:rsidRPr="0017721C">
              <w:rPr>
                <w:sz w:val="13"/>
                <w:szCs w:val="13"/>
                <w:lang w:val="it-IT"/>
              </w:rPr>
              <w:t>OIC 17.137</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 xml:space="preserve">La </w:t>
            </w:r>
            <w:r w:rsidR="005B7E0D">
              <w:rPr>
                <w:lang w:val="it-IT"/>
              </w:rPr>
              <w:t>Nota Integrativa</w:t>
            </w:r>
            <w:r w:rsidRPr="0017721C">
              <w:rPr>
                <w:lang w:val="it-IT"/>
              </w:rPr>
              <w:t xml:space="preserve"> indica l’uso della facoltà di far coincidere la data di riferimento del bilancio consolidato con la data di chiusura dell’esercizio della maggior parte delle imprese incluse nell’area di consolidamento, in luogo della data di chiusura dell’esercizio della controllante?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220)</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Art.31, D.Lgs 127/91</w:t>
            </w:r>
          </w:p>
          <w:p w:rsidR="0017721C" w:rsidRPr="0017721C" w:rsidRDefault="0017721C" w:rsidP="0017721C">
            <w:pPr>
              <w:spacing w:before="40" w:line="240" w:lineRule="auto"/>
              <w:ind w:right="28"/>
              <w:jc w:val="left"/>
              <w:rPr>
                <w:sz w:val="13"/>
                <w:szCs w:val="13"/>
                <w:lang w:val="it-IT"/>
              </w:rPr>
            </w:pPr>
            <w:r w:rsidRPr="0017721C">
              <w:rPr>
                <w:sz w:val="13"/>
                <w:szCs w:val="13"/>
                <w:lang w:val="it-IT"/>
              </w:rPr>
              <w:t>OIC 17.138</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 xml:space="preserve">La </w:t>
            </w:r>
            <w:r w:rsidR="005B7E0D">
              <w:rPr>
                <w:lang w:val="it-IT"/>
              </w:rPr>
              <w:t>Nota Integrativa</w:t>
            </w:r>
            <w:r w:rsidRPr="0017721C">
              <w:rPr>
                <w:lang w:val="it-IT"/>
              </w:rPr>
              <w:t xml:space="preserve"> indica i motivi per cui, nel processo di consolidamento e di eliminazione dei valori infragruppo, il gruppo si è avvalso della facoltà di non eliminare gli utili e le perdite infragruppo relative a valori compresi nel patrimonio, diversi da lavori in corso su ordinazione di terzi, relativi ad operazioni correnti dell'impresa, concluse a normali condizioni di mercato se la loro eliminazione comporta costi sproporzionati?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221)</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Art.32,  D.Lgs 127/91</w:t>
            </w:r>
          </w:p>
          <w:p w:rsidR="0017721C" w:rsidRPr="0017721C" w:rsidRDefault="0017721C" w:rsidP="0017721C">
            <w:pPr>
              <w:spacing w:before="40" w:line="240" w:lineRule="auto"/>
              <w:ind w:right="28"/>
              <w:jc w:val="left"/>
              <w:rPr>
                <w:sz w:val="13"/>
                <w:szCs w:val="13"/>
                <w:lang w:val="it-IT"/>
              </w:rPr>
            </w:pPr>
            <w:r w:rsidRPr="0017721C">
              <w:rPr>
                <w:sz w:val="13"/>
                <w:szCs w:val="13"/>
                <w:lang w:val="it-IT"/>
              </w:rPr>
              <w:t>OIC 17.139</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 xml:space="preserve">La </w:t>
            </w:r>
            <w:r w:rsidR="005B7E0D">
              <w:rPr>
                <w:lang w:val="it-IT"/>
              </w:rPr>
              <w:t>Nota Integrativa</w:t>
            </w:r>
            <w:r w:rsidRPr="0017721C">
              <w:rPr>
                <w:lang w:val="it-IT"/>
              </w:rPr>
              <w:t xml:space="preserve"> indica la motivazione per cui, nel caso in cui i bilanci di esercizio inclusi nell’area di consolidamento siano soggetti a discipline diverse, si siano scelti per la redazione del consolidato la struttura e il contenuto ritenuti più idonei a fornire una rappresentazione veritiera e corretta della situazione patrimoniale e finanziaria e del risultato economico del gruppo?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8C0439">
            <w:pPr>
              <w:pageBreakBefore/>
              <w:jc w:val="center"/>
              <w:rPr>
                <w:b/>
                <w:lang w:val="it-IT"/>
              </w:rPr>
            </w:pPr>
            <w:r w:rsidRPr="0017721C">
              <w:rPr>
                <w:b/>
                <w:lang w:val="it-IT"/>
              </w:rPr>
              <w:t>222)</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8C0439">
            <w:pPr>
              <w:pageBreakBefore/>
              <w:spacing w:before="40" w:line="240" w:lineRule="auto"/>
              <w:ind w:right="28"/>
              <w:jc w:val="left"/>
              <w:rPr>
                <w:sz w:val="13"/>
                <w:szCs w:val="13"/>
                <w:lang w:val="it-IT"/>
              </w:rPr>
            </w:pPr>
            <w:r w:rsidRPr="0017721C">
              <w:rPr>
                <w:sz w:val="13"/>
                <w:szCs w:val="13"/>
                <w:lang w:val="it-IT"/>
              </w:rPr>
              <w:t>Art.33,  D.Lgs 127/91</w:t>
            </w:r>
          </w:p>
          <w:p w:rsidR="0017721C" w:rsidRPr="0017721C" w:rsidRDefault="0017721C" w:rsidP="008C0439">
            <w:pPr>
              <w:pageBreakBefore/>
              <w:spacing w:before="40" w:line="240" w:lineRule="auto"/>
              <w:ind w:right="28"/>
              <w:jc w:val="left"/>
              <w:rPr>
                <w:sz w:val="13"/>
                <w:szCs w:val="13"/>
                <w:lang w:val="it-IT"/>
              </w:rPr>
            </w:pPr>
            <w:r w:rsidRPr="0017721C">
              <w:rPr>
                <w:sz w:val="13"/>
                <w:szCs w:val="13"/>
                <w:lang w:val="it-IT"/>
              </w:rPr>
              <w:t>OIC 17.140</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0439">
            <w:pPr>
              <w:pageBreakBefore/>
              <w:spacing w:line="240" w:lineRule="exact"/>
              <w:rPr>
                <w:lang w:val="it-IT"/>
              </w:rPr>
            </w:pPr>
            <w:r w:rsidRPr="0017721C">
              <w:rPr>
                <w:lang w:val="it-IT"/>
              </w:rPr>
              <w:t xml:space="preserve">Con riferimento alle voci avviamento, riserva di consolidamento, fondo di consolidamento per rischi ed oneri futuri, la </w:t>
            </w:r>
            <w:r w:rsidR="005B7E0D">
              <w:rPr>
                <w:lang w:val="it-IT"/>
              </w:rPr>
              <w:t>Nota Integrativa</w:t>
            </w:r>
            <w:r w:rsidRPr="0017721C">
              <w:rPr>
                <w:lang w:val="it-IT"/>
              </w:rPr>
              <w:t xml:space="preserve"> illustra i criteri utilizzati per la loro determinazione e le variazioni significative rispetto al bilancio consolidato dell’esercizio precedente?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8C0439">
            <w:pPr>
              <w:pageBreakBefore/>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8C0439">
            <w:pPr>
              <w:pageBreakBefore/>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8C0439">
            <w:pPr>
              <w:pageBreakBefore/>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223)</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Art.34,  D.Lgs 127/91</w:t>
            </w:r>
          </w:p>
          <w:p w:rsidR="0017721C" w:rsidRPr="0017721C" w:rsidRDefault="0017721C" w:rsidP="0017721C">
            <w:pPr>
              <w:spacing w:before="40" w:line="240" w:lineRule="auto"/>
              <w:ind w:right="28"/>
              <w:jc w:val="left"/>
              <w:rPr>
                <w:sz w:val="13"/>
                <w:szCs w:val="13"/>
                <w:lang w:val="it-IT"/>
              </w:rPr>
            </w:pPr>
            <w:r w:rsidRPr="0017721C">
              <w:rPr>
                <w:sz w:val="13"/>
                <w:szCs w:val="13"/>
                <w:lang w:val="it-IT"/>
              </w:rPr>
              <w:t>OIC 17.141</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0439">
            <w:pPr>
              <w:spacing w:line="240" w:lineRule="exact"/>
              <w:rPr>
                <w:lang w:val="it-IT"/>
              </w:rPr>
            </w:pPr>
            <w:r w:rsidRPr="0017721C">
              <w:rPr>
                <w:lang w:val="it-IT"/>
              </w:rPr>
              <w:t xml:space="preserve">La </w:t>
            </w:r>
            <w:r w:rsidR="005B7E0D">
              <w:rPr>
                <w:lang w:val="it-IT"/>
              </w:rPr>
              <w:t>Nota Integrativa</w:t>
            </w:r>
            <w:r w:rsidRPr="0017721C">
              <w:rPr>
                <w:lang w:val="it-IT"/>
              </w:rPr>
              <w:t xml:space="preserve"> indica e motiva le deroghe, ammesse in casi eccezionali, alla valutazione degli elementi dell’attivo e del passivo con criteri di valutazione uniformi?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224)</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Art.35, D.Lgs 127/91</w:t>
            </w:r>
          </w:p>
          <w:p w:rsidR="0017721C" w:rsidRPr="0017721C" w:rsidRDefault="0017721C" w:rsidP="0017721C">
            <w:pPr>
              <w:spacing w:before="40" w:line="240" w:lineRule="auto"/>
              <w:ind w:right="28"/>
              <w:jc w:val="left"/>
              <w:rPr>
                <w:sz w:val="13"/>
                <w:szCs w:val="13"/>
                <w:lang w:val="it-IT"/>
              </w:rPr>
            </w:pPr>
            <w:r w:rsidRPr="0017721C">
              <w:rPr>
                <w:sz w:val="13"/>
                <w:szCs w:val="13"/>
                <w:lang w:val="it-IT"/>
              </w:rPr>
              <w:t>OIC 17.142</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0439">
            <w:pPr>
              <w:spacing w:line="240" w:lineRule="exact"/>
              <w:rPr>
                <w:lang w:val="it-IT"/>
              </w:rPr>
            </w:pPr>
            <w:r w:rsidRPr="0017721C">
              <w:rPr>
                <w:lang w:val="it-IT"/>
              </w:rPr>
              <w:t xml:space="preserve">La </w:t>
            </w:r>
            <w:r w:rsidR="005B7E0D">
              <w:rPr>
                <w:lang w:val="it-IT"/>
              </w:rPr>
              <w:t>Nota Integrativa</w:t>
            </w:r>
            <w:r w:rsidRPr="0017721C">
              <w:rPr>
                <w:lang w:val="it-IT"/>
              </w:rPr>
              <w:t xml:space="preserve"> indica la motivazione per cui si siano eventualmente utilizzati, per la redazione del bilancio consolidato, criteri diversi da quelli utilizzati nel bilancio di esercizio dell’impresa controllante, che redige il bilancio consolidato?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17.142</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Nel caso di consolidamento di una società in liquidazione, se rilevante, si forniscono informazioni sullo stato di liquidazione, sui criteri di valutazione adottati e sull’influenza che essi hanno sulla situazione patrimoniale e finanziaria e sul risultato economico consolidato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225)</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17.143</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0439">
            <w:pPr>
              <w:spacing w:line="240" w:lineRule="exact"/>
              <w:rPr>
                <w:lang w:val="it-IT"/>
              </w:rPr>
            </w:pPr>
            <w:r w:rsidRPr="0017721C">
              <w:rPr>
                <w:lang w:val="it-IT"/>
              </w:rPr>
              <w:t>Fornisce le seguenti informazioni,possibilmente in formato tabellare: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8C0439">
            <w:pPr>
              <w:overflowPunct/>
              <w:autoSpaceDE/>
              <w:autoSpaceDN/>
              <w:adjustRightInd/>
              <w:spacing w:line="240" w:lineRule="exact"/>
              <w:ind w:left="426" w:hanging="394"/>
              <w:textAlignment w:val="auto"/>
              <w:rPr>
                <w:lang w:val="it-IT"/>
              </w:rPr>
            </w:pPr>
            <w:r>
              <w:rPr>
                <w:lang w:val="it-IT"/>
              </w:rPr>
              <w:t>a)</w:t>
            </w:r>
            <w:r>
              <w:rPr>
                <w:lang w:val="it-IT"/>
              </w:rPr>
              <w:tab/>
            </w:r>
            <w:r w:rsidR="0017721C" w:rsidRPr="0017721C">
              <w:rPr>
                <w:lang w:val="it-IT"/>
              </w:rPr>
              <w:t>prospetto di raccordo tra il patrimonio netto e il risultato dell’esercizio del bilancio d’esercizio della società controllante e il patrimonio netto e il risultato dell’esercizio del bilancio consolidato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216A6" w:rsidP="008C0439">
            <w:pPr>
              <w:tabs>
                <w:tab w:val="num" w:pos="392"/>
              </w:tabs>
              <w:overflowPunct/>
              <w:autoSpaceDE/>
              <w:autoSpaceDN/>
              <w:adjustRightInd/>
              <w:spacing w:line="240" w:lineRule="exact"/>
              <w:ind w:left="426" w:hanging="394"/>
              <w:textAlignment w:val="auto"/>
              <w:rPr>
                <w:lang w:val="it-IT"/>
              </w:rPr>
            </w:pPr>
            <w:r>
              <w:rPr>
                <w:lang w:val="it-IT"/>
              </w:rPr>
              <w:t>b)</w:t>
            </w:r>
            <w:r>
              <w:rPr>
                <w:lang w:val="it-IT"/>
              </w:rPr>
              <w:tab/>
            </w:r>
            <w:r w:rsidR="0017721C" w:rsidRPr="0017721C">
              <w:rPr>
                <w:lang w:val="it-IT"/>
              </w:rPr>
              <w:t xml:space="preserve">prospetto dei movimenti nei conti di patrimonio netto consolidato?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226)</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17.144</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0439">
            <w:pPr>
              <w:spacing w:line="240" w:lineRule="exact"/>
              <w:rPr>
                <w:lang w:val="it-IT"/>
              </w:rPr>
            </w:pPr>
            <w:r w:rsidRPr="0017721C">
              <w:rPr>
                <w:lang w:val="it-IT"/>
              </w:rPr>
              <w:t>Il prospetto di raccordo tra il patrimonio netto e il risultato dell’esercizio del bilancio di esercizio della società controllante e il patrimonio netto e il risultato dell’esercizio del bilancio consolidato riporta l’ammontare e la natura delle principali differenze tra tali bilanci?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227)</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17.144</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0439">
            <w:pPr>
              <w:spacing w:line="240" w:lineRule="exact"/>
            </w:pPr>
            <w:r w:rsidRPr="0017721C">
              <w:t>Il prospetto indica separatamente: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8C0439">
            <w:pPr>
              <w:overflowPunct/>
              <w:autoSpaceDE/>
              <w:autoSpaceDN/>
              <w:adjustRightInd/>
              <w:spacing w:line="240" w:lineRule="exact"/>
              <w:ind w:left="426" w:hanging="394"/>
              <w:textAlignment w:val="auto"/>
              <w:rPr>
                <w:lang w:val="it-IT"/>
              </w:rPr>
            </w:pPr>
            <w:r>
              <w:rPr>
                <w:lang w:val="it-IT"/>
              </w:rPr>
              <w:t>a)</w:t>
            </w:r>
            <w:r>
              <w:rPr>
                <w:lang w:val="it-IT"/>
              </w:rPr>
              <w:tab/>
            </w:r>
            <w:r>
              <w:rPr>
                <w:lang w:val="it-IT"/>
              </w:rPr>
              <w:tab/>
            </w:r>
            <w:r w:rsidR="0017721C" w:rsidRPr="0017721C">
              <w:rPr>
                <w:lang w:val="it-IT"/>
              </w:rPr>
              <w:t>valore complessivo del patrimonio netto e del risultato dell’esercizio risultanti dal bilancio consolidato e i rispettivi valori esposti dal bilancio d’esercizio della controllante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8C0439">
            <w:pPr>
              <w:tabs>
                <w:tab w:val="num" w:pos="392"/>
              </w:tabs>
              <w:overflowPunct/>
              <w:autoSpaceDE/>
              <w:autoSpaceDN/>
              <w:adjustRightInd/>
              <w:spacing w:line="240" w:lineRule="exact"/>
              <w:ind w:left="392" w:hanging="360"/>
              <w:textAlignment w:val="auto"/>
              <w:rPr>
                <w:lang w:val="it-IT"/>
              </w:rPr>
            </w:pPr>
            <w:r>
              <w:rPr>
                <w:lang w:val="it-IT"/>
              </w:rPr>
              <w:t>b)</w:t>
            </w:r>
            <w:r>
              <w:rPr>
                <w:lang w:val="it-IT"/>
              </w:rPr>
              <w:tab/>
            </w:r>
            <w:r w:rsidR="0017721C" w:rsidRPr="0017721C">
              <w:rPr>
                <w:lang w:val="it-IT"/>
              </w:rPr>
              <w:t>rettifiche operate, distinguendo tra quelle operate per l’eliminazione delle operazioni e dei saldi infragruppo e le altre rettifiche di consolidamento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8C0439">
            <w:pPr>
              <w:tabs>
                <w:tab w:val="num" w:pos="392"/>
              </w:tabs>
              <w:overflowPunct/>
              <w:autoSpaceDE/>
              <w:autoSpaceDN/>
              <w:adjustRightInd/>
              <w:spacing w:line="240" w:lineRule="exact"/>
              <w:ind w:left="392" w:hanging="360"/>
              <w:textAlignment w:val="auto"/>
              <w:rPr>
                <w:lang w:val="it-IT"/>
              </w:rPr>
            </w:pPr>
            <w:r>
              <w:rPr>
                <w:lang w:val="it-IT"/>
              </w:rPr>
              <w:t>c)</w:t>
            </w:r>
            <w:r>
              <w:rPr>
                <w:lang w:val="it-IT"/>
              </w:rPr>
              <w:tab/>
            </w:r>
            <w:r w:rsidR="0017721C" w:rsidRPr="0017721C">
              <w:rPr>
                <w:lang w:val="it-IT"/>
              </w:rPr>
              <w:t xml:space="preserve">ammontare complessivo del patrimonio netto consolidato e del risultato consolidato dell’esercizio?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228)</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en-US"/>
              </w:rPr>
            </w:pPr>
            <w:r w:rsidRPr="0017721C">
              <w:rPr>
                <w:sz w:val="13"/>
                <w:szCs w:val="13"/>
                <w:lang w:val="en-US"/>
              </w:rPr>
              <w:t>Art. 38, lett. c,  D.Lgs 127/91</w:t>
            </w:r>
          </w:p>
          <w:p w:rsidR="0017721C" w:rsidRPr="0017721C" w:rsidRDefault="0017721C" w:rsidP="0017721C">
            <w:pPr>
              <w:spacing w:before="40" w:line="240" w:lineRule="auto"/>
              <w:ind w:right="28"/>
              <w:jc w:val="left"/>
              <w:rPr>
                <w:sz w:val="13"/>
                <w:szCs w:val="13"/>
                <w:lang w:val="en-US"/>
              </w:rPr>
            </w:pPr>
            <w:r w:rsidRPr="0017721C">
              <w:rPr>
                <w:sz w:val="13"/>
                <w:szCs w:val="13"/>
                <w:lang w:val="en-US"/>
              </w:rPr>
              <w:t>OIC 17.145</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0439">
            <w:pPr>
              <w:spacing w:line="240" w:lineRule="exact"/>
              <w:rPr>
                <w:lang w:val="it-IT"/>
              </w:rPr>
            </w:pPr>
            <w:r w:rsidRPr="0017721C">
              <w:rPr>
                <w:lang w:val="it-IT"/>
              </w:rPr>
              <w:t>Il prospetto dei movimenti nei conti di patrimonio netto consolidato  riporta in modo analitico le variazioni (incrementi e diminuzioni) intervenute per ciascuna voce del patrimonio netto, includendo anche le quote di patrimonio netto di competenza di terzi?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17.145</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Il prospetto è incluso alternativamente nel corpo della </w:t>
            </w:r>
            <w:r w:rsidR="005B7E0D">
              <w:rPr>
                <w:sz w:val="16"/>
                <w:szCs w:val="16"/>
                <w:lang w:val="it-IT"/>
              </w:rPr>
              <w:t>Nota Integrativa</w:t>
            </w:r>
            <w:r w:rsidRPr="0017721C">
              <w:rPr>
                <w:sz w:val="16"/>
                <w:szCs w:val="16"/>
                <w:lang w:val="it-IT"/>
              </w:rPr>
              <w:t xml:space="preserve"> o in un prospetto allegato ad essa.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229)</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en-US"/>
              </w:rPr>
            </w:pPr>
            <w:r w:rsidRPr="0017721C">
              <w:rPr>
                <w:sz w:val="13"/>
                <w:szCs w:val="13"/>
                <w:lang w:val="en-US"/>
              </w:rPr>
              <w:t>Art. 29, c.3bis,  D.Lgs 127/91</w:t>
            </w:r>
          </w:p>
          <w:p w:rsidR="0017721C" w:rsidRPr="0017721C" w:rsidRDefault="0017721C" w:rsidP="0017721C">
            <w:pPr>
              <w:spacing w:before="40" w:line="240" w:lineRule="auto"/>
              <w:ind w:right="28"/>
              <w:jc w:val="left"/>
              <w:rPr>
                <w:sz w:val="13"/>
                <w:szCs w:val="13"/>
                <w:lang w:val="en-US"/>
              </w:rPr>
            </w:pPr>
            <w:r w:rsidRPr="0017721C">
              <w:rPr>
                <w:sz w:val="13"/>
                <w:szCs w:val="13"/>
                <w:lang w:val="en-US"/>
              </w:rPr>
              <w:t>OIC 17.146</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0439">
            <w:pPr>
              <w:spacing w:line="240" w:lineRule="exact"/>
              <w:rPr>
                <w:lang w:val="it-IT"/>
              </w:rPr>
            </w:pPr>
            <w:r w:rsidRPr="0017721C">
              <w:rPr>
                <w:lang w:val="it-IT"/>
              </w:rPr>
              <w:t xml:space="preserve">Se la società non ha rispettato gli obblighi in tema di rilevazione, valutazione, presentazione e informativa e consolidamento perché la loro osservanza ha avuto effetti irrilevanti al fine di dare una rappresentazione veritiera e corretta, la società ha illustrato nella </w:t>
            </w:r>
            <w:r w:rsidR="005B7E0D">
              <w:rPr>
                <w:lang w:val="it-IT"/>
              </w:rPr>
              <w:t>Nota Integrativa</w:t>
            </w:r>
            <w:r w:rsidRPr="0017721C">
              <w:rPr>
                <w:lang w:val="it-IT"/>
              </w:rPr>
              <w:t xml:space="preserve"> i criteri con i quali ha dato attuazione alla presente disposizione?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Disposizioni di prima applicazione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230)</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17.148</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0439">
            <w:pPr>
              <w:spacing w:line="240" w:lineRule="exact"/>
              <w:rPr>
                <w:lang w:val="it-IT"/>
              </w:rPr>
            </w:pPr>
            <w:r w:rsidRPr="0017721C">
              <w:rPr>
                <w:lang w:val="it-IT"/>
              </w:rPr>
              <w:t>Gli eventuali effetti derivanti dalla applicazione dei paragrafi sotto indicati sono rilevati retroattivamente ai sensi dell’OIC 29:</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8C0439">
            <w:pPr>
              <w:overflowPunct/>
              <w:autoSpaceDE/>
              <w:autoSpaceDN/>
              <w:adjustRightInd/>
              <w:spacing w:line="240" w:lineRule="exact"/>
              <w:ind w:left="317" w:hanging="283"/>
              <w:textAlignment w:val="auto"/>
              <w:rPr>
                <w:lang w:val="it-IT"/>
              </w:rPr>
            </w:pPr>
            <w:r>
              <w:rPr>
                <w:lang w:val="it-IT"/>
              </w:rPr>
              <w:t>-</w:t>
            </w:r>
            <w:r>
              <w:rPr>
                <w:lang w:val="it-IT"/>
              </w:rPr>
              <w:tab/>
            </w:r>
            <w:r w:rsidR="0017721C" w:rsidRPr="0017721C">
              <w:rPr>
                <w:lang w:val="it-IT"/>
              </w:rPr>
              <w:t>33 e 36 in tema di composizione e struttura del bilancio consolidato e di rendiconto finanziario;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8C0439">
            <w:pPr>
              <w:overflowPunct/>
              <w:autoSpaceDE/>
              <w:autoSpaceDN/>
              <w:adjustRightInd/>
              <w:spacing w:line="240" w:lineRule="exact"/>
              <w:ind w:left="317" w:hanging="283"/>
              <w:textAlignment w:val="auto"/>
              <w:rPr>
                <w:lang w:val="it-IT"/>
              </w:rPr>
            </w:pPr>
            <w:r>
              <w:rPr>
                <w:lang w:val="it-IT"/>
              </w:rPr>
              <w:t>-</w:t>
            </w:r>
            <w:r>
              <w:rPr>
                <w:lang w:val="it-IT"/>
              </w:rPr>
              <w:tab/>
            </w:r>
            <w:r w:rsidR="0017721C" w:rsidRPr="0017721C">
              <w:rPr>
                <w:lang w:val="it-IT"/>
              </w:rPr>
              <w:t>56 e 59 in tema di imputazione a conto economico della differenza da annullamento;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8C0439">
            <w:pPr>
              <w:overflowPunct/>
              <w:autoSpaceDE/>
              <w:autoSpaceDN/>
              <w:adjustRightInd/>
              <w:spacing w:line="240" w:lineRule="exact"/>
              <w:ind w:left="317" w:hanging="283"/>
              <w:textAlignment w:val="auto"/>
              <w:rPr>
                <w:lang w:val="it-IT"/>
              </w:rPr>
            </w:pPr>
            <w:r>
              <w:rPr>
                <w:lang w:val="it-IT"/>
              </w:rPr>
              <w:t>-</w:t>
            </w:r>
            <w:r>
              <w:rPr>
                <w:lang w:val="it-IT"/>
              </w:rPr>
              <w:tab/>
            </w:r>
            <w:r w:rsidR="0017721C" w:rsidRPr="0017721C">
              <w:rPr>
                <w:lang w:val="it-IT"/>
              </w:rPr>
              <w:t xml:space="preserve">93 e 94 in tema di trattamento contabile delle azioni proprie e delle azioni o quote della controllante detenute dalle controllate?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231)</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17.149</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8C0439">
            <w:pPr>
              <w:spacing w:line="240" w:lineRule="exact"/>
              <w:rPr>
                <w:lang w:val="it-IT"/>
              </w:rPr>
            </w:pPr>
            <w:r w:rsidRPr="0017721C">
              <w:rPr>
                <w:lang w:val="it-IT"/>
              </w:rPr>
              <w:t>Eventuali effetti derivanti dall’applicazione delle altre modifiche apportate alla precedente versione dell’OIC 17 sono rilevate in bilancio prospetticamente ai sensi dell’OIC 29?</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pageBreakBefore/>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pageBreakBefore/>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pageBreakBefore/>
              <w:overflowPunct/>
              <w:autoSpaceDE/>
              <w:autoSpaceDN/>
              <w:adjustRightInd/>
              <w:spacing w:before="0" w:after="0" w:line="240" w:lineRule="exact"/>
              <w:jc w:val="left"/>
              <w:textAlignment w:val="auto"/>
              <w:outlineLvl w:val="0"/>
              <w:rPr>
                <w:b/>
                <w:caps/>
                <w:kern w:val="28"/>
                <w:sz w:val="22"/>
                <w:szCs w:val="22"/>
                <w:lang w:val="it-IT"/>
              </w:rPr>
            </w:pPr>
            <w:r w:rsidRPr="0017721C">
              <w:rPr>
                <w:b/>
                <w:caps/>
                <w:kern w:val="28"/>
                <w:sz w:val="22"/>
                <w:szCs w:val="22"/>
                <w:lang w:val="it-IT"/>
              </w:rPr>
              <w:t xml:space="preserve">OPERAZIONI DI LOCAZIONE FINANZIARIA E COMPRAVENDITA CON RETROLOCAZIONE FINANZIARIA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pageBreakBefore/>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pageBreakBefore/>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pageBreakBefore/>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Definizioni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 xml:space="preserve">OIC 12. APPENDICE A </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La locazione è “il contratto col quale una parte si obbliga a far godere all’altra una cosa mobile o immobile per un dato tempo, verso un determinato corrispettivo” (articolo 1571 codice civile).</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Un’operazione di locazione si qualifica come locazione finanziaria quando trasferisce al locatario la parte prevalente dei rischi e dei benefici inerenti ai beni locati (articolo 2427, numero 22, codice civile).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Individuazione dei contratti di locazione finanziaria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12. APPENDICE A</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I seguenti indicatori possono essere considerati (singolarmente o congiuntamente) per classificare uncontratto di locazione come locazione finanziaria:</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235" w:right="57" w:hanging="178"/>
              <w:rPr>
                <w:sz w:val="16"/>
                <w:szCs w:val="16"/>
                <w:lang w:val="it-IT"/>
              </w:rPr>
            </w:pPr>
            <w:r w:rsidRPr="0017721C">
              <w:rPr>
                <w:sz w:val="16"/>
                <w:szCs w:val="16"/>
                <w:lang w:val="it-IT"/>
              </w:rPr>
              <w:t>-</w:t>
            </w:r>
            <w:r w:rsidRPr="0017721C">
              <w:rPr>
                <w:sz w:val="16"/>
                <w:szCs w:val="16"/>
                <w:lang w:val="it-IT"/>
              </w:rPr>
              <w:tab/>
              <w:t>il contratto prevede il trasferimento della proprietà del bene al locatario al termine del contratto dilocazione finanziaria;</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235" w:right="57" w:hanging="178"/>
              <w:rPr>
                <w:sz w:val="16"/>
                <w:szCs w:val="16"/>
                <w:lang w:val="it-IT"/>
              </w:rPr>
            </w:pPr>
            <w:r w:rsidRPr="0017721C">
              <w:rPr>
                <w:sz w:val="16"/>
                <w:szCs w:val="16"/>
                <w:lang w:val="it-IT"/>
              </w:rPr>
              <w:t>-</w:t>
            </w:r>
            <w:r w:rsidRPr="0017721C">
              <w:rPr>
                <w:sz w:val="16"/>
                <w:szCs w:val="16"/>
                <w:lang w:val="it-IT"/>
              </w:rPr>
              <w:tab/>
              <w:t>il locatario ha l’opzione di acquisto del bene ad un prezzo che ci si attende sia sufficientemente inferiore al fair value alla data in cui si potrà esercitare l’opzione, cosicché, all’inizio del contratto di locazione finanziaria, è ragionevolmente certo che essa sarà esercitata;</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235" w:right="57" w:hanging="178"/>
              <w:rPr>
                <w:sz w:val="16"/>
                <w:szCs w:val="16"/>
                <w:lang w:val="it-IT"/>
              </w:rPr>
            </w:pPr>
            <w:r w:rsidRPr="0017721C">
              <w:rPr>
                <w:sz w:val="16"/>
                <w:szCs w:val="16"/>
                <w:lang w:val="it-IT"/>
              </w:rPr>
              <w:t xml:space="preserve">- </w:t>
            </w:r>
            <w:r w:rsidRPr="0017721C">
              <w:rPr>
                <w:sz w:val="16"/>
                <w:szCs w:val="16"/>
                <w:lang w:val="it-IT"/>
              </w:rPr>
              <w:tab/>
              <w:t>la durata del contratto di locazione finanziaria copre la maggior parte della vita utile del bene anche se la proprietà non viene trasferita;</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235" w:right="57" w:hanging="178"/>
              <w:rPr>
                <w:sz w:val="16"/>
                <w:szCs w:val="16"/>
                <w:lang w:val="it-IT"/>
              </w:rPr>
            </w:pPr>
            <w:r w:rsidRPr="0017721C">
              <w:rPr>
                <w:sz w:val="16"/>
                <w:szCs w:val="16"/>
                <w:lang w:val="it-IT"/>
              </w:rPr>
              <w:t xml:space="preserve"> - </w:t>
            </w:r>
            <w:r w:rsidRPr="0017721C">
              <w:rPr>
                <w:sz w:val="16"/>
                <w:szCs w:val="16"/>
                <w:lang w:val="it-IT"/>
              </w:rPr>
              <w:tab/>
              <w:t>all’inizio del contratto il valore attuale dei pagamenti minimi dovuti per la locazione finanziaria equivale almeno al fair value del bene locato;</w:t>
            </w:r>
          </w:p>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235" w:right="57" w:hanging="178"/>
              <w:rPr>
                <w:sz w:val="16"/>
                <w:szCs w:val="16"/>
                <w:lang w:val="it-IT"/>
              </w:rPr>
            </w:pPr>
            <w:r w:rsidRPr="0017721C">
              <w:rPr>
                <w:sz w:val="16"/>
                <w:szCs w:val="16"/>
                <w:lang w:val="it-IT"/>
              </w:rPr>
              <w:t>-  i beni locati sono di natura così particolare che solo il locatario può utilizzarli senza dover apportare loro importanti modifiche.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Classificazione e rilevazione in bilancio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utlineLvl w:val="2"/>
              <w:rPr>
                <w:b/>
                <w:bCs/>
                <w:i/>
              </w:rPr>
            </w:pPr>
            <w:r w:rsidRPr="0017721C">
              <w:rPr>
                <w:b/>
                <w:bCs/>
                <w:i/>
              </w:rPr>
              <w:t xml:space="preserve">Societa locatrice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232)</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 xml:space="preserve">OIC 12. APPENDICE A </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La società ha fornito, tra le immobilizzazioni iscritte nell’attivo dello stato patrimoniale, specifica evidenza di quelle concesse in locazione finanziaria?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utlineLvl w:val="2"/>
              <w:rPr>
                <w:b/>
                <w:bCs/>
                <w:i/>
              </w:rPr>
            </w:pPr>
            <w:r w:rsidRPr="0017721C">
              <w:rPr>
                <w:b/>
                <w:bCs/>
                <w:i/>
              </w:rPr>
              <w:t>Società utilizzatrice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233)</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 xml:space="preserve">OIC 12. APPENDICE A </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 xml:space="preserve">La </w:t>
            </w:r>
            <w:r w:rsidR="005B7E0D">
              <w:rPr>
                <w:lang w:val="it-IT"/>
              </w:rPr>
              <w:t>Nota Integrativa</w:t>
            </w:r>
            <w:r w:rsidRPr="0017721C">
              <w:rPr>
                <w:lang w:val="it-IT"/>
              </w:rPr>
              <w:t xml:space="preserve"> contiene un prospetto dal quale risulti: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17721C">
            <w:pPr>
              <w:overflowPunct/>
              <w:autoSpaceDE/>
              <w:autoSpaceDN/>
              <w:adjustRightInd/>
              <w:ind w:left="317" w:hanging="283"/>
              <w:textAlignment w:val="auto"/>
              <w:rPr>
                <w:lang w:val="it-IT"/>
              </w:rPr>
            </w:pPr>
            <w:r>
              <w:rPr>
                <w:lang w:val="it-IT"/>
              </w:rPr>
              <w:t>-</w:t>
            </w:r>
            <w:r>
              <w:rPr>
                <w:lang w:val="it-IT"/>
              </w:rPr>
              <w:tab/>
            </w:r>
            <w:r w:rsidR="0017721C" w:rsidRPr="0017721C">
              <w:rPr>
                <w:lang w:val="it-IT"/>
              </w:rPr>
              <w:t>l’ammontare complessivo al quale i beni locati sarebbero stati iscritti alla data di chiusura dell’esercizio qualora fossero stati considerati immobilizzazioni,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17721C">
            <w:pPr>
              <w:overflowPunct/>
              <w:autoSpaceDE/>
              <w:autoSpaceDN/>
              <w:adjustRightInd/>
              <w:ind w:left="317" w:hanging="283"/>
              <w:textAlignment w:val="auto"/>
              <w:rPr>
                <w:lang w:val="it-IT"/>
              </w:rPr>
            </w:pPr>
            <w:r>
              <w:rPr>
                <w:lang w:val="it-IT"/>
              </w:rPr>
              <w:t>-</w:t>
            </w:r>
            <w:r>
              <w:rPr>
                <w:lang w:val="it-IT"/>
              </w:rPr>
              <w:tab/>
            </w:r>
            <w:r w:rsidR="0017721C" w:rsidRPr="0017721C">
              <w:rPr>
                <w:lang w:val="it-IT"/>
              </w:rPr>
              <w:t>gli ammortamenti, rettifiche e riprese di valore che sarebbero stati di competenza dell’esercizio,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17721C">
            <w:pPr>
              <w:overflowPunct/>
              <w:autoSpaceDE/>
              <w:autoSpaceDN/>
              <w:adjustRightInd/>
              <w:ind w:left="317" w:hanging="283"/>
              <w:textAlignment w:val="auto"/>
              <w:rPr>
                <w:lang w:val="it-IT"/>
              </w:rPr>
            </w:pPr>
            <w:r>
              <w:rPr>
                <w:lang w:val="it-IT"/>
              </w:rPr>
              <w:t>-</w:t>
            </w:r>
            <w:r>
              <w:rPr>
                <w:lang w:val="it-IT"/>
              </w:rPr>
              <w:tab/>
            </w:r>
            <w:r w:rsidR="0017721C" w:rsidRPr="0017721C">
              <w:rPr>
                <w:lang w:val="it-IT"/>
              </w:rPr>
              <w:t>il valore attuale delle rate di canone non scadute determinato utilizzando il tasso di interesse effettivo del contratto di locazione finanziaria, 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17721C">
            <w:pPr>
              <w:overflowPunct/>
              <w:autoSpaceDE/>
              <w:autoSpaceDN/>
              <w:adjustRightInd/>
              <w:ind w:left="317" w:hanging="283"/>
              <w:textAlignment w:val="auto"/>
              <w:rPr>
                <w:lang w:val="it-IT"/>
              </w:rPr>
            </w:pPr>
            <w:r>
              <w:rPr>
                <w:lang w:val="it-IT"/>
              </w:rPr>
              <w:t>-</w:t>
            </w:r>
            <w:r>
              <w:rPr>
                <w:lang w:val="it-IT"/>
              </w:rPr>
              <w:tab/>
            </w:r>
            <w:r w:rsidR="0017721C" w:rsidRPr="0017721C">
              <w:rPr>
                <w:lang w:val="it-IT"/>
              </w:rPr>
              <w:t>gli oneri finanziari di competenza dell’esercizio determinati sulla base del tasso di interesse effettivo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5B7E0D" w:rsidP="0017721C">
            <w:pPr>
              <w:keepNext/>
              <w:outlineLvl w:val="2"/>
              <w:rPr>
                <w:b/>
                <w:bCs/>
                <w:i/>
                <w:lang w:val="it-IT"/>
              </w:rPr>
            </w:pPr>
            <w:r>
              <w:rPr>
                <w:b/>
                <w:bCs/>
                <w:i/>
                <w:lang w:val="it-IT"/>
              </w:rPr>
              <w:t>Nota Integrativa</w:t>
            </w:r>
            <w:r w:rsidR="0017721C" w:rsidRPr="0017721C">
              <w:rPr>
                <w:b/>
                <w:bCs/>
                <w:i/>
                <w:lang w:val="it-IT"/>
              </w:rPr>
              <w:t xml:space="preserve"> della società utilizzatrice che redige il bilancio in forma ordinaria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234)</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 xml:space="preserve">OIC 12. APPENDICE A </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 xml:space="preserve">La </w:t>
            </w:r>
            <w:r w:rsidR="005B7E0D">
              <w:rPr>
                <w:lang w:val="it-IT"/>
              </w:rPr>
              <w:t>Nota Integrativa</w:t>
            </w:r>
            <w:r w:rsidRPr="0017721C">
              <w:rPr>
                <w:lang w:val="it-IT"/>
              </w:rPr>
              <w:t xml:space="preserve"> contiene un prospetto dal quale risulti: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8C0439">
            <w:pPr>
              <w:overflowPunct/>
              <w:autoSpaceDE/>
              <w:autoSpaceDN/>
              <w:adjustRightInd/>
              <w:ind w:left="317" w:hanging="283"/>
              <w:textAlignment w:val="auto"/>
              <w:rPr>
                <w:lang w:val="it-IT"/>
              </w:rPr>
            </w:pPr>
            <w:r>
              <w:rPr>
                <w:lang w:val="it-IT"/>
              </w:rPr>
              <w:t>-</w:t>
            </w:r>
            <w:r>
              <w:rPr>
                <w:lang w:val="it-IT"/>
              </w:rPr>
              <w:tab/>
              <w:t>l</w:t>
            </w:r>
            <w:r w:rsidR="0017721C" w:rsidRPr="0017721C">
              <w:rPr>
                <w:lang w:val="it-IT"/>
              </w:rPr>
              <w:t>’ammontare complessivo al quale i beni locati sarebbero stati iscritti alla data di chiusura dell’esercizio qualora fossero stati considerati immobilizzazioni,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17721C">
            <w:pPr>
              <w:overflowPunct/>
              <w:autoSpaceDE/>
              <w:autoSpaceDN/>
              <w:adjustRightInd/>
              <w:ind w:left="317" w:hanging="283"/>
              <w:textAlignment w:val="auto"/>
              <w:rPr>
                <w:lang w:val="it-IT"/>
              </w:rPr>
            </w:pPr>
            <w:r>
              <w:rPr>
                <w:lang w:val="it-IT"/>
              </w:rPr>
              <w:t>-</w:t>
            </w:r>
            <w:r>
              <w:rPr>
                <w:lang w:val="it-IT"/>
              </w:rPr>
              <w:tab/>
            </w:r>
            <w:r w:rsidR="0017721C" w:rsidRPr="0017721C">
              <w:rPr>
                <w:lang w:val="it-IT"/>
              </w:rPr>
              <w:t>gli ammortamenti, rettifiche e riprese di valore che sarebbero stati di competenza dell’esercizio,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17721C">
            <w:pPr>
              <w:overflowPunct/>
              <w:autoSpaceDE/>
              <w:autoSpaceDN/>
              <w:adjustRightInd/>
              <w:ind w:left="317" w:hanging="283"/>
              <w:textAlignment w:val="auto"/>
              <w:rPr>
                <w:lang w:val="it-IT"/>
              </w:rPr>
            </w:pPr>
            <w:r>
              <w:rPr>
                <w:lang w:val="it-IT"/>
              </w:rPr>
              <w:t>-</w:t>
            </w:r>
            <w:r>
              <w:rPr>
                <w:lang w:val="it-IT"/>
              </w:rPr>
              <w:tab/>
            </w:r>
            <w:r w:rsidR="0017721C" w:rsidRPr="0017721C">
              <w:rPr>
                <w:lang w:val="it-IT"/>
              </w:rPr>
              <w:t>il valore attuale delle rate di canone non scadute determinato utilizzando il tasso di interesseeffettivo del contratto di locazione finanziaria, 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17721C">
            <w:pPr>
              <w:overflowPunct/>
              <w:autoSpaceDE/>
              <w:autoSpaceDN/>
              <w:adjustRightInd/>
              <w:ind w:left="317" w:hanging="283"/>
              <w:textAlignment w:val="auto"/>
              <w:rPr>
                <w:lang w:val="it-IT"/>
              </w:rPr>
            </w:pPr>
            <w:r>
              <w:rPr>
                <w:lang w:val="it-IT"/>
              </w:rPr>
              <w:t>-</w:t>
            </w:r>
            <w:r>
              <w:rPr>
                <w:lang w:val="it-IT"/>
              </w:rPr>
              <w:tab/>
            </w:r>
            <w:r w:rsidR="0017721C" w:rsidRPr="0017721C">
              <w:rPr>
                <w:lang w:val="it-IT"/>
              </w:rPr>
              <w:t>gli oneri finanziari di competenza dell’esercizio determinati sulla base del tasso di interesse effettivo?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Operazioni di compravendita e retrolocazione finanziaria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 xml:space="preserve">OIC 12. APPENDICE A </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Un’operazione di vendita e retrolocazione finanziaria comporta la vendita di un bene e successiva locazione finanziaria dello stesso bene dal compratore al venditore.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235)</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 xml:space="preserve">OIC 12. APPENDICE A </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L’eventuale plusvalenza (differenza positiva tra il prezzo di vendita del bene ed il suo valore netto contabile alla data della vendita) che si dovesse determinare è rilevata in conto economico lungo la durata del contratto di locazione?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verflowPunct/>
              <w:autoSpaceDE/>
              <w:autoSpaceDN/>
              <w:adjustRightInd/>
              <w:spacing w:before="0" w:after="0" w:line="240" w:lineRule="exact"/>
              <w:textAlignment w:val="auto"/>
              <w:outlineLvl w:val="0"/>
              <w:rPr>
                <w:b/>
                <w:caps/>
                <w:kern w:val="28"/>
                <w:sz w:val="22"/>
                <w:szCs w:val="22"/>
                <w:lang w:val="it-IT"/>
              </w:rPr>
            </w:pPr>
            <w:r w:rsidRPr="0017721C">
              <w:rPr>
                <w:b/>
                <w:caps/>
                <w:kern w:val="28"/>
                <w:sz w:val="22"/>
                <w:szCs w:val="22"/>
                <w:lang w:val="it-IT"/>
              </w:rPr>
              <w:t>OPERAZIONI DI COMPRAVENDITA CON OBBLIGO DI RETROCESSIONE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236)</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La società ha posto in essere operazioni di compravendita con obbligo di retrocessione?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en-US"/>
              </w:rPr>
            </w:pPr>
            <w:r w:rsidRPr="0017721C">
              <w:rPr>
                <w:sz w:val="13"/>
                <w:szCs w:val="13"/>
                <w:lang w:val="en-US"/>
              </w:rPr>
              <w:t>Art.2424 bis e 2425 bis CC</w:t>
            </w:r>
          </w:p>
          <w:p w:rsidR="0017721C" w:rsidRPr="0017721C" w:rsidRDefault="0017721C" w:rsidP="0017721C">
            <w:pPr>
              <w:spacing w:before="40" w:line="240" w:lineRule="auto"/>
              <w:ind w:right="28"/>
              <w:jc w:val="left"/>
              <w:rPr>
                <w:sz w:val="13"/>
                <w:szCs w:val="13"/>
                <w:lang w:val="en-US"/>
              </w:rPr>
            </w:pPr>
            <w:r w:rsidRPr="0017721C">
              <w:rPr>
                <w:sz w:val="13"/>
                <w:szCs w:val="13"/>
                <w:lang w:val="en-US"/>
              </w:rPr>
              <w:t>OIC 12, APPENDICE B</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Le attività oggetto di contratti di compravendita con obbligo di retrocessione a termine devono essere iscritte nello Stato Patrimoniale del venditore” (articolo 2424-bis), e I proventi e gli oneri relativi ad operazioni di compravendita con obbligo di retrocessione a termine, ivi compresa la differenza tra prezzo a termine e prezzo a pronti, devono essere iscritti per le quote di competenza dell’esercizio (articolo 2425-bis).</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center"/>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Effetti sul bilancio del venditore “a pronti” (alias: acquirente “a termine”)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237)</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12, APPENDICE B</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Nel caso di operazione con natura finanziaria, il venditore a pronti ha iscritto: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F1570B">
            <w:pPr>
              <w:overflowPunct/>
              <w:autoSpaceDE/>
              <w:autoSpaceDN/>
              <w:adjustRightInd/>
              <w:ind w:left="426" w:hanging="284"/>
              <w:textAlignment w:val="auto"/>
              <w:rPr>
                <w:lang w:val="it-IT"/>
              </w:rPr>
            </w:pPr>
            <w:r>
              <w:rPr>
                <w:lang w:val="it-IT"/>
              </w:rPr>
              <w:t>-</w:t>
            </w:r>
            <w:r>
              <w:rPr>
                <w:lang w:val="it-IT"/>
              </w:rPr>
              <w:tab/>
            </w:r>
            <w:r w:rsidR="0017721C" w:rsidRPr="0017721C">
              <w:rPr>
                <w:lang w:val="it-IT"/>
              </w:rPr>
              <w:t>iscritto un credito finanziario nell’attivo dello stato patrimoniale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F1570B">
            <w:pPr>
              <w:overflowPunct/>
              <w:autoSpaceDE/>
              <w:autoSpaceDN/>
              <w:adjustRightInd/>
              <w:ind w:left="426" w:hanging="284"/>
              <w:textAlignment w:val="auto"/>
              <w:rPr>
                <w:lang w:val="it-IT"/>
              </w:rPr>
            </w:pPr>
            <w:r>
              <w:rPr>
                <w:lang w:val="it-IT"/>
              </w:rPr>
              <w:t>-</w:t>
            </w:r>
            <w:r>
              <w:rPr>
                <w:lang w:val="it-IT"/>
              </w:rPr>
              <w:tab/>
            </w:r>
            <w:r w:rsidR="0017721C" w:rsidRPr="0017721C">
              <w:rPr>
                <w:lang w:val="it-IT"/>
              </w:rPr>
              <w:t>imputato la differenza tra prezzo a pronti (maggiore) e prezzo a termine (minore) sarà imputata a conto economico per competenza come onere finanziario (voce C17 - Interessi e altri oneri finanziari)?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12, APPENDICE B</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 xml:space="preserve">L’operazione avrà una natura operativa (prestito di un bene) se il prezzo a pronti è superiore al prezzo a termine. In questo caso, occorre distinguere se l’operazione verte su un bene di natura finanziaria o di altra natura.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238)</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12, APPENDICE B</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Se l’operazione verte su un bene di natura non finanziaria (ad es. un impianto) il venditore a pronti ha iscritto in contropartita alla somma ricevuta per la vendita iniziale: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F1570B">
            <w:pPr>
              <w:overflowPunct/>
              <w:autoSpaceDE/>
              <w:autoSpaceDN/>
              <w:adjustRightInd/>
              <w:ind w:left="426" w:hanging="283"/>
              <w:textAlignment w:val="auto"/>
              <w:rPr>
                <w:lang w:val="it-IT"/>
              </w:rPr>
            </w:pPr>
            <w:r>
              <w:rPr>
                <w:lang w:val="it-IT"/>
              </w:rPr>
              <w:t>-</w:t>
            </w:r>
            <w:r>
              <w:rPr>
                <w:lang w:val="it-IT"/>
              </w:rPr>
              <w:tab/>
            </w:r>
            <w:r w:rsidR="0017721C" w:rsidRPr="0017721C">
              <w:rPr>
                <w:lang w:val="it-IT"/>
              </w:rPr>
              <w:t>un debito verso il venditore a termine corrispondente al prezzo pattuito per il futuro riacquisto, 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F1570B">
            <w:pPr>
              <w:overflowPunct/>
              <w:autoSpaceDE/>
              <w:autoSpaceDN/>
              <w:adjustRightInd/>
              <w:ind w:left="426" w:hanging="283"/>
              <w:textAlignment w:val="auto"/>
              <w:rPr>
                <w:lang w:val="it-IT"/>
              </w:rPr>
            </w:pPr>
            <w:r>
              <w:rPr>
                <w:lang w:val="it-IT"/>
              </w:rPr>
              <w:t>-</w:t>
            </w:r>
            <w:r>
              <w:rPr>
                <w:lang w:val="it-IT"/>
              </w:rPr>
              <w:tab/>
            </w:r>
            <w:r w:rsidR="0017721C" w:rsidRPr="0017721C">
              <w:rPr>
                <w:lang w:val="it-IT"/>
              </w:rPr>
              <w:t>un risconto passivo per la differenza (positiva) tra il prezzo a pronti ed il prezzo a termine?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12, APPENDICE B</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Tale risconto, che rappresenta il corrispettivo ricevuto per aver concesso l’uso del bene al venditore a termine, sarà rilasciato a conto economico in quote costanti come provento operativo (voce A5 – Altri ricavi e proventi).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Effetti sul bilancio dell’acquirente “a pronti” (alias: venditore “a termine”)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12, APPENDICE B</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Le operazioni ed i valori che sono iscritti nel bilancio dell’acquirente a pronti sono, per quanto possibile, simmetrici rispetto al trattamento contabile previsto per il venditore a pronti.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8C0439">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239)</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12, APPENDICE B</w:t>
            </w:r>
          </w:p>
        </w:tc>
        <w:tc>
          <w:tcPr>
            <w:tcW w:w="6912"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8C0439">
            <w:pPr>
              <w:jc w:val="left"/>
              <w:rPr>
                <w:lang w:val="it-IT"/>
              </w:rPr>
            </w:pPr>
            <w:r w:rsidRPr="0017721C">
              <w:rPr>
                <w:lang w:val="it-IT"/>
              </w:rPr>
              <w:t>Se l’operazione ha natura finanziaria, l’acquirente a pronti ha iscritto:</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F1570B">
            <w:pPr>
              <w:overflowPunct/>
              <w:autoSpaceDE/>
              <w:autoSpaceDN/>
              <w:adjustRightInd/>
              <w:ind w:left="426" w:hanging="283"/>
              <w:textAlignment w:val="auto"/>
              <w:rPr>
                <w:lang w:val="it-IT"/>
              </w:rPr>
            </w:pPr>
            <w:r>
              <w:rPr>
                <w:lang w:val="it-IT"/>
              </w:rPr>
              <w:t>-</w:t>
            </w:r>
            <w:r>
              <w:rPr>
                <w:lang w:val="it-IT"/>
              </w:rPr>
              <w:tab/>
            </w:r>
            <w:r w:rsidR="0017721C" w:rsidRPr="0017721C">
              <w:rPr>
                <w:lang w:val="it-IT"/>
              </w:rPr>
              <w:t>un credito finanziario in contropartita alla somma corrisposta in sede di acquisto iniziale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F1570B">
            <w:pPr>
              <w:overflowPunct/>
              <w:autoSpaceDE/>
              <w:autoSpaceDN/>
              <w:adjustRightInd/>
              <w:ind w:left="426" w:hanging="283"/>
              <w:textAlignment w:val="auto"/>
              <w:rPr>
                <w:lang w:val="it-IT"/>
              </w:rPr>
            </w:pPr>
            <w:r>
              <w:rPr>
                <w:lang w:val="it-IT"/>
              </w:rPr>
              <w:t>-</w:t>
            </w:r>
            <w:r>
              <w:rPr>
                <w:lang w:val="it-IT"/>
              </w:rPr>
              <w:tab/>
            </w:r>
            <w:r w:rsidR="0017721C" w:rsidRPr="0017721C">
              <w:rPr>
                <w:lang w:val="it-IT"/>
              </w:rPr>
              <w:t>i relativi proventi finanziari per competenza?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12, APPENDICE B</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17721C">
              <w:rPr>
                <w:sz w:val="16"/>
                <w:szCs w:val="16"/>
                <w:lang w:val="it-IT"/>
              </w:rPr>
              <w:t>Se invece l’operazione ha natura operativa, le rilevazioni contabili dell’acquirente a pronti sono differenti a seconda se l’operazione verte su un bene di natura finanziaria o di altra natura.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240)</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12, APPENDICE B</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Se l’operazione verte su un bene di natura non finanziaria (ad es. un impianto) l’acquirente a pronti ha effettuato le seguenti rilevazioni contabili: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F1570B">
            <w:pPr>
              <w:overflowPunct/>
              <w:autoSpaceDE/>
              <w:autoSpaceDN/>
              <w:adjustRightInd/>
              <w:ind w:left="426" w:hanging="284"/>
              <w:textAlignment w:val="auto"/>
              <w:rPr>
                <w:lang w:val="it-IT"/>
              </w:rPr>
            </w:pPr>
            <w:r>
              <w:rPr>
                <w:lang w:val="it-IT"/>
              </w:rPr>
              <w:t>-</w:t>
            </w:r>
            <w:r>
              <w:rPr>
                <w:lang w:val="it-IT"/>
              </w:rPr>
              <w:tab/>
            </w:r>
            <w:r w:rsidR="0017721C" w:rsidRPr="0017721C">
              <w:rPr>
                <w:lang w:val="it-IT"/>
              </w:rPr>
              <w:t>i mezzi finanziari utilizzati per l’acquisto iniziale saranno iscritti come crediti limitatamente alla parte corrispondente al prezzo pattuito per la futura retrocessione del bene;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F1570B">
            <w:pPr>
              <w:overflowPunct/>
              <w:autoSpaceDE/>
              <w:autoSpaceDN/>
              <w:adjustRightInd/>
              <w:ind w:left="426" w:hanging="284"/>
              <w:textAlignment w:val="auto"/>
              <w:rPr>
                <w:lang w:val="it-IT"/>
              </w:rPr>
            </w:pPr>
            <w:r>
              <w:rPr>
                <w:lang w:val="it-IT"/>
              </w:rPr>
              <w:t>-</w:t>
            </w:r>
            <w:r>
              <w:rPr>
                <w:lang w:val="it-IT"/>
              </w:rPr>
              <w:tab/>
            </w:r>
            <w:r w:rsidR="0017721C" w:rsidRPr="0017721C">
              <w:rPr>
                <w:lang w:val="it-IT"/>
              </w:rPr>
              <w:t>la parte corrisposta al venditore a pronti in relazione al godimento temporaneo del bene è iscritta tra i risconti attivi e rilasciata per competenza a conto economico (voce B8 – Costi per il godimento di beni di terzi)?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8C0439">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241)</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12, APPENDICE B</w:t>
            </w:r>
          </w:p>
        </w:tc>
        <w:tc>
          <w:tcPr>
            <w:tcW w:w="6912"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8C0439">
            <w:pPr>
              <w:jc w:val="left"/>
              <w:rPr>
                <w:lang w:val="it-IT"/>
              </w:rPr>
            </w:pPr>
            <w:r w:rsidRPr="0017721C">
              <w:rPr>
                <w:lang w:val="it-IT"/>
              </w:rPr>
              <w:t>Se l’operazione verte su un bene di natura finanziaria, l’acquirente a pronti ha: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F1570B">
            <w:pPr>
              <w:overflowPunct/>
              <w:autoSpaceDE/>
              <w:autoSpaceDN/>
              <w:adjustRightInd/>
              <w:ind w:left="426" w:hanging="284"/>
              <w:textAlignment w:val="auto"/>
              <w:rPr>
                <w:lang w:val="it-IT"/>
              </w:rPr>
            </w:pPr>
            <w:r>
              <w:rPr>
                <w:lang w:val="it-IT"/>
              </w:rPr>
              <w:t>-</w:t>
            </w:r>
            <w:r>
              <w:rPr>
                <w:lang w:val="it-IT"/>
              </w:rPr>
              <w:tab/>
            </w:r>
            <w:r w:rsidR="0017721C" w:rsidRPr="0017721C">
              <w:rPr>
                <w:lang w:val="it-IT"/>
              </w:rPr>
              <w:t>iscritto un credito finanziario nell’attivo dello stato patrimoniale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8C0439" w:rsidP="00F1570B">
            <w:pPr>
              <w:overflowPunct/>
              <w:autoSpaceDE/>
              <w:autoSpaceDN/>
              <w:adjustRightInd/>
              <w:ind w:left="426" w:hanging="284"/>
              <w:textAlignment w:val="auto"/>
              <w:rPr>
                <w:lang w:val="it-IT"/>
              </w:rPr>
            </w:pPr>
            <w:r>
              <w:rPr>
                <w:lang w:val="it-IT"/>
              </w:rPr>
              <w:t>-</w:t>
            </w:r>
            <w:r>
              <w:rPr>
                <w:lang w:val="it-IT"/>
              </w:rPr>
              <w:tab/>
            </w:r>
            <w:r w:rsidR="0017721C" w:rsidRPr="0017721C">
              <w:rPr>
                <w:lang w:val="it-IT"/>
              </w:rPr>
              <w:t>imputato la differenza tra prezzo a pronti (maggiore) e prezzo a termine (minore) sarà imputata a conto economico per competenza come onere finanziario (voce C17 - Interessi e altri oneri finanziari)?</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CC242B"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lang w:val="it-IT"/>
              </w:rPr>
            </w:pP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center"/>
              <w:rPr>
                <w:sz w:val="13"/>
                <w:szCs w:val="13"/>
                <w:lang w:val="it-IT"/>
              </w:rPr>
            </w:pP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keepNext/>
              <w:overflowPunct/>
              <w:autoSpaceDE/>
              <w:autoSpaceDN/>
              <w:adjustRightInd/>
              <w:spacing w:line="240" w:lineRule="exact"/>
              <w:jc w:val="left"/>
              <w:textAlignment w:val="auto"/>
              <w:outlineLvl w:val="1"/>
              <w:rPr>
                <w:b/>
                <w:sz w:val="22"/>
                <w:szCs w:val="22"/>
                <w:lang w:val="it-IT"/>
              </w:rPr>
            </w:pPr>
            <w:r w:rsidRPr="0017721C">
              <w:rPr>
                <w:b/>
                <w:sz w:val="22"/>
                <w:szCs w:val="22"/>
                <w:lang w:val="it-IT"/>
              </w:rPr>
              <w:t>Nota Integrativa delle società che redigono il bilancio in forma ordinaria</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242)</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it-IT"/>
              </w:rPr>
            </w:pPr>
            <w:r w:rsidRPr="0017721C">
              <w:rPr>
                <w:sz w:val="13"/>
                <w:szCs w:val="13"/>
                <w:lang w:val="it-IT"/>
              </w:rPr>
              <w:t>OIC 12, APPENDICE B</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 xml:space="preserve">Sia nella </w:t>
            </w:r>
            <w:r w:rsidR="005B7E0D">
              <w:rPr>
                <w:lang w:val="it-IT"/>
              </w:rPr>
              <w:t>Nota Integrativa</w:t>
            </w:r>
            <w:r w:rsidRPr="0017721C">
              <w:rPr>
                <w:lang w:val="it-IT"/>
              </w:rPr>
              <w:t xml:space="preserve"> al bilancio del cedente che in quella del cessionario è illustrata l’operazione di vendita con obbligo di retrocessione ed i termini contrattuali relativi? </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r w:rsidR="0017721C" w:rsidRPr="0017721C" w:rsidTr="003464AE">
        <w:trPr>
          <w:trHeight w:val="20"/>
        </w:trPr>
        <w:tc>
          <w:tcPr>
            <w:tcW w:w="726" w:type="dxa"/>
            <w:tcBorders>
              <w:top w:val="single" w:sz="2" w:space="0" w:color="auto"/>
              <w:left w:val="single" w:sz="2" w:space="0" w:color="auto"/>
              <w:bottom w:val="single" w:sz="2" w:space="0" w:color="auto"/>
              <w:right w:val="single" w:sz="2" w:space="0" w:color="auto"/>
            </w:tcBorders>
          </w:tcPr>
          <w:p w:rsidR="0017721C" w:rsidRPr="0017721C" w:rsidRDefault="0017721C" w:rsidP="0017721C">
            <w:pPr>
              <w:jc w:val="center"/>
              <w:rPr>
                <w:b/>
                <w:lang w:val="it-IT"/>
              </w:rPr>
            </w:pPr>
            <w:r w:rsidRPr="0017721C">
              <w:rPr>
                <w:b/>
                <w:lang w:val="it-IT"/>
              </w:rPr>
              <w:t>243)</w:t>
            </w:r>
          </w:p>
        </w:tc>
        <w:tc>
          <w:tcPr>
            <w:tcW w:w="836" w:type="dxa"/>
            <w:tcBorders>
              <w:top w:val="single" w:sz="2" w:space="0" w:color="auto"/>
              <w:left w:val="single" w:sz="2" w:space="0" w:color="auto"/>
              <w:bottom w:val="single" w:sz="2" w:space="0" w:color="auto"/>
              <w:right w:val="single" w:sz="2" w:space="0" w:color="auto"/>
            </w:tcBorders>
            <w:tcMar>
              <w:left w:w="108" w:type="dxa"/>
              <w:right w:w="0" w:type="dxa"/>
            </w:tcMar>
          </w:tcPr>
          <w:p w:rsidR="0017721C" w:rsidRPr="0017721C" w:rsidRDefault="0017721C" w:rsidP="0017721C">
            <w:pPr>
              <w:spacing w:before="40" w:line="240" w:lineRule="auto"/>
              <w:ind w:right="28"/>
              <w:jc w:val="left"/>
              <w:rPr>
                <w:sz w:val="13"/>
                <w:szCs w:val="13"/>
                <w:lang w:val="en-US"/>
              </w:rPr>
            </w:pPr>
            <w:r w:rsidRPr="0017721C">
              <w:rPr>
                <w:sz w:val="13"/>
                <w:szCs w:val="13"/>
                <w:lang w:val="en-US"/>
              </w:rPr>
              <w:t>Art. 2427, c. 1, n. 6-ter, CC</w:t>
            </w:r>
          </w:p>
          <w:p w:rsidR="0017721C" w:rsidRPr="0017721C" w:rsidRDefault="0017721C" w:rsidP="0017721C">
            <w:pPr>
              <w:spacing w:before="40" w:line="240" w:lineRule="auto"/>
              <w:ind w:right="28"/>
              <w:jc w:val="left"/>
              <w:rPr>
                <w:sz w:val="13"/>
                <w:szCs w:val="13"/>
                <w:lang w:val="en-US"/>
              </w:rPr>
            </w:pPr>
            <w:r w:rsidRPr="0017721C">
              <w:rPr>
                <w:sz w:val="13"/>
                <w:szCs w:val="13"/>
                <w:lang w:val="en-US"/>
              </w:rPr>
              <w:t>OIC 12, APPENDICE B</w:t>
            </w:r>
          </w:p>
        </w:tc>
        <w:tc>
          <w:tcPr>
            <w:tcW w:w="6912" w:type="dxa"/>
            <w:tcBorders>
              <w:top w:val="single" w:sz="2" w:space="0" w:color="auto"/>
              <w:left w:val="single" w:sz="2" w:space="0" w:color="auto"/>
              <w:bottom w:val="single" w:sz="2" w:space="0" w:color="auto"/>
              <w:right w:val="single" w:sz="2" w:space="0" w:color="auto"/>
            </w:tcBorders>
            <w:tcMar>
              <w:left w:w="108" w:type="dxa"/>
            </w:tcMar>
          </w:tcPr>
          <w:p w:rsidR="0017721C" w:rsidRPr="0017721C" w:rsidRDefault="0017721C" w:rsidP="0017721C">
            <w:pPr>
              <w:rPr>
                <w:lang w:val="it-IT"/>
              </w:rPr>
            </w:pPr>
            <w:r w:rsidRPr="0017721C">
              <w:rPr>
                <w:lang w:val="it-IT"/>
              </w:rPr>
              <w:t xml:space="preserve">La </w:t>
            </w:r>
            <w:r w:rsidR="005B7E0D">
              <w:rPr>
                <w:lang w:val="it-IT"/>
              </w:rPr>
              <w:t>Nota Integrativa</w:t>
            </w:r>
            <w:r w:rsidRPr="0017721C">
              <w:rPr>
                <w:lang w:val="it-IT"/>
              </w:rPr>
              <w:t xml:space="preserve"> contiene distintamente per ciascuna voce, l’ammontare dei crediti e dei debiti relativi ad operazioni che prevedono l’obbligo per l’acquirente di retrocessione a termine?</w:t>
            </w:r>
          </w:p>
        </w:tc>
        <w:tc>
          <w:tcPr>
            <w:tcW w:w="554"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5"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c>
          <w:tcPr>
            <w:tcW w:w="564" w:type="dxa"/>
            <w:tcBorders>
              <w:top w:val="single" w:sz="2" w:space="0" w:color="auto"/>
              <w:left w:val="single" w:sz="2" w:space="0" w:color="auto"/>
              <w:bottom w:val="single" w:sz="2" w:space="0" w:color="auto"/>
              <w:right w:val="single" w:sz="2" w:space="0" w:color="auto"/>
            </w:tcBorders>
            <w:tcMar>
              <w:left w:w="108" w:type="dxa"/>
            </w:tcMar>
            <w:vAlign w:val="center"/>
          </w:tcPr>
          <w:p w:rsidR="0017721C" w:rsidRPr="0017721C" w:rsidRDefault="0017721C" w:rsidP="0017721C">
            <w:pPr>
              <w:jc w:val="center"/>
              <w:rPr>
                <w:lang w:val="it-IT"/>
              </w:rPr>
            </w:pPr>
            <w:r w:rsidRPr="0017721C">
              <w:rPr>
                <w:lang w:val="it-IT"/>
              </w:rPr>
              <w:fldChar w:fldCharType="begin">
                <w:ffData>
                  <w:name w:val="Check4"/>
                  <w:enabled/>
                  <w:calcOnExit w:val="0"/>
                  <w:checkBox>
                    <w:sizeAuto/>
                    <w:default w:val="0"/>
                  </w:checkBox>
                </w:ffData>
              </w:fldChar>
            </w:r>
            <w:r w:rsidRPr="0017721C">
              <w:rPr>
                <w:lang w:val="it-IT"/>
              </w:rPr>
              <w:instrText xml:space="preserve"> FORMCHECKBOX </w:instrText>
            </w:r>
            <w:r w:rsidR="00CA1681">
              <w:rPr>
                <w:lang w:val="it-IT"/>
              </w:rPr>
            </w:r>
            <w:r w:rsidR="00CA1681">
              <w:rPr>
                <w:lang w:val="it-IT"/>
              </w:rPr>
              <w:fldChar w:fldCharType="separate"/>
            </w:r>
            <w:r w:rsidRPr="0017721C">
              <w:rPr>
                <w:lang w:val="it-IT"/>
              </w:rPr>
              <w:fldChar w:fldCharType="end"/>
            </w:r>
          </w:p>
        </w:tc>
      </w:tr>
    </w:tbl>
    <w:p w:rsidR="0017721C" w:rsidRPr="0017721C" w:rsidRDefault="0017721C" w:rsidP="0017721C">
      <w:pPr>
        <w:rPr>
          <w:lang w:val="it-IT"/>
        </w:rPr>
      </w:pPr>
    </w:p>
    <w:p w:rsidR="00680245" w:rsidRDefault="00680245" w:rsidP="00A43012">
      <w:pPr>
        <w:rPr>
          <w:lang w:val="it-IT"/>
        </w:rPr>
        <w:sectPr w:rsidR="00680245" w:rsidSect="005B7E0D">
          <w:headerReference w:type="default" r:id="rId20"/>
          <w:pgSz w:w="11906" w:h="16838" w:code="9"/>
          <w:pgMar w:top="1134" w:right="851" w:bottom="851" w:left="851" w:header="570" w:footer="567" w:gutter="0"/>
          <w:cols w:space="708"/>
          <w:docGrid w:linePitch="360"/>
        </w:sectPr>
      </w:pPr>
    </w:p>
    <w:p w:rsidR="00680245" w:rsidRPr="008C0439" w:rsidRDefault="00680245" w:rsidP="00680245">
      <w:pPr>
        <w:tabs>
          <w:tab w:val="left" w:pos="1890"/>
        </w:tabs>
        <w:spacing w:line="260" w:lineRule="exact"/>
        <w:jc w:val="left"/>
        <w:rPr>
          <w:b/>
          <w:color w:val="0070C0"/>
          <w:lang w:val="it-IT"/>
        </w:rPr>
      </w:pPr>
    </w:p>
    <w:p w:rsidR="00680245" w:rsidRPr="00693B33" w:rsidRDefault="00680245" w:rsidP="00680245">
      <w:pPr>
        <w:tabs>
          <w:tab w:val="left" w:pos="1890"/>
        </w:tabs>
        <w:spacing w:line="260" w:lineRule="exact"/>
        <w:jc w:val="left"/>
        <w:rPr>
          <w:b/>
          <w:color w:val="0070C0"/>
          <w:lang w:val="it-IT"/>
        </w:rPr>
      </w:pPr>
      <w:r w:rsidRPr="00693B33">
        <w:rPr>
          <w:b/>
          <w:color w:val="0070C0"/>
          <w:sz w:val="28"/>
          <w:lang w:val="it-IT"/>
        </w:rPr>
        <w:t>Cambiamenti di principi contabili, cambiamenti di stime contabili, correzione di errori, fatti intervenuti dopo la chiusura dell’esercizio</w:t>
      </w:r>
    </w:p>
    <w:p w:rsidR="00680245" w:rsidRPr="00083A62" w:rsidRDefault="00680245" w:rsidP="00680245">
      <w:pPr>
        <w:pStyle w:val="Titologenerale"/>
        <w:spacing w:line="220" w:lineRule="exact"/>
        <w:jc w:val="both"/>
        <w:rPr>
          <w:b w:val="0"/>
          <w:sz w:val="20"/>
          <w:szCs w:val="32"/>
        </w:rPr>
      </w:pPr>
    </w:p>
    <w:p w:rsidR="00680245" w:rsidRPr="00083A62" w:rsidRDefault="00680245" w:rsidP="00680245">
      <w:pPr>
        <w:pStyle w:val="Titologenerale"/>
        <w:spacing w:line="220" w:lineRule="exact"/>
        <w:jc w:val="both"/>
        <w:rPr>
          <w:b w:val="0"/>
          <w:sz w:val="20"/>
          <w:szCs w:val="32"/>
        </w:rPr>
      </w:pPr>
    </w:p>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6977"/>
        <w:gridCol w:w="667"/>
        <w:gridCol w:w="8"/>
        <w:gridCol w:w="567"/>
        <w:gridCol w:w="570"/>
      </w:tblGrid>
      <w:tr w:rsidR="00680245" w:rsidRPr="00083A62" w:rsidTr="00D73E98">
        <w:trPr>
          <w:cantSplit/>
          <w:trHeight w:val="20"/>
        </w:trPr>
        <w:tc>
          <w:tcPr>
            <w:tcW w:w="680"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right w:w="0" w:type="dxa"/>
            </w:tcMar>
            <w:vAlign w:val="center"/>
          </w:tcPr>
          <w:p w:rsidR="00680245" w:rsidRPr="00083A62" w:rsidRDefault="00680245" w:rsidP="00D73E98">
            <w:pPr>
              <w:pStyle w:val="PrincCont"/>
              <w:rPr>
                <w:lang w:val="it-IT"/>
              </w:rPr>
            </w:pPr>
          </w:p>
        </w:tc>
        <w:tc>
          <w:tcPr>
            <w:tcW w:w="6977"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680245" w:rsidRPr="00083A62" w:rsidRDefault="00680245" w:rsidP="00D73E98">
            <w:pPr>
              <w:pStyle w:val="Titolo1"/>
              <w:jc w:val="both"/>
            </w:pPr>
          </w:p>
        </w:tc>
        <w:tc>
          <w:tcPr>
            <w:tcW w:w="667"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85" w:type="dxa"/>
              <w:right w:w="85" w:type="dxa"/>
            </w:tcMar>
            <w:vAlign w:val="center"/>
          </w:tcPr>
          <w:p w:rsidR="00680245" w:rsidRPr="00083A62" w:rsidRDefault="00680245" w:rsidP="00D73E98">
            <w:pPr>
              <w:jc w:val="center"/>
              <w:rPr>
                <w:b/>
                <w:lang w:val="it-IT"/>
              </w:rPr>
            </w:pPr>
            <w:r w:rsidRPr="00083A62">
              <w:rPr>
                <w:b/>
                <w:lang w:val="it-IT"/>
              </w:rPr>
              <w:t>SI</w:t>
            </w:r>
          </w:p>
        </w:tc>
        <w:tc>
          <w:tcPr>
            <w:tcW w:w="575" w:type="dxa"/>
            <w:gridSpan w:val="2"/>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680245" w:rsidRPr="00083A62" w:rsidRDefault="00680245" w:rsidP="00D73E98">
            <w:pPr>
              <w:jc w:val="center"/>
              <w:rPr>
                <w:b/>
                <w:lang w:val="it-IT"/>
              </w:rPr>
            </w:pPr>
            <w:r w:rsidRPr="00083A62">
              <w:rPr>
                <w:b/>
                <w:lang w:val="it-IT"/>
              </w:rPr>
              <w:t>NO</w:t>
            </w:r>
          </w:p>
        </w:tc>
        <w:tc>
          <w:tcPr>
            <w:tcW w:w="570"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680245" w:rsidRPr="00083A62" w:rsidRDefault="00680245" w:rsidP="00D73E98">
            <w:pPr>
              <w:jc w:val="center"/>
              <w:rPr>
                <w:b/>
                <w:lang w:val="it-IT"/>
              </w:rPr>
            </w:pPr>
            <w:r w:rsidRPr="00083A62">
              <w:rPr>
                <w:b/>
                <w:lang w:val="it-IT"/>
              </w:rPr>
              <w:t>N/A</w:t>
            </w:r>
          </w:p>
        </w:tc>
      </w:tr>
      <w:tr w:rsidR="00680245" w:rsidRPr="00CC242B" w:rsidTr="00D73E98">
        <w:trPr>
          <w:cantSplit/>
          <w:trHeight w:val="20"/>
        </w:trPr>
        <w:tc>
          <w:tcPr>
            <w:tcW w:w="680" w:type="dxa"/>
            <w:vAlign w:val="center"/>
          </w:tcPr>
          <w:p w:rsidR="00680245" w:rsidRPr="00083A62" w:rsidRDefault="00680245" w:rsidP="00D73E98">
            <w:pPr>
              <w:jc w:val="center"/>
              <w:rPr>
                <w:lang w:val="it-IT"/>
              </w:rPr>
            </w:pPr>
          </w:p>
        </w:tc>
        <w:tc>
          <w:tcPr>
            <w:tcW w:w="851" w:type="dxa"/>
            <w:tcMar>
              <w:left w:w="108" w:type="dxa"/>
              <w:right w:w="0" w:type="dxa"/>
            </w:tcMar>
            <w:vAlign w:val="center"/>
          </w:tcPr>
          <w:p w:rsidR="00680245" w:rsidRPr="00083A62" w:rsidRDefault="00680245" w:rsidP="00D73E98">
            <w:pPr>
              <w:pStyle w:val="PrincCont"/>
              <w:jc w:val="left"/>
              <w:rPr>
                <w:lang w:val="it-IT"/>
              </w:rPr>
            </w:pPr>
          </w:p>
        </w:tc>
        <w:tc>
          <w:tcPr>
            <w:tcW w:w="6977" w:type="dxa"/>
            <w:tcMar>
              <w:left w:w="108" w:type="dxa"/>
            </w:tcMar>
            <w:vAlign w:val="center"/>
          </w:tcPr>
          <w:p w:rsidR="00680245" w:rsidRPr="00083A62" w:rsidRDefault="00680245" w:rsidP="00D73E98">
            <w:pPr>
              <w:pStyle w:val="Titolo1"/>
              <w:jc w:val="both"/>
            </w:pPr>
            <w:r w:rsidRPr="00083A62">
              <w:t>CAMBIAMENTI DI PRINCIPI CONTABILI, CAMBIAMENTI DI STIME CONTABILI, CORREZIONE DI ERRORI, fatti intervenuti dopo la chiusura dell’esercizio</w:t>
            </w:r>
          </w:p>
        </w:tc>
        <w:tc>
          <w:tcPr>
            <w:tcW w:w="667" w:type="dxa"/>
            <w:tcMar>
              <w:left w:w="85" w:type="dxa"/>
              <w:right w:w="85" w:type="dxa"/>
            </w:tcMar>
            <w:vAlign w:val="center"/>
          </w:tcPr>
          <w:p w:rsidR="00680245" w:rsidRPr="00083A62" w:rsidRDefault="00680245" w:rsidP="00D73E98">
            <w:pPr>
              <w:jc w:val="left"/>
              <w:rPr>
                <w:lang w:val="it-IT"/>
              </w:rPr>
            </w:pPr>
          </w:p>
        </w:tc>
        <w:tc>
          <w:tcPr>
            <w:tcW w:w="575" w:type="dxa"/>
            <w:gridSpan w:val="2"/>
            <w:tcMar>
              <w:left w:w="108" w:type="dxa"/>
            </w:tcMar>
            <w:vAlign w:val="center"/>
          </w:tcPr>
          <w:p w:rsidR="00680245" w:rsidRPr="00083A62" w:rsidRDefault="00680245" w:rsidP="00D73E98">
            <w:pPr>
              <w:jc w:val="left"/>
              <w:rPr>
                <w:lang w:val="it-IT"/>
              </w:rPr>
            </w:pPr>
          </w:p>
        </w:tc>
        <w:tc>
          <w:tcPr>
            <w:tcW w:w="570" w:type="dxa"/>
            <w:tcMar>
              <w:left w:w="108" w:type="dxa"/>
            </w:tcMar>
            <w:vAlign w:val="center"/>
          </w:tcPr>
          <w:p w:rsidR="00680245" w:rsidRPr="00083A62" w:rsidRDefault="00680245" w:rsidP="00D73E98">
            <w:pPr>
              <w:jc w:val="left"/>
              <w:rPr>
                <w:lang w:val="it-IT"/>
              </w:rPr>
            </w:pPr>
          </w:p>
        </w:tc>
      </w:tr>
      <w:tr w:rsidR="00680245" w:rsidRPr="00083A62" w:rsidTr="00D73E98">
        <w:trPr>
          <w:cantSplit/>
          <w:trHeight w:val="340"/>
        </w:trPr>
        <w:tc>
          <w:tcPr>
            <w:tcW w:w="680" w:type="dxa"/>
            <w:vAlign w:val="center"/>
          </w:tcPr>
          <w:p w:rsidR="00680245" w:rsidRPr="00083A62" w:rsidRDefault="00680245" w:rsidP="00D73E98">
            <w:pPr>
              <w:jc w:val="left"/>
              <w:rPr>
                <w:lang w:val="it-IT"/>
              </w:rPr>
            </w:pPr>
          </w:p>
        </w:tc>
        <w:tc>
          <w:tcPr>
            <w:tcW w:w="851" w:type="dxa"/>
            <w:tcMar>
              <w:left w:w="108" w:type="dxa"/>
              <w:right w:w="0" w:type="dxa"/>
            </w:tcMar>
            <w:vAlign w:val="center"/>
          </w:tcPr>
          <w:p w:rsidR="00680245" w:rsidRPr="00083A62" w:rsidRDefault="00680245" w:rsidP="00D73E98">
            <w:pPr>
              <w:pStyle w:val="PrincCont"/>
              <w:jc w:val="left"/>
              <w:rPr>
                <w:lang w:val="it-IT"/>
              </w:rPr>
            </w:pPr>
          </w:p>
        </w:tc>
        <w:tc>
          <w:tcPr>
            <w:tcW w:w="6977" w:type="dxa"/>
            <w:tcMar>
              <w:left w:w="108" w:type="dxa"/>
            </w:tcMar>
            <w:vAlign w:val="center"/>
          </w:tcPr>
          <w:p w:rsidR="00680245" w:rsidRPr="004E70EF" w:rsidRDefault="00680245" w:rsidP="00D73E98">
            <w:pPr>
              <w:pStyle w:val="Titolo2"/>
              <w:spacing w:line="230" w:lineRule="exact"/>
            </w:pPr>
            <w:r>
              <w:t>D</w:t>
            </w:r>
            <w:r w:rsidRPr="004E70EF">
              <w:t>efinizioni</w:t>
            </w:r>
          </w:p>
        </w:tc>
        <w:tc>
          <w:tcPr>
            <w:tcW w:w="675" w:type="dxa"/>
            <w:gridSpan w:val="2"/>
            <w:tcMar>
              <w:left w:w="85" w:type="dxa"/>
              <w:right w:w="85" w:type="dxa"/>
            </w:tcMar>
            <w:vAlign w:val="center"/>
          </w:tcPr>
          <w:p w:rsidR="00680245" w:rsidRPr="00083A62" w:rsidRDefault="00680245" w:rsidP="00D73E98">
            <w:pPr>
              <w:jc w:val="left"/>
              <w:rPr>
                <w:lang w:val="it-IT"/>
              </w:rPr>
            </w:pPr>
          </w:p>
        </w:tc>
        <w:tc>
          <w:tcPr>
            <w:tcW w:w="567" w:type="dxa"/>
            <w:tcMar>
              <w:left w:w="108" w:type="dxa"/>
            </w:tcMar>
            <w:vAlign w:val="center"/>
          </w:tcPr>
          <w:p w:rsidR="00680245" w:rsidRPr="00083A62" w:rsidRDefault="00680245" w:rsidP="00D73E98">
            <w:pPr>
              <w:jc w:val="left"/>
              <w:rPr>
                <w:lang w:val="it-IT"/>
              </w:rPr>
            </w:pPr>
          </w:p>
        </w:tc>
        <w:tc>
          <w:tcPr>
            <w:tcW w:w="570" w:type="dxa"/>
            <w:tcMar>
              <w:left w:w="108" w:type="dxa"/>
            </w:tcMar>
            <w:vAlign w:val="center"/>
          </w:tcPr>
          <w:p w:rsidR="00680245" w:rsidRPr="00083A62" w:rsidRDefault="00680245" w:rsidP="00D73E98">
            <w:pPr>
              <w:jc w:val="left"/>
              <w:rPr>
                <w:lang w:val="it-IT"/>
              </w:rPr>
            </w:pPr>
          </w:p>
        </w:tc>
      </w:tr>
      <w:tr w:rsidR="00680245" w:rsidRPr="00CC242B" w:rsidTr="00D73E98">
        <w:trPr>
          <w:cantSplit/>
          <w:trHeight w:val="20"/>
        </w:trPr>
        <w:tc>
          <w:tcPr>
            <w:tcW w:w="680" w:type="dxa"/>
          </w:tcPr>
          <w:p w:rsidR="00680245" w:rsidRPr="00083A62" w:rsidRDefault="00680245" w:rsidP="00D73E98">
            <w:pPr>
              <w:jc w:val="center"/>
              <w:rPr>
                <w:lang w:val="it-IT"/>
              </w:rPr>
            </w:pPr>
          </w:p>
        </w:tc>
        <w:tc>
          <w:tcPr>
            <w:tcW w:w="851" w:type="dxa"/>
            <w:tcMar>
              <w:left w:w="108" w:type="dxa"/>
              <w:right w:w="0" w:type="dxa"/>
            </w:tcMar>
          </w:tcPr>
          <w:p w:rsidR="00680245" w:rsidRPr="00083A62" w:rsidRDefault="00680245" w:rsidP="00D73E98">
            <w:pPr>
              <w:pStyle w:val="PrincCont"/>
              <w:jc w:val="left"/>
            </w:pPr>
            <w:r w:rsidRPr="00083A62">
              <w:t>OIC 29.4</w:t>
            </w:r>
          </w:p>
        </w:tc>
        <w:tc>
          <w:tcPr>
            <w:tcW w:w="6977" w:type="dxa"/>
            <w:tcMar>
              <w:left w:w="108" w:type="dxa"/>
            </w:tcMar>
          </w:tcPr>
          <w:p w:rsidR="00680245" w:rsidRPr="00083A62" w:rsidRDefault="00680245" w:rsidP="00D73E98">
            <w:pPr>
              <w:pStyle w:val="Commentiriquadro"/>
            </w:pPr>
            <w:r w:rsidRPr="00083A62">
              <w:t xml:space="preserve">I </w:t>
            </w:r>
            <w:r w:rsidRPr="00083A62">
              <w:rPr>
                <w:i/>
              </w:rPr>
              <w:t>principi contabili</w:t>
            </w:r>
            <w:r w:rsidRPr="00083A62">
              <w:t xml:space="preserve"> sono le regole, ivi incluse le procedure, che disciplinano i criteri di individuazione delle operazioni, le modalità della loro rilevazione, i criteri e i metodi di valutazione e quelli di classificazione ed esposizione dei valori in bilancio.</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CC242B" w:rsidTr="00D73E98">
        <w:trPr>
          <w:cantSplit/>
          <w:trHeight w:val="20"/>
        </w:trPr>
        <w:tc>
          <w:tcPr>
            <w:tcW w:w="680" w:type="dxa"/>
          </w:tcPr>
          <w:p w:rsidR="00680245" w:rsidRPr="00083A62" w:rsidRDefault="00680245" w:rsidP="00D73E98">
            <w:pPr>
              <w:jc w:val="center"/>
              <w:rPr>
                <w:lang w:val="it-IT"/>
              </w:rPr>
            </w:pPr>
          </w:p>
        </w:tc>
        <w:tc>
          <w:tcPr>
            <w:tcW w:w="851" w:type="dxa"/>
            <w:tcMar>
              <w:left w:w="108" w:type="dxa"/>
              <w:right w:w="0" w:type="dxa"/>
            </w:tcMar>
          </w:tcPr>
          <w:p w:rsidR="00680245" w:rsidRPr="00083A62" w:rsidRDefault="00680245" w:rsidP="00D73E98">
            <w:pPr>
              <w:pStyle w:val="PrincCont"/>
              <w:jc w:val="left"/>
            </w:pPr>
            <w:r w:rsidRPr="00083A62">
              <w:t>OIC 29.5</w:t>
            </w:r>
          </w:p>
        </w:tc>
        <w:tc>
          <w:tcPr>
            <w:tcW w:w="6977" w:type="dxa"/>
            <w:tcMar>
              <w:left w:w="108" w:type="dxa"/>
            </w:tcMar>
          </w:tcPr>
          <w:p w:rsidR="00680245" w:rsidRPr="00083A62" w:rsidRDefault="00680245" w:rsidP="00D73E98">
            <w:pPr>
              <w:pStyle w:val="Commentiriquadro"/>
            </w:pPr>
            <w:r w:rsidRPr="00083A62">
              <w:t>I criteri di valutazione sono le regole adottate ai fini della rappresentazione delle voci di bilancio. I metodi di valutazione sono le modalità con cui un criterio di valutazione è applicato e quindi con cui viene in concreto determinato. Ad esempio, il criterio di valutazione delle rimanenze è la valutazione al minore tra il costo di acquisto o produzione e il valore di realizzazione desumibile dall’andamento del mercato; i metodi di valutazione del costo di acquisto dei beni in magazzino sono il LIFO, il FIFO o il costo medio ponderato.</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CC242B" w:rsidTr="00D73E98">
        <w:trPr>
          <w:cantSplit/>
          <w:trHeight w:val="20"/>
        </w:trPr>
        <w:tc>
          <w:tcPr>
            <w:tcW w:w="680" w:type="dxa"/>
          </w:tcPr>
          <w:p w:rsidR="00680245" w:rsidRPr="00083A62" w:rsidRDefault="00680245" w:rsidP="00D73E98">
            <w:pPr>
              <w:jc w:val="center"/>
              <w:rPr>
                <w:lang w:val="it-IT"/>
              </w:rPr>
            </w:pPr>
          </w:p>
        </w:tc>
        <w:tc>
          <w:tcPr>
            <w:tcW w:w="851" w:type="dxa"/>
            <w:tcMar>
              <w:left w:w="108" w:type="dxa"/>
              <w:right w:w="0" w:type="dxa"/>
            </w:tcMar>
          </w:tcPr>
          <w:p w:rsidR="00680245" w:rsidRPr="00083A62" w:rsidRDefault="00680245" w:rsidP="00D73E98">
            <w:pPr>
              <w:pStyle w:val="PrincCont"/>
              <w:jc w:val="left"/>
            </w:pPr>
            <w:r w:rsidRPr="00083A62">
              <w:t>OIC 29.6</w:t>
            </w:r>
          </w:p>
        </w:tc>
        <w:tc>
          <w:tcPr>
            <w:tcW w:w="6977" w:type="dxa"/>
            <w:tcMar>
              <w:left w:w="108" w:type="dxa"/>
            </w:tcMar>
          </w:tcPr>
          <w:p w:rsidR="00680245" w:rsidRPr="00083A62" w:rsidRDefault="00680245" w:rsidP="00D73E98">
            <w:pPr>
              <w:pStyle w:val="Commentiriquadro"/>
            </w:pPr>
            <w:r w:rsidRPr="00083A62">
              <w:t xml:space="preserve">Si ha </w:t>
            </w:r>
            <w:r w:rsidRPr="005538DF">
              <w:rPr>
                <w:i/>
              </w:rPr>
              <w:t>applicazione retroattiva</w:t>
            </w:r>
            <w:r w:rsidRPr="00083A62">
              <w:t xml:space="preserve"> quando il nuovo principio contabile è applicato anche ad eventi ed operazioni avvenuti in esercizi precedenti a quello in cui interviene il cambiamento, cioè come se il nuovo principio fosse stato sempre applicato.</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CC242B" w:rsidTr="00D73E98">
        <w:trPr>
          <w:cantSplit/>
          <w:trHeight w:val="20"/>
        </w:trPr>
        <w:tc>
          <w:tcPr>
            <w:tcW w:w="680" w:type="dxa"/>
          </w:tcPr>
          <w:p w:rsidR="00680245" w:rsidRPr="00083A62" w:rsidRDefault="00680245" w:rsidP="00D73E98">
            <w:pPr>
              <w:jc w:val="center"/>
              <w:rPr>
                <w:lang w:val="it-IT"/>
              </w:rPr>
            </w:pPr>
          </w:p>
        </w:tc>
        <w:tc>
          <w:tcPr>
            <w:tcW w:w="851" w:type="dxa"/>
            <w:tcMar>
              <w:left w:w="108" w:type="dxa"/>
              <w:right w:w="0" w:type="dxa"/>
            </w:tcMar>
          </w:tcPr>
          <w:p w:rsidR="00680245" w:rsidRPr="00083A62" w:rsidRDefault="00680245" w:rsidP="00D73E98">
            <w:pPr>
              <w:pStyle w:val="PrincCont"/>
              <w:jc w:val="left"/>
            </w:pPr>
            <w:r w:rsidRPr="00083A62">
              <w:t>OIC 29.7</w:t>
            </w:r>
          </w:p>
        </w:tc>
        <w:tc>
          <w:tcPr>
            <w:tcW w:w="6977" w:type="dxa"/>
            <w:tcMar>
              <w:left w:w="108" w:type="dxa"/>
            </w:tcMar>
          </w:tcPr>
          <w:p w:rsidR="00680245" w:rsidRPr="00083A62" w:rsidRDefault="00680245" w:rsidP="00D73E98">
            <w:pPr>
              <w:pStyle w:val="Commentiriquadro"/>
            </w:pPr>
            <w:r w:rsidRPr="00083A62">
              <w:t xml:space="preserve">Si ha </w:t>
            </w:r>
            <w:r w:rsidRPr="005538DF">
              <w:rPr>
                <w:i/>
              </w:rPr>
              <w:t>applicazione prospettica</w:t>
            </w:r>
            <w:r w:rsidRPr="00083A62">
              <w:t xml:space="preserve"> quando il nuovo principio viene applicato solo ad eventi e operazioni che si verificano dopo la data in cui interviene il cambiamento di principio contabile. Gli eventi e le operazioni rilevati in esercizi precedenti continuano ad essere riflessi in bilancio in conformità al precedente principio.</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CC242B" w:rsidTr="00D73E98">
        <w:trPr>
          <w:cantSplit/>
          <w:trHeight w:val="20"/>
        </w:trPr>
        <w:tc>
          <w:tcPr>
            <w:tcW w:w="680" w:type="dxa"/>
          </w:tcPr>
          <w:p w:rsidR="00680245" w:rsidRPr="00083A62" w:rsidRDefault="00680245" w:rsidP="00D73E98">
            <w:pPr>
              <w:jc w:val="center"/>
              <w:rPr>
                <w:lang w:val="it-IT"/>
              </w:rPr>
            </w:pPr>
          </w:p>
        </w:tc>
        <w:tc>
          <w:tcPr>
            <w:tcW w:w="851" w:type="dxa"/>
            <w:tcMar>
              <w:left w:w="108" w:type="dxa"/>
              <w:right w:w="0" w:type="dxa"/>
            </w:tcMar>
          </w:tcPr>
          <w:p w:rsidR="00680245" w:rsidRPr="00083A62" w:rsidRDefault="00680245" w:rsidP="00D73E98">
            <w:pPr>
              <w:pStyle w:val="PrincCont"/>
              <w:jc w:val="left"/>
            </w:pPr>
            <w:r w:rsidRPr="00083A62">
              <w:t>OIC 29.9</w:t>
            </w:r>
          </w:p>
        </w:tc>
        <w:tc>
          <w:tcPr>
            <w:tcW w:w="6977" w:type="dxa"/>
            <w:tcMar>
              <w:left w:w="108" w:type="dxa"/>
            </w:tcMar>
          </w:tcPr>
          <w:p w:rsidR="00680245" w:rsidRPr="00083A62" w:rsidRDefault="00680245" w:rsidP="00D73E98">
            <w:pPr>
              <w:pStyle w:val="Commentiriquadro"/>
            </w:pPr>
            <w:r w:rsidRPr="00083A62">
              <w:t xml:space="preserve">Le </w:t>
            </w:r>
            <w:r w:rsidRPr="005538DF">
              <w:rPr>
                <w:i/>
              </w:rPr>
              <w:t>stime</w:t>
            </w:r>
            <w:r w:rsidRPr="00083A62">
              <w:t>, nell’ambito di un predeterminato principio contabile, sono i procedimenti ed i metodi in base ai quali si perviene alla determinazione di un valore ragionevolmente attendibile di attività, passività, costi e ricavi.</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CC242B" w:rsidTr="00D73E98">
        <w:trPr>
          <w:cantSplit/>
          <w:trHeight w:val="20"/>
        </w:trPr>
        <w:tc>
          <w:tcPr>
            <w:tcW w:w="680" w:type="dxa"/>
          </w:tcPr>
          <w:p w:rsidR="00680245" w:rsidRPr="00083A62" w:rsidRDefault="00680245" w:rsidP="00D73E98">
            <w:pPr>
              <w:jc w:val="center"/>
              <w:rPr>
                <w:lang w:val="it-IT"/>
              </w:rPr>
            </w:pPr>
          </w:p>
        </w:tc>
        <w:tc>
          <w:tcPr>
            <w:tcW w:w="851" w:type="dxa"/>
            <w:tcMar>
              <w:left w:w="108" w:type="dxa"/>
              <w:right w:w="0" w:type="dxa"/>
            </w:tcMar>
          </w:tcPr>
          <w:p w:rsidR="00680245" w:rsidRPr="00083A62" w:rsidRDefault="00680245" w:rsidP="00D73E98">
            <w:pPr>
              <w:pStyle w:val="PrincCont"/>
              <w:jc w:val="left"/>
            </w:pPr>
            <w:r w:rsidRPr="00083A62">
              <w:t>OIC 29.10</w:t>
            </w:r>
          </w:p>
        </w:tc>
        <w:tc>
          <w:tcPr>
            <w:tcW w:w="6977" w:type="dxa"/>
            <w:tcMar>
              <w:left w:w="108" w:type="dxa"/>
            </w:tcMar>
          </w:tcPr>
          <w:p w:rsidR="00680245" w:rsidRPr="00083A62" w:rsidRDefault="00680245" w:rsidP="00D73E98">
            <w:pPr>
              <w:pStyle w:val="Commentiriquadro"/>
            </w:pPr>
            <w:r w:rsidRPr="00083A62">
              <w:t>L’</w:t>
            </w:r>
            <w:r w:rsidRPr="005538DF">
              <w:rPr>
                <w:i/>
              </w:rPr>
              <w:t>errore</w:t>
            </w:r>
            <w:r w:rsidRPr="00083A62">
              <w:t xml:space="preserve"> è una rappresentazione qualitativa e/o quantitativa non corretta di un dato di bilancio e/o di un’informazione fornita in</w:t>
            </w:r>
            <w:r>
              <w:t xml:space="preserve"> Nota Integrativa</w:t>
            </w:r>
            <w:r w:rsidRPr="00083A62">
              <w:t>.</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CC242B" w:rsidTr="00D73E98">
        <w:trPr>
          <w:cantSplit/>
          <w:trHeight w:val="20"/>
        </w:trPr>
        <w:tc>
          <w:tcPr>
            <w:tcW w:w="680" w:type="dxa"/>
          </w:tcPr>
          <w:p w:rsidR="00680245" w:rsidRPr="00083A62" w:rsidRDefault="00680245" w:rsidP="00D73E98">
            <w:pPr>
              <w:jc w:val="center"/>
              <w:rPr>
                <w:lang w:val="it-IT"/>
              </w:rPr>
            </w:pPr>
          </w:p>
        </w:tc>
        <w:tc>
          <w:tcPr>
            <w:tcW w:w="851" w:type="dxa"/>
            <w:tcMar>
              <w:left w:w="108" w:type="dxa"/>
              <w:right w:w="0" w:type="dxa"/>
            </w:tcMar>
          </w:tcPr>
          <w:p w:rsidR="00680245" w:rsidRPr="00083A62" w:rsidRDefault="00680245" w:rsidP="00D73E98">
            <w:pPr>
              <w:pStyle w:val="PrincCont"/>
              <w:jc w:val="left"/>
            </w:pPr>
            <w:r w:rsidRPr="00083A62">
              <w:t>OIC 29.11</w:t>
            </w:r>
          </w:p>
        </w:tc>
        <w:tc>
          <w:tcPr>
            <w:tcW w:w="6977" w:type="dxa"/>
            <w:tcMar>
              <w:left w:w="108" w:type="dxa"/>
            </w:tcMar>
          </w:tcPr>
          <w:p w:rsidR="00680245" w:rsidRPr="00083A62" w:rsidRDefault="00680245" w:rsidP="00D73E98">
            <w:pPr>
              <w:pStyle w:val="Commentiriquadro"/>
            </w:pPr>
            <w:r w:rsidRPr="00083A62">
              <w:t xml:space="preserve">I </w:t>
            </w:r>
            <w:r w:rsidRPr="005538DF">
              <w:rPr>
                <w:i/>
              </w:rPr>
              <w:t>fatti intervenuti dopo la chiusura dell’esercizio</w:t>
            </w:r>
            <w:r w:rsidRPr="00083A62">
              <w:t xml:space="preserve"> sono quei fatti, positivi e/o negativi, che avvengono tra la data di chiusura e la data di formazione del bilancio d’esercizio.</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083A62" w:rsidTr="00D73E98">
        <w:trPr>
          <w:cantSplit/>
          <w:trHeight w:val="20"/>
        </w:trPr>
        <w:tc>
          <w:tcPr>
            <w:tcW w:w="680" w:type="dxa"/>
            <w:vAlign w:val="center"/>
          </w:tcPr>
          <w:p w:rsidR="00680245" w:rsidRPr="00083A62" w:rsidRDefault="00680245" w:rsidP="00D73E98">
            <w:pPr>
              <w:jc w:val="center"/>
              <w:rPr>
                <w:lang w:val="it-IT"/>
              </w:rPr>
            </w:pPr>
          </w:p>
        </w:tc>
        <w:tc>
          <w:tcPr>
            <w:tcW w:w="851" w:type="dxa"/>
            <w:tcMar>
              <w:left w:w="108" w:type="dxa"/>
              <w:right w:w="0" w:type="dxa"/>
            </w:tcMar>
            <w:vAlign w:val="center"/>
          </w:tcPr>
          <w:p w:rsidR="00680245" w:rsidRPr="00083A62" w:rsidRDefault="00680245" w:rsidP="00D73E98">
            <w:pPr>
              <w:pStyle w:val="PrincCont"/>
              <w:jc w:val="left"/>
              <w:rPr>
                <w:lang w:val="it-IT"/>
              </w:rPr>
            </w:pPr>
          </w:p>
        </w:tc>
        <w:tc>
          <w:tcPr>
            <w:tcW w:w="6977" w:type="dxa"/>
            <w:tcMar>
              <w:left w:w="108" w:type="dxa"/>
            </w:tcMar>
            <w:vAlign w:val="center"/>
          </w:tcPr>
          <w:p w:rsidR="00680245" w:rsidRPr="00083A62" w:rsidRDefault="00680245" w:rsidP="00D73E98">
            <w:pPr>
              <w:pStyle w:val="Titolo1"/>
              <w:jc w:val="both"/>
            </w:pPr>
            <w:r w:rsidRPr="00083A62">
              <w:t>CAMBIAMENTI DI PRINCIPI CONTABILI</w:t>
            </w:r>
          </w:p>
        </w:tc>
        <w:tc>
          <w:tcPr>
            <w:tcW w:w="667" w:type="dxa"/>
            <w:tcMar>
              <w:left w:w="85" w:type="dxa"/>
              <w:right w:w="85" w:type="dxa"/>
            </w:tcMar>
            <w:vAlign w:val="center"/>
          </w:tcPr>
          <w:p w:rsidR="00680245" w:rsidRPr="00083A62" w:rsidRDefault="00680245" w:rsidP="00D73E98">
            <w:pPr>
              <w:jc w:val="left"/>
              <w:rPr>
                <w:lang w:val="it-IT"/>
              </w:rPr>
            </w:pPr>
          </w:p>
        </w:tc>
        <w:tc>
          <w:tcPr>
            <w:tcW w:w="575" w:type="dxa"/>
            <w:gridSpan w:val="2"/>
            <w:tcMar>
              <w:left w:w="108" w:type="dxa"/>
            </w:tcMar>
            <w:vAlign w:val="center"/>
          </w:tcPr>
          <w:p w:rsidR="00680245" w:rsidRPr="00083A62" w:rsidRDefault="00680245" w:rsidP="00D73E98">
            <w:pPr>
              <w:jc w:val="left"/>
              <w:rPr>
                <w:lang w:val="it-IT"/>
              </w:rPr>
            </w:pPr>
          </w:p>
        </w:tc>
        <w:tc>
          <w:tcPr>
            <w:tcW w:w="570" w:type="dxa"/>
            <w:tcMar>
              <w:left w:w="108" w:type="dxa"/>
            </w:tcMar>
            <w:vAlign w:val="center"/>
          </w:tcPr>
          <w:p w:rsidR="00680245" w:rsidRPr="00083A62" w:rsidRDefault="00680245" w:rsidP="00D73E98">
            <w:pPr>
              <w:jc w:val="left"/>
              <w:rPr>
                <w:lang w:val="it-IT"/>
              </w:rPr>
            </w:pPr>
          </w:p>
        </w:tc>
      </w:tr>
      <w:tr w:rsidR="00680245" w:rsidRPr="00083A62" w:rsidTr="00D73E98">
        <w:trPr>
          <w:cantSplit/>
          <w:trHeight w:val="20"/>
        </w:trPr>
        <w:tc>
          <w:tcPr>
            <w:tcW w:w="680" w:type="dxa"/>
          </w:tcPr>
          <w:p w:rsidR="00680245" w:rsidRPr="00693B33" w:rsidRDefault="00680245" w:rsidP="00D73E98">
            <w:pPr>
              <w:jc w:val="center"/>
              <w:rPr>
                <w:b/>
                <w:lang w:val="it-IT"/>
              </w:rPr>
            </w:pPr>
          </w:p>
        </w:tc>
        <w:tc>
          <w:tcPr>
            <w:tcW w:w="851" w:type="dxa"/>
            <w:tcMar>
              <w:left w:w="108" w:type="dxa"/>
              <w:right w:w="0" w:type="dxa"/>
            </w:tcMar>
          </w:tcPr>
          <w:p w:rsidR="00680245" w:rsidRPr="005538DF" w:rsidRDefault="00680245" w:rsidP="00D73E98">
            <w:pPr>
              <w:pStyle w:val="PrincCont"/>
              <w:jc w:val="left"/>
            </w:pPr>
          </w:p>
        </w:tc>
        <w:tc>
          <w:tcPr>
            <w:tcW w:w="6977" w:type="dxa"/>
            <w:tcMar>
              <w:left w:w="108" w:type="dxa"/>
            </w:tcMar>
          </w:tcPr>
          <w:p w:rsidR="00680245" w:rsidRPr="00083A62" w:rsidRDefault="00680245" w:rsidP="00D73E98">
            <w:pPr>
              <w:pStyle w:val="Titolo3"/>
              <w:rPr>
                <w:lang w:val="it-IT"/>
              </w:rPr>
            </w:pPr>
            <w:r w:rsidRPr="00F8095C">
              <w:rPr>
                <w:lang w:val="en-US"/>
              </w:rPr>
              <w:t>Rilevazione in bilancio</w:t>
            </w:r>
          </w:p>
        </w:tc>
        <w:tc>
          <w:tcPr>
            <w:tcW w:w="667" w:type="dxa"/>
            <w:tcMar>
              <w:left w:w="85" w:type="dxa"/>
              <w:right w:w="85" w:type="dxa"/>
            </w:tcMar>
            <w:vAlign w:val="center"/>
          </w:tcPr>
          <w:p w:rsidR="00680245" w:rsidRPr="00083A62" w:rsidRDefault="00680245" w:rsidP="00D73E98">
            <w:pPr>
              <w:jc w:val="center"/>
            </w:pPr>
          </w:p>
        </w:tc>
        <w:tc>
          <w:tcPr>
            <w:tcW w:w="575" w:type="dxa"/>
            <w:gridSpan w:val="2"/>
            <w:tcMar>
              <w:left w:w="108" w:type="dxa"/>
            </w:tcMar>
            <w:vAlign w:val="center"/>
          </w:tcPr>
          <w:p w:rsidR="00680245" w:rsidRPr="00083A62" w:rsidRDefault="00680245" w:rsidP="00D73E98">
            <w:pPr>
              <w:jc w:val="center"/>
            </w:pPr>
          </w:p>
        </w:tc>
        <w:tc>
          <w:tcPr>
            <w:tcW w:w="570" w:type="dxa"/>
            <w:tcMar>
              <w:left w:w="108" w:type="dxa"/>
            </w:tcMar>
            <w:vAlign w:val="center"/>
          </w:tcPr>
          <w:p w:rsidR="00680245" w:rsidRPr="00083A62" w:rsidRDefault="00680245" w:rsidP="00D73E98">
            <w:pPr>
              <w:jc w:val="center"/>
            </w:pPr>
          </w:p>
        </w:tc>
      </w:tr>
      <w:tr w:rsidR="00680245" w:rsidRPr="00083A62" w:rsidTr="00D73E98">
        <w:trPr>
          <w:cantSplit/>
          <w:trHeight w:val="20"/>
        </w:trPr>
        <w:tc>
          <w:tcPr>
            <w:tcW w:w="680" w:type="dxa"/>
          </w:tcPr>
          <w:p w:rsidR="00680245" w:rsidRPr="00693B33" w:rsidRDefault="00680245" w:rsidP="00D73E98">
            <w:pPr>
              <w:jc w:val="center"/>
              <w:rPr>
                <w:b/>
                <w:lang w:val="it-IT"/>
              </w:rPr>
            </w:pPr>
            <w:r w:rsidRPr="00693B33">
              <w:rPr>
                <w:b/>
                <w:lang w:val="it-IT"/>
              </w:rPr>
              <w:t>1)</w:t>
            </w:r>
          </w:p>
        </w:tc>
        <w:tc>
          <w:tcPr>
            <w:tcW w:w="851" w:type="dxa"/>
            <w:tcMar>
              <w:left w:w="108" w:type="dxa"/>
              <w:right w:w="0" w:type="dxa"/>
            </w:tcMar>
          </w:tcPr>
          <w:p w:rsidR="00680245" w:rsidRPr="005538DF" w:rsidRDefault="00680245" w:rsidP="00D73E98">
            <w:pPr>
              <w:pStyle w:val="PrincCont"/>
              <w:jc w:val="left"/>
            </w:pPr>
            <w:r w:rsidRPr="005538DF">
              <w:t>Art. 2423-bis, c.2 CC</w:t>
            </w:r>
            <w:r>
              <w:t xml:space="preserve">        </w:t>
            </w:r>
            <w:r w:rsidRPr="005538DF">
              <w:t>OIC 29.12</w:t>
            </w:r>
          </w:p>
        </w:tc>
        <w:tc>
          <w:tcPr>
            <w:tcW w:w="6977" w:type="dxa"/>
            <w:tcMar>
              <w:left w:w="108" w:type="dxa"/>
            </w:tcMar>
          </w:tcPr>
          <w:p w:rsidR="00680245" w:rsidRPr="00083A62" w:rsidRDefault="00680245" w:rsidP="00D73E98">
            <w:pPr>
              <w:rPr>
                <w:lang w:val="it-IT"/>
              </w:rPr>
            </w:pPr>
            <w:r w:rsidRPr="00083A62">
              <w:rPr>
                <w:lang w:val="it-IT"/>
              </w:rPr>
              <w:t xml:space="preserve">Se, in casi eccezionali, vi è stato un cambiamento di principi contabili, tale cambiamento è stato effettuato per una migliore rappresentazione in bilancio dei fatti e delle operazioni della società </w:t>
            </w:r>
            <w:r>
              <w:rPr>
                <w:lang w:val="it-IT"/>
              </w:rPr>
              <w:t>e</w:t>
            </w:r>
            <w:r w:rsidRPr="00083A62">
              <w:rPr>
                <w:lang w:val="it-IT"/>
              </w:rPr>
              <w:t xml:space="preserve"> validamente motivato in</w:t>
            </w:r>
            <w:r>
              <w:rPr>
                <w:lang w:val="it-IT"/>
              </w:rPr>
              <w:t xml:space="preserve"> Nota Integrativa</w:t>
            </w:r>
            <w:r w:rsidRPr="00083A62">
              <w:rPr>
                <w:lang w:val="it-IT"/>
              </w:rPr>
              <w:t>?</w:t>
            </w:r>
          </w:p>
        </w:tc>
        <w:tc>
          <w:tcPr>
            <w:tcW w:w="667" w:type="dxa"/>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c>
          <w:tcPr>
            <w:tcW w:w="575" w:type="dxa"/>
            <w:gridSpan w:val="2"/>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c>
          <w:tcPr>
            <w:tcW w:w="570" w:type="dxa"/>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r>
      <w:tr w:rsidR="00680245" w:rsidRPr="00CC242B" w:rsidTr="00D73E98">
        <w:trPr>
          <w:cantSplit/>
          <w:trHeight w:val="20"/>
        </w:trPr>
        <w:tc>
          <w:tcPr>
            <w:tcW w:w="680" w:type="dxa"/>
          </w:tcPr>
          <w:p w:rsidR="00680245" w:rsidRPr="00693B33" w:rsidRDefault="00680245" w:rsidP="00D73E98">
            <w:pPr>
              <w:jc w:val="center"/>
              <w:rPr>
                <w:b/>
                <w:lang w:val="it-IT"/>
              </w:rPr>
            </w:pPr>
          </w:p>
        </w:tc>
        <w:tc>
          <w:tcPr>
            <w:tcW w:w="851" w:type="dxa"/>
            <w:tcMar>
              <w:left w:w="108" w:type="dxa"/>
              <w:right w:w="0" w:type="dxa"/>
            </w:tcMar>
          </w:tcPr>
          <w:p w:rsidR="00680245" w:rsidRPr="00083A62" w:rsidRDefault="00680245" w:rsidP="00D73E98">
            <w:pPr>
              <w:pStyle w:val="PrincCont"/>
              <w:jc w:val="left"/>
              <w:rPr>
                <w:lang w:val="it-IT"/>
              </w:rPr>
            </w:pPr>
            <w:r w:rsidRPr="00083A62">
              <w:t>OIC 29.15</w:t>
            </w:r>
          </w:p>
        </w:tc>
        <w:tc>
          <w:tcPr>
            <w:tcW w:w="6977" w:type="dxa"/>
            <w:tcMar>
              <w:left w:w="108" w:type="dxa"/>
            </w:tcMar>
          </w:tcPr>
          <w:p w:rsidR="00680245" w:rsidRPr="00083A62" w:rsidRDefault="00680245" w:rsidP="00D73E98">
            <w:pPr>
              <w:pStyle w:val="Commentiriquadro"/>
              <w:spacing w:line="240" w:lineRule="auto"/>
            </w:pPr>
            <w:r w:rsidRPr="00083A62">
              <w:t xml:space="preserve">Un cambiamento di principio contabile è ammesso solo se: </w:t>
            </w:r>
          </w:p>
          <w:p w:rsidR="00680245" w:rsidRPr="00083A62" w:rsidRDefault="00680245" w:rsidP="00D73E98">
            <w:pPr>
              <w:pStyle w:val="Commentiriquadro"/>
              <w:tabs>
                <w:tab w:val="left" w:pos="176"/>
              </w:tabs>
              <w:spacing w:line="240" w:lineRule="auto"/>
            </w:pPr>
            <w:r w:rsidRPr="00083A62">
              <w:t xml:space="preserve">- </w:t>
            </w:r>
            <w:r>
              <w:tab/>
            </w:r>
            <w:r w:rsidRPr="00083A62">
              <w:t xml:space="preserve">è richiesto da nuove disposizioni legislative o da nuovi principi contabili (cambiamenti obbligatori di principi </w:t>
            </w:r>
            <w:r>
              <w:tab/>
            </w:r>
            <w:r w:rsidRPr="00083A62">
              <w:t>contabili); o</w:t>
            </w:r>
          </w:p>
          <w:p w:rsidR="00680245" w:rsidRPr="00083A62" w:rsidRDefault="00680245" w:rsidP="00D73E98">
            <w:pPr>
              <w:pStyle w:val="Commentiriquadro"/>
              <w:tabs>
                <w:tab w:val="left" w:pos="176"/>
              </w:tabs>
              <w:spacing w:line="240" w:lineRule="auto"/>
            </w:pPr>
            <w:r w:rsidRPr="00083A62">
              <w:t xml:space="preserve">- </w:t>
            </w:r>
            <w:r>
              <w:tab/>
            </w:r>
            <w:r w:rsidRPr="00083A62">
              <w:t xml:space="preserve">è adottato autonomamente dal redattore del bilancio nell’ambito della propria responsabilità e discrezionalità per </w:t>
            </w:r>
            <w:r>
              <w:tab/>
            </w:r>
            <w:r w:rsidRPr="00083A62">
              <w:t xml:space="preserve">una migliore rappresentazione in bilancio dei fatti e delle operazioni della società (cambiamenti volontari di </w:t>
            </w:r>
            <w:r>
              <w:tab/>
            </w:r>
            <w:r w:rsidRPr="00083A62">
              <w:t xml:space="preserve">principi contabili). </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083A62" w:rsidTr="00D73E98">
        <w:trPr>
          <w:cantSplit/>
          <w:trHeight w:val="20"/>
        </w:trPr>
        <w:tc>
          <w:tcPr>
            <w:tcW w:w="680" w:type="dxa"/>
          </w:tcPr>
          <w:p w:rsidR="00680245" w:rsidRPr="00693B33" w:rsidRDefault="00680245" w:rsidP="00D73E98">
            <w:pPr>
              <w:jc w:val="center"/>
              <w:rPr>
                <w:b/>
                <w:lang w:val="it-IT"/>
              </w:rPr>
            </w:pPr>
            <w:r w:rsidRPr="00693B33">
              <w:rPr>
                <w:b/>
                <w:lang w:val="it-IT"/>
              </w:rPr>
              <w:t>2)</w:t>
            </w:r>
          </w:p>
        </w:tc>
        <w:tc>
          <w:tcPr>
            <w:tcW w:w="851" w:type="dxa"/>
            <w:tcMar>
              <w:left w:w="108" w:type="dxa"/>
              <w:right w:w="0" w:type="dxa"/>
            </w:tcMar>
          </w:tcPr>
          <w:p w:rsidR="00680245" w:rsidRPr="00083A62" w:rsidRDefault="00680245" w:rsidP="00D73E98">
            <w:pPr>
              <w:pStyle w:val="PrincCont"/>
              <w:jc w:val="left"/>
              <w:rPr>
                <w:lang w:val="it-IT"/>
              </w:rPr>
            </w:pPr>
            <w:r w:rsidRPr="00083A62">
              <w:rPr>
                <w:lang w:val="it-IT"/>
              </w:rPr>
              <w:t>OIC 29.17</w:t>
            </w:r>
          </w:p>
        </w:tc>
        <w:tc>
          <w:tcPr>
            <w:tcW w:w="6977" w:type="dxa"/>
            <w:tcMar>
              <w:left w:w="108" w:type="dxa"/>
            </w:tcMar>
          </w:tcPr>
          <w:p w:rsidR="00680245" w:rsidRPr="00083A62" w:rsidRDefault="00680245" w:rsidP="00D73E98">
            <w:pPr>
              <w:spacing w:line="224" w:lineRule="exact"/>
              <w:rPr>
                <w:lang w:val="it-IT"/>
              </w:rPr>
            </w:pPr>
            <w:r w:rsidRPr="00083A62">
              <w:rPr>
                <w:lang w:val="it-IT"/>
              </w:rPr>
              <w:t xml:space="preserve">L’effetto del cambiamento di un principio contabile è stato rilevato retroattivamente e i relativi effetti sono stati contabilizzati sul saldo d’apertura del patrimonio netto dell’esercizio in corso? </w:t>
            </w:r>
          </w:p>
        </w:tc>
        <w:tc>
          <w:tcPr>
            <w:tcW w:w="667" w:type="dxa"/>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c>
          <w:tcPr>
            <w:tcW w:w="575" w:type="dxa"/>
            <w:gridSpan w:val="2"/>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c>
          <w:tcPr>
            <w:tcW w:w="570" w:type="dxa"/>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r>
      <w:tr w:rsidR="00680245" w:rsidRPr="00083A62" w:rsidTr="00D73E98">
        <w:trPr>
          <w:cantSplit/>
          <w:trHeight w:val="20"/>
        </w:trPr>
        <w:tc>
          <w:tcPr>
            <w:tcW w:w="680" w:type="dxa"/>
          </w:tcPr>
          <w:p w:rsidR="00680245" w:rsidRPr="00693B33" w:rsidRDefault="00680245" w:rsidP="00D73E98">
            <w:pPr>
              <w:jc w:val="center"/>
              <w:rPr>
                <w:b/>
                <w:lang w:val="it-IT"/>
              </w:rPr>
            </w:pPr>
            <w:r w:rsidRPr="00693B33">
              <w:rPr>
                <w:b/>
                <w:lang w:val="it-IT"/>
              </w:rPr>
              <w:t>3)</w:t>
            </w:r>
          </w:p>
        </w:tc>
        <w:tc>
          <w:tcPr>
            <w:tcW w:w="851" w:type="dxa"/>
            <w:tcMar>
              <w:left w:w="108" w:type="dxa"/>
              <w:right w:w="0" w:type="dxa"/>
            </w:tcMar>
          </w:tcPr>
          <w:p w:rsidR="00680245" w:rsidRPr="00083A62" w:rsidRDefault="00680245" w:rsidP="00D73E98">
            <w:pPr>
              <w:pStyle w:val="PrincCont"/>
              <w:jc w:val="left"/>
              <w:rPr>
                <w:lang w:val="it-IT"/>
              </w:rPr>
            </w:pPr>
            <w:r w:rsidRPr="00083A62">
              <w:rPr>
                <w:lang w:val="it-IT"/>
              </w:rPr>
              <w:t>OIC 29.18</w:t>
            </w:r>
          </w:p>
        </w:tc>
        <w:tc>
          <w:tcPr>
            <w:tcW w:w="6977" w:type="dxa"/>
            <w:tcMar>
              <w:left w:w="108" w:type="dxa"/>
            </w:tcMar>
          </w:tcPr>
          <w:p w:rsidR="00680245" w:rsidRPr="00083A62" w:rsidRDefault="00680245" w:rsidP="00D73E98">
            <w:pPr>
              <w:spacing w:line="224" w:lineRule="exact"/>
              <w:rPr>
                <w:lang w:val="it-IT"/>
              </w:rPr>
            </w:pPr>
            <w:r w:rsidRPr="00083A62">
              <w:rPr>
                <w:lang w:val="it-IT"/>
              </w:rPr>
              <w:t>Sono stati rideterminati, ai fini comparativi, il saldo d’apertura del patrimonio netto e i dati comparativi dell’esercizio precedente come se il nuovo principio contabile fosse sempre stato applicato?</w:t>
            </w:r>
          </w:p>
        </w:tc>
        <w:tc>
          <w:tcPr>
            <w:tcW w:w="667" w:type="dxa"/>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c>
          <w:tcPr>
            <w:tcW w:w="575" w:type="dxa"/>
            <w:gridSpan w:val="2"/>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c>
          <w:tcPr>
            <w:tcW w:w="570" w:type="dxa"/>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r>
      <w:tr w:rsidR="00680245" w:rsidRPr="00CC242B" w:rsidTr="00D73E98">
        <w:trPr>
          <w:cantSplit/>
          <w:trHeight w:val="20"/>
        </w:trPr>
        <w:tc>
          <w:tcPr>
            <w:tcW w:w="680" w:type="dxa"/>
            <w:shd w:val="clear" w:color="auto" w:fill="auto"/>
          </w:tcPr>
          <w:p w:rsidR="00680245" w:rsidRPr="00693B33" w:rsidRDefault="00680245" w:rsidP="00D73E98">
            <w:pPr>
              <w:jc w:val="center"/>
              <w:rPr>
                <w:b/>
                <w:lang w:val="it-IT"/>
              </w:rPr>
            </w:pPr>
            <w:r w:rsidRPr="00693B33">
              <w:rPr>
                <w:b/>
                <w:lang w:val="it-IT"/>
              </w:rPr>
              <w:t>4)</w:t>
            </w:r>
          </w:p>
        </w:tc>
        <w:tc>
          <w:tcPr>
            <w:tcW w:w="851" w:type="dxa"/>
            <w:shd w:val="clear" w:color="auto" w:fill="auto"/>
            <w:tcMar>
              <w:left w:w="108" w:type="dxa"/>
              <w:right w:w="0" w:type="dxa"/>
            </w:tcMar>
          </w:tcPr>
          <w:p w:rsidR="00680245" w:rsidRPr="00083A62" w:rsidRDefault="00680245" w:rsidP="00D73E98">
            <w:pPr>
              <w:pStyle w:val="PrincCont"/>
              <w:jc w:val="left"/>
              <w:rPr>
                <w:lang w:val="it-IT"/>
              </w:rPr>
            </w:pPr>
            <w:r w:rsidRPr="00083A62">
              <w:rPr>
                <w:lang w:val="it-IT"/>
              </w:rPr>
              <w:t>OIC 29.19</w:t>
            </w:r>
          </w:p>
        </w:tc>
        <w:tc>
          <w:tcPr>
            <w:tcW w:w="6977" w:type="dxa"/>
            <w:shd w:val="clear" w:color="auto" w:fill="auto"/>
            <w:tcMar>
              <w:left w:w="108" w:type="dxa"/>
            </w:tcMar>
          </w:tcPr>
          <w:p w:rsidR="00680245" w:rsidRPr="00083A62" w:rsidRDefault="00680245" w:rsidP="00D73E98">
            <w:pPr>
              <w:spacing w:line="224" w:lineRule="exact"/>
              <w:rPr>
                <w:lang w:val="it-IT"/>
              </w:rPr>
            </w:pPr>
            <w:r w:rsidRPr="00083A62">
              <w:rPr>
                <w:lang w:val="it-IT"/>
              </w:rPr>
              <w:t xml:space="preserve">La facoltà di esonero dalla presentazione dei dati comparativi rettificati è stata utilizzata solo nei casi in cui: </w:t>
            </w:r>
          </w:p>
        </w:tc>
        <w:tc>
          <w:tcPr>
            <w:tcW w:w="667" w:type="dxa"/>
            <w:shd w:val="clear" w:color="auto" w:fill="auto"/>
            <w:tcMar>
              <w:left w:w="85" w:type="dxa"/>
              <w:right w:w="85" w:type="dxa"/>
            </w:tcMar>
            <w:vAlign w:val="center"/>
          </w:tcPr>
          <w:p w:rsidR="00680245" w:rsidRPr="00083A62" w:rsidRDefault="00680245" w:rsidP="00D73E98">
            <w:pPr>
              <w:jc w:val="center"/>
              <w:rPr>
                <w:lang w:val="it-IT"/>
              </w:rPr>
            </w:pPr>
          </w:p>
        </w:tc>
        <w:tc>
          <w:tcPr>
            <w:tcW w:w="575" w:type="dxa"/>
            <w:gridSpan w:val="2"/>
            <w:shd w:val="clear" w:color="auto" w:fill="auto"/>
            <w:tcMar>
              <w:left w:w="108" w:type="dxa"/>
            </w:tcMar>
            <w:vAlign w:val="center"/>
          </w:tcPr>
          <w:p w:rsidR="00680245" w:rsidRPr="00083A62" w:rsidRDefault="00680245" w:rsidP="00D73E98">
            <w:pPr>
              <w:jc w:val="center"/>
              <w:rPr>
                <w:lang w:val="it-IT"/>
              </w:rPr>
            </w:pPr>
          </w:p>
        </w:tc>
        <w:tc>
          <w:tcPr>
            <w:tcW w:w="570" w:type="dxa"/>
            <w:shd w:val="clear" w:color="auto" w:fill="auto"/>
            <w:tcMar>
              <w:left w:w="108" w:type="dxa"/>
            </w:tcMar>
            <w:vAlign w:val="center"/>
          </w:tcPr>
          <w:p w:rsidR="00680245" w:rsidRPr="00083A62" w:rsidRDefault="00680245" w:rsidP="00D73E98">
            <w:pPr>
              <w:jc w:val="center"/>
              <w:rPr>
                <w:lang w:val="it-IT"/>
              </w:rPr>
            </w:pPr>
          </w:p>
        </w:tc>
      </w:tr>
      <w:tr w:rsidR="00680245" w:rsidRPr="00083A62" w:rsidTr="00D73E98">
        <w:trPr>
          <w:cantSplit/>
          <w:trHeight w:val="20"/>
        </w:trPr>
        <w:tc>
          <w:tcPr>
            <w:tcW w:w="680" w:type="dxa"/>
          </w:tcPr>
          <w:p w:rsidR="00680245" w:rsidRPr="00693B33" w:rsidRDefault="00680245" w:rsidP="00D73E98">
            <w:pPr>
              <w:jc w:val="center"/>
              <w:rPr>
                <w:b/>
                <w:lang w:val="it-IT"/>
              </w:rPr>
            </w:pPr>
          </w:p>
        </w:tc>
        <w:tc>
          <w:tcPr>
            <w:tcW w:w="851" w:type="dxa"/>
            <w:tcMar>
              <w:left w:w="108" w:type="dxa"/>
              <w:right w:w="0" w:type="dxa"/>
            </w:tcMar>
          </w:tcPr>
          <w:p w:rsidR="00680245" w:rsidRPr="00083A62" w:rsidRDefault="00680245" w:rsidP="00D73E98">
            <w:pPr>
              <w:pStyle w:val="PrincCont"/>
              <w:jc w:val="left"/>
              <w:rPr>
                <w:lang w:val="it-IT"/>
              </w:rPr>
            </w:pPr>
          </w:p>
        </w:tc>
        <w:tc>
          <w:tcPr>
            <w:tcW w:w="6977" w:type="dxa"/>
            <w:tcMar>
              <w:left w:w="108" w:type="dxa"/>
            </w:tcMar>
          </w:tcPr>
          <w:p w:rsidR="00680245" w:rsidRPr="00083A62" w:rsidRDefault="00F1570B" w:rsidP="00F1570B">
            <w:pPr>
              <w:pStyle w:val="rientrotrattinook"/>
              <w:numPr>
                <w:ilvl w:val="0"/>
                <w:numId w:val="0"/>
              </w:numPr>
              <w:ind w:left="460" w:hanging="284"/>
            </w:pPr>
            <w:r>
              <w:t>-</w:t>
            </w:r>
            <w:r>
              <w:tab/>
            </w:r>
            <w:r w:rsidR="00680245" w:rsidRPr="00083A62">
              <w:t>non sia fattibile determinare l’effetto di competenza dell’esercizio precedente</w:t>
            </w:r>
          </w:p>
        </w:tc>
        <w:tc>
          <w:tcPr>
            <w:tcW w:w="667" w:type="dxa"/>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c>
          <w:tcPr>
            <w:tcW w:w="575" w:type="dxa"/>
            <w:gridSpan w:val="2"/>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c>
          <w:tcPr>
            <w:tcW w:w="570" w:type="dxa"/>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r>
      <w:tr w:rsidR="00680245" w:rsidRPr="00083A62" w:rsidTr="00D73E98">
        <w:trPr>
          <w:cantSplit/>
          <w:trHeight w:val="20"/>
        </w:trPr>
        <w:tc>
          <w:tcPr>
            <w:tcW w:w="680" w:type="dxa"/>
          </w:tcPr>
          <w:p w:rsidR="00680245" w:rsidRPr="00693B33" w:rsidRDefault="00680245" w:rsidP="00D73E98">
            <w:pPr>
              <w:jc w:val="center"/>
              <w:rPr>
                <w:b/>
                <w:lang w:val="it-IT"/>
              </w:rPr>
            </w:pPr>
          </w:p>
        </w:tc>
        <w:tc>
          <w:tcPr>
            <w:tcW w:w="851" w:type="dxa"/>
            <w:tcMar>
              <w:left w:w="108" w:type="dxa"/>
              <w:right w:w="0" w:type="dxa"/>
            </w:tcMar>
          </w:tcPr>
          <w:p w:rsidR="00680245" w:rsidRPr="00083A62" w:rsidRDefault="00680245" w:rsidP="00D73E98">
            <w:pPr>
              <w:pStyle w:val="PrincCont"/>
              <w:jc w:val="left"/>
              <w:rPr>
                <w:lang w:val="it-IT"/>
              </w:rPr>
            </w:pPr>
          </w:p>
        </w:tc>
        <w:tc>
          <w:tcPr>
            <w:tcW w:w="6977" w:type="dxa"/>
            <w:tcMar>
              <w:left w:w="108" w:type="dxa"/>
            </w:tcMar>
          </w:tcPr>
          <w:p w:rsidR="00680245" w:rsidRPr="00083A62" w:rsidRDefault="00F1570B" w:rsidP="00F1570B">
            <w:pPr>
              <w:pStyle w:val="rientrotrattinook"/>
              <w:numPr>
                <w:ilvl w:val="0"/>
                <w:numId w:val="0"/>
              </w:numPr>
              <w:ind w:left="460" w:hanging="284"/>
            </w:pPr>
            <w:r>
              <w:t>-</w:t>
            </w:r>
            <w:r>
              <w:tab/>
            </w:r>
            <w:r w:rsidR="00680245" w:rsidRPr="00083A62">
              <w:t>la determinazione dell’effetto di competenza dell’esercizio precedente risulti eccessivamente onerosa?</w:t>
            </w:r>
          </w:p>
        </w:tc>
        <w:tc>
          <w:tcPr>
            <w:tcW w:w="667" w:type="dxa"/>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c>
          <w:tcPr>
            <w:tcW w:w="575" w:type="dxa"/>
            <w:gridSpan w:val="2"/>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c>
          <w:tcPr>
            <w:tcW w:w="570" w:type="dxa"/>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r>
      <w:tr w:rsidR="00680245" w:rsidRPr="00CC242B" w:rsidTr="00D73E98">
        <w:trPr>
          <w:cantSplit/>
          <w:trHeight w:val="20"/>
        </w:trPr>
        <w:tc>
          <w:tcPr>
            <w:tcW w:w="680" w:type="dxa"/>
          </w:tcPr>
          <w:p w:rsidR="00680245" w:rsidRPr="00693B33" w:rsidRDefault="00680245" w:rsidP="00D73E98">
            <w:pPr>
              <w:jc w:val="center"/>
              <w:rPr>
                <w:b/>
                <w:lang w:val="it-IT"/>
              </w:rPr>
            </w:pPr>
          </w:p>
        </w:tc>
        <w:tc>
          <w:tcPr>
            <w:tcW w:w="851" w:type="dxa"/>
            <w:tcMar>
              <w:left w:w="108" w:type="dxa"/>
              <w:right w:w="0" w:type="dxa"/>
            </w:tcMar>
          </w:tcPr>
          <w:p w:rsidR="00680245" w:rsidRPr="00083A62" w:rsidRDefault="00680245" w:rsidP="00D73E98">
            <w:pPr>
              <w:pStyle w:val="PrincCont"/>
              <w:jc w:val="left"/>
              <w:rPr>
                <w:lang w:val="it-IT"/>
              </w:rPr>
            </w:pPr>
          </w:p>
        </w:tc>
        <w:tc>
          <w:tcPr>
            <w:tcW w:w="6977" w:type="dxa"/>
            <w:tcMar>
              <w:left w:w="108" w:type="dxa"/>
            </w:tcMar>
          </w:tcPr>
          <w:p w:rsidR="00680245" w:rsidRPr="00083A62" w:rsidRDefault="00680245" w:rsidP="00D73E98">
            <w:pPr>
              <w:pStyle w:val="Commentiriquadro"/>
            </w:pPr>
            <w:r w:rsidRPr="00083A62">
              <w:rPr>
                <w:lang w:eastAsia="it-IT"/>
              </w:rPr>
              <w:t>In caso di esonero la società si limita ad applicare il nuovo principio contabile al valore contabile delle attività e passività all’inizio dell’esercizio in corso, ed effettua una rettifica corrispondente sul saldo d’apertura del patrimonio netto dell’esercizio in corso.</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083A62" w:rsidTr="00D73E98">
        <w:trPr>
          <w:cantSplit/>
          <w:trHeight w:val="20"/>
        </w:trPr>
        <w:tc>
          <w:tcPr>
            <w:tcW w:w="680" w:type="dxa"/>
          </w:tcPr>
          <w:p w:rsidR="00680245" w:rsidRPr="00693B33" w:rsidRDefault="00680245" w:rsidP="00D73E98">
            <w:pPr>
              <w:jc w:val="center"/>
              <w:rPr>
                <w:b/>
                <w:lang w:val="it-IT"/>
              </w:rPr>
            </w:pPr>
            <w:r w:rsidRPr="00693B33">
              <w:rPr>
                <w:b/>
                <w:lang w:val="it-IT"/>
              </w:rPr>
              <w:t>5)</w:t>
            </w:r>
          </w:p>
        </w:tc>
        <w:tc>
          <w:tcPr>
            <w:tcW w:w="851" w:type="dxa"/>
            <w:tcMar>
              <w:left w:w="108" w:type="dxa"/>
              <w:right w:w="0" w:type="dxa"/>
            </w:tcMar>
          </w:tcPr>
          <w:p w:rsidR="00680245" w:rsidRPr="00083A62" w:rsidRDefault="00680245" w:rsidP="00D73E98">
            <w:pPr>
              <w:pStyle w:val="PrincCont"/>
              <w:jc w:val="left"/>
              <w:rPr>
                <w:lang w:val="it-IT"/>
              </w:rPr>
            </w:pPr>
            <w:r w:rsidRPr="00083A62">
              <w:rPr>
                <w:lang w:val="it-IT"/>
              </w:rPr>
              <w:t>OIC 29.20</w:t>
            </w:r>
          </w:p>
        </w:tc>
        <w:tc>
          <w:tcPr>
            <w:tcW w:w="6977" w:type="dxa"/>
            <w:tcMar>
              <w:left w:w="108" w:type="dxa"/>
            </w:tcMar>
          </w:tcPr>
          <w:p w:rsidR="00680245" w:rsidRPr="00083A62" w:rsidRDefault="00680245" w:rsidP="00D73E98">
            <w:pPr>
              <w:rPr>
                <w:lang w:val="it-IT"/>
              </w:rPr>
            </w:pPr>
            <w:r w:rsidRPr="00083A62">
              <w:rPr>
                <w:lang w:val="it-IT"/>
              </w:rPr>
              <w:t xml:space="preserve">Qualora non sia </w:t>
            </w:r>
            <w:r>
              <w:rPr>
                <w:lang w:val="it-IT"/>
              </w:rPr>
              <w:t xml:space="preserve">stato </w:t>
            </w:r>
            <w:r w:rsidRPr="00083A62">
              <w:rPr>
                <w:lang w:val="it-IT"/>
              </w:rPr>
              <w:t>fattibile o eccessivamente oneroso determinare l’effetto cumulato pregresso del cambiamento di principio, il nuovo principio è stato applicato dalla prima data in cui ciò è risultato fattibile?</w:t>
            </w:r>
          </w:p>
        </w:tc>
        <w:tc>
          <w:tcPr>
            <w:tcW w:w="667" w:type="dxa"/>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c>
          <w:tcPr>
            <w:tcW w:w="575" w:type="dxa"/>
            <w:gridSpan w:val="2"/>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c>
          <w:tcPr>
            <w:tcW w:w="570" w:type="dxa"/>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r>
      <w:tr w:rsidR="00680245" w:rsidRPr="00CC242B" w:rsidTr="00D73E98">
        <w:trPr>
          <w:cantSplit/>
          <w:trHeight w:val="20"/>
        </w:trPr>
        <w:tc>
          <w:tcPr>
            <w:tcW w:w="680" w:type="dxa"/>
          </w:tcPr>
          <w:p w:rsidR="00680245" w:rsidRPr="00083A62" w:rsidRDefault="00680245" w:rsidP="00D73E98">
            <w:pPr>
              <w:jc w:val="center"/>
              <w:rPr>
                <w:lang w:val="it-IT"/>
              </w:rPr>
            </w:pPr>
          </w:p>
        </w:tc>
        <w:tc>
          <w:tcPr>
            <w:tcW w:w="851" w:type="dxa"/>
            <w:tcMar>
              <w:left w:w="108" w:type="dxa"/>
              <w:right w:w="0" w:type="dxa"/>
            </w:tcMar>
          </w:tcPr>
          <w:p w:rsidR="00680245" w:rsidRPr="00083A62" w:rsidRDefault="00680245" w:rsidP="00D73E98">
            <w:pPr>
              <w:pStyle w:val="PrincCont"/>
              <w:jc w:val="left"/>
              <w:rPr>
                <w:lang w:val="it-IT"/>
              </w:rPr>
            </w:pPr>
          </w:p>
        </w:tc>
        <w:tc>
          <w:tcPr>
            <w:tcW w:w="6977" w:type="dxa"/>
            <w:tcMar>
              <w:left w:w="108" w:type="dxa"/>
            </w:tcMar>
          </w:tcPr>
          <w:p w:rsidR="00680245" w:rsidRPr="00083A62" w:rsidRDefault="00680245" w:rsidP="00D73E98">
            <w:pPr>
              <w:pStyle w:val="Commentiriquadro"/>
              <w:spacing w:line="190" w:lineRule="exact"/>
            </w:pPr>
            <w:r w:rsidRPr="00083A62">
              <w:rPr>
                <w:lang w:eastAsia="it-IT"/>
              </w:rPr>
              <w:t>Quando tale data coincide con l’inizio dell’esercizio in corso, il nuovo principio contabile è applicato prospetticamente</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973011" w:rsidTr="00D73E98">
        <w:trPr>
          <w:cantSplit/>
          <w:trHeight w:val="256"/>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5E6EF9"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pStyle w:val="Titolo2"/>
              <w:rPr>
                <w:lang w:val="it-IT"/>
              </w:rPr>
            </w:pPr>
            <w:r>
              <w:rPr>
                <w:lang w:val="it-IT"/>
              </w:rPr>
              <w:t>Nota Integrativa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CC242B" w:rsidTr="00D73E98">
        <w:trPr>
          <w:cantSplit/>
          <w:trHeight w:val="152"/>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pStyle w:val="Titolo3"/>
              <w:rPr>
                <w:lang w:val="it-IT"/>
              </w:rPr>
            </w:pPr>
            <w:r w:rsidRPr="00F8095C">
              <w:rPr>
                <w:lang w:val="it-IT"/>
              </w:rPr>
              <w:t>Informazioni relative alle società che redigono il bilancio in forma ordinaria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CC242B"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r w:rsidRPr="00693B33">
              <w:rPr>
                <w:b/>
                <w:lang w:val="it-IT"/>
              </w:rPr>
              <w:t>6)</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pPr>
            <w:r w:rsidRPr="00083A62">
              <w:t>Art. 2423-bis, c.2 CC</w:t>
            </w:r>
            <w:r>
              <w:t xml:space="preserve">       </w:t>
            </w:r>
            <w:r w:rsidRPr="00083A62">
              <w:t>OIC 29.25</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spacing w:line="230" w:lineRule="exact"/>
              <w:rPr>
                <w:lang w:val="it-IT"/>
              </w:rPr>
            </w:pPr>
            <w:r w:rsidRPr="00083A62">
              <w:rPr>
                <w:lang w:val="it-IT"/>
              </w:rPr>
              <w:t xml:space="preserve">La </w:t>
            </w:r>
            <w:r>
              <w:rPr>
                <w:lang w:val="it-IT"/>
              </w:rPr>
              <w:t>Nota Integrativa</w:t>
            </w:r>
            <w:r w:rsidRPr="00083A62">
              <w:rPr>
                <w:lang w:val="it-IT"/>
              </w:rPr>
              <w:t xml:space="preserve"> contiene le seguenti informazioni:</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304"/>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4E27C2">
            <w:pPr>
              <w:pStyle w:val="Rientroa"/>
              <w:numPr>
                <w:ilvl w:val="0"/>
                <w:numId w:val="11"/>
              </w:numPr>
              <w:spacing w:line="230" w:lineRule="exact"/>
              <w:ind w:left="391" w:hanging="357"/>
            </w:pPr>
            <w:r w:rsidRPr="00083A62">
              <w:t xml:space="preserve">le motivazioni alla base del cambiamento di principio contabile </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4E27C2">
            <w:pPr>
              <w:pStyle w:val="Paragrafoelenco"/>
              <w:numPr>
                <w:ilvl w:val="0"/>
                <w:numId w:val="11"/>
              </w:numPr>
              <w:spacing w:line="224" w:lineRule="exact"/>
              <w:ind w:left="391" w:hanging="357"/>
              <w:rPr>
                <w:lang w:val="it-IT"/>
              </w:rPr>
            </w:pPr>
            <w:r w:rsidRPr="00083A62">
              <w:rPr>
                <w:lang w:val="it-IT" w:eastAsia="it-IT"/>
              </w:rPr>
              <w:t>gli effetti del nuovo principio contabile sulle voci di stato patrimoniale, di conto economico e del rendiconto finanziario dell’esercizio in corso e di quello precedente</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r>
      <w:tr w:rsidR="00680245" w:rsidRPr="00083A62" w:rsidTr="00D73E98">
        <w:trPr>
          <w:cantSplit/>
          <w:trHeight w:val="214"/>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4E27C2">
            <w:pPr>
              <w:pStyle w:val="Paragrafoelenco"/>
              <w:numPr>
                <w:ilvl w:val="0"/>
                <w:numId w:val="11"/>
              </w:numPr>
              <w:spacing w:line="230" w:lineRule="exact"/>
              <w:ind w:left="391" w:hanging="357"/>
              <w:rPr>
                <w:lang w:val="it-IT"/>
              </w:rPr>
            </w:pPr>
            <w:r w:rsidRPr="00083A62">
              <w:rPr>
                <w:lang w:val="it-IT" w:eastAsia="it-IT"/>
              </w:rPr>
              <w:t>le motivazioni alla base dell’utilizzo delle facilitazioni concesse dai paragrafi 19 e 20</w:t>
            </w:r>
            <w:r>
              <w:rPr>
                <w:lang w:val="it-IT" w:eastAsia="it-IT"/>
              </w:rPr>
              <w:t>?</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r>
      <w:tr w:rsidR="00680245" w:rsidRPr="00CC242B" w:rsidTr="00D73E98">
        <w:trPr>
          <w:cantSplit/>
          <w:trHeight w:val="219"/>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pStyle w:val="Titolo3"/>
              <w:rPr>
                <w:lang w:val="it-IT"/>
              </w:rPr>
            </w:pPr>
            <w:r w:rsidRPr="00F8095C">
              <w:rPr>
                <w:lang w:val="it-IT"/>
              </w:rPr>
              <w:t>Informazioni relative alle società che redigono il bilancio in forma abbreviata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CC242B"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r w:rsidRPr="00693B33">
              <w:rPr>
                <w:b/>
                <w:lang w:val="it-IT"/>
              </w:rPr>
              <w:t>7)</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sidRPr="00083A62">
              <w:rPr>
                <w:lang w:val="it-IT"/>
              </w:rPr>
              <w:t>OIC 29.26</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spacing w:line="230" w:lineRule="exact"/>
              <w:rPr>
                <w:lang w:val="it-IT"/>
              </w:rPr>
            </w:pPr>
            <w:r w:rsidRPr="00083A62">
              <w:rPr>
                <w:lang w:val="it-IT" w:eastAsia="it-IT"/>
              </w:rPr>
              <w:t xml:space="preserve">La </w:t>
            </w:r>
            <w:r>
              <w:rPr>
                <w:lang w:val="it-IT" w:eastAsia="it-IT"/>
              </w:rPr>
              <w:t>Nota Integrativa</w:t>
            </w:r>
            <w:r w:rsidRPr="00083A62">
              <w:rPr>
                <w:lang w:val="it-IT" w:eastAsia="it-IT"/>
              </w:rPr>
              <w:t xml:space="preserve"> delle società che redigono il bilancio ai sensi dell’articolo 2435-</w:t>
            </w:r>
            <w:r w:rsidRPr="00083A62">
              <w:rPr>
                <w:i/>
                <w:iCs/>
                <w:lang w:val="it-IT" w:eastAsia="it-IT"/>
              </w:rPr>
              <w:t xml:space="preserve">bis </w:t>
            </w:r>
            <w:r w:rsidRPr="00083A62">
              <w:rPr>
                <w:lang w:val="it-IT" w:eastAsia="it-IT"/>
              </w:rPr>
              <w:t>del codice civile illustra: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23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4E27C2">
            <w:pPr>
              <w:pStyle w:val="Paragrafoelenco"/>
              <w:numPr>
                <w:ilvl w:val="0"/>
                <w:numId w:val="14"/>
              </w:numPr>
              <w:spacing w:line="240" w:lineRule="exact"/>
              <w:ind w:left="391" w:hanging="357"/>
              <w:rPr>
                <w:lang w:val="it-IT" w:eastAsia="it-IT"/>
              </w:rPr>
            </w:pPr>
            <w:r w:rsidRPr="00083A62">
              <w:rPr>
                <w:lang w:val="it-IT" w:eastAsia="it-IT"/>
              </w:rPr>
              <w:t>le motivazioni alla base del cambiamento di principio contabile</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CA1681">
              <w:fldChar w:fldCharType="separate"/>
            </w:r>
            <w:r w:rsidRPr="00083A62">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pPr>
            <w:r w:rsidRPr="00083A62">
              <w:fldChar w:fldCharType="begin">
                <w:ffData>
                  <w:name w:val="Check4"/>
                  <w:enabled/>
                  <w:calcOnExit w:val="0"/>
                  <w:checkBox>
                    <w:sizeAuto/>
                    <w:default w:val="0"/>
                  </w:checkBox>
                </w:ffData>
              </w:fldChar>
            </w:r>
            <w:r w:rsidRPr="00083A62">
              <w:rPr>
                <w:lang w:val="it-IT"/>
              </w:rPr>
              <w:instrText xml:space="preserve"> FORMCHECKBO</w:instrText>
            </w:r>
            <w:r w:rsidRPr="00083A62">
              <w:instrText xml:space="preserve">X </w:instrText>
            </w:r>
            <w:r w:rsidR="00CA1681">
              <w:fldChar w:fldCharType="separate"/>
            </w:r>
            <w:r w:rsidRPr="00083A62">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4E27C2">
            <w:pPr>
              <w:pStyle w:val="Paragrafoelenco"/>
              <w:numPr>
                <w:ilvl w:val="0"/>
                <w:numId w:val="14"/>
              </w:numPr>
              <w:spacing w:line="230" w:lineRule="exact"/>
              <w:ind w:left="391" w:hanging="357"/>
              <w:rPr>
                <w:lang w:val="it-IT" w:eastAsia="it-IT"/>
              </w:rPr>
            </w:pPr>
            <w:r w:rsidRPr="00083A62">
              <w:rPr>
                <w:lang w:val="it-IT" w:eastAsia="it-IT"/>
              </w:rPr>
              <w:t>l’ammontare delle modifiche apportate alle voci dell’esercizio precedente che sono state adattate o le motivazioni alla base dell’impossibilità di adattare le voci dell’esercizio precedente?</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CA1681">
              <w:fldChar w:fldCharType="separate"/>
            </w:r>
            <w:r w:rsidRPr="00083A62">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pPr>
            <w:r w:rsidRPr="00083A62">
              <w:fldChar w:fldCharType="begin">
                <w:ffData>
                  <w:name w:val="Check4"/>
                  <w:enabled/>
                  <w:calcOnExit w:val="0"/>
                  <w:checkBox>
                    <w:sizeAuto/>
                    <w:default w:val="0"/>
                  </w:checkBox>
                </w:ffData>
              </w:fldChar>
            </w:r>
            <w:r w:rsidRPr="00083A62">
              <w:rPr>
                <w:lang w:val="it-IT"/>
              </w:rPr>
              <w:instrText xml:space="preserve"> FORMCHECKBO</w:instrText>
            </w:r>
            <w:r w:rsidRPr="00083A62">
              <w:instrText xml:space="preserve">X </w:instrText>
            </w:r>
            <w:r w:rsidR="00CA1681">
              <w:fldChar w:fldCharType="separate"/>
            </w:r>
            <w:r w:rsidRPr="00083A62">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pPr>
            <w:r w:rsidRPr="00083A62">
              <w:fldChar w:fldCharType="begin">
                <w:ffData>
                  <w:name w:val="Check4"/>
                  <w:enabled/>
                  <w:calcOnExit w:val="0"/>
                  <w:checkBox>
                    <w:sizeAuto/>
                    <w:default w:val="0"/>
                  </w:checkBox>
                </w:ffData>
              </w:fldChar>
            </w:r>
            <w:r w:rsidRPr="00083A62">
              <w:instrText xml:space="preserve"> FORMCHECKBOX </w:instrText>
            </w:r>
            <w:r w:rsidR="00CA1681">
              <w:fldChar w:fldCharType="separate"/>
            </w:r>
            <w:r w:rsidRPr="00083A62">
              <w:fldChar w:fldCharType="end"/>
            </w: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F8095C" w:rsidRDefault="00680245" w:rsidP="00D73E98">
            <w:pPr>
              <w:pStyle w:val="Titolo2"/>
            </w:pPr>
            <w:r w:rsidRPr="00083A62">
              <w:t>CAMBIAMENTI DI STIME CONTABILI</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CC242B" w:rsidTr="00D73E98">
        <w:trPr>
          <w:cantSplit/>
          <w:trHeight w:val="20"/>
        </w:trPr>
        <w:tc>
          <w:tcPr>
            <w:tcW w:w="680" w:type="dxa"/>
          </w:tcPr>
          <w:p w:rsidR="00680245" w:rsidRPr="00083A62" w:rsidRDefault="00680245" w:rsidP="00D73E98">
            <w:pPr>
              <w:jc w:val="center"/>
              <w:rPr>
                <w:lang w:val="it-IT"/>
              </w:rPr>
            </w:pPr>
          </w:p>
        </w:tc>
        <w:tc>
          <w:tcPr>
            <w:tcW w:w="851" w:type="dxa"/>
            <w:tcMar>
              <w:left w:w="108" w:type="dxa"/>
              <w:right w:w="0" w:type="dxa"/>
            </w:tcMar>
          </w:tcPr>
          <w:p w:rsidR="00680245" w:rsidRPr="00083A62" w:rsidRDefault="00680245" w:rsidP="00D73E98">
            <w:pPr>
              <w:pStyle w:val="PrincCont"/>
              <w:jc w:val="left"/>
              <w:rPr>
                <w:lang w:val="it-IT"/>
              </w:rPr>
            </w:pPr>
            <w:r w:rsidRPr="00083A62">
              <w:rPr>
                <w:lang w:val="it-IT"/>
              </w:rPr>
              <w:t>OIC 29.34</w:t>
            </w:r>
          </w:p>
        </w:tc>
        <w:tc>
          <w:tcPr>
            <w:tcW w:w="6977" w:type="dxa"/>
            <w:tcMar>
              <w:left w:w="108" w:type="dxa"/>
            </w:tcMar>
          </w:tcPr>
          <w:p w:rsidR="00680245" w:rsidRPr="00083A62" w:rsidRDefault="00680245" w:rsidP="00D73E98">
            <w:pPr>
              <w:pStyle w:val="Commentiriquadro"/>
            </w:pPr>
            <w:r w:rsidRPr="00083A62">
              <w:t>Le stime sono i procedimenti ed i metodi in base ai quali si perviene alla determinazione di un valore ragionevolmente attendibile di attività, passività, costi e ricavi; i cambiamenti di stima rientrano nel normale procedimento di formazione del bilancio e non costituiscono correzioni di errori o cambiamenti di principi contabili.</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CC242B"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sidRPr="00083A62">
              <w:rPr>
                <w:lang w:val="it-IT"/>
              </w:rPr>
              <w:t>OIC 29.35</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pStyle w:val="Commentiriquadro"/>
            </w:pPr>
            <w:r w:rsidRPr="00083A62">
              <w:rPr>
                <w:lang w:eastAsia="it-IT"/>
              </w:rPr>
              <w:t>Quando è difficile stabilire se si è in presenza di un cambiamento di principio contabile o di stima, il cambiamento è trattato come un cambiamento di stima.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pStyle w:val="Titolo2"/>
              <w:rPr>
                <w:lang w:val="it-IT"/>
              </w:rPr>
            </w:pPr>
            <w:r w:rsidRPr="00D11B51">
              <w:rPr>
                <w:lang w:val="en-US"/>
              </w:rPr>
              <w:t>Rilevazione in bilancio</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pP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r w:rsidRPr="00693B33">
              <w:rPr>
                <w:b/>
                <w:lang w:val="it-IT"/>
              </w:rPr>
              <w:t>8)</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sidRPr="00083A62">
              <w:rPr>
                <w:lang w:val="it-IT"/>
              </w:rPr>
              <w:t>OIC 29.36</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spacing w:line="224" w:lineRule="exact"/>
              <w:rPr>
                <w:lang w:val="it-IT"/>
              </w:rPr>
            </w:pPr>
            <w:r w:rsidRPr="00083A62">
              <w:rPr>
                <w:lang w:val="it-IT"/>
              </w:rPr>
              <w:t xml:space="preserve">I cambiamenti di stima sono </w:t>
            </w:r>
            <w:r>
              <w:rPr>
                <w:lang w:val="it-IT"/>
              </w:rPr>
              <w:t xml:space="preserve">stati </w:t>
            </w:r>
            <w:r w:rsidRPr="00083A62">
              <w:rPr>
                <w:lang w:val="it-IT"/>
              </w:rPr>
              <w:t>rilevati nel bilancio d</w:t>
            </w:r>
            <w:r>
              <w:rPr>
                <w:lang w:val="it-IT"/>
              </w:rPr>
              <w:t xml:space="preserve">ell’esercizio in cui </w:t>
            </w:r>
            <w:r w:rsidRPr="00083A62">
              <w:rPr>
                <w:lang w:val="it-IT"/>
              </w:rPr>
              <w:t xml:space="preserve">si </w:t>
            </w:r>
            <w:r>
              <w:rPr>
                <w:lang w:val="it-IT"/>
              </w:rPr>
              <w:t xml:space="preserve">è </w:t>
            </w:r>
            <w:r w:rsidRPr="00083A62">
              <w:rPr>
                <w:lang w:val="it-IT"/>
              </w:rPr>
              <w:t>verifica</w:t>
            </w:r>
            <w:r>
              <w:rPr>
                <w:lang w:val="it-IT"/>
              </w:rPr>
              <w:t>to</w:t>
            </w:r>
            <w:r w:rsidRPr="00083A62">
              <w:rPr>
                <w:lang w:val="it-IT"/>
              </w:rPr>
              <w:t xml:space="preserve"> il cambiamento?</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CA1681">
              <w:fldChar w:fldCharType="separate"/>
            </w:r>
            <w:r w:rsidRPr="00083A62">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CA1681">
              <w:fldChar w:fldCharType="separate"/>
            </w:r>
            <w:r w:rsidRPr="00083A62">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CA1681">
              <w:fldChar w:fldCharType="separate"/>
            </w:r>
            <w:r w:rsidRPr="00083A62">
              <w:fldChar w:fldCharType="end"/>
            </w:r>
          </w:p>
        </w:tc>
      </w:tr>
      <w:tr w:rsidR="00680245" w:rsidRPr="00083A62" w:rsidTr="00D73E98">
        <w:trPr>
          <w:cantSplit/>
          <w:trHeight w:val="20"/>
        </w:trPr>
        <w:tc>
          <w:tcPr>
            <w:tcW w:w="680" w:type="dxa"/>
          </w:tcPr>
          <w:p w:rsidR="00680245" w:rsidRPr="00693B33" w:rsidRDefault="00680245" w:rsidP="00D73E98">
            <w:pPr>
              <w:jc w:val="center"/>
              <w:rPr>
                <w:b/>
                <w:lang w:val="it-IT"/>
              </w:rPr>
            </w:pPr>
            <w:r w:rsidRPr="00693B33">
              <w:rPr>
                <w:b/>
                <w:lang w:val="it-IT"/>
              </w:rPr>
              <w:t>9)</w:t>
            </w:r>
          </w:p>
        </w:tc>
        <w:tc>
          <w:tcPr>
            <w:tcW w:w="851" w:type="dxa"/>
            <w:tcMar>
              <w:left w:w="108" w:type="dxa"/>
              <w:right w:w="0" w:type="dxa"/>
            </w:tcMar>
          </w:tcPr>
          <w:p w:rsidR="00680245" w:rsidRPr="00083A62" w:rsidRDefault="00680245" w:rsidP="00D73E98">
            <w:pPr>
              <w:pStyle w:val="PrincCont"/>
              <w:jc w:val="left"/>
              <w:rPr>
                <w:lang w:val="it-IT"/>
              </w:rPr>
            </w:pPr>
            <w:r w:rsidRPr="00083A62">
              <w:rPr>
                <w:lang w:val="it-IT"/>
              </w:rPr>
              <w:t>OIC 29.37</w:t>
            </w:r>
          </w:p>
        </w:tc>
        <w:tc>
          <w:tcPr>
            <w:tcW w:w="6977" w:type="dxa"/>
            <w:tcMar>
              <w:left w:w="108" w:type="dxa"/>
            </w:tcMar>
          </w:tcPr>
          <w:p w:rsidR="00680245" w:rsidRPr="00083A62" w:rsidRDefault="00680245" w:rsidP="00D73E98">
            <w:pPr>
              <w:spacing w:line="230" w:lineRule="exact"/>
              <w:rPr>
                <w:lang w:val="it-IT"/>
              </w:rPr>
            </w:pPr>
            <w:r w:rsidRPr="00083A62">
              <w:rPr>
                <w:lang w:val="it-IT"/>
              </w:rPr>
              <w:t>Gli effetti del cambiamento di stima sono stati classificati nella voce di conto economico relativa all’elemento patrimoniale oggetto di stima?</w:t>
            </w:r>
          </w:p>
        </w:tc>
        <w:tc>
          <w:tcPr>
            <w:tcW w:w="667" w:type="dxa"/>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CA1681">
              <w:fldChar w:fldCharType="separate"/>
            </w:r>
            <w:r w:rsidRPr="00083A62">
              <w:fldChar w:fldCharType="end"/>
            </w:r>
          </w:p>
        </w:tc>
        <w:tc>
          <w:tcPr>
            <w:tcW w:w="575" w:type="dxa"/>
            <w:gridSpan w:val="2"/>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CA1681">
              <w:fldChar w:fldCharType="separate"/>
            </w:r>
            <w:r w:rsidRPr="00083A62">
              <w:fldChar w:fldCharType="end"/>
            </w:r>
          </w:p>
        </w:tc>
        <w:tc>
          <w:tcPr>
            <w:tcW w:w="570" w:type="dxa"/>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CA1681">
              <w:fldChar w:fldCharType="separate"/>
            </w:r>
            <w:r w:rsidRPr="00083A62">
              <w:fldChar w:fldCharType="end"/>
            </w:r>
          </w:p>
        </w:tc>
      </w:tr>
      <w:tr w:rsidR="00680245" w:rsidRPr="00973011"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pStyle w:val="Titolo2"/>
              <w:rPr>
                <w:lang w:val="it-IT"/>
              </w:rPr>
            </w:pPr>
            <w:r>
              <w:rPr>
                <w:lang w:val="it-IT"/>
              </w:rPr>
              <w:t>Nota Integrativa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CC242B" w:rsidTr="00D73E98">
        <w:trPr>
          <w:cantSplit/>
          <w:trHeight w:val="181"/>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pStyle w:val="Titolo3"/>
              <w:rPr>
                <w:lang w:val="it-IT"/>
              </w:rPr>
            </w:pPr>
            <w:r w:rsidRPr="00D11B51">
              <w:rPr>
                <w:lang w:val="it-IT"/>
              </w:rPr>
              <w:t>Informazioni relative alle società che redigono il bilancio in forma ordinaria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CC242B"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r w:rsidRPr="00693B33">
              <w:rPr>
                <w:b/>
                <w:lang w:val="it-IT"/>
              </w:rPr>
              <w:t>10)</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pPr>
            <w:r w:rsidRPr="00083A62">
              <w:t>OIC 29.40</w:t>
            </w: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spacing w:line="224" w:lineRule="exact"/>
              <w:rPr>
                <w:lang w:val="it-IT"/>
              </w:rPr>
            </w:pPr>
            <w:r w:rsidRPr="00083A62">
              <w:rPr>
                <w:lang w:val="it-IT"/>
              </w:rPr>
              <w:t xml:space="preserve">Qualora il cambiamento di stima non sia originato da normali aggiornamenti delle stime, ad esempio in presenza di un evento inaspettato che richieda una modifica rilevante nella determinazione della stima o in caso di operazioni che implichino rischi e incertezze nella stima stessa, la </w:t>
            </w:r>
            <w:r>
              <w:rPr>
                <w:lang w:val="it-IT"/>
              </w:rPr>
              <w:t>Nota Integrativa</w:t>
            </w:r>
            <w:r w:rsidRPr="00083A62">
              <w:rPr>
                <w:lang w:val="it-IT"/>
              </w:rPr>
              <w:t xml:space="preserve"> contiene le seguenti informazioni:</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222"/>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4E27C2">
            <w:pPr>
              <w:pStyle w:val="Puntoelenco"/>
              <w:numPr>
                <w:ilvl w:val="0"/>
                <w:numId w:val="15"/>
              </w:numPr>
              <w:spacing w:line="230" w:lineRule="exact"/>
              <w:ind w:left="460" w:hanging="284"/>
            </w:pPr>
            <w:r w:rsidRPr="00083A62">
              <w:t>le ragioni del cambiamento</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CA1681">
              <w:fldChar w:fldCharType="separate"/>
            </w:r>
            <w:r w:rsidRPr="00083A62">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CA1681">
              <w:fldChar w:fldCharType="separate"/>
            </w:r>
            <w:r w:rsidRPr="00083A62">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CA1681">
              <w:fldChar w:fldCharType="separate"/>
            </w:r>
            <w:r w:rsidRPr="00083A62">
              <w:fldChar w:fldCharType="end"/>
            </w: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4E27C2">
            <w:pPr>
              <w:pStyle w:val="Puntoelenco"/>
              <w:numPr>
                <w:ilvl w:val="0"/>
                <w:numId w:val="15"/>
              </w:numPr>
              <w:spacing w:line="230" w:lineRule="exact"/>
              <w:ind w:left="460" w:hanging="284"/>
            </w:pPr>
            <w:r w:rsidRPr="00083A62">
              <w:rPr>
                <w:lang w:eastAsia="it-IT"/>
              </w:rPr>
              <w:t>il criterio di determinazione degli effetti del cambiamento di stima ed il metodo utilizzato in tale determinazione</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CA1681">
              <w:fldChar w:fldCharType="separate"/>
            </w:r>
            <w:r w:rsidRPr="00083A62">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CA1681">
              <w:fldChar w:fldCharType="separate"/>
            </w:r>
            <w:r w:rsidRPr="00083A62">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CA1681">
              <w:fldChar w:fldCharType="separate"/>
            </w:r>
            <w:r w:rsidRPr="00083A62">
              <w:fldChar w:fldCharType="end"/>
            </w:r>
          </w:p>
        </w:tc>
      </w:tr>
      <w:tr w:rsidR="00680245" w:rsidRPr="00083A62" w:rsidTr="00D73E98">
        <w:trPr>
          <w:cantSplit/>
          <w:trHeight w:val="305"/>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4E27C2">
            <w:pPr>
              <w:pStyle w:val="Puntoelenco"/>
              <w:numPr>
                <w:ilvl w:val="0"/>
                <w:numId w:val="15"/>
              </w:numPr>
              <w:spacing w:line="230" w:lineRule="exact"/>
              <w:ind w:left="460" w:hanging="284"/>
            </w:pPr>
            <w:r w:rsidRPr="00083A62">
              <w:rPr>
                <w:lang w:eastAsia="it-IT"/>
              </w:rPr>
              <w:t>l’effetto del cambiamento e la relativa incidenza fiscale?</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CA1681">
              <w:fldChar w:fldCharType="separate"/>
            </w:r>
            <w:r w:rsidRPr="00083A62">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CA1681">
              <w:fldChar w:fldCharType="separate"/>
            </w:r>
            <w:r w:rsidRPr="00083A62">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CA1681">
              <w:fldChar w:fldCharType="separate"/>
            </w:r>
            <w:r w:rsidRPr="00083A62">
              <w:fldChar w:fldCharType="end"/>
            </w:r>
          </w:p>
        </w:tc>
      </w:tr>
      <w:tr w:rsidR="00680245" w:rsidRPr="00CC242B" w:rsidTr="00D73E98">
        <w:trPr>
          <w:cantSplit/>
          <w:trHeight w:val="268"/>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5E6EF9" w:rsidRDefault="00680245" w:rsidP="00D73E98">
            <w:pPr>
              <w:pStyle w:val="Titolo3"/>
              <w:rPr>
                <w:lang w:val="it-IT"/>
              </w:rPr>
            </w:pPr>
            <w:r w:rsidRPr="005E6EF9">
              <w:rPr>
                <w:lang w:val="it-IT"/>
              </w:rPr>
              <w:t>Informazioni relative alle società che redigono il bilancio in forma abbreviata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CC242B"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t>OIC 29.41</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DC441D" w:rsidRDefault="00680245" w:rsidP="00D73E98">
            <w:pPr>
              <w:pStyle w:val="Commentiriquadro"/>
              <w:rPr>
                <w:caps/>
              </w:rPr>
            </w:pPr>
            <w:r>
              <w:rPr>
                <w:lang w:eastAsia="it-IT"/>
              </w:rPr>
              <w:t>L’articolo 2435-</w:t>
            </w:r>
            <w:r>
              <w:rPr>
                <w:i/>
                <w:iCs/>
                <w:lang w:eastAsia="it-IT"/>
              </w:rPr>
              <w:t xml:space="preserve">bis </w:t>
            </w:r>
            <w:r>
              <w:rPr>
                <w:lang w:eastAsia="it-IT"/>
              </w:rPr>
              <w:t>del codice civile non prevede specifiche informazioni nella Nota Integrativa per i cambiamenti di stima; tuttavia le società che redigono il bilancio ai sensi dell’articolo 2435-</w:t>
            </w:r>
            <w:r>
              <w:rPr>
                <w:i/>
                <w:iCs/>
                <w:lang w:eastAsia="it-IT"/>
              </w:rPr>
              <w:t xml:space="preserve">bis </w:t>
            </w:r>
            <w:r>
              <w:rPr>
                <w:lang w:eastAsia="it-IT"/>
              </w:rPr>
              <w:t>devono applicare il paragrafo OIC 39.</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pStyle w:val="Titolo1"/>
              <w:jc w:val="both"/>
            </w:pPr>
            <w:r w:rsidRPr="00083A62">
              <w:t>CORREZIONE DI ERRORI</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pStyle w:val="Titolo2"/>
              <w:rPr>
                <w:lang w:val="it-IT"/>
              </w:rPr>
            </w:pPr>
            <w:r w:rsidRPr="00D11B51">
              <w:rPr>
                <w:lang w:val="en-US"/>
              </w:rPr>
              <w:t>Rilevazione in bilancio</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pP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r w:rsidRPr="00693B33">
              <w:rPr>
                <w:b/>
                <w:lang w:val="it-IT"/>
              </w:rPr>
              <w:t>11)</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sidRPr="00083A62">
              <w:rPr>
                <w:lang w:val="it-IT"/>
              </w:rPr>
              <w:t>OIC 29.47</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spacing w:line="224" w:lineRule="exact"/>
              <w:rPr>
                <w:lang w:val="it-IT"/>
              </w:rPr>
            </w:pPr>
            <w:r w:rsidRPr="00083A62">
              <w:rPr>
                <w:lang w:val="it-IT"/>
              </w:rPr>
              <w:t>La rilevazione in bilancio della correzione di errore è stata effettuata nel momento in cui lo stesso è stato individuato e nel contempo sono disponibili le informazioni e i dati per il suo corretto trattamento?</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CA1681">
              <w:fldChar w:fldCharType="separate"/>
            </w:r>
            <w:r w:rsidRPr="00083A62">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CA1681">
              <w:fldChar w:fldCharType="separate"/>
            </w:r>
            <w:r w:rsidRPr="00083A62">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CA1681">
              <w:fldChar w:fldCharType="separate"/>
            </w:r>
            <w:r w:rsidRPr="00083A62">
              <w:fldChar w:fldCharType="end"/>
            </w:r>
          </w:p>
        </w:tc>
      </w:tr>
      <w:tr w:rsidR="00680245" w:rsidRPr="00CC242B"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sidRPr="00083A62">
              <w:rPr>
                <w:lang w:val="it-IT"/>
              </w:rPr>
              <w:t>OIC 29.46</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pStyle w:val="Commentiriquadro"/>
            </w:pPr>
            <w:r w:rsidRPr="00083A62">
              <w:rPr>
                <w:lang w:eastAsia="it-IT"/>
              </w:rPr>
              <w:t xml:space="preserve">Un errore è </w:t>
            </w:r>
            <w:r w:rsidRPr="00083A62">
              <w:rPr>
                <w:i/>
                <w:iCs/>
                <w:lang w:eastAsia="it-IT"/>
              </w:rPr>
              <w:t xml:space="preserve">rilevante </w:t>
            </w:r>
            <w:r w:rsidRPr="00083A62">
              <w:rPr>
                <w:lang w:eastAsia="it-IT"/>
              </w:rPr>
              <w:t>se può individualmente, o insieme ad altri errori, influenzare le decisioni economiche che gli utilizzatori assumono in base al bilancio. La rilevanza di un errore dipende dalla dimensione e dalla natura dell’errore stesso ed è valutata a seconda delle circostanze.</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r w:rsidRPr="00693B33">
              <w:rPr>
                <w:b/>
                <w:lang w:val="it-IT"/>
              </w:rPr>
              <w:t>12)</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sidRPr="00083A62">
              <w:rPr>
                <w:lang w:val="it-IT"/>
              </w:rPr>
              <w:t>OIC 29.48</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spacing w:line="230" w:lineRule="exact"/>
              <w:rPr>
                <w:lang w:val="it-IT"/>
              </w:rPr>
            </w:pPr>
            <w:r w:rsidRPr="00083A62">
              <w:rPr>
                <w:lang w:val="it-IT"/>
              </w:rPr>
              <w:t xml:space="preserve">La correzione di errori </w:t>
            </w:r>
            <w:r w:rsidRPr="00083A62">
              <w:rPr>
                <w:i/>
                <w:lang w:val="it-IT"/>
              </w:rPr>
              <w:t>rilevanti</w:t>
            </w:r>
            <w:r w:rsidRPr="00083A62">
              <w:rPr>
                <w:lang w:val="it-IT"/>
              </w:rPr>
              <w:t xml:space="preserve"> commessi in esercizi precedenti è </w:t>
            </w:r>
            <w:r>
              <w:rPr>
                <w:lang w:val="it-IT"/>
              </w:rPr>
              <w:t xml:space="preserve">stata </w:t>
            </w:r>
            <w:r w:rsidRPr="00083A62">
              <w:rPr>
                <w:lang w:val="it-IT"/>
              </w:rPr>
              <w:t xml:space="preserve">contabilizzata sul saldo d’apertura del patrimonio netto dell’esercizio in cui </w:t>
            </w:r>
            <w:r>
              <w:rPr>
                <w:lang w:val="it-IT"/>
              </w:rPr>
              <w:t>viene</w:t>
            </w:r>
            <w:r w:rsidRPr="00083A62">
              <w:rPr>
                <w:lang w:val="it-IT"/>
              </w:rPr>
              <w:t xml:space="preserve"> individua</w:t>
            </w:r>
            <w:r>
              <w:rPr>
                <w:lang w:val="it-IT"/>
              </w:rPr>
              <w:t>to</w:t>
            </w:r>
            <w:r w:rsidRPr="00083A62">
              <w:rPr>
                <w:lang w:val="it-IT"/>
              </w:rPr>
              <w:t xml:space="preserve"> l’errore rettificando gli utili portati a nuovo o un’altra componente del patrimonio netto </w:t>
            </w:r>
            <w:r>
              <w:rPr>
                <w:lang w:val="it-IT"/>
              </w:rPr>
              <w:t>se più appropriato</w:t>
            </w:r>
            <w:r w:rsidRPr="00083A62">
              <w:rPr>
                <w:lang w:val="it-IT"/>
              </w:rPr>
              <w:t>?</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CA1681">
              <w:fldChar w:fldCharType="separate"/>
            </w:r>
            <w:r w:rsidRPr="00083A62">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CA1681">
              <w:fldChar w:fldCharType="separate"/>
            </w:r>
            <w:r w:rsidRPr="00083A62">
              <w:fldChar w:fldCharType="end"/>
            </w:r>
          </w:p>
        </w:tc>
      </w:tr>
      <w:tr w:rsidR="00680245" w:rsidRPr="00083A62" w:rsidTr="00D73E98">
        <w:trPr>
          <w:cantSplit/>
          <w:trHeight w:val="340"/>
        </w:trPr>
        <w:tc>
          <w:tcPr>
            <w:tcW w:w="680" w:type="dxa"/>
          </w:tcPr>
          <w:p w:rsidR="00680245" w:rsidRPr="00693B33" w:rsidRDefault="00680245" w:rsidP="00D73E98">
            <w:pPr>
              <w:jc w:val="center"/>
              <w:rPr>
                <w:b/>
                <w:lang w:val="it-IT"/>
              </w:rPr>
            </w:pPr>
            <w:r w:rsidRPr="00693B33">
              <w:rPr>
                <w:b/>
                <w:lang w:val="it-IT"/>
              </w:rPr>
              <w:t>13)</w:t>
            </w:r>
          </w:p>
        </w:tc>
        <w:tc>
          <w:tcPr>
            <w:tcW w:w="851" w:type="dxa"/>
            <w:tcMar>
              <w:left w:w="108" w:type="dxa"/>
              <w:right w:w="0" w:type="dxa"/>
            </w:tcMar>
          </w:tcPr>
          <w:p w:rsidR="00680245" w:rsidRPr="00083A62" w:rsidRDefault="00680245" w:rsidP="00D73E98">
            <w:pPr>
              <w:pStyle w:val="PrincCont"/>
              <w:jc w:val="left"/>
              <w:rPr>
                <w:lang w:val="it-IT"/>
              </w:rPr>
            </w:pPr>
            <w:r w:rsidRPr="00083A62">
              <w:rPr>
                <w:lang w:val="it-IT"/>
              </w:rPr>
              <w:t>OIC 29.48</w:t>
            </w:r>
          </w:p>
        </w:tc>
        <w:tc>
          <w:tcPr>
            <w:tcW w:w="6977" w:type="dxa"/>
            <w:tcMar>
              <w:left w:w="108" w:type="dxa"/>
            </w:tcMar>
          </w:tcPr>
          <w:p w:rsidR="00680245" w:rsidRPr="00083A62" w:rsidRDefault="00680245" w:rsidP="00D73E98">
            <w:pPr>
              <w:spacing w:line="224" w:lineRule="exact"/>
              <w:rPr>
                <w:lang w:val="it-IT"/>
              </w:rPr>
            </w:pPr>
            <w:r w:rsidRPr="00083A62">
              <w:rPr>
                <w:lang w:val="it-IT" w:eastAsia="it-IT"/>
              </w:rPr>
              <w:t xml:space="preserve">La correzione di errori </w:t>
            </w:r>
            <w:r w:rsidRPr="00083A62">
              <w:rPr>
                <w:i/>
                <w:lang w:val="it-IT" w:eastAsia="it-IT"/>
              </w:rPr>
              <w:t>non rilevanti</w:t>
            </w:r>
            <w:r w:rsidRPr="00083A62">
              <w:rPr>
                <w:lang w:val="it-IT" w:eastAsia="it-IT"/>
              </w:rPr>
              <w:t xml:space="preserve"> commessi in esercizi precedenti è </w:t>
            </w:r>
            <w:r>
              <w:rPr>
                <w:lang w:val="it-IT" w:eastAsia="it-IT"/>
              </w:rPr>
              <w:t xml:space="preserve">stata </w:t>
            </w:r>
            <w:r w:rsidRPr="00083A62">
              <w:rPr>
                <w:lang w:val="it-IT" w:eastAsia="it-IT"/>
              </w:rPr>
              <w:t xml:space="preserve">contabilizzata nel conto economico dell’esercizio in cui </w:t>
            </w:r>
            <w:r>
              <w:rPr>
                <w:lang w:val="it-IT" w:eastAsia="it-IT"/>
              </w:rPr>
              <w:t>viene</w:t>
            </w:r>
            <w:r w:rsidRPr="00083A62">
              <w:rPr>
                <w:lang w:val="it-IT" w:eastAsia="it-IT"/>
              </w:rPr>
              <w:t xml:space="preserve"> individua</w:t>
            </w:r>
            <w:r>
              <w:rPr>
                <w:lang w:val="it-IT" w:eastAsia="it-IT"/>
              </w:rPr>
              <w:t>to</w:t>
            </w:r>
            <w:r w:rsidRPr="00083A62">
              <w:rPr>
                <w:lang w:val="it-IT" w:eastAsia="it-IT"/>
              </w:rPr>
              <w:t xml:space="preserve"> l’errore?</w:t>
            </w:r>
          </w:p>
        </w:tc>
        <w:tc>
          <w:tcPr>
            <w:tcW w:w="667" w:type="dxa"/>
            <w:tcMar>
              <w:left w:w="85" w:type="dxa"/>
              <w:right w:w="85"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5" w:type="dxa"/>
            <w:gridSpan w:val="2"/>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0" w:type="dxa"/>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r>
      <w:tr w:rsidR="00680245" w:rsidRPr="00CC242B" w:rsidTr="00D73E98">
        <w:trPr>
          <w:cantSplit/>
          <w:trHeight w:val="340"/>
        </w:trPr>
        <w:tc>
          <w:tcPr>
            <w:tcW w:w="680" w:type="dxa"/>
          </w:tcPr>
          <w:p w:rsidR="00680245" w:rsidRPr="00083A62" w:rsidRDefault="00680245" w:rsidP="00D73E98">
            <w:pPr>
              <w:jc w:val="center"/>
              <w:rPr>
                <w:lang w:val="it-IT"/>
              </w:rPr>
            </w:pPr>
          </w:p>
        </w:tc>
        <w:tc>
          <w:tcPr>
            <w:tcW w:w="851" w:type="dxa"/>
            <w:tcMar>
              <w:left w:w="108" w:type="dxa"/>
              <w:right w:w="0" w:type="dxa"/>
            </w:tcMar>
          </w:tcPr>
          <w:p w:rsidR="00680245" w:rsidRPr="00083A62" w:rsidRDefault="00680245" w:rsidP="00D73E98">
            <w:pPr>
              <w:pStyle w:val="PrincCont"/>
              <w:jc w:val="left"/>
              <w:rPr>
                <w:lang w:val="it-IT"/>
              </w:rPr>
            </w:pPr>
            <w:r w:rsidRPr="00083A62">
              <w:rPr>
                <w:lang w:val="it-IT"/>
              </w:rPr>
              <w:t>OIC 29.44</w:t>
            </w:r>
          </w:p>
        </w:tc>
        <w:tc>
          <w:tcPr>
            <w:tcW w:w="6977" w:type="dxa"/>
            <w:tcMar>
              <w:left w:w="108" w:type="dxa"/>
            </w:tcMar>
          </w:tcPr>
          <w:p w:rsidR="00680245" w:rsidRPr="00083A62" w:rsidRDefault="00680245" w:rsidP="00D73E98">
            <w:pPr>
              <w:pStyle w:val="Commentiriquadro"/>
            </w:pPr>
            <w:r>
              <w:t>Un errore consiste nell’</w:t>
            </w:r>
            <w:r w:rsidRPr="00083A62">
              <w:t>impropria o mancata applicazione di un principio contabile se, al momento in cui viene commesso, le informazioni ed i dati necessari per la sua corretta applicazione sono disponibili. Possono verificarsi errori a causa di errori matematici, di erronee interpretazioni di fatti,</w:t>
            </w:r>
            <w:r>
              <w:t xml:space="preserve"> di negligenza nel raccogliere </w:t>
            </w:r>
            <w:r w:rsidRPr="00083A62">
              <w:t>le informazioni ed i dati disponibili per un corretto trattamento contabile.</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CC242B"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sidRPr="00083A62">
              <w:rPr>
                <w:lang w:val="it-IT"/>
              </w:rPr>
              <w:t>OIC 29.45</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pStyle w:val="Commentiriquadro"/>
              <w:rPr>
                <w:lang w:eastAsia="it-IT"/>
              </w:rPr>
            </w:pPr>
            <w:r w:rsidRPr="00083A62">
              <w:rPr>
                <w:lang w:eastAsia="it-IT"/>
              </w:rPr>
              <w:t>Gli errori non debbono essere confusi con i cambiamenti di stima, né con i cambiamenti di principi contabili, che hanno entrambi diversa natura. In particolare, non costituiscono errori:</w:t>
            </w:r>
          </w:p>
          <w:p w:rsidR="00680245" w:rsidRPr="00083A62" w:rsidRDefault="00680245" w:rsidP="004E27C2">
            <w:pPr>
              <w:pStyle w:val="Commentiriquadro"/>
              <w:numPr>
                <w:ilvl w:val="0"/>
                <w:numId w:val="13"/>
              </w:numPr>
              <w:spacing w:line="180" w:lineRule="exact"/>
              <w:ind w:left="318" w:hanging="261"/>
              <w:rPr>
                <w:lang w:eastAsia="it-IT"/>
              </w:rPr>
            </w:pPr>
            <w:r w:rsidRPr="00083A62">
              <w:rPr>
                <w:lang w:eastAsia="it-IT"/>
              </w:rPr>
              <w:t>le variazioni successivamente dimostratesi necessarie nelle valutazioni e nelle stime, fatte a suo tempo in base alle informazioni ed ai dati disponibili in quel momento, né</w:t>
            </w:r>
          </w:p>
          <w:p w:rsidR="00680245" w:rsidRPr="00083A62" w:rsidRDefault="00680245" w:rsidP="004E27C2">
            <w:pPr>
              <w:pStyle w:val="Commentiriquadro"/>
              <w:numPr>
                <w:ilvl w:val="0"/>
                <w:numId w:val="13"/>
              </w:numPr>
              <w:spacing w:line="180" w:lineRule="exact"/>
              <w:ind w:left="318" w:hanging="261"/>
            </w:pPr>
            <w:r w:rsidRPr="00083A62">
              <w:rPr>
                <w:lang w:eastAsia="it-IT"/>
              </w:rPr>
              <w:t>l’adozione di criteri contabili fatta in base ad informazioni e dati disponibili in quel momento ma che successivamente si dimostrano diversi da quelli assunti a base della scelta operata se, in entrambi i casi, tali informazioni e dati sono stati al momento del loro uso raccolti ed utilizzati con la dovuta diligenza.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CC242B"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r w:rsidRPr="00F3430D">
              <w:rPr>
                <w:b/>
                <w:lang w:val="it-IT"/>
              </w:rPr>
              <w:t>14)</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sidRPr="00083A62">
              <w:rPr>
                <w:lang w:val="it-IT"/>
              </w:rPr>
              <w:t>OIC 29.49</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2C31D3" w:rsidRDefault="00680245" w:rsidP="00D73E98">
            <w:pPr>
              <w:spacing w:line="230" w:lineRule="exact"/>
              <w:rPr>
                <w:lang w:val="it-IT" w:eastAsia="it-IT"/>
              </w:rPr>
            </w:pPr>
            <w:r w:rsidRPr="0029774F">
              <w:rPr>
                <w:lang w:val="it-IT" w:eastAsia="it-IT"/>
              </w:rPr>
              <w:t xml:space="preserve">La correzione di errori rilevanti effettuati negli esercizi precedenti è stata rilevata, ai fini comparativi, retroattivamente come segue: </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2C31D3" w:rsidRDefault="00680245" w:rsidP="004E27C2">
            <w:pPr>
              <w:pStyle w:val="Paragrafoelenco"/>
              <w:numPr>
                <w:ilvl w:val="0"/>
                <w:numId w:val="16"/>
              </w:numPr>
              <w:spacing w:line="230" w:lineRule="exact"/>
              <w:ind w:left="318" w:hanging="284"/>
              <w:rPr>
                <w:lang w:val="it-IT" w:eastAsia="it-IT"/>
              </w:rPr>
            </w:pPr>
            <w:r w:rsidRPr="002C31D3">
              <w:rPr>
                <w:lang w:val="it-IT" w:eastAsia="it-IT"/>
              </w:rPr>
              <w:t>se l’errore è stato commesso nell’esercizio precedente, rideterminando gli importi comparativi per l’esercizio precedente; o</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2C31D3" w:rsidRDefault="00680245" w:rsidP="004E27C2">
            <w:pPr>
              <w:pStyle w:val="Paragrafoelenco"/>
              <w:numPr>
                <w:ilvl w:val="0"/>
                <w:numId w:val="16"/>
              </w:numPr>
              <w:spacing w:line="230" w:lineRule="exact"/>
              <w:ind w:left="318" w:hanging="284"/>
              <w:rPr>
                <w:lang w:val="it-IT" w:eastAsia="it-IT"/>
              </w:rPr>
            </w:pPr>
            <w:r w:rsidRPr="002C31D3">
              <w:rPr>
                <w:lang w:val="it-IT" w:eastAsia="it-IT"/>
              </w:rPr>
              <w:t>se l’errore è stato commesso prima dell’inizio dell’esercizio precedente, rideterminando i saldi di apertura di attività, passività e patrimonio netto dell’esercizio precedente?</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r w:rsidRPr="00F3430D">
              <w:rPr>
                <w:b/>
                <w:lang w:val="it-IT"/>
              </w:rPr>
              <w:t>15)</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sidRPr="00083A62">
              <w:rPr>
                <w:lang w:val="it-IT"/>
              </w:rPr>
              <w:t>OIC 29.51</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spacing w:line="230" w:lineRule="exact"/>
              <w:rPr>
                <w:lang w:val="it-IT"/>
              </w:rPr>
            </w:pPr>
            <w:r w:rsidRPr="00083A62">
              <w:rPr>
                <w:lang w:val="it-IT" w:eastAsia="it-IT"/>
              </w:rPr>
              <w:t xml:space="preserve">Qualora non sia fattibile determinare l’effetto di competenza dell’esercizio precedente di un errore rilevante, la società ha rideterminato il saldo di apertura di attività, passività e patrimonio netto per l’esercizio corrente e contabilizzato la correzione di errore sul saldo </w:t>
            </w:r>
            <w:r>
              <w:rPr>
                <w:lang w:val="it-IT" w:eastAsia="it-IT"/>
              </w:rPr>
              <w:t>d</w:t>
            </w:r>
            <w:r w:rsidRPr="00083A62">
              <w:rPr>
                <w:lang w:val="it-IT" w:eastAsia="it-IT"/>
              </w:rPr>
              <w:t xml:space="preserve">i apertura </w:t>
            </w:r>
            <w:r>
              <w:rPr>
                <w:lang w:val="it-IT" w:eastAsia="it-IT"/>
              </w:rPr>
              <w:t xml:space="preserve">del patrimonio netto </w:t>
            </w:r>
            <w:r w:rsidRPr="00083A62">
              <w:rPr>
                <w:lang w:val="it-IT" w:eastAsia="it-IT"/>
              </w:rPr>
              <w:t>dell’esercizio in cui lo stesso è stato indi</w:t>
            </w:r>
            <w:r>
              <w:rPr>
                <w:lang w:val="it-IT" w:eastAsia="it-IT"/>
              </w:rPr>
              <w:t>vi</w:t>
            </w:r>
            <w:r w:rsidRPr="00083A62">
              <w:rPr>
                <w:lang w:val="it-IT" w:eastAsia="it-IT"/>
              </w:rPr>
              <w:t>duato?</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r w:rsidRPr="00F3430D">
              <w:rPr>
                <w:b/>
                <w:lang w:val="it-IT"/>
              </w:rPr>
              <w:t>1</w:t>
            </w:r>
            <w:r>
              <w:rPr>
                <w:b/>
                <w:lang w:val="it-IT"/>
              </w:rPr>
              <w:t>6</w:t>
            </w:r>
            <w:r w:rsidRPr="00F3430D">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sidRPr="00083A62">
              <w:rPr>
                <w:lang w:val="it-IT"/>
              </w:rPr>
              <w:t>OIC 29.52</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spacing w:line="230" w:lineRule="exact"/>
              <w:rPr>
                <w:lang w:val="it-IT" w:eastAsia="it-IT"/>
              </w:rPr>
            </w:pPr>
            <w:r w:rsidRPr="00083A62">
              <w:rPr>
                <w:lang w:val="it-IT" w:eastAsia="it-IT"/>
              </w:rPr>
              <w:t xml:space="preserve">Qualora non sia </w:t>
            </w:r>
            <w:r>
              <w:rPr>
                <w:lang w:val="it-IT" w:eastAsia="it-IT"/>
              </w:rPr>
              <w:t xml:space="preserve">stato </w:t>
            </w:r>
            <w:r w:rsidRPr="00083A62">
              <w:rPr>
                <w:lang w:val="it-IT" w:eastAsia="it-IT"/>
              </w:rPr>
              <w:t>fattibile determinare l’effetto cumulativo di un errore rilevante all’inizio dell’esercizio corrente, per tutti gli esercizi precedenti, la so</w:t>
            </w:r>
            <w:r>
              <w:rPr>
                <w:lang w:val="it-IT" w:eastAsia="it-IT"/>
              </w:rPr>
              <w:t xml:space="preserve">cietà ha rideterminato i valori </w:t>
            </w:r>
            <w:r w:rsidRPr="00083A62">
              <w:rPr>
                <w:lang w:val="it-IT" w:eastAsia="it-IT"/>
              </w:rPr>
              <w:t>comparativi a partire dalla prima data in cui ciò risulti fattibile?</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pStyle w:val="Titolo2"/>
              <w:rPr>
                <w:lang w:val="it-IT" w:eastAsia="it-IT"/>
              </w:rPr>
            </w:pPr>
            <w:r>
              <w:rPr>
                <w:lang w:val="it-IT" w:eastAsia="it-IT"/>
              </w:rPr>
              <w:t>Nota Integrativa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CC242B" w:rsidTr="00D73E98">
        <w:trPr>
          <w:cantSplit/>
          <w:trHeight w:val="273"/>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pStyle w:val="Titolo3"/>
              <w:jc w:val="left"/>
              <w:rPr>
                <w:lang w:val="it-IT" w:eastAsia="it-IT"/>
              </w:rPr>
            </w:pPr>
            <w:r w:rsidRPr="00D11B51">
              <w:rPr>
                <w:lang w:val="it-IT" w:eastAsia="it-IT"/>
              </w:rPr>
              <w:t>Informazioni relative alle società che redigono il bilancio in forma ordinaria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CC242B"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Pr>
                <w:lang w:val="it-IT"/>
              </w:rPr>
              <w:t>OIC 29.54</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pStyle w:val="Commentiriquadro"/>
            </w:pPr>
            <w:r>
              <w:rPr>
                <w:lang w:eastAsia="it-IT"/>
              </w:rPr>
              <w:t>L’articolo 2423, comma 4, codice civile prevede che “</w:t>
            </w:r>
            <w:r>
              <w:rPr>
                <w:i/>
                <w:iCs/>
                <w:lang w:eastAsia="it-IT"/>
              </w:rPr>
              <w:t>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Nota Integrativa i criteri con i quali hanno dato attuazione alla presente disposizione</w:t>
            </w:r>
            <w:r>
              <w:rPr>
                <w:lang w:eastAsia="it-IT"/>
              </w:rPr>
              <w:t>”.</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CC242B"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r w:rsidRPr="00F3430D">
              <w:rPr>
                <w:b/>
                <w:lang w:val="it-IT"/>
              </w:rPr>
              <w:t>17)</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sidRPr="00083A62">
              <w:rPr>
                <w:lang w:val="it-IT"/>
              </w:rPr>
              <w:t>OIC 29.55</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spacing w:line="230" w:lineRule="exact"/>
              <w:rPr>
                <w:lang w:val="it-IT"/>
              </w:rPr>
            </w:pPr>
            <w:r w:rsidRPr="00083A62">
              <w:rPr>
                <w:lang w:val="it-IT"/>
              </w:rPr>
              <w:t xml:space="preserve">Nei casi di correzione di </w:t>
            </w:r>
            <w:r w:rsidRPr="00083A62">
              <w:rPr>
                <w:i/>
                <w:lang w:val="it-IT"/>
              </w:rPr>
              <w:t>errori rilevanti</w:t>
            </w:r>
            <w:r>
              <w:rPr>
                <w:i/>
                <w:lang w:val="it-IT"/>
              </w:rPr>
              <w:t xml:space="preserve"> </w:t>
            </w:r>
            <w:r>
              <w:rPr>
                <w:lang w:val="it-IT"/>
              </w:rPr>
              <w:t>commessi in esercizi precedenti</w:t>
            </w:r>
            <w:r w:rsidRPr="00083A62">
              <w:rPr>
                <w:lang w:val="it-IT"/>
              </w:rPr>
              <w:t xml:space="preserve">, la </w:t>
            </w:r>
            <w:r>
              <w:rPr>
                <w:lang w:val="it-IT"/>
              </w:rPr>
              <w:t>Nota Integrativa</w:t>
            </w:r>
            <w:r w:rsidRPr="00083A62">
              <w:rPr>
                <w:lang w:val="it-IT"/>
              </w:rPr>
              <w:t xml:space="preserve"> contiene le seguenti informazioni:</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265"/>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F1570B" w:rsidP="00F1570B">
            <w:pPr>
              <w:pStyle w:val="Rientroa"/>
              <w:numPr>
                <w:ilvl w:val="0"/>
                <w:numId w:val="0"/>
              </w:numPr>
              <w:spacing w:line="230" w:lineRule="exact"/>
              <w:ind w:left="392" w:hanging="360"/>
            </w:pPr>
            <w:r>
              <w:t>a)</w:t>
            </w:r>
            <w:r>
              <w:tab/>
            </w:r>
            <w:r w:rsidR="00680245" w:rsidRPr="00083A62">
              <w:t xml:space="preserve">la descrizione dell’errore commesso </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4E27C2">
            <w:pPr>
              <w:pStyle w:val="Rientroa"/>
              <w:numPr>
                <w:ilvl w:val="0"/>
                <w:numId w:val="12"/>
              </w:numPr>
              <w:spacing w:line="230" w:lineRule="exact"/>
              <w:ind w:left="391" w:hanging="357"/>
            </w:pPr>
            <w:r w:rsidRPr="00083A62">
              <w:t>l’ammontare della correzione operata per ogni voce dello stato patrimoniale e del conto economico</w:t>
            </w:r>
            <w:r>
              <w:t xml:space="preserve"> interessata</w:t>
            </w:r>
            <w:r w:rsidRPr="00083A62">
              <w:t>; e</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r>
      <w:tr w:rsidR="00680245" w:rsidRPr="00A22309" w:rsidTr="00D73E98">
        <w:trPr>
          <w:cantSplit/>
          <w:trHeight w:val="191"/>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680245">
            <w:pPr>
              <w:pStyle w:val="Rientroa"/>
              <w:spacing w:line="230" w:lineRule="exact"/>
              <w:ind w:left="391" w:hanging="357"/>
            </w:pPr>
            <w:r w:rsidRPr="00083A62">
              <w:t xml:space="preserve">le motivazioni alla base dell’utilizzo delle facilitazioni? </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D38F7"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r>
      <w:tr w:rsidR="00680245" w:rsidRPr="00CC242B" w:rsidTr="00D73E98">
        <w:trPr>
          <w:cantSplit/>
          <w:trHeight w:val="272"/>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11B51" w:rsidRDefault="00680245" w:rsidP="00D73E98">
            <w:pPr>
              <w:pStyle w:val="Titolo3"/>
              <w:jc w:val="left"/>
              <w:rPr>
                <w:lang w:val="it-IT"/>
              </w:rPr>
            </w:pPr>
            <w:r w:rsidRPr="00D11B51">
              <w:rPr>
                <w:lang w:val="it-IT"/>
              </w:rPr>
              <w:t>Informazioni relative alle società che redigono il bilancio in forma abbreviata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CC242B"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t>OIC 29.56</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DC441D" w:rsidRDefault="00680245" w:rsidP="00D73E98">
            <w:pPr>
              <w:pStyle w:val="Commentiriquadro"/>
              <w:rPr>
                <w:caps/>
              </w:rPr>
            </w:pPr>
            <w:r>
              <w:rPr>
                <w:lang w:eastAsia="it-IT"/>
              </w:rPr>
              <w:t>Ai sensi dell’articolo 2435-</w:t>
            </w:r>
            <w:r>
              <w:rPr>
                <w:i/>
                <w:iCs/>
                <w:lang w:eastAsia="it-IT"/>
              </w:rPr>
              <w:t xml:space="preserve">bis </w:t>
            </w:r>
            <w:r>
              <w:rPr>
                <w:lang w:eastAsia="it-IT"/>
              </w:rPr>
              <w:t>del codice civile la Nota Integrativa deve fornire le informazioni richieste dagli articoli 2423, comma 4 e 2423-</w:t>
            </w:r>
            <w:r>
              <w:rPr>
                <w:i/>
                <w:iCs/>
                <w:lang w:eastAsia="it-IT"/>
              </w:rPr>
              <w:t xml:space="preserve">ter, </w:t>
            </w:r>
            <w:r>
              <w:rPr>
                <w:lang w:eastAsia="it-IT"/>
              </w:rPr>
              <w:t>comma 5, del codice civile e pertanto si devono applicare i paragrafi 54 e 55 del principio OIC 29.</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CC242B" w:rsidTr="00D73E98">
        <w:trPr>
          <w:cantSplit/>
          <w:trHeight w:val="266"/>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F3430D" w:rsidRDefault="00680245" w:rsidP="00D73E98">
            <w:pPr>
              <w:pStyle w:val="Titolo1"/>
              <w:spacing w:before="20"/>
            </w:pPr>
            <w:r w:rsidRPr="00F3430D">
              <w:t>FATTI INTERVENUTI DOPO LA CHIUSURA DELL’ESERCIZIO</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973011" w:rsidTr="00D73E98">
        <w:trPr>
          <w:cantSplit/>
          <w:trHeight w:val="266"/>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F3430D" w:rsidRDefault="00680245" w:rsidP="00D73E98">
            <w:pPr>
              <w:pStyle w:val="Titolo2"/>
            </w:pPr>
            <w:r w:rsidRPr="00D11B51">
              <w:rPr>
                <w:lang w:val="en-US"/>
              </w:rPr>
              <w:t>Rilevazione in bilancio</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r w:rsidRPr="00F3430D">
              <w:rPr>
                <w:b/>
                <w:lang w:val="it-IT"/>
              </w:rPr>
              <w:t>18)</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Pr>
                <w:lang w:val="it-IT"/>
              </w:rPr>
              <w:t>OIC 29.59   OIC 29.60</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127318" w:rsidRDefault="00680245" w:rsidP="00D73E98">
            <w:pPr>
              <w:spacing w:line="230" w:lineRule="exact"/>
              <w:rPr>
                <w:b/>
                <w:lang w:val="it-IT"/>
              </w:rPr>
            </w:pPr>
            <w:r>
              <w:rPr>
                <w:lang w:val="it-IT" w:eastAsia="it-IT"/>
              </w:rPr>
              <w:t>I</w:t>
            </w:r>
            <w:r w:rsidRPr="00127318">
              <w:rPr>
                <w:lang w:val="it-IT" w:eastAsia="it-IT"/>
              </w:rPr>
              <w:t xml:space="preserve"> fatti successivi </w:t>
            </w:r>
            <w:r>
              <w:rPr>
                <w:lang w:val="it-IT" w:eastAsia="it-IT"/>
              </w:rPr>
              <w:t xml:space="preserve">che hanno effetto sulla situazione patrimoniale e finanziaria e sul risultato economico alla data di chiusura dell’esercizio, ovvero, quei fatti </w:t>
            </w:r>
            <w:r w:rsidRPr="007B6165">
              <w:rPr>
                <w:lang w:val="it-IT" w:eastAsia="it-IT"/>
              </w:rPr>
              <w:t>positivi e/o negativi che evidenziano condizioni già esistenti alla data di riferimento del bilancio, ma che si manifestano solo dopo la chiusura dell’esercizio e che richiedono modifiche ai valori delle a</w:t>
            </w:r>
            <w:r>
              <w:rPr>
                <w:lang w:val="it-IT" w:eastAsia="it-IT"/>
              </w:rPr>
              <w:t>ttività e passività in bilancio,</w:t>
            </w:r>
            <w:r w:rsidRPr="007B6165">
              <w:rPr>
                <w:lang w:val="it-IT" w:eastAsia="it-IT"/>
              </w:rPr>
              <w:t xml:space="preserve"> </w:t>
            </w:r>
            <w:r>
              <w:rPr>
                <w:lang w:val="it-IT" w:eastAsia="it-IT"/>
              </w:rPr>
              <w:t xml:space="preserve">sono </w:t>
            </w:r>
            <w:r w:rsidRPr="00127318">
              <w:rPr>
                <w:lang w:val="it-IT" w:eastAsia="it-IT"/>
              </w:rPr>
              <w:t>stati rilevati in bilancio</w:t>
            </w:r>
            <w:r w:rsidRPr="007B6165">
              <w:rPr>
                <w:lang w:val="it-IT" w:eastAsia="it-IT"/>
              </w:rPr>
              <w:t xml:space="preserve"> in conformità al postulato della competenza</w:t>
            </w:r>
            <w:r>
              <w:rPr>
                <w:lang w:val="it-IT" w:eastAsia="it-IT"/>
              </w:rPr>
              <w:t>?</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r>
      <w:tr w:rsidR="00680245" w:rsidRPr="00CC242B"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Default="00680245" w:rsidP="00D73E98">
            <w:pPr>
              <w:pStyle w:val="PrincCont"/>
              <w:jc w:val="left"/>
              <w:rPr>
                <w:lang w:val="it-IT"/>
              </w:rPr>
            </w:pPr>
            <w:r>
              <w:rPr>
                <w:lang w:val="it-IT"/>
              </w:rPr>
              <w:t>OIC 29.59.(a)</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997877" w:rsidRDefault="00680245" w:rsidP="00D73E98">
            <w:pPr>
              <w:pStyle w:val="Commentiriquadro"/>
            </w:pPr>
            <w:r w:rsidRPr="00997877">
              <w:t xml:space="preserve">Esempi di fatti successivi che devono essere recepiti nei valori di bilancio possono essere: </w:t>
            </w:r>
          </w:p>
          <w:p w:rsidR="00680245" w:rsidRPr="00997877" w:rsidRDefault="00680245" w:rsidP="00D73E98">
            <w:pPr>
              <w:pStyle w:val="Commentiriquadro"/>
              <w:tabs>
                <w:tab w:val="left" w:pos="176"/>
              </w:tabs>
              <w:spacing w:line="180" w:lineRule="exact"/>
            </w:pPr>
            <w:r w:rsidRPr="00997877">
              <w:t xml:space="preserve">- </w:t>
            </w:r>
            <w:r>
              <w:tab/>
            </w:r>
            <w:r w:rsidRPr="00997877">
              <w:t xml:space="preserve">la definizione dopo la chiusura dell’esercizio di una causa legale in essere alla data di bilancio per un importo </w:t>
            </w:r>
            <w:r>
              <w:tab/>
            </w:r>
            <w:r w:rsidRPr="00997877">
              <w:t xml:space="preserve">diverso da quello prevedibile a tale data; </w:t>
            </w:r>
          </w:p>
          <w:p w:rsidR="00680245" w:rsidRPr="00997877" w:rsidRDefault="00680245" w:rsidP="00D73E98">
            <w:pPr>
              <w:pStyle w:val="Commentiriquadro"/>
              <w:tabs>
                <w:tab w:val="left" w:pos="176"/>
              </w:tabs>
              <w:spacing w:line="180" w:lineRule="exact"/>
            </w:pPr>
            <w:r w:rsidRPr="00997877">
              <w:t xml:space="preserve">- </w:t>
            </w:r>
            <w:r>
              <w:tab/>
            </w:r>
            <w:r w:rsidRPr="00997877">
              <w:t xml:space="preserve">i fatti intervenuti dopo la data di chiusura dell’esercizio da cui emerga che talune attività già alla data di bilancio </w:t>
            </w:r>
            <w:r>
              <w:tab/>
            </w:r>
            <w:r w:rsidRPr="00997877">
              <w:t xml:space="preserve">avevano subìto riduzioni durevoli di valore o riduzioni del valore di mercato rispetto al costo (a seconda delle </w:t>
            </w:r>
            <w:r>
              <w:tab/>
            </w:r>
            <w:r w:rsidRPr="00997877">
              <w:t xml:space="preserve">fattispecie) ovvero evidenzino situazioni, esistenti alla data di bilancio, che incidano sulle valutazioni di bilancio; </w:t>
            </w:r>
            <w:r>
              <w:tab/>
            </w:r>
            <w:r w:rsidRPr="00997877">
              <w:t xml:space="preserve">per esempio: </w:t>
            </w:r>
          </w:p>
          <w:p w:rsidR="00680245" w:rsidRPr="00997877" w:rsidRDefault="00680245" w:rsidP="00D73E98">
            <w:pPr>
              <w:pStyle w:val="Commentiriquadro"/>
              <w:tabs>
                <w:tab w:val="left" w:pos="176"/>
              </w:tabs>
              <w:spacing w:line="180" w:lineRule="exact"/>
              <w:ind w:left="176" w:hanging="119"/>
            </w:pPr>
            <w:r w:rsidRPr="00997877">
              <w:t>-</w:t>
            </w:r>
            <w:r w:rsidRPr="00997877">
              <w:tab/>
              <w:t>il deterioramento della situazione finanziaria di un debitore, confermata dal fallimento dello stesso dopo la data di chiusura, che normalmente indica che la situazione di perdita del cr</w:t>
            </w:r>
            <w:r>
              <w:t xml:space="preserve">edito esisteva già alla data di </w:t>
            </w:r>
            <w:r w:rsidRPr="00997877">
              <w:t xml:space="preserve">bilancio; </w:t>
            </w:r>
          </w:p>
          <w:p w:rsidR="00680245" w:rsidRPr="00997877" w:rsidRDefault="00680245" w:rsidP="00D73E98">
            <w:pPr>
              <w:pStyle w:val="Commentiriquadro"/>
              <w:tabs>
                <w:tab w:val="left" w:pos="176"/>
              </w:tabs>
              <w:spacing w:line="180" w:lineRule="exact"/>
              <w:ind w:left="176" w:hanging="119"/>
            </w:pPr>
            <w:r w:rsidRPr="00997877">
              <w:t>-</w:t>
            </w:r>
            <w:r w:rsidRPr="00997877">
              <w:tab/>
              <w:t>la vendita di prodotti giacenti a magazzino a fine anno a prezzi inferiori rispetto al costo, che fornisce</w:t>
            </w:r>
            <w:r>
              <w:t xml:space="preserve"> </w:t>
            </w:r>
            <w:r w:rsidRPr="00997877">
              <w:t xml:space="preserve">l’indicazione di un minor valore di realizzo alla data di bilancio; </w:t>
            </w:r>
          </w:p>
          <w:p w:rsidR="00680245" w:rsidRPr="00997877" w:rsidRDefault="00680245" w:rsidP="00D73E98">
            <w:pPr>
              <w:pStyle w:val="Commentiriquadro"/>
              <w:tabs>
                <w:tab w:val="left" w:pos="176"/>
              </w:tabs>
              <w:spacing w:line="180" w:lineRule="exact"/>
            </w:pPr>
            <w:r w:rsidRPr="00997877">
              <w:t xml:space="preserve">- </w:t>
            </w:r>
            <w:r>
              <w:tab/>
            </w:r>
            <w:r w:rsidRPr="00997877">
              <w:t xml:space="preserve">la determinazione, dopo la data di chiusura dell’esercizio, del costo di attività acquistate o del corrispettivo di </w:t>
            </w:r>
            <w:r>
              <w:tab/>
            </w:r>
            <w:r w:rsidRPr="00997877">
              <w:t xml:space="preserve">attività vendute, prima della data di chiusura dell’esercizio di riferimento; </w:t>
            </w:r>
          </w:p>
          <w:p w:rsidR="00680245" w:rsidRPr="00997877" w:rsidRDefault="00680245" w:rsidP="00D73E98">
            <w:pPr>
              <w:pStyle w:val="Commentiriquadro"/>
              <w:tabs>
                <w:tab w:val="left" w:pos="176"/>
              </w:tabs>
              <w:spacing w:line="180" w:lineRule="exact"/>
            </w:pPr>
            <w:r w:rsidRPr="00997877">
              <w:t xml:space="preserve">- </w:t>
            </w:r>
            <w:r>
              <w:tab/>
            </w:r>
            <w:r w:rsidRPr="00997877">
              <w:t xml:space="preserve">la determinazione, dopo la chiusura dell’esercizio, di un premio da corrispondere a dipendenti quale </w:t>
            </w:r>
            <w:r>
              <w:tab/>
              <w:t xml:space="preserve">emolumento </w:t>
            </w:r>
            <w:r w:rsidRPr="00997877">
              <w:t xml:space="preserve">per le prestazioni relative all’esercizio chiuso; </w:t>
            </w:r>
          </w:p>
          <w:p w:rsidR="00680245" w:rsidRPr="00997877" w:rsidRDefault="00680245" w:rsidP="00D73E98">
            <w:pPr>
              <w:pStyle w:val="Commentiriquadro"/>
              <w:tabs>
                <w:tab w:val="left" w:pos="176"/>
              </w:tabs>
              <w:spacing w:line="180" w:lineRule="exact"/>
            </w:pPr>
            <w:r w:rsidRPr="00997877">
              <w:t xml:space="preserve">- </w:t>
            </w:r>
            <w:r>
              <w:tab/>
            </w:r>
            <w:r w:rsidRPr="00997877">
              <w:t>la scoperta di un errore o di una frode</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CC242B"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205239" w:rsidRDefault="00680245" w:rsidP="00D73E98">
            <w:pPr>
              <w:pStyle w:val="PrincCont"/>
              <w:jc w:val="left"/>
              <w:rPr>
                <w:lang w:val="it-IT"/>
              </w:rPr>
            </w:pPr>
            <w:r w:rsidRPr="00205239">
              <w:rPr>
                <w:lang w:val="it-IT"/>
              </w:rPr>
              <w:t>OIC 29.62</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Default="00680245" w:rsidP="00D73E98">
            <w:pPr>
              <w:pStyle w:val="Commentiriquadro"/>
              <w:spacing w:line="180" w:lineRule="exact"/>
              <w:rPr>
                <w:lang w:eastAsia="it-IT"/>
              </w:rPr>
            </w:pPr>
            <w:r>
              <w:rPr>
                <w:lang w:eastAsia="it-IT"/>
              </w:rPr>
              <w:t>Il termine entro cui il fatto si deve verificare perché se ne tenga conto è la data di formazione del bilancio, che nella generalità dei casi è individuata con la data di redazione del progetto di bilancio d’esercizio da parte degli amministratori. Tuttavia, se tra la data di formazione del bilancio e la data di approvazione da parte dell’organo assembleare si verificassero eventi tali da avere un effetto rilevante sul bilancio, gli amministratori debbono adeguatamente modificare il progetto di bilancio, nel rispetto del procedimento previsto per la formazione del bilancio.</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Default="00680245" w:rsidP="00D73E98">
            <w:pPr>
              <w:pStyle w:val="PrincCont"/>
              <w:jc w:val="left"/>
              <w:rPr>
                <w:lang w:val="it-IT"/>
              </w:rPr>
            </w:pPr>
            <w:r>
              <w:rPr>
                <w:lang w:val="it-IT"/>
              </w:rPr>
              <w:t>OIC 29.59.(b)</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205239" w:rsidRDefault="00680245" w:rsidP="00D73E98">
            <w:pPr>
              <w:pStyle w:val="Commentiriquadro"/>
              <w:spacing w:line="180" w:lineRule="exact"/>
            </w:pPr>
            <w:r w:rsidRPr="00205239">
              <w:t xml:space="preserve">I fatti successivi </w:t>
            </w:r>
            <w:r>
              <w:t>che non devono essere recepiti nei valori di</w:t>
            </w:r>
            <w:r w:rsidRPr="00205239">
              <w:t xml:space="preserve"> bilancio sono quei fatti che indicano situazioni sorte dopo la data di bilancio, che non richiedono variazione dei valori di bilancio, in quanto di competenza dell’esercizio successivo. Ne possono essere esempi:</w:t>
            </w:r>
          </w:p>
          <w:p w:rsidR="00680245" w:rsidRPr="00205239" w:rsidRDefault="00680245" w:rsidP="00D73E98">
            <w:pPr>
              <w:pStyle w:val="Commentiriquadro"/>
              <w:tabs>
                <w:tab w:val="left" w:pos="176"/>
              </w:tabs>
              <w:spacing w:line="180" w:lineRule="exact"/>
              <w:ind w:left="176" w:hanging="119"/>
            </w:pPr>
            <w:r w:rsidRPr="00205239">
              <w:t>-</w:t>
            </w:r>
            <w:r>
              <w:t xml:space="preserve"> </w:t>
            </w:r>
            <w:r>
              <w:tab/>
            </w:r>
            <w:r w:rsidRPr="00205239">
              <w:t>la diminuzione nel valore di mercato di taluni strumenti finanziari nel periodo successivo rispetto alla chiusura dell’esercizio, qualora tale riduzione riflette condizioni di mercato intervenute dopo la chiusura dell’esercizio;</w:t>
            </w:r>
          </w:p>
          <w:p w:rsidR="00680245" w:rsidRPr="00205239" w:rsidRDefault="00680245" w:rsidP="00D73E98">
            <w:pPr>
              <w:pStyle w:val="Commentiriquadro"/>
              <w:tabs>
                <w:tab w:val="left" w:pos="176"/>
              </w:tabs>
              <w:ind w:left="176" w:hanging="119"/>
            </w:pPr>
            <w:r w:rsidRPr="00205239">
              <w:t xml:space="preserve">- </w:t>
            </w:r>
            <w:r>
              <w:tab/>
            </w:r>
            <w:r w:rsidRPr="00205239">
              <w:t>la distruzione di impianti di produzione causata da calamità;</w:t>
            </w:r>
          </w:p>
          <w:p w:rsidR="00680245" w:rsidRPr="00205239" w:rsidRDefault="00680245" w:rsidP="00D73E98">
            <w:pPr>
              <w:pStyle w:val="Commentiriquadro"/>
              <w:tabs>
                <w:tab w:val="left" w:pos="176"/>
              </w:tabs>
              <w:ind w:left="176" w:hanging="119"/>
            </w:pPr>
            <w:r w:rsidRPr="00205239">
              <w:t xml:space="preserve">- </w:t>
            </w:r>
            <w:r>
              <w:tab/>
            </w:r>
            <w:r w:rsidRPr="00205239">
              <w:t>la perdita derivante dalla variazione dei tassi di cambio con valute estere;</w:t>
            </w:r>
          </w:p>
          <w:p w:rsidR="00680245" w:rsidRPr="00205239" w:rsidRDefault="00680245" w:rsidP="00D73E98">
            <w:pPr>
              <w:pStyle w:val="Commentiriquadro"/>
              <w:tabs>
                <w:tab w:val="left" w:pos="176"/>
              </w:tabs>
              <w:spacing w:line="180" w:lineRule="exact"/>
              <w:ind w:left="176" w:hanging="119"/>
            </w:pPr>
            <w:r w:rsidRPr="00205239">
              <w:t xml:space="preserve">- </w:t>
            </w:r>
            <w:r>
              <w:tab/>
            </w:r>
            <w:r w:rsidRPr="00205239">
              <w:t>la sostituzione di un prestito a breve con uno a lungo termine conclusasi nel periodo tra la data di chiusura dell’esercizio e quella di formazione del bilancio. Il trattamento contabile di questa fattispecie è disciplinato dall’OIC 19 “Debiti”;</w:t>
            </w:r>
          </w:p>
          <w:p w:rsidR="00680245" w:rsidRPr="00205239" w:rsidRDefault="00680245" w:rsidP="00D73E98">
            <w:pPr>
              <w:pStyle w:val="Commentiriquadro"/>
              <w:tabs>
                <w:tab w:val="left" w:pos="176"/>
              </w:tabs>
              <w:spacing w:line="180" w:lineRule="exact"/>
              <w:ind w:left="176" w:hanging="119"/>
            </w:pPr>
            <w:r w:rsidRPr="00205239">
              <w:t xml:space="preserve">- </w:t>
            </w:r>
            <w:r>
              <w:tab/>
            </w:r>
            <w:r w:rsidRPr="00205239">
              <w:t>la ristrutturazione di un debito avente effetti contabili nel periodo tra la data di chiusura dell’esercizio e quella di formazione del bilancio. Il trattamento contabile di questa fattispecie è disciplinato dall’OIC 6.</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Default="00680245" w:rsidP="00D73E98">
            <w:pPr>
              <w:spacing w:line="240" w:lineRule="exact"/>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210B32" w:rsidRDefault="00680245" w:rsidP="00D73E98">
            <w:pPr>
              <w:jc w:val="center"/>
              <w:rPr>
                <w:b/>
                <w:lang w:val="it-IT"/>
              </w:rPr>
            </w:pPr>
            <w:r w:rsidRPr="00210B32">
              <w:rPr>
                <w:b/>
                <w:lang w:val="it-IT"/>
              </w:rPr>
              <w:t>19)</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Default="00680245" w:rsidP="00D73E98">
            <w:pPr>
              <w:pStyle w:val="PrincCont"/>
              <w:jc w:val="left"/>
              <w:rPr>
                <w:lang w:val="it-IT"/>
              </w:rPr>
            </w:pPr>
            <w:r>
              <w:rPr>
                <w:lang w:val="it-IT"/>
              </w:rPr>
              <w:t>OIC 29.59.(c)</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E73895" w:rsidRDefault="00680245" w:rsidP="00D73E98">
            <w:pPr>
              <w:spacing w:line="230" w:lineRule="exact"/>
              <w:rPr>
                <w:lang w:val="it-IT" w:eastAsia="it-IT"/>
              </w:rPr>
            </w:pPr>
            <w:r>
              <w:rPr>
                <w:lang w:val="it-IT" w:eastAsia="it-IT"/>
              </w:rPr>
              <w:t xml:space="preserve">In presenza di </w:t>
            </w:r>
            <w:r w:rsidRPr="00E73895">
              <w:rPr>
                <w:lang w:val="it-IT" w:eastAsia="it-IT"/>
              </w:rPr>
              <w:t xml:space="preserve">fatti </w:t>
            </w:r>
            <w:r>
              <w:rPr>
                <w:lang w:val="it-IT" w:eastAsia="it-IT"/>
              </w:rPr>
              <w:t>che possono incidere sulla continuità aziendale, gli amministratori, nella redazione del bilancio d’esercizio, hanno considerato l’appropriatezza del presupposto della continuità aziendale?</w:t>
            </w:r>
            <w:r w:rsidRPr="00E73895">
              <w:rPr>
                <w:lang w:val="it-IT" w:eastAsia="it-IT"/>
              </w:rPr>
              <w:t xml:space="preserve"> </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Default="00680245" w:rsidP="00D73E98">
            <w:pPr>
              <w:spacing w:line="240" w:lineRule="exact"/>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210B32" w:rsidRDefault="00680245" w:rsidP="00D73E98">
            <w:pPr>
              <w:jc w:val="center"/>
              <w:rPr>
                <w:b/>
                <w:lang w:val="it-IT"/>
              </w:rPr>
            </w:pPr>
            <w:r w:rsidRPr="00210B32">
              <w:rPr>
                <w:b/>
                <w:lang w:val="it-IT"/>
              </w:rPr>
              <w:t>20)</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Default="00680245" w:rsidP="00D73E98">
            <w:pPr>
              <w:pStyle w:val="PrincCont"/>
              <w:jc w:val="left"/>
              <w:rPr>
                <w:lang w:val="it-IT"/>
              </w:rPr>
            </w:pPr>
            <w:r>
              <w:rPr>
                <w:lang w:val="it-IT"/>
              </w:rPr>
              <w:t>OIC 29.61</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245BB" w:rsidRDefault="00680245" w:rsidP="00D73E98">
            <w:pPr>
              <w:spacing w:line="230" w:lineRule="exact"/>
              <w:rPr>
                <w:lang w:val="it-IT" w:eastAsia="it-IT"/>
              </w:rPr>
            </w:pPr>
            <w:r w:rsidRPr="000245BB">
              <w:rPr>
                <w:lang w:val="it-IT" w:eastAsia="it-IT"/>
              </w:rPr>
              <w:t xml:space="preserve">I fatti successivi non </w:t>
            </w:r>
            <w:r>
              <w:rPr>
                <w:lang w:val="it-IT" w:eastAsia="it-IT"/>
              </w:rPr>
              <w:t xml:space="preserve">rilevati nei prospetti quantitativi </w:t>
            </w:r>
            <w:r w:rsidRPr="000245BB">
              <w:rPr>
                <w:lang w:val="it-IT" w:eastAsia="it-IT"/>
              </w:rPr>
              <w:t xml:space="preserve">di bilancio, se rilevanti, sono stati </w:t>
            </w:r>
            <w:r>
              <w:rPr>
                <w:lang w:val="it-IT" w:eastAsia="it-IT"/>
              </w:rPr>
              <w:t>illustrati</w:t>
            </w:r>
            <w:r w:rsidRPr="000245BB">
              <w:rPr>
                <w:lang w:val="it-IT" w:eastAsia="it-IT"/>
              </w:rPr>
              <w:t xml:space="preserve"> </w:t>
            </w:r>
            <w:r>
              <w:rPr>
                <w:lang w:val="it-IT" w:eastAsia="it-IT"/>
              </w:rPr>
              <w:t>nella Nota Integrativa in quanto rappresentano avvenimenti la cui mancata comunicazione potrebbe compromettere la possibilità per i destinatari dell’informazione societaria di fare corrette valutazioni e di prendere appropriate decisioni?</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Default="00680245" w:rsidP="00D73E98">
            <w:pPr>
              <w:spacing w:line="240" w:lineRule="exact"/>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r>
      <w:tr w:rsidR="00680245" w:rsidRPr="00CC242B"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Default="00680245" w:rsidP="00D73E98">
            <w:pPr>
              <w:pStyle w:val="PrincCont"/>
              <w:jc w:val="left"/>
            </w:pPr>
            <w:r>
              <w:t>OIC 29.63</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Default="00680245" w:rsidP="00D73E98">
            <w:pPr>
              <w:pStyle w:val="Commentiriquadro"/>
              <w:spacing w:line="180" w:lineRule="exact"/>
              <w:rPr>
                <w:lang w:eastAsia="it-IT"/>
              </w:rPr>
            </w:pPr>
            <w:r>
              <w:rPr>
                <w:lang w:eastAsia="it-IT"/>
              </w:rPr>
              <w:t xml:space="preserve">Alcuni esempi di fatti successivi che non sono rilevati nel bilancio e che richiedono un’informativa in Nota Integrativa sono: </w:t>
            </w:r>
          </w:p>
          <w:p w:rsidR="00680245" w:rsidRDefault="00680245" w:rsidP="00D73E98">
            <w:pPr>
              <w:pStyle w:val="Commentiriquadro"/>
              <w:spacing w:line="180" w:lineRule="exact"/>
              <w:ind w:left="176" w:hanging="119"/>
            </w:pPr>
            <w:r>
              <w:rPr>
                <w:lang w:eastAsia="it-IT"/>
              </w:rPr>
              <w:t xml:space="preserve">- </w:t>
            </w:r>
            <w:r>
              <w:rPr>
                <w:lang w:eastAsia="it-IT"/>
              </w:rPr>
              <w:tab/>
            </w:r>
            <w:r w:rsidRPr="00C97407">
              <w:t>operazioni di natura straordinaria (fusioni, scissioni, conferimenti, ecc.) eseguite dopo la chiusura dell’esercizio;</w:t>
            </w:r>
          </w:p>
          <w:p w:rsidR="00680245" w:rsidRDefault="00680245" w:rsidP="00D73E98">
            <w:pPr>
              <w:pStyle w:val="Commentiriquadro"/>
              <w:spacing w:line="180" w:lineRule="exact"/>
              <w:ind w:left="176" w:hanging="119"/>
            </w:pPr>
            <w:r>
              <w:t>-</w:t>
            </w:r>
            <w:r>
              <w:tab/>
            </w:r>
            <w:r w:rsidRPr="00C97407">
              <w:t xml:space="preserve">annuncio di un piano di dismissioni di importanti attività; </w:t>
            </w:r>
          </w:p>
          <w:p w:rsidR="00680245" w:rsidRPr="00C97407" w:rsidRDefault="00680245" w:rsidP="00D73E98">
            <w:pPr>
              <w:pStyle w:val="Commentiriquadro"/>
              <w:spacing w:line="190" w:lineRule="exact"/>
              <w:ind w:left="176" w:hanging="119"/>
            </w:pPr>
            <w:r>
              <w:t>-</w:t>
            </w:r>
            <w:r>
              <w:tab/>
            </w:r>
            <w:r w:rsidRPr="00C97407">
              <w:t xml:space="preserve">acquisti o cessioni di un’azienda significativa; </w:t>
            </w:r>
          </w:p>
          <w:p w:rsidR="00680245" w:rsidRPr="00C97407" w:rsidRDefault="00680245" w:rsidP="00D73E98">
            <w:pPr>
              <w:pStyle w:val="Commentiriquadro"/>
              <w:spacing w:line="180" w:lineRule="exact"/>
              <w:ind w:left="176" w:hanging="119"/>
            </w:pPr>
            <w:r w:rsidRPr="00C97407">
              <w:t xml:space="preserve">- </w:t>
            </w:r>
            <w:r>
              <w:tab/>
            </w:r>
            <w:r w:rsidRPr="00C97407">
              <w:t xml:space="preserve">distruzioni di impianti, macchinari, merci in seguito ad incendi, inondazioni o altre calamità naturali; </w:t>
            </w:r>
          </w:p>
          <w:p w:rsidR="00680245" w:rsidRPr="00C97407" w:rsidRDefault="00680245" w:rsidP="00D73E98">
            <w:pPr>
              <w:pStyle w:val="Commentiriquadro"/>
              <w:spacing w:line="180" w:lineRule="exact"/>
              <w:ind w:left="176" w:hanging="119"/>
            </w:pPr>
            <w:r w:rsidRPr="00C97407">
              <w:t xml:space="preserve">- </w:t>
            </w:r>
            <w:r>
              <w:tab/>
            </w:r>
            <w:r w:rsidRPr="00C97407">
              <w:t xml:space="preserve">annuncio o avvio di piani di ristrutturazione; </w:t>
            </w:r>
          </w:p>
          <w:p w:rsidR="00680245" w:rsidRPr="00C97407" w:rsidRDefault="00680245" w:rsidP="00D73E98">
            <w:pPr>
              <w:pStyle w:val="Commentiriquadro"/>
              <w:spacing w:line="180" w:lineRule="exact"/>
              <w:ind w:left="176" w:hanging="119"/>
            </w:pPr>
            <w:r w:rsidRPr="00C97407">
              <w:t xml:space="preserve">- </w:t>
            </w:r>
            <w:r>
              <w:tab/>
            </w:r>
            <w:r w:rsidRPr="00C97407">
              <w:t xml:space="preserve">emissione di un prestito obbligazionario; </w:t>
            </w:r>
          </w:p>
          <w:p w:rsidR="00680245" w:rsidRDefault="00680245" w:rsidP="00D73E98">
            <w:pPr>
              <w:pStyle w:val="Commentiriquadro"/>
              <w:spacing w:line="180" w:lineRule="exact"/>
              <w:ind w:left="176" w:hanging="119"/>
            </w:pPr>
            <w:r w:rsidRPr="00C97407">
              <w:t xml:space="preserve">- </w:t>
            </w:r>
            <w:r>
              <w:tab/>
            </w:r>
            <w:r w:rsidRPr="00C97407">
              <w:t xml:space="preserve">aumento di capitale; </w:t>
            </w:r>
          </w:p>
          <w:p w:rsidR="00680245" w:rsidRPr="00C97407" w:rsidRDefault="00680245" w:rsidP="00D73E98">
            <w:pPr>
              <w:pStyle w:val="Commentiriquadro"/>
              <w:spacing w:line="180" w:lineRule="exact"/>
              <w:ind w:left="176" w:hanging="119"/>
            </w:pPr>
            <w:r>
              <w:t>-</w:t>
            </w:r>
            <w:r>
              <w:tab/>
            </w:r>
            <w:r w:rsidRPr="00C97407">
              <w:t xml:space="preserve">assunzione di rilevanti impegni contrattuali; </w:t>
            </w:r>
          </w:p>
          <w:p w:rsidR="00680245" w:rsidRPr="00C97407" w:rsidRDefault="00680245" w:rsidP="00D73E98">
            <w:pPr>
              <w:pStyle w:val="Commentiriquadro"/>
              <w:spacing w:line="180" w:lineRule="exact"/>
              <w:ind w:left="176" w:hanging="119"/>
            </w:pPr>
            <w:r w:rsidRPr="00C97407">
              <w:t xml:space="preserve">- </w:t>
            </w:r>
            <w:r>
              <w:tab/>
            </w:r>
            <w:r w:rsidRPr="00C97407">
              <w:t xml:space="preserve">significativi contenziosi (contrattuali, legali, fiscali) relativi a fatti sorti o operazioni effettuate dopo la chiusura dell’esercizio; </w:t>
            </w:r>
          </w:p>
          <w:p w:rsidR="00680245" w:rsidRPr="00C97407" w:rsidRDefault="00680245" w:rsidP="00D73E98">
            <w:pPr>
              <w:pStyle w:val="Commentiriquadro"/>
              <w:spacing w:before="20" w:line="180" w:lineRule="exact"/>
              <w:ind w:left="176" w:hanging="119"/>
            </w:pPr>
            <w:r w:rsidRPr="00C97407">
              <w:t xml:space="preserve">- </w:t>
            </w:r>
            <w:r>
              <w:tab/>
            </w:r>
            <w:r w:rsidRPr="00C97407">
              <w:t xml:space="preserve">fluttuazioni anomale significative dei valori di mercato delle attività di bilancio (per esempio titoli) o nei tassi di cambio con le valute straniere verso le quali l’impresa è maggiormente esposta senza coperture; </w:t>
            </w:r>
          </w:p>
          <w:p w:rsidR="00680245" w:rsidRDefault="00680245" w:rsidP="00D73E98">
            <w:pPr>
              <w:pStyle w:val="Commentiriquadro"/>
              <w:spacing w:before="20" w:line="180" w:lineRule="exact"/>
              <w:ind w:left="176" w:hanging="119"/>
              <w:rPr>
                <w:lang w:eastAsia="it-IT"/>
              </w:rPr>
            </w:pPr>
            <w:r w:rsidRPr="00C97407">
              <w:t xml:space="preserve">- </w:t>
            </w:r>
            <w:r>
              <w:tab/>
            </w:r>
            <w:r w:rsidRPr="00C97407">
              <w:t>richieste</w:t>
            </w:r>
            <w:r>
              <w:rPr>
                <w:lang w:eastAsia="it-IT"/>
              </w:rPr>
              <w:t xml:space="preserve"> di ammissione alla quotazione nelle borse valori.</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2413FD"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5E6EF9"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Default="00680245" w:rsidP="00D73E98">
            <w:pPr>
              <w:pStyle w:val="Titolo2"/>
              <w:spacing w:line="220" w:lineRule="exact"/>
              <w:rPr>
                <w:lang w:val="it-IT" w:eastAsia="it-IT"/>
              </w:rPr>
            </w:pPr>
            <w:r>
              <w:rPr>
                <w:lang w:val="it-IT"/>
              </w:rPr>
              <w:t>Nota Integrativa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CC242B" w:rsidTr="00D73E98">
        <w:trPr>
          <w:cantSplit/>
          <w:trHeight w:val="22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Default="00680245" w:rsidP="00D73E98">
            <w:pPr>
              <w:pStyle w:val="PrincCont"/>
              <w:jc w:val="left"/>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Default="00680245" w:rsidP="00D73E98">
            <w:pPr>
              <w:pStyle w:val="Titolo3"/>
              <w:jc w:val="left"/>
              <w:rPr>
                <w:lang w:val="it-IT" w:eastAsia="it-IT"/>
              </w:rPr>
            </w:pPr>
            <w:r w:rsidRPr="0094467C">
              <w:rPr>
                <w:lang w:val="it-IT" w:eastAsia="it-IT"/>
              </w:rPr>
              <w:t>Informazioni relative alle società che redigono il bilancio in forma ordinaria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2413FD"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E07F6D" w:rsidRDefault="00E07F6D" w:rsidP="00D73E98">
            <w:pPr>
              <w:jc w:val="center"/>
              <w:rPr>
                <w:b/>
                <w:lang w:val="it-IT"/>
              </w:rPr>
            </w:pPr>
            <w:r w:rsidRPr="00E07F6D">
              <w:rPr>
                <w:b/>
                <w:lang w:val="it-IT"/>
              </w:rPr>
              <w:t>21)</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5037A0" w:rsidRDefault="00680245" w:rsidP="00D73E98">
            <w:pPr>
              <w:pStyle w:val="PrincCont"/>
              <w:jc w:val="left"/>
            </w:pPr>
            <w:r>
              <w:t>Art. 2427</w:t>
            </w:r>
            <w:r w:rsidRPr="00083A62">
              <w:t>, c.</w:t>
            </w:r>
            <w:r>
              <w:t>1</w:t>
            </w:r>
            <w:r w:rsidRPr="00083A62">
              <w:t>,</w:t>
            </w:r>
            <w:r>
              <w:t xml:space="preserve"> n.22-</w:t>
            </w:r>
            <w:r w:rsidRPr="0094467C">
              <w:t>quater</w:t>
            </w:r>
            <w:r w:rsidRPr="00083A62">
              <w:t xml:space="preserve"> CC</w:t>
            </w:r>
            <w:r>
              <w:t xml:space="preserve">             </w:t>
            </w:r>
            <w:r w:rsidRPr="005037A0">
              <w:t>OIC 29.64</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2413FD" w:rsidRDefault="00680245" w:rsidP="00D73E98">
            <w:pPr>
              <w:spacing w:line="230" w:lineRule="exact"/>
              <w:rPr>
                <w:lang w:val="it-IT" w:eastAsia="it-IT"/>
              </w:rPr>
            </w:pPr>
            <w:r>
              <w:rPr>
                <w:lang w:val="it-IT" w:eastAsia="it-IT"/>
              </w:rPr>
              <w:t xml:space="preserve">Nell’illustrazione dei fatti di rilievo intervenuti dopo la chiusura dell’esercizio è stata fornita la stima dell’effetto sulla situazione patrimoniale/finanziaria della società, ovvero le ragioni per cui l’effetto non è determinabile? </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2413FD" w:rsidRDefault="00680245" w:rsidP="00D73E98">
            <w:pPr>
              <w:spacing w:line="240" w:lineRule="exact"/>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2413FD"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2413FD"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CA1681">
              <w:rPr>
                <w:lang w:val="it-IT"/>
              </w:rPr>
            </w:r>
            <w:r w:rsidR="00CA1681">
              <w:rPr>
                <w:lang w:val="it-IT"/>
              </w:rPr>
              <w:fldChar w:fldCharType="separate"/>
            </w:r>
            <w:r w:rsidRPr="00083A62">
              <w:rPr>
                <w:lang w:val="it-IT"/>
              </w:rPr>
              <w:fldChar w:fldCharType="end"/>
            </w:r>
          </w:p>
        </w:tc>
      </w:tr>
      <w:tr w:rsidR="00680245" w:rsidRPr="00CC242B" w:rsidTr="00D73E98">
        <w:trPr>
          <w:cantSplit/>
          <w:trHeight w:val="227"/>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5E6EF9" w:rsidRDefault="00680245" w:rsidP="00D73E98">
            <w:pPr>
              <w:pStyle w:val="Titolo3"/>
              <w:jc w:val="left"/>
              <w:rPr>
                <w:lang w:val="it-IT"/>
              </w:rPr>
            </w:pPr>
            <w:r w:rsidRPr="005E6EF9">
              <w:rPr>
                <w:lang w:val="it-IT"/>
              </w:rPr>
              <w:t>Informazioni relative alle società che redigono il bilancio in forma abbreviata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CC242B"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t>OIC 29.65</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DC441D" w:rsidRDefault="00680245" w:rsidP="00D73E98">
            <w:pPr>
              <w:pStyle w:val="Commentiriquadro"/>
              <w:spacing w:line="180" w:lineRule="exact"/>
              <w:rPr>
                <w:caps/>
              </w:rPr>
            </w:pPr>
            <w:r>
              <w:rPr>
                <w:lang w:eastAsia="it-IT"/>
              </w:rPr>
              <w:t>Ai sensi dell’articolo 2435-</w:t>
            </w:r>
            <w:r>
              <w:rPr>
                <w:i/>
                <w:iCs/>
                <w:lang w:eastAsia="it-IT"/>
              </w:rPr>
              <w:t xml:space="preserve">bis </w:t>
            </w:r>
            <w:r>
              <w:rPr>
                <w:lang w:eastAsia="it-IT"/>
              </w:rPr>
              <w:t xml:space="preserve">del codice civile la Nota Integrativa deve fornire le informazioni richieste dall’articolo 2427 comma 1, numero 22 </w:t>
            </w:r>
            <w:r>
              <w:rPr>
                <w:i/>
                <w:iCs/>
                <w:lang w:eastAsia="it-IT"/>
              </w:rPr>
              <w:t>quater</w:t>
            </w:r>
            <w:r>
              <w:rPr>
                <w:lang w:eastAsia="it-IT"/>
              </w:rPr>
              <w:t>) del codice civile e pertanto si deve applicare il paragrafo 61 del principio OIC 29.</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bl>
    <w:p w:rsidR="00680245" w:rsidRDefault="00680245" w:rsidP="00680245">
      <w:pPr>
        <w:tabs>
          <w:tab w:val="left" w:pos="1210"/>
        </w:tabs>
        <w:rPr>
          <w:lang w:val="it-IT"/>
        </w:rPr>
        <w:sectPr w:rsidR="00680245" w:rsidSect="00D73E98">
          <w:headerReference w:type="default" r:id="rId21"/>
          <w:footerReference w:type="default" r:id="rId22"/>
          <w:pgSz w:w="11906" w:h="16838" w:code="9"/>
          <w:pgMar w:top="1018" w:right="851" w:bottom="851" w:left="851" w:header="709" w:footer="567" w:gutter="0"/>
          <w:cols w:space="708"/>
          <w:docGrid w:linePitch="360"/>
        </w:sectPr>
      </w:pPr>
    </w:p>
    <w:p w:rsidR="00680245" w:rsidRPr="00680245" w:rsidRDefault="00680245" w:rsidP="00680245">
      <w:pPr>
        <w:rPr>
          <w:lang w:val="it-IT"/>
        </w:rPr>
      </w:pPr>
    </w:p>
    <w:p w:rsidR="00680245" w:rsidRPr="00DB4CF3" w:rsidRDefault="00680245" w:rsidP="00680245">
      <w:pPr>
        <w:tabs>
          <w:tab w:val="left" w:pos="1890"/>
        </w:tabs>
        <w:spacing w:line="260" w:lineRule="exact"/>
        <w:ind w:left="990" w:hanging="990"/>
        <w:jc w:val="left"/>
        <w:rPr>
          <w:b/>
          <w:color w:val="0070C0"/>
          <w:sz w:val="28"/>
        </w:rPr>
      </w:pPr>
      <w:r w:rsidRPr="00DB4CF3">
        <w:rPr>
          <w:b/>
          <w:color w:val="0070C0"/>
          <w:sz w:val="28"/>
        </w:rPr>
        <w:t>Immobilizzazioni immateriali</w:t>
      </w:r>
    </w:p>
    <w:p w:rsidR="00680245" w:rsidRDefault="00680245" w:rsidP="00680245"/>
    <w:p w:rsidR="00680245" w:rsidRDefault="00680245" w:rsidP="00680245"/>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71"/>
        <w:gridCol w:w="575"/>
        <w:gridCol w:w="573"/>
        <w:gridCol w:w="570"/>
      </w:tblGrid>
      <w:tr w:rsidR="00680245" w:rsidTr="00D73E98">
        <w:trPr>
          <w:cantSplit/>
          <w:trHeight w:val="20"/>
        </w:trPr>
        <w:tc>
          <w:tcPr>
            <w:tcW w:w="680"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rsidR="00680245" w:rsidRDefault="00680245" w:rsidP="00D73E98">
            <w:pPr>
              <w:overflowPunct/>
              <w:autoSpaceDE/>
              <w:autoSpaceDN/>
              <w:adjustRightInd/>
              <w:spacing w:before="0" w:after="0" w:line="240" w:lineRule="auto"/>
              <w:jc w:val="left"/>
              <w:textAlignment w:val="auto"/>
              <w:rPr>
                <w:lang w:val="it-IT"/>
              </w:rPr>
            </w:pPr>
          </w:p>
        </w:tc>
        <w:tc>
          <w:tcPr>
            <w:tcW w:w="851"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right w:w="0" w:type="dxa"/>
            </w:tcMar>
            <w:vAlign w:val="center"/>
          </w:tcPr>
          <w:p w:rsidR="00680245" w:rsidRPr="00EC3C8A" w:rsidRDefault="00680245" w:rsidP="00D73E98">
            <w:pPr>
              <w:pStyle w:val="PrincCont"/>
              <w:pageBreakBefore/>
              <w:rPr>
                <w:lang w:val="it-IT"/>
              </w:rPr>
            </w:pPr>
          </w:p>
        </w:tc>
        <w:tc>
          <w:tcPr>
            <w:tcW w:w="7071"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680245" w:rsidRDefault="00680245" w:rsidP="00D73E98">
            <w:pPr>
              <w:pStyle w:val="Titolo1"/>
              <w:pageBreakBefore/>
            </w:pPr>
          </w:p>
        </w:tc>
        <w:tc>
          <w:tcPr>
            <w:tcW w:w="575"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85" w:type="dxa"/>
              <w:right w:w="85" w:type="dxa"/>
            </w:tcMar>
            <w:vAlign w:val="center"/>
          </w:tcPr>
          <w:p w:rsidR="00680245" w:rsidRPr="00EC3C8A" w:rsidRDefault="00680245" w:rsidP="00D73E98">
            <w:pPr>
              <w:pageBreakBefore/>
              <w:jc w:val="center"/>
              <w:rPr>
                <w:b/>
                <w:lang w:val="it-IT"/>
              </w:rPr>
            </w:pPr>
            <w:r w:rsidRPr="00EC3C8A">
              <w:rPr>
                <w:b/>
                <w:lang w:val="it-IT"/>
              </w:rPr>
              <w:t>SI</w:t>
            </w:r>
          </w:p>
        </w:tc>
        <w:tc>
          <w:tcPr>
            <w:tcW w:w="573"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680245" w:rsidRPr="00EC3C8A" w:rsidRDefault="00680245" w:rsidP="00D73E98">
            <w:pPr>
              <w:pageBreakBefore/>
              <w:jc w:val="center"/>
              <w:rPr>
                <w:b/>
                <w:lang w:val="it-IT"/>
              </w:rPr>
            </w:pPr>
            <w:r w:rsidRPr="00EC3C8A">
              <w:rPr>
                <w:b/>
                <w:lang w:val="it-IT"/>
              </w:rPr>
              <w:t>NO</w:t>
            </w:r>
          </w:p>
        </w:tc>
        <w:tc>
          <w:tcPr>
            <w:tcW w:w="570"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680245" w:rsidRPr="00EC3C8A" w:rsidRDefault="00680245" w:rsidP="00D73E98">
            <w:pPr>
              <w:pageBreakBefore/>
              <w:jc w:val="center"/>
              <w:rPr>
                <w:b/>
                <w:lang w:val="it-IT"/>
              </w:rPr>
            </w:pPr>
            <w:r w:rsidRPr="00EC3C8A">
              <w:rPr>
                <w:b/>
                <w:lang w:val="it-IT"/>
              </w:rPr>
              <w:t>N/A</w:t>
            </w:r>
          </w:p>
        </w:tc>
      </w:tr>
      <w:tr w:rsidR="00680245" w:rsidRPr="008A0F36" w:rsidTr="00D73E98">
        <w:trPr>
          <w:cantSplit/>
          <w:trHeight w:val="20"/>
        </w:trPr>
        <w:tc>
          <w:tcPr>
            <w:tcW w:w="680" w:type="dxa"/>
            <w:vAlign w:val="center"/>
          </w:tcPr>
          <w:p w:rsidR="00680245" w:rsidRPr="008A0F36" w:rsidRDefault="00680245" w:rsidP="00D73E98">
            <w:pPr>
              <w:overflowPunct/>
              <w:autoSpaceDE/>
              <w:autoSpaceDN/>
              <w:adjustRightInd/>
              <w:spacing w:before="0" w:after="0" w:line="240" w:lineRule="auto"/>
              <w:jc w:val="left"/>
              <w:textAlignment w:val="auto"/>
              <w:rPr>
                <w:lang w:val="it-IT"/>
              </w:rPr>
            </w:pPr>
          </w:p>
        </w:tc>
        <w:tc>
          <w:tcPr>
            <w:tcW w:w="851" w:type="dxa"/>
            <w:tcMar>
              <w:left w:w="108" w:type="dxa"/>
              <w:right w:w="0" w:type="dxa"/>
            </w:tcMar>
            <w:vAlign w:val="center"/>
          </w:tcPr>
          <w:p w:rsidR="00680245" w:rsidRPr="008A0F36" w:rsidRDefault="00680245" w:rsidP="00D73E98">
            <w:pPr>
              <w:pStyle w:val="PrincCont"/>
              <w:pageBreakBefore/>
              <w:jc w:val="left"/>
              <w:rPr>
                <w:lang w:val="it-IT"/>
              </w:rPr>
            </w:pPr>
          </w:p>
        </w:tc>
        <w:tc>
          <w:tcPr>
            <w:tcW w:w="7071" w:type="dxa"/>
            <w:tcMar>
              <w:left w:w="108" w:type="dxa"/>
            </w:tcMar>
            <w:vAlign w:val="center"/>
          </w:tcPr>
          <w:p w:rsidR="00680245" w:rsidRPr="005874D5" w:rsidRDefault="00680245" w:rsidP="00D73E98">
            <w:pPr>
              <w:pStyle w:val="Titolo1"/>
              <w:keepNext w:val="0"/>
              <w:pageBreakBefore/>
            </w:pPr>
            <w:r w:rsidRPr="005874D5">
              <w:t>Immobilizzazioni immateriali</w:t>
            </w:r>
          </w:p>
        </w:tc>
        <w:tc>
          <w:tcPr>
            <w:tcW w:w="575" w:type="dxa"/>
            <w:tcMar>
              <w:left w:w="85" w:type="dxa"/>
              <w:right w:w="85" w:type="dxa"/>
            </w:tcMar>
            <w:vAlign w:val="center"/>
          </w:tcPr>
          <w:p w:rsidR="00680245" w:rsidRPr="008A0F36" w:rsidRDefault="00680245" w:rsidP="00D73E98">
            <w:pPr>
              <w:pageBreakBefore/>
              <w:jc w:val="left"/>
              <w:rPr>
                <w:lang w:val="it-IT"/>
              </w:rPr>
            </w:pPr>
          </w:p>
        </w:tc>
        <w:tc>
          <w:tcPr>
            <w:tcW w:w="573" w:type="dxa"/>
            <w:tcMar>
              <w:left w:w="108" w:type="dxa"/>
            </w:tcMar>
            <w:vAlign w:val="center"/>
          </w:tcPr>
          <w:p w:rsidR="00680245" w:rsidRPr="008A0F36" w:rsidRDefault="00680245" w:rsidP="00D73E98">
            <w:pPr>
              <w:pageBreakBefore/>
              <w:jc w:val="left"/>
              <w:rPr>
                <w:lang w:val="it-IT"/>
              </w:rPr>
            </w:pPr>
          </w:p>
        </w:tc>
        <w:tc>
          <w:tcPr>
            <w:tcW w:w="570" w:type="dxa"/>
            <w:tcMar>
              <w:left w:w="108" w:type="dxa"/>
            </w:tcMar>
            <w:vAlign w:val="center"/>
          </w:tcPr>
          <w:p w:rsidR="00680245" w:rsidRPr="008A0F36" w:rsidRDefault="00680245" w:rsidP="00D73E98">
            <w:pPr>
              <w:pageBreakBefore/>
              <w:jc w:val="left"/>
              <w:rPr>
                <w:lang w:val="it-IT"/>
              </w:rPr>
            </w:pPr>
          </w:p>
        </w:tc>
      </w:tr>
      <w:tr w:rsidR="00680245" w:rsidRPr="004F7394"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vAlign w:val="center"/>
          </w:tcPr>
          <w:p w:rsidR="00680245" w:rsidRPr="00492518" w:rsidRDefault="00680245" w:rsidP="00D73E98">
            <w:pPr>
              <w:pStyle w:val="Titolo2"/>
              <w:rPr>
                <w:lang w:val="it-IT"/>
              </w:rPr>
            </w:pPr>
            <w:r>
              <w:rPr>
                <w:lang w:val="it-IT"/>
              </w:rPr>
              <w:t>Definizioni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24.4</w:t>
            </w:r>
          </w:p>
        </w:tc>
        <w:tc>
          <w:tcPr>
            <w:tcW w:w="7071" w:type="dxa"/>
            <w:tcMar>
              <w:left w:w="108" w:type="dxa"/>
            </w:tcMar>
          </w:tcPr>
          <w:p w:rsidR="00680245" w:rsidRDefault="00680245" w:rsidP="00D73E98">
            <w:pPr>
              <w:pStyle w:val="Commentiriquadro"/>
            </w:pPr>
            <w:r>
              <w:t xml:space="preserve">Le </w:t>
            </w:r>
            <w:r w:rsidRPr="00E74467">
              <w:rPr>
                <w:i/>
              </w:rPr>
              <w:t>immobilizzazioni immateriali</w:t>
            </w:r>
            <w:r>
              <w:t xml:space="preserve"> sono attività normalmente caratterizzate dalla mancanza di tangibilità. Esse sono costituite da costi che non esauriscono la loro utilità in un solo periodo ma manifestano i benefici economici lungo un arco temporale di più esercizi. Le immobilizzazioni immateriali comprendono:</w:t>
            </w:r>
          </w:p>
          <w:p w:rsidR="00680245" w:rsidRDefault="00680245" w:rsidP="00D73E98">
            <w:pPr>
              <w:pStyle w:val="Commentiriquadro"/>
              <w:ind w:left="176" w:hanging="119"/>
            </w:pPr>
            <w:r>
              <w:t xml:space="preserve">- </w:t>
            </w:r>
            <w:r>
              <w:tab/>
              <w:t>oneri pluriennali (costi di impianto e di ampliamento; costi di sviluppo);</w:t>
            </w:r>
          </w:p>
          <w:p w:rsidR="00680245" w:rsidRDefault="00680245" w:rsidP="00D73E98">
            <w:pPr>
              <w:pStyle w:val="Commentiriquadro"/>
              <w:ind w:left="176" w:hanging="119"/>
            </w:pPr>
            <w:r>
              <w:t xml:space="preserve">- </w:t>
            </w:r>
            <w:r>
              <w:tab/>
              <w:t>beni immateriali (diritti di brevetto industriale e diritti di utilizzazione delle opere dell’ingegno; concessioni, licenze,marchi e diritti simili);</w:t>
            </w:r>
          </w:p>
          <w:p w:rsidR="00680245" w:rsidRDefault="00680245" w:rsidP="00D73E98">
            <w:pPr>
              <w:pStyle w:val="Commentiriquadro"/>
              <w:ind w:left="176" w:hanging="119"/>
            </w:pPr>
            <w:r>
              <w:t xml:space="preserve">- </w:t>
            </w:r>
            <w:r>
              <w:tab/>
              <w:t>avviamento;</w:t>
            </w:r>
          </w:p>
          <w:p w:rsidR="00680245" w:rsidRDefault="00680245" w:rsidP="00D73E98">
            <w:pPr>
              <w:pStyle w:val="Commentiriquadro"/>
              <w:ind w:left="176" w:hanging="119"/>
            </w:pPr>
            <w:r>
              <w:t xml:space="preserve">- </w:t>
            </w:r>
            <w:r>
              <w:tab/>
              <w:t>immobilizzazioni immateriali in corso; e</w:t>
            </w:r>
          </w:p>
          <w:p w:rsidR="00680245" w:rsidRDefault="00680245" w:rsidP="00D73E98">
            <w:pPr>
              <w:pStyle w:val="Commentiriquadro"/>
              <w:ind w:left="176" w:hanging="119"/>
            </w:pPr>
            <w:r>
              <w:t xml:space="preserve">- </w:t>
            </w:r>
            <w:r>
              <w:tab/>
              <w:t>acconti.</w:t>
            </w:r>
          </w:p>
          <w:p w:rsidR="00680245" w:rsidRPr="00492518" w:rsidRDefault="00680245" w:rsidP="00D73E98">
            <w:pPr>
              <w:pStyle w:val="Commentiriquadro"/>
            </w:pPr>
            <w:r>
              <w:t>I benefici economici futuri derivanti da un’immobilizzazione immateriale includono i ricavi originati dalla vendita di prodotti o servizi, i risparmi di costo o altri benefici derivanti dall’utilizzo dell’attività immateriale da parte della società.</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24.5</w:t>
            </w:r>
          </w:p>
        </w:tc>
        <w:tc>
          <w:tcPr>
            <w:tcW w:w="7071" w:type="dxa"/>
            <w:tcMar>
              <w:left w:w="108" w:type="dxa"/>
            </w:tcMar>
          </w:tcPr>
          <w:p w:rsidR="00680245" w:rsidRPr="00492518" w:rsidRDefault="00680245" w:rsidP="00D73E98">
            <w:pPr>
              <w:pStyle w:val="Commentiriquadro"/>
            </w:pPr>
            <w:r>
              <w:t xml:space="preserve">Gli </w:t>
            </w:r>
            <w:r w:rsidRPr="00E74467">
              <w:rPr>
                <w:i/>
              </w:rPr>
              <w:t>oneri pluriennali</w:t>
            </w:r>
            <w:r>
              <w:t xml:space="preserve"> sono costi che non esauriscono la loro utilità nell'esercizio in cui sono sostenuti e sono diversi dai beni immateriali e dall’avviamento. Gli oneri pluriennali generalmente hanno caratteristiche più difficilmente determinabili, con riferimento alla loro utilità pluriennale, rispetto ai beni immateriali veri e propri. Essi comprendono i costi di impianto e di ampliamento, i costi di sviluppo e altri costi simili che soddisfano la definizione generale di onere pluriennale.</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24.6</w:t>
            </w:r>
          </w:p>
        </w:tc>
        <w:tc>
          <w:tcPr>
            <w:tcW w:w="7071" w:type="dxa"/>
            <w:tcMar>
              <w:left w:w="108" w:type="dxa"/>
            </w:tcMar>
          </w:tcPr>
          <w:p w:rsidR="00680245" w:rsidRPr="00492518" w:rsidRDefault="00680245" w:rsidP="00D73E98">
            <w:pPr>
              <w:pStyle w:val="Commentiriquadro"/>
            </w:pPr>
            <w:r>
              <w:t xml:space="preserve">I </w:t>
            </w:r>
            <w:r w:rsidRPr="00E74467">
              <w:rPr>
                <w:i/>
              </w:rPr>
              <w:t>costi di impianto e di ampliamento</w:t>
            </w:r>
            <w:r>
              <w:t xml:space="preserve"> sono i costi che si sostengono in modo non ricorrente in alcuni caratteristici momenti del ciclo di vita della società, quali la fase pre-operativa (cosiddetti costi di start-up) o quella di accrescimento della capacità operativa.</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24.7</w:t>
            </w:r>
          </w:p>
        </w:tc>
        <w:tc>
          <w:tcPr>
            <w:tcW w:w="7071" w:type="dxa"/>
            <w:tcMar>
              <w:left w:w="108" w:type="dxa"/>
            </w:tcMar>
          </w:tcPr>
          <w:p w:rsidR="00680245" w:rsidRPr="00492518" w:rsidRDefault="00680245" w:rsidP="00D73E98">
            <w:pPr>
              <w:pStyle w:val="Commentiriquadro"/>
            </w:pPr>
            <w:r>
              <w:t xml:space="preserve">Lo </w:t>
            </w:r>
            <w:r w:rsidRPr="00E74467">
              <w:rPr>
                <w:i/>
              </w:rPr>
              <w:t>sviluppo</w:t>
            </w:r>
            <w:r>
              <w:t xml:space="preserve"> è l’applicazione dei risultati della ricerca di base o di altre conoscenze possedute o acquisite in un piano o in un progetto per la produzione di materiali, dispositivi, processi, sistemi o servizi, nuovi o sostanzialmente migliorati, prima dell’inizio della produzione commerciale o dell’utilizzazione.</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24.8</w:t>
            </w:r>
          </w:p>
        </w:tc>
        <w:tc>
          <w:tcPr>
            <w:tcW w:w="7071" w:type="dxa"/>
            <w:tcMar>
              <w:left w:w="108" w:type="dxa"/>
            </w:tcMar>
          </w:tcPr>
          <w:p w:rsidR="00680245" w:rsidRPr="00492518" w:rsidRDefault="00680245" w:rsidP="00D73E98">
            <w:pPr>
              <w:pStyle w:val="Commentiriquadro"/>
            </w:pPr>
            <w:r>
              <w:t xml:space="preserve">La </w:t>
            </w:r>
            <w:r w:rsidRPr="00E74467">
              <w:rPr>
                <w:i/>
              </w:rPr>
              <w:t>ricerca di base</w:t>
            </w:r>
            <w:r>
              <w:t xml:space="preserve"> è un’indagine originale e pianificata intrapresa con la prospettiva di conseguire nuove conoscenze e scoperte, scientifiche o tecniche, che si considera di utilità generica alla società. I costi di ricerca di base sono normalmente precedenti a quelli sostenuti una volta identificato lo specifico prodotto o processo che si intende sviluppare.</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24.9</w:t>
            </w:r>
          </w:p>
        </w:tc>
        <w:tc>
          <w:tcPr>
            <w:tcW w:w="7071" w:type="dxa"/>
            <w:tcMar>
              <w:left w:w="108" w:type="dxa"/>
            </w:tcMar>
          </w:tcPr>
          <w:p w:rsidR="00680245" w:rsidRDefault="00680245" w:rsidP="00D73E98">
            <w:pPr>
              <w:pStyle w:val="Commentiriquadro"/>
            </w:pPr>
            <w:r>
              <w:t xml:space="preserve">I </w:t>
            </w:r>
            <w:r w:rsidRPr="00E74467">
              <w:rPr>
                <w:i/>
              </w:rPr>
              <w:t>beni immateriali</w:t>
            </w:r>
            <w:r>
              <w:t xml:space="preserve"> sono beni non monetari, individualmente identificabili, privi di consistenza fisica e sono, di norma, rappresentati da diritti giuridicamente tutelati. Un bene immateriale è individualmente identificabile quando:</w:t>
            </w:r>
          </w:p>
          <w:p w:rsidR="00680245" w:rsidRDefault="00680245" w:rsidP="00D73E98">
            <w:pPr>
              <w:pStyle w:val="Commentiriquadro"/>
              <w:ind w:left="318" w:hanging="261"/>
            </w:pPr>
            <w:r>
              <w:t xml:space="preserve">(a) </w:t>
            </w:r>
            <w:r>
              <w:tab/>
              <w:t>è separabile, ossia può essere separato o scorporato dalla società e pertanto può essere venduto, trasferito, dato in licenza o in affitto, scambiato; oppure</w:t>
            </w:r>
          </w:p>
          <w:p w:rsidR="00680245" w:rsidRDefault="00680245" w:rsidP="00D73E98">
            <w:pPr>
              <w:pStyle w:val="Commentiriquadro"/>
              <w:ind w:left="318" w:hanging="261"/>
            </w:pPr>
            <w:r>
              <w:t xml:space="preserve">(b) </w:t>
            </w:r>
            <w:r>
              <w:tab/>
              <w:t>deriva da diritti contrattuali o da altri diritti legali, indipendentemente dal fatto che tali diritti siano trasferibili oseparabili dalla società o da altri diritti e obbligazioni.</w:t>
            </w:r>
          </w:p>
          <w:p w:rsidR="00680245" w:rsidRPr="00492518" w:rsidRDefault="00680245" w:rsidP="00D73E98">
            <w:pPr>
              <w:pStyle w:val="Commentiriquadro"/>
            </w:pPr>
            <w:r>
              <w:t>Essi comprendono diritti di brevetto industriale, diritti di utilizzazione delle opere dell’ingegno, concessioni, licenze, marchi e altri diritti simili.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24.10</w:t>
            </w:r>
          </w:p>
        </w:tc>
        <w:tc>
          <w:tcPr>
            <w:tcW w:w="7071" w:type="dxa"/>
            <w:tcMar>
              <w:left w:w="108" w:type="dxa"/>
            </w:tcMar>
          </w:tcPr>
          <w:p w:rsidR="00680245" w:rsidRPr="00492518" w:rsidRDefault="00680245" w:rsidP="00D73E98">
            <w:pPr>
              <w:pStyle w:val="Commentiriquadro"/>
            </w:pPr>
            <w:r>
              <w:t>L’</w:t>
            </w:r>
            <w:r w:rsidRPr="00E74467">
              <w:rPr>
                <w:i/>
              </w:rPr>
              <w:t>avviamento</w:t>
            </w:r>
            <w:r>
              <w:t xml:space="preserve"> è l'attitudine di un'azienda a produrre utili che derivino o da fattori specifici che, pur concorrendo positivamente alla produzione del reddito ed essendosi formati nel tempo in modo oneroso, non hanno un valore autonomo, ovvero da incrementi di valore che il complesso dei beni aziendali acquisisce rispetto alla somma dei valori dei singoli beni, in virtù dell'organizzazione delle risorse in un sistema efficiente.</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24.11</w:t>
            </w:r>
          </w:p>
        </w:tc>
        <w:tc>
          <w:tcPr>
            <w:tcW w:w="7071" w:type="dxa"/>
            <w:tcMar>
              <w:left w:w="108" w:type="dxa"/>
            </w:tcMar>
          </w:tcPr>
          <w:p w:rsidR="00680245" w:rsidRPr="00492518" w:rsidRDefault="00680245" w:rsidP="00D73E98">
            <w:pPr>
              <w:pStyle w:val="Commentiriquadro"/>
            </w:pPr>
            <w:r>
              <w:t xml:space="preserve">Il </w:t>
            </w:r>
            <w:r w:rsidRPr="00235D94">
              <w:rPr>
                <w:i/>
              </w:rPr>
              <w:t>costo d’acquisto</w:t>
            </w:r>
            <w:r>
              <w:t xml:space="preserve"> è rappresentato dal prezzo effettivo da corrispondere al fornitore dell’immobilizzazione immateriale, di solito rilevato dal contratto o dalla fattura.</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24.12</w:t>
            </w:r>
          </w:p>
        </w:tc>
        <w:tc>
          <w:tcPr>
            <w:tcW w:w="7071" w:type="dxa"/>
            <w:tcMar>
              <w:left w:w="108" w:type="dxa"/>
            </w:tcMar>
          </w:tcPr>
          <w:p w:rsidR="00680245" w:rsidRPr="00492518" w:rsidRDefault="00680245" w:rsidP="00D73E98">
            <w:pPr>
              <w:pStyle w:val="Commentiriquadro"/>
            </w:pPr>
            <w:r>
              <w:t xml:space="preserve">I </w:t>
            </w:r>
            <w:r w:rsidRPr="00235D94">
              <w:rPr>
                <w:i/>
              </w:rPr>
              <w:t>costi accessori d’acquisto</w:t>
            </w:r>
            <w:r>
              <w:t xml:space="preserve"> comprendono tutti i costi collegati all’acquisto che la società sostiene affinché l’immobilizzazione possa essere utilizzata.</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24.13</w:t>
            </w:r>
          </w:p>
        </w:tc>
        <w:tc>
          <w:tcPr>
            <w:tcW w:w="7071" w:type="dxa"/>
            <w:tcMar>
              <w:left w:w="108" w:type="dxa"/>
            </w:tcMar>
          </w:tcPr>
          <w:p w:rsidR="00680245" w:rsidRPr="00492518" w:rsidRDefault="00680245" w:rsidP="00D73E98">
            <w:pPr>
              <w:pStyle w:val="Commentiriquadro"/>
            </w:pPr>
            <w:r>
              <w:t xml:space="preserve">Il </w:t>
            </w:r>
            <w:r w:rsidRPr="00110660">
              <w:rPr>
                <w:i/>
              </w:rPr>
              <w:t>costo di produzione</w:t>
            </w:r>
            <w:r>
              <w:t xml:space="preserve"> comprende tutti i costi direttamente imputabili all’immobilizzazione immateriale. Può comprendere anche altri costi, per la quota ragionevolmente imputabile all’immobilizzazione, relativi al periodo di produzione e fino al momento dal quale il bene immateriale può essere utilizzato. Con gli stessi criteri possono essere aggiunti gli oneri relativi al finanziamento della produzione, interna o presso terzi, con le medesime modalità previste dall’OIC 16 “Immobilizzazioni materiali”.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24.14</w:t>
            </w:r>
          </w:p>
        </w:tc>
        <w:tc>
          <w:tcPr>
            <w:tcW w:w="7071" w:type="dxa"/>
            <w:tcMar>
              <w:left w:w="108" w:type="dxa"/>
            </w:tcMar>
          </w:tcPr>
          <w:p w:rsidR="00680245" w:rsidRPr="00492518" w:rsidRDefault="00680245" w:rsidP="00D73E98">
            <w:pPr>
              <w:pStyle w:val="Commentiriquadro"/>
            </w:pPr>
            <w:r>
              <w:t xml:space="preserve">Le </w:t>
            </w:r>
            <w:r w:rsidRPr="00110660">
              <w:rPr>
                <w:i/>
              </w:rPr>
              <w:t>immobilizzazioni in corso</w:t>
            </w:r>
            <w:r>
              <w:t xml:space="preserve"> sono rappresentate da costi interni ed esterni sostenuti per la realizzazione di un bene immateriale per il quale non sia ancora stata acquisita la piena titolarità del diritto (nel caso di brevetti, marchi, ecc.) o riguardanti progetti non ancora completati (nel caso di costi di sviluppo). I costi interni ed esterni sostenuti sono rappresentati - ad esempio – dai costi di lavoro, materiali e consulenza specificamente utilizzati a tal fine.</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24.15</w:t>
            </w:r>
          </w:p>
        </w:tc>
        <w:tc>
          <w:tcPr>
            <w:tcW w:w="7071" w:type="dxa"/>
            <w:tcMar>
              <w:left w:w="108" w:type="dxa"/>
            </w:tcMar>
          </w:tcPr>
          <w:p w:rsidR="00680245" w:rsidRPr="00492518" w:rsidRDefault="00680245" w:rsidP="00D73E98">
            <w:pPr>
              <w:pStyle w:val="Commentiriquadro"/>
            </w:pPr>
            <w:r>
              <w:t xml:space="preserve">Gli </w:t>
            </w:r>
            <w:r w:rsidRPr="00110660">
              <w:rPr>
                <w:i/>
              </w:rPr>
              <w:t>acconti</w:t>
            </w:r>
            <w:r>
              <w:t xml:space="preserve"> sono rappresentati dagli importi corrisposti ai fornitori per l’acquisto di una o più immobilizzazioni immateriali prima che si siano verificate le condizioni per la loro iscrizione in bilancio.</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24.16</w:t>
            </w:r>
          </w:p>
        </w:tc>
        <w:tc>
          <w:tcPr>
            <w:tcW w:w="7071" w:type="dxa"/>
            <w:tcMar>
              <w:left w:w="108" w:type="dxa"/>
            </w:tcMar>
          </w:tcPr>
          <w:p w:rsidR="00680245" w:rsidRPr="00492518" w:rsidRDefault="00680245" w:rsidP="00D73E98">
            <w:pPr>
              <w:pStyle w:val="Commentiriquadro"/>
            </w:pPr>
            <w:r>
              <w:t xml:space="preserve">Il </w:t>
            </w:r>
            <w:r w:rsidRPr="00110660">
              <w:rPr>
                <w:i/>
              </w:rPr>
              <w:t>valore netto contabile</w:t>
            </w:r>
            <w:r>
              <w:t xml:space="preserve"> di un’immobilizzazione immateriale è il valore al quale l’onere pluriennale, il bene immateriale o l’avviamento è iscritto in bilancio al netto di ammortamenti e svalutazioni dell’esercizio e di esercizi precedenti.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24.17</w:t>
            </w:r>
          </w:p>
        </w:tc>
        <w:tc>
          <w:tcPr>
            <w:tcW w:w="7071" w:type="dxa"/>
            <w:tcMar>
              <w:left w:w="108" w:type="dxa"/>
            </w:tcMar>
          </w:tcPr>
          <w:p w:rsidR="00680245" w:rsidRPr="00492518" w:rsidRDefault="00680245" w:rsidP="00D73E98">
            <w:pPr>
              <w:pStyle w:val="Commentiriquadro"/>
            </w:pPr>
            <w:r>
              <w:t xml:space="preserve">La </w:t>
            </w:r>
            <w:r w:rsidRPr="00110660">
              <w:rPr>
                <w:i/>
              </w:rPr>
              <w:t>vita utile</w:t>
            </w:r>
            <w:r>
              <w:t xml:space="preserve"> è il periodo di tempo durante il quale l’impresa prevede di poter utilizzare l’immobilizzazione. Può essere determinata anche attraverso le quantità di unità di prodotto (o misura equivalente) che si stima poter ottenere tramite l’uso dell’immobilizzazione.</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24.18</w:t>
            </w:r>
          </w:p>
        </w:tc>
        <w:tc>
          <w:tcPr>
            <w:tcW w:w="7071" w:type="dxa"/>
            <w:tcMar>
              <w:left w:w="108" w:type="dxa"/>
            </w:tcMar>
          </w:tcPr>
          <w:p w:rsidR="00680245" w:rsidRPr="00492518" w:rsidRDefault="00680245" w:rsidP="00D73E98">
            <w:pPr>
              <w:pStyle w:val="Commentiriquadro"/>
            </w:pPr>
            <w:r>
              <w:t>L’</w:t>
            </w:r>
            <w:r w:rsidRPr="00110660">
              <w:rPr>
                <w:i/>
              </w:rPr>
              <w:t>ammortamento</w:t>
            </w:r>
            <w:r>
              <w:t xml:space="preserve"> è la ripartizione del costo di un’immobilizzazione immateriale nel periodo della sua stimata vita utile con un metodo sistematico e razionale, indipendentemente dai risultati conseguiti nell’esercizio.</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24.19</w:t>
            </w:r>
          </w:p>
        </w:tc>
        <w:tc>
          <w:tcPr>
            <w:tcW w:w="7071" w:type="dxa"/>
            <w:tcMar>
              <w:left w:w="108" w:type="dxa"/>
            </w:tcMar>
          </w:tcPr>
          <w:p w:rsidR="00680245" w:rsidRPr="00492518" w:rsidRDefault="00680245" w:rsidP="00D73E98">
            <w:pPr>
              <w:pStyle w:val="Commentiriquadro"/>
            </w:pPr>
            <w:r>
              <w:t xml:space="preserve">Il </w:t>
            </w:r>
            <w:r w:rsidRPr="00110660">
              <w:rPr>
                <w:i/>
              </w:rPr>
              <w:t>valore da ammortizzare</w:t>
            </w:r>
            <w:r>
              <w:t xml:space="preserve"> è la differenza tra il costo dell’immobilizzazione immateriale, determinato secondo i criteri enunciati nel principio, e, se determinabile, il suo valore residuo.</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24.20</w:t>
            </w:r>
          </w:p>
        </w:tc>
        <w:tc>
          <w:tcPr>
            <w:tcW w:w="7071" w:type="dxa"/>
            <w:tcMar>
              <w:left w:w="108" w:type="dxa"/>
            </w:tcMar>
          </w:tcPr>
          <w:p w:rsidR="00680245" w:rsidRPr="00492518" w:rsidRDefault="00680245" w:rsidP="00D73E98">
            <w:pPr>
              <w:pStyle w:val="Commentiriquadro"/>
            </w:pPr>
            <w:r>
              <w:t xml:space="preserve">Il </w:t>
            </w:r>
            <w:r w:rsidRPr="00110660">
              <w:rPr>
                <w:i/>
              </w:rPr>
              <w:t>valore residuo</w:t>
            </w:r>
            <w:r>
              <w:t xml:space="preserve"> di un bene immateriale è il presumibile valore realizzabile del bene al termine del periodo di vita utile.</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24.21</w:t>
            </w:r>
          </w:p>
        </w:tc>
        <w:tc>
          <w:tcPr>
            <w:tcW w:w="7071" w:type="dxa"/>
            <w:tcMar>
              <w:left w:w="108" w:type="dxa"/>
            </w:tcMar>
          </w:tcPr>
          <w:p w:rsidR="00680245" w:rsidRPr="00492518" w:rsidRDefault="00680245" w:rsidP="00D73E98">
            <w:pPr>
              <w:pStyle w:val="Commentiriquadro"/>
            </w:pPr>
            <w:r>
              <w:t xml:space="preserve">La </w:t>
            </w:r>
            <w:r w:rsidRPr="00110660">
              <w:rPr>
                <w:i/>
              </w:rPr>
              <w:t>svalutazione</w:t>
            </w:r>
            <w:r>
              <w:t xml:space="preserve"> è la riduzione del valore contabile di un’immobilizzazione per adeguarla al valore recuperabile a seguito di perdita durevole di valore.</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24.22</w:t>
            </w:r>
          </w:p>
        </w:tc>
        <w:tc>
          <w:tcPr>
            <w:tcW w:w="7071" w:type="dxa"/>
            <w:tcMar>
              <w:left w:w="108" w:type="dxa"/>
            </w:tcMar>
          </w:tcPr>
          <w:p w:rsidR="00680245" w:rsidRPr="00492518" w:rsidRDefault="00680245" w:rsidP="00D73E98">
            <w:pPr>
              <w:pStyle w:val="Commentiriquadro"/>
            </w:pPr>
            <w:r>
              <w:t xml:space="preserve">Il </w:t>
            </w:r>
            <w:r w:rsidRPr="00110660">
              <w:rPr>
                <w:i/>
              </w:rPr>
              <w:t>valore recuperabile</w:t>
            </w:r>
            <w:r>
              <w:t xml:space="preserve"> di un’immobilizzazione è pari al maggiore tra il valore d’uso e il suo valore equo (fair value), al netto dei costi di vendita.</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24.23</w:t>
            </w:r>
          </w:p>
        </w:tc>
        <w:tc>
          <w:tcPr>
            <w:tcW w:w="7071" w:type="dxa"/>
            <w:tcMar>
              <w:left w:w="108" w:type="dxa"/>
            </w:tcMar>
          </w:tcPr>
          <w:p w:rsidR="00680245" w:rsidRPr="00492518" w:rsidRDefault="00680245" w:rsidP="00D73E98">
            <w:pPr>
              <w:pStyle w:val="Commentiriquadro"/>
            </w:pPr>
            <w:r>
              <w:t xml:space="preserve">Il </w:t>
            </w:r>
            <w:r w:rsidRPr="00110660">
              <w:rPr>
                <w:i/>
              </w:rPr>
              <w:t>bilancio in forma ordinaria</w:t>
            </w:r>
            <w:r>
              <w:t xml:space="preserve"> è il bilancio redatto secondo le disposizioni del codice civile dalle società che non redigono il bilancio in forma abbreviata ai sensi dell’art. 2435-bis c.c. </w:t>
            </w:r>
            <w:r w:rsidRPr="00012790">
              <w:t>e che non redigono il bilancio ai sensi dell’art. 2435-ter c.c. (bilancio delle micro-imprese).</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vAlign w:val="center"/>
          </w:tcPr>
          <w:p w:rsidR="00680245" w:rsidRPr="00492518" w:rsidRDefault="00680245" w:rsidP="00D73E98">
            <w:pPr>
              <w:pStyle w:val="Titolo2"/>
              <w:rPr>
                <w:lang w:val="it-IT"/>
              </w:rPr>
            </w:pPr>
            <w:r w:rsidRPr="00F641D1">
              <w:rPr>
                <w:lang w:val="it-IT"/>
              </w:rPr>
              <w:t>Classificazione e contenuto delle voci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1)</w:t>
            </w:r>
          </w:p>
        </w:tc>
        <w:tc>
          <w:tcPr>
            <w:tcW w:w="851" w:type="dxa"/>
            <w:tcMar>
              <w:left w:w="108" w:type="dxa"/>
              <w:right w:w="0" w:type="dxa"/>
            </w:tcMar>
          </w:tcPr>
          <w:p w:rsidR="00680245" w:rsidRPr="008A0F36" w:rsidRDefault="00680245" w:rsidP="00D73E98">
            <w:pPr>
              <w:pStyle w:val="PrincCont"/>
              <w:jc w:val="left"/>
              <w:rPr>
                <w:lang w:val="it-IT"/>
              </w:rPr>
            </w:pPr>
            <w:r>
              <w:rPr>
                <w:lang w:val="it-IT"/>
              </w:rPr>
              <w:t>Art. 2424 CC  OIC 24.24</w:t>
            </w:r>
          </w:p>
        </w:tc>
        <w:tc>
          <w:tcPr>
            <w:tcW w:w="7071" w:type="dxa"/>
            <w:tcMar>
              <w:left w:w="108" w:type="dxa"/>
            </w:tcMar>
          </w:tcPr>
          <w:p w:rsidR="00680245" w:rsidRPr="00A4775E" w:rsidRDefault="00680245" w:rsidP="00D73E98">
            <w:pPr>
              <w:spacing w:line="230" w:lineRule="exact"/>
              <w:rPr>
                <w:lang w:val="it-IT"/>
              </w:rPr>
            </w:pPr>
            <w:r w:rsidRPr="00A4775E">
              <w:rPr>
                <w:lang w:val="it-IT"/>
              </w:rPr>
              <w:t xml:space="preserve">Le immobilizzazioni immateriali </w:t>
            </w:r>
            <w:r>
              <w:rPr>
                <w:lang w:val="it-IT"/>
              </w:rPr>
              <w:t>sono</w:t>
            </w:r>
            <w:r w:rsidRPr="00A4775E">
              <w:rPr>
                <w:lang w:val="it-IT"/>
              </w:rPr>
              <w:t xml:space="preserve"> iscritte nell’attivo dello stato patrimoniale alla voce BI con la seguente classificazione:</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FB7CE2" w:rsidTr="00D73E98">
        <w:trPr>
          <w:cantSplit/>
          <w:trHeight w:val="20"/>
        </w:trPr>
        <w:tc>
          <w:tcPr>
            <w:tcW w:w="680" w:type="dxa"/>
          </w:tcPr>
          <w:p w:rsidR="00680245"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A4775E" w:rsidRDefault="00680245" w:rsidP="004E27C2">
            <w:pPr>
              <w:pStyle w:val="cors3"/>
              <w:numPr>
                <w:ilvl w:val="0"/>
                <w:numId w:val="17"/>
              </w:numPr>
              <w:spacing w:before="20" w:after="20" w:line="230" w:lineRule="exact"/>
              <w:ind w:left="431" w:hanging="397"/>
              <w:rPr>
                <w:rFonts w:ascii="Arial Narrow" w:hAnsi="Arial Narrow" w:cs="Arial"/>
                <w:sz w:val="20"/>
                <w:lang w:val="it-IT"/>
              </w:rPr>
            </w:pPr>
            <w:r w:rsidRPr="00A4775E">
              <w:rPr>
                <w:rFonts w:ascii="Arial Narrow" w:hAnsi="Arial Narrow" w:cs="Arial"/>
                <w:sz w:val="20"/>
                <w:lang w:val="it-IT"/>
              </w:rPr>
              <w:t>cos</w:t>
            </w:r>
            <w:r>
              <w:rPr>
                <w:rFonts w:ascii="Arial Narrow" w:hAnsi="Arial Narrow" w:cs="Arial"/>
                <w:sz w:val="20"/>
                <w:lang w:val="it-IT"/>
              </w:rPr>
              <w:t>ti di impianto e di ampliamento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FB7CE2" w:rsidTr="00D73E98">
        <w:trPr>
          <w:cantSplit/>
          <w:trHeight w:val="20"/>
        </w:trPr>
        <w:tc>
          <w:tcPr>
            <w:tcW w:w="680" w:type="dxa"/>
          </w:tcPr>
          <w:p w:rsidR="00680245"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A4775E" w:rsidRDefault="00680245" w:rsidP="004E27C2">
            <w:pPr>
              <w:pStyle w:val="cors3"/>
              <w:numPr>
                <w:ilvl w:val="0"/>
                <w:numId w:val="17"/>
              </w:numPr>
              <w:spacing w:before="20" w:after="20" w:line="230" w:lineRule="exact"/>
              <w:ind w:left="431" w:hanging="397"/>
              <w:rPr>
                <w:rFonts w:ascii="Arial Narrow" w:hAnsi="Arial Narrow" w:cs="Arial"/>
                <w:sz w:val="20"/>
                <w:lang w:val="it-IT"/>
              </w:rPr>
            </w:pPr>
            <w:r>
              <w:rPr>
                <w:rFonts w:ascii="Arial Narrow" w:hAnsi="Arial Narrow" w:cs="Arial"/>
                <w:sz w:val="20"/>
                <w:lang w:val="it-IT"/>
              </w:rPr>
              <w:t>costi di sviluppo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FB7CE2" w:rsidTr="00D73E98">
        <w:trPr>
          <w:cantSplit/>
          <w:trHeight w:val="20"/>
        </w:trPr>
        <w:tc>
          <w:tcPr>
            <w:tcW w:w="680" w:type="dxa"/>
          </w:tcPr>
          <w:p w:rsidR="00680245"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A4775E" w:rsidRDefault="00680245" w:rsidP="004E27C2">
            <w:pPr>
              <w:pStyle w:val="cors3"/>
              <w:numPr>
                <w:ilvl w:val="0"/>
                <w:numId w:val="17"/>
              </w:numPr>
              <w:spacing w:before="20" w:after="20" w:line="230" w:lineRule="exact"/>
              <w:ind w:left="431" w:hanging="397"/>
              <w:rPr>
                <w:rFonts w:ascii="Arial Narrow" w:hAnsi="Arial Narrow" w:cs="Arial"/>
                <w:sz w:val="20"/>
                <w:lang w:val="it-IT"/>
              </w:rPr>
            </w:pPr>
            <w:r w:rsidRPr="00A4775E">
              <w:rPr>
                <w:rFonts w:ascii="Arial Narrow" w:hAnsi="Arial Narrow" w:cs="Arial"/>
                <w:sz w:val="20"/>
                <w:lang w:val="it-IT"/>
              </w:rPr>
              <w:t>diritti di brevetto industriale e diritti di utilizz</w:t>
            </w:r>
            <w:r>
              <w:rPr>
                <w:rFonts w:ascii="Arial Narrow" w:hAnsi="Arial Narrow" w:cs="Arial"/>
                <w:sz w:val="20"/>
                <w:lang w:val="it-IT"/>
              </w:rPr>
              <w:t>azione delle opere dell'ingegno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FB7CE2" w:rsidTr="00D73E98">
        <w:trPr>
          <w:cantSplit/>
          <w:trHeight w:val="20"/>
        </w:trPr>
        <w:tc>
          <w:tcPr>
            <w:tcW w:w="680" w:type="dxa"/>
          </w:tcPr>
          <w:p w:rsidR="00680245"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A4775E" w:rsidRDefault="00680245" w:rsidP="004E27C2">
            <w:pPr>
              <w:pStyle w:val="Paragrafoelenco"/>
              <w:numPr>
                <w:ilvl w:val="0"/>
                <w:numId w:val="17"/>
              </w:numPr>
              <w:spacing w:line="230" w:lineRule="exact"/>
              <w:ind w:left="431" w:hanging="397"/>
              <w:rPr>
                <w:lang w:val="it-IT"/>
              </w:rPr>
            </w:pPr>
            <w:r w:rsidRPr="00A4775E">
              <w:rPr>
                <w:rFonts w:cs="Arial"/>
                <w:lang w:val="it-IT"/>
              </w:rPr>
              <w:t>concessioni, l</w:t>
            </w:r>
            <w:r>
              <w:rPr>
                <w:rFonts w:cs="Arial"/>
                <w:lang w:val="it-IT"/>
              </w:rPr>
              <w:t>icenze, marchi e diritti simili</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FB7CE2" w:rsidTr="00D73E98">
        <w:trPr>
          <w:cantSplit/>
          <w:trHeight w:val="20"/>
        </w:trPr>
        <w:tc>
          <w:tcPr>
            <w:tcW w:w="680" w:type="dxa"/>
          </w:tcPr>
          <w:p w:rsidR="00680245"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A4775E" w:rsidRDefault="00680245" w:rsidP="004E27C2">
            <w:pPr>
              <w:pStyle w:val="cors3"/>
              <w:numPr>
                <w:ilvl w:val="0"/>
                <w:numId w:val="17"/>
              </w:numPr>
              <w:spacing w:before="20" w:after="20" w:line="230" w:lineRule="exact"/>
              <w:ind w:left="431" w:hanging="397"/>
              <w:rPr>
                <w:rFonts w:ascii="Arial Narrow" w:hAnsi="Arial Narrow" w:cs="Arial"/>
                <w:sz w:val="20"/>
                <w:lang w:val="it-IT"/>
              </w:rPr>
            </w:pPr>
            <w:r w:rsidRPr="00A4775E">
              <w:rPr>
                <w:rFonts w:ascii="Arial Narrow" w:hAnsi="Arial Narrow" w:cs="Arial"/>
                <w:sz w:val="20"/>
                <w:lang w:val="it-IT"/>
              </w:rPr>
              <w:t>avviamen</w:t>
            </w:r>
            <w:r>
              <w:rPr>
                <w:rFonts w:ascii="Arial Narrow" w:hAnsi="Arial Narrow" w:cs="Arial"/>
                <w:sz w:val="20"/>
                <w:lang w:val="it-IT"/>
              </w:rPr>
              <w:t>to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FB7CE2" w:rsidTr="00D73E98">
        <w:trPr>
          <w:cantSplit/>
          <w:trHeight w:val="20"/>
        </w:trPr>
        <w:tc>
          <w:tcPr>
            <w:tcW w:w="680" w:type="dxa"/>
          </w:tcPr>
          <w:p w:rsidR="00680245"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A4775E" w:rsidRDefault="00680245" w:rsidP="004E27C2">
            <w:pPr>
              <w:pStyle w:val="cors3"/>
              <w:numPr>
                <w:ilvl w:val="0"/>
                <w:numId w:val="17"/>
              </w:numPr>
              <w:spacing w:before="20" w:after="20" w:line="230" w:lineRule="exact"/>
              <w:ind w:left="431" w:hanging="397"/>
              <w:rPr>
                <w:rFonts w:ascii="Arial Narrow" w:hAnsi="Arial Narrow" w:cs="Arial"/>
                <w:sz w:val="20"/>
                <w:lang w:val="it-IT"/>
              </w:rPr>
            </w:pPr>
            <w:r w:rsidRPr="00A4775E">
              <w:rPr>
                <w:rFonts w:ascii="Arial Narrow" w:hAnsi="Arial Narrow" w:cs="Arial"/>
                <w:sz w:val="20"/>
                <w:lang w:val="it-IT"/>
              </w:rPr>
              <w:t>immo</w:t>
            </w:r>
            <w:r>
              <w:rPr>
                <w:rFonts w:ascii="Arial Narrow" w:hAnsi="Arial Narrow" w:cs="Arial"/>
                <w:sz w:val="20"/>
                <w:lang w:val="it-IT"/>
              </w:rPr>
              <w:t>bilizzazioni in corso e acconti</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FB7CE2" w:rsidTr="00D73E98">
        <w:trPr>
          <w:cantSplit/>
          <w:trHeight w:val="20"/>
        </w:trPr>
        <w:tc>
          <w:tcPr>
            <w:tcW w:w="680" w:type="dxa"/>
          </w:tcPr>
          <w:p w:rsidR="00680245"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A4775E" w:rsidRDefault="00680245" w:rsidP="004E27C2">
            <w:pPr>
              <w:pStyle w:val="Paragrafoelenco"/>
              <w:numPr>
                <w:ilvl w:val="0"/>
                <w:numId w:val="17"/>
              </w:numPr>
              <w:spacing w:line="230" w:lineRule="exact"/>
              <w:ind w:left="431" w:hanging="397"/>
              <w:rPr>
                <w:lang w:val="it-IT"/>
              </w:rPr>
            </w:pPr>
            <w:r w:rsidRPr="00A4775E">
              <w:rPr>
                <w:rFonts w:cs="Arial"/>
              </w:rPr>
              <w:t>altre?</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24.25</w:t>
            </w:r>
          </w:p>
        </w:tc>
        <w:tc>
          <w:tcPr>
            <w:tcW w:w="7071" w:type="dxa"/>
            <w:tcMar>
              <w:left w:w="108" w:type="dxa"/>
            </w:tcMar>
          </w:tcPr>
          <w:p w:rsidR="00680245" w:rsidRDefault="00680245" w:rsidP="00D73E98">
            <w:pPr>
              <w:pStyle w:val="Commentiriquadro"/>
            </w:pPr>
            <w:r>
              <w:t>La voce BI1 “costi di impianto e di ampliamento” può comprendere:</w:t>
            </w:r>
          </w:p>
          <w:p w:rsidR="00680245" w:rsidRDefault="00680245" w:rsidP="00D73E98">
            <w:pPr>
              <w:pStyle w:val="Commentiriquadro"/>
              <w:ind w:left="176" w:hanging="119"/>
            </w:pPr>
            <w:r>
              <w:t xml:space="preserve">- </w:t>
            </w:r>
            <w:r>
              <w:tab/>
              <w:t>i costi inerenti l'atto costitutivo, le relative tasse, le eventuali consulenze dirette alla sua formulazione, l'ottenimento delle licenze, permessi ed autorizzazioni richieste, e simili;</w:t>
            </w:r>
          </w:p>
          <w:p w:rsidR="00680245" w:rsidRDefault="00680245" w:rsidP="00D73E98">
            <w:pPr>
              <w:pStyle w:val="Commentiriquadro"/>
              <w:ind w:left="176" w:hanging="119"/>
            </w:pPr>
            <w:r>
              <w:t xml:space="preserve">- </w:t>
            </w:r>
            <w:r>
              <w:tab/>
              <w:t>i costi di “start-up” (solo qualora siano soddisfatte le specifiche condizioni di cui al paragrafo 43 del Principio). Si tratta di costi sostenuti da una società di nuova costituzione per progettare e rendere operativa la struttura aziendale iniziale, o i costi sostenuti da una società preesistente prima dell'inizio di una nuova attività, quali ad esempio un nuovo ramo d'azienda, un nuovo centro commerciale per una società che opera nella grande distribuzione, un nuovo processo produttivo, ecc. Tra questi costi sono compresi, ad esempio, i costi del personale operativo che avvia le nuove attività, i costi di pubblicità sostenuti in tale ambito, i costi di assunzione e di addestramento del nuovo personale, i costi di allacciamento di servizi generali, quelli sostenuti per riadattare uno stabilimento esistente;</w:t>
            </w:r>
          </w:p>
          <w:p w:rsidR="00680245" w:rsidRDefault="00680245" w:rsidP="00D73E98">
            <w:pPr>
              <w:pStyle w:val="Commentiriquadro"/>
              <w:ind w:left="176" w:hanging="119"/>
            </w:pPr>
            <w:r>
              <w:t xml:space="preserve">- </w:t>
            </w:r>
            <w:r>
              <w:tab/>
              <w:t>i costi relativi all'ampliamento della società, inteso come una vera e propria espansione della stessa in direzioni ed in attività precedentemente non perseguite, ovvero verso un ampliamento anche di tipo quantitativo ma di misura tale da apparire straordinario e che pertanto attiene ad un nuovo allargamento dell'attività sociale. Essi non consistono nel naturale processo di accrescimento quantitativo e qualitativo dell'impresa. Esempi di tali costi sono le spese per aumento di capitale sociale, le spese per operazioni di trasformazione, fusione, scissione;</w:t>
            </w:r>
          </w:p>
          <w:p w:rsidR="00680245" w:rsidRPr="00492518" w:rsidRDefault="00680245" w:rsidP="00D73E98">
            <w:pPr>
              <w:pStyle w:val="Commentiriquadro"/>
              <w:ind w:left="176" w:hanging="119"/>
            </w:pPr>
            <w:r>
              <w:t xml:space="preserve">- </w:t>
            </w:r>
            <w:r>
              <w:tab/>
              <w:t>i costi di addestramento e di qualificazione del personale qualora siano soddisfatte le condizioni di cui al paragrafo 44 del Principio.</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24.26</w:t>
            </w:r>
          </w:p>
        </w:tc>
        <w:tc>
          <w:tcPr>
            <w:tcW w:w="7071" w:type="dxa"/>
            <w:tcMar>
              <w:left w:w="108" w:type="dxa"/>
            </w:tcMar>
          </w:tcPr>
          <w:p w:rsidR="00680245" w:rsidRDefault="00680245" w:rsidP="00D73E98">
            <w:pPr>
              <w:pStyle w:val="Commentiriquadro"/>
            </w:pPr>
            <w:r>
              <w:t>La voce BI2 “costi di sviluppo” può comprendere:</w:t>
            </w:r>
          </w:p>
          <w:p w:rsidR="00680245" w:rsidRDefault="00680245" w:rsidP="00D73E98">
            <w:pPr>
              <w:pStyle w:val="Commentiriquadro"/>
              <w:ind w:left="176" w:hanging="119"/>
            </w:pPr>
            <w:r>
              <w:t xml:space="preserve">- </w:t>
            </w:r>
            <w:r>
              <w:tab/>
              <w:t>i costi per la progettazione, la costruzione e la verifica di prototipi o modelli che precedono la produzione o l’utilizzo degli stessi;</w:t>
            </w:r>
          </w:p>
          <w:p w:rsidR="00680245" w:rsidRDefault="00680245" w:rsidP="00D73E98">
            <w:pPr>
              <w:pStyle w:val="Commentiriquadro"/>
              <w:ind w:left="176" w:hanging="119"/>
            </w:pPr>
            <w:r>
              <w:t>-</w:t>
            </w:r>
            <w:r>
              <w:tab/>
              <w:t>i costi per la progettazione di mezzi, prove, stampi e matrici concernenti la nuova tecnologia;</w:t>
            </w:r>
          </w:p>
          <w:p w:rsidR="00680245" w:rsidRDefault="00680245" w:rsidP="00D73E98">
            <w:pPr>
              <w:pStyle w:val="Commentiriquadro"/>
              <w:ind w:left="176" w:hanging="119"/>
            </w:pPr>
            <w:r>
              <w:t xml:space="preserve">- </w:t>
            </w:r>
            <w:r>
              <w:tab/>
              <w:t>i costi per la progettazione, la costruzione e l’attivazione di un impianto pilota che non è di dimensioni economicamente idonee per la produzione commerciale;</w:t>
            </w:r>
          </w:p>
          <w:p w:rsidR="00680245" w:rsidRDefault="00680245" w:rsidP="00D73E98">
            <w:pPr>
              <w:pStyle w:val="Commentiriquadro"/>
              <w:ind w:left="176" w:hanging="119"/>
            </w:pPr>
            <w:r>
              <w:t>-</w:t>
            </w:r>
            <w:r>
              <w:tab/>
              <w:t>i costi per la progettazione, la costruzione e la prova di materiali, progetti, prodotti, processi, sistemi o servizi nuovi o migliorati;</w:t>
            </w:r>
          </w:p>
          <w:p w:rsidR="00680245" w:rsidRPr="00492518" w:rsidRDefault="00680245" w:rsidP="00D73E98">
            <w:pPr>
              <w:pStyle w:val="Commentiriquadro"/>
              <w:ind w:left="176" w:hanging="119"/>
            </w:pPr>
            <w:r>
              <w:t xml:space="preserve">- </w:t>
            </w:r>
            <w:r>
              <w:tab/>
              <w:t>i costi per l’applicazione della ricerca di base.</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24.27</w:t>
            </w:r>
          </w:p>
        </w:tc>
        <w:tc>
          <w:tcPr>
            <w:tcW w:w="7071" w:type="dxa"/>
            <w:tcMar>
              <w:left w:w="108" w:type="dxa"/>
            </w:tcMar>
          </w:tcPr>
          <w:p w:rsidR="00680245" w:rsidRDefault="00680245" w:rsidP="00D73E98">
            <w:pPr>
              <w:pStyle w:val="Commentiriquadro"/>
            </w:pPr>
            <w:r>
              <w:t>La voce BI3 “diritti di brevetto industriale e diritti di utilizzazione delle opere dell'ingegno” può comprendere:</w:t>
            </w:r>
          </w:p>
          <w:p w:rsidR="00680245" w:rsidRDefault="00680245" w:rsidP="00D73E98">
            <w:pPr>
              <w:pStyle w:val="Commentiriquadro"/>
              <w:ind w:left="176" w:hanging="119"/>
            </w:pPr>
            <w:r>
              <w:t>-</w:t>
            </w:r>
            <w:r>
              <w:tab/>
              <w:t>i costi sia di produzione interna sia di acquisizione esterna dei diritti di utilizzazione delle opere dell’ingegno;</w:t>
            </w:r>
          </w:p>
          <w:p w:rsidR="00680245" w:rsidRDefault="00680245" w:rsidP="00D73E98">
            <w:pPr>
              <w:pStyle w:val="Commentiriquadro"/>
              <w:ind w:left="176" w:hanging="119"/>
            </w:pPr>
            <w:r>
              <w:t>-</w:t>
            </w:r>
            <w:r>
              <w:tab/>
              <w:t>i costi per l’acquisizione o la produzione di brevetti per modelli di utilità e per modelli e disegni ornamentali;</w:t>
            </w:r>
          </w:p>
          <w:p w:rsidR="00680245" w:rsidRDefault="00680245" w:rsidP="00D73E98">
            <w:pPr>
              <w:pStyle w:val="Commentiriquadro"/>
              <w:ind w:left="176" w:hanging="119"/>
            </w:pPr>
            <w:r>
              <w:t xml:space="preserve">- </w:t>
            </w:r>
            <w:r>
              <w:tab/>
              <w:t>i costi per i diritti in licenza d’uso di brevetti;</w:t>
            </w:r>
          </w:p>
          <w:p w:rsidR="00680245" w:rsidRDefault="00680245" w:rsidP="00D73E98">
            <w:pPr>
              <w:pStyle w:val="Commentiriquadro"/>
              <w:ind w:left="176" w:hanging="119"/>
            </w:pPr>
            <w:r>
              <w:t xml:space="preserve">- </w:t>
            </w:r>
            <w:r>
              <w:tab/>
              <w:t>i costi relativi all’acquisto a titolo di proprietà, a titolo di licenza d'uso del software applicativo sia a tempo determinato che a tempo indeterminato;</w:t>
            </w:r>
          </w:p>
          <w:p w:rsidR="00680245" w:rsidRDefault="00680245" w:rsidP="00D73E98">
            <w:pPr>
              <w:pStyle w:val="Commentiriquadro"/>
              <w:ind w:left="176" w:hanging="119"/>
            </w:pPr>
            <w:r>
              <w:t xml:space="preserve">- </w:t>
            </w:r>
            <w:r>
              <w:tab/>
              <w:t>i costi sostenuti per la produzione ad uso interno di un software applicativo tutelato ai sensi della legge sui diritti d'autore;</w:t>
            </w:r>
          </w:p>
          <w:p w:rsidR="00680245" w:rsidRDefault="00680245" w:rsidP="00D73E98">
            <w:pPr>
              <w:pStyle w:val="Commentiriquadro"/>
              <w:ind w:left="176" w:hanging="119"/>
            </w:pPr>
            <w:r>
              <w:t>-</w:t>
            </w:r>
            <w:r>
              <w:tab/>
              <w:t>i costi di know-how, sia nel caso in cui sono sostenuti per la produzione interna che nel caso di acquisto da terzi, quando è tutelato giuridicamente.</w:t>
            </w:r>
          </w:p>
          <w:p w:rsidR="00680245" w:rsidRPr="00492518" w:rsidRDefault="00680245" w:rsidP="00D73E98">
            <w:pPr>
              <w:pStyle w:val="Commentiriquadro"/>
            </w:pPr>
            <w:r>
              <w:t>I diritti di brevetto industriale e i diritti di utilizzazione delle opere dell'ingegno possono essere trasmessi con licenza d’uso. Sebbene i diritti siano assimilabili dal punto di vista utilizzativo, è evidente che il brevetto implica un concetto di trasferibilità e di proprietà (anche se limitata nel tempo) che la licenza d'uso normalmente non ha. Tuttavia, privilegiando gli aspetti sostanziali e considerando l’utilizzo economico del bene immateriale, è preferibile classificare nella stessa voce BI3 anche le licenze d'uso per brevetti e beni simili.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24.28</w:t>
            </w:r>
          </w:p>
        </w:tc>
        <w:tc>
          <w:tcPr>
            <w:tcW w:w="7071" w:type="dxa"/>
            <w:tcMar>
              <w:left w:w="108" w:type="dxa"/>
            </w:tcMar>
          </w:tcPr>
          <w:p w:rsidR="00680245" w:rsidRDefault="00680245" w:rsidP="00D73E98">
            <w:pPr>
              <w:pStyle w:val="Commentiriquadro"/>
            </w:pPr>
            <w:r>
              <w:t>La voce BI4 “concessioni, licenze, marchi e diritti simili” può comprendere:</w:t>
            </w:r>
          </w:p>
          <w:p w:rsidR="00680245" w:rsidRDefault="00680245" w:rsidP="00D73E98">
            <w:pPr>
              <w:pStyle w:val="Commentiriquadro"/>
              <w:ind w:left="176" w:hanging="119"/>
            </w:pPr>
            <w:r>
              <w:t xml:space="preserve">- </w:t>
            </w:r>
            <w:r>
              <w:tab/>
              <w:t>i costi per l’ottenimento di concessioni su beni di proprietà degli enti concedenti (sfruttamento in esclusiva di beni pubblici quali ad esempio il suolo demaniale);</w:t>
            </w:r>
          </w:p>
          <w:p w:rsidR="00680245" w:rsidRDefault="00680245" w:rsidP="00D73E98">
            <w:pPr>
              <w:pStyle w:val="Commentiriquadro"/>
              <w:ind w:left="176" w:hanging="119"/>
            </w:pPr>
            <w:r>
              <w:t>-</w:t>
            </w:r>
            <w:r>
              <w:tab/>
              <w:t>i costi per l’ottenimento di concessioni per esercizio di attività proprie degli enti concedenti (gestione regolamentata di alcuni servizi pubblici quali ad esempio autostrade, trasporti, parcheggi, ecc.);</w:t>
            </w:r>
          </w:p>
          <w:p w:rsidR="00680245" w:rsidRDefault="00680245" w:rsidP="00D73E98">
            <w:pPr>
              <w:pStyle w:val="Commentiriquadro"/>
              <w:ind w:left="176" w:hanging="119"/>
            </w:pPr>
            <w:r>
              <w:t>-</w:t>
            </w:r>
            <w:r>
              <w:tab/>
              <w:t>i costi per le licenze di commercio al dettaglio;</w:t>
            </w:r>
          </w:p>
          <w:p w:rsidR="00680245" w:rsidRDefault="00680245" w:rsidP="00D73E98">
            <w:pPr>
              <w:pStyle w:val="Commentiriquadro"/>
              <w:ind w:left="176" w:hanging="119"/>
            </w:pPr>
            <w:r>
              <w:t xml:space="preserve">- </w:t>
            </w:r>
            <w:r>
              <w:tab/>
              <w:t>i costi di know-how per la tecnologia non brevettata;</w:t>
            </w:r>
          </w:p>
          <w:p w:rsidR="00680245" w:rsidRPr="00492518" w:rsidRDefault="00680245" w:rsidP="00D73E98">
            <w:pPr>
              <w:pStyle w:val="Commentiriquadro"/>
              <w:ind w:left="176" w:hanging="119"/>
            </w:pPr>
            <w:r>
              <w:t>-</w:t>
            </w:r>
            <w:r>
              <w:tab/>
              <w:t>i costi per l’acquisto, la produzione interna e per i diritti di licenza d’uso dei marchi.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24.29</w:t>
            </w:r>
          </w:p>
        </w:tc>
        <w:tc>
          <w:tcPr>
            <w:tcW w:w="7071" w:type="dxa"/>
            <w:tcMar>
              <w:left w:w="108" w:type="dxa"/>
            </w:tcMar>
          </w:tcPr>
          <w:p w:rsidR="00680245" w:rsidRPr="00492518" w:rsidRDefault="00680245" w:rsidP="00D73E98">
            <w:pPr>
              <w:pStyle w:val="Commentiriquadro"/>
            </w:pPr>
            <w:r>
              <w:t>La voce BI5 “avviamento” comprende l’avviamento che soddisfa le condizioni per l’iscrizione enunciate al paragrafo 55 del Principio.</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24.30</w:t>
            </w:r>
          </w:p>
        </w:tc>
        <w:tc>
          <w:tcPr>
            <w:tcW w:w="7071" w:type="dxa"/>
            <w:tcMar>
              <w:left w:w="108" w:type="dxa"/>
            </w:tcMar>
          </w:tcPr>
          <w:p w:rsidR="00680245" w:rsidRDefault="00680245" w:rsidP="00D73E98">
            <w:pPr>
              <w:pStyle w:val="Commentiriquadro"/>
            </w:pPr>
            <w:r>
              <w:t>Nella voce BI6 “immobilizzazioni in corso e acconti” si possono comprendere:</w:t>
            </w:r>
          </w:p>
          <w:p w:rsidR="00680245" w:rsidRDefault="00680245" w:rsidP="00D73E98">
            <w:pPr>
              <w:pStyle w:val="Commentiriquadro"/>
              <w:ind w:left="176" w:hanging="119"/>
            </w:pPr>
            <w:r>
              <w:t xml:space="preserve">- </w:t>
            </w:r>
            <w:r>
              <w:tab/>
              <w:t>beni immateriali in corso di realizzazione (ad esempio, i costi di realizzazione interna di uno specifico bene immateriale quando diventa ragionevolmente certo l’ottenimento della piena titolarità del diritto);</w:t>
            </w:r>
          </w:p>
          <w:p w:rsidR="00680245" w:rsidRPr="00492518" w:rsidRDefault="00680245" w:rsidP="00D73E98">
            <w:pPr>
              <w:pStyle w:val="Commentiriquadro"/>
              <w:ind w:left="176" w:hanging="119"/>
            </w:pPr>
            <w:r>
              <w:t xml:space="preserve">- </w:t>
            </w:r>
            <w:r>
              <w:tab/>
              <w:t>acconti a fornitori per anticipi riguardanti l’acquisizione di immobilizzazioni immateriali.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24.31</w:t>
            </w:r>
          </w:p>
        </w:tc>
        <w:tc>
          <w:tcPr>
            <w:tcW w:w="7071" w:type="dxa"/>
            <w:tcMar>
              <w:left w:w="108" w:type="dxa"/>
            </w:tcMar>
          </w:tcPr>
          <w:p w:rsidR="00680245" w:rsidRDefault="00680245" w:rsidP="00D73E98">
            <w:pPr>
              <w:pStyle w:val="Commentiriquadro"/>
            </w:pPr>
            <w:r>
              <w:t>Nella voce BI7 “altre” immobilizzazioni immateriali si possono iscrivere eventuali costi capitalizzabili che, per la loro differente natura, non trovano collocazione in altre voci appartenenti alla voce BI.</w:t>
            </w:r>
          </w:p>
          <w:p w:rsidR="00680245" w:rsidRDefault="00680245" w:rsidP="00D73E98">
            <w:pPr>
              <w:pStyle w:val="Commentiriquadro"/>
            </w:pPr>
            <w:r>
              <w:t>A titolo esemplificativo possono essere ricompresi i seguenti costi:</w:t>
            </w:r>
          </w:p>
          <w:p w:rsidR="00680245" w:rsidRDefault="00680245" w:rsidP="00D73E98">
            <w:pPr>
              <w:pStyle w:val="Commentiriquadro"/>
              <w:ind w:left="176" w:hanging="119"/>
            </w:pPr>
            <w:r>
              <w:t xml:space="preserve">- </w:t>
            </w:r>
            <w:r>
              <w:tab/>
              <w:t>il costo corrisposto per acquisire l’usufrutto su azioni (paragrafo A.18 del Principio);</w:t>
            </w:r>
          </w:p>
          <w:p w:rsidR="00680245" w:rsidRDefault="00680245" w:rsidP="00D73E98">
            <w:pPr>
              <w:pStyle w:val="Commentiriquadro"/>
              <w:ind w:left="176" w:hanging="119"/>
            </w:pPr>
            <w:r>
              <w:t>-</w:t>
            </w:r>
            <w:r>
              <w:tab/>
              <w:t>il costo per la realizzazione interna di un software applicativo “non tutelato” (nei limiti previsti dai paragrafi A.19-A.21 del Principio);</w:t>
            </w:r>
          </w:p>
          <w:p w:rsidR="00680245" w:rsidRDefault="00680245" w:rsidP="00D73E98">
            <w:pPr>
              <w:pStyle w:val="Commentiriquadro"/>
              <w:ind w:left="176" w:hanging="119"/>
            </w:pPr>
            <w:r>
              <w:t>-</w:t>
            </w:r>
            <w:r>
              <w:tab/>
              <w:t>i costi sostenuti per migliorie e spese incrementative su beni di terzi (ossia senza una autonoma funzionalità) (paragrafi A.22-A.23 del Principio);</w:t>
            </w:r>
          </w:p>
          <w:p w:rsidR="00680245" w:rsidRPr="00492518" w:rsidRDefault="00680245" w:rsidP="00D73E98">
            <w:pPr>
              <w:pStyle w:val="Commentiriquadro"/>
              <w:ind w:left="176" w:hanging="119"/>
            </w:pPr>
            <w:r>
              <w:t xml:space="preserve">- </w:t>
            </w:r>
            <w:r>
              <w:tab/>
              <w:t>i costi per iltrasferimento e per il riposizionamento di cespiti nei limiti previsti dai paragrafi A.24-A.26 del Principio.</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2)</w:t>
            </w:r>
          </w:p>
        </w:tc>
        <w:tc>
          <w:tcPr>
            <w:tcW w:w="851" w:type="dxa"/>
            <w:tcMar>
              <w:left w:w="108" w:type="dxa"/>
              <w:right w:w="0" w:type="dxa"/>
            </w:tcMar>
          </w:tcPr>
          <w:p w:rsidR="00680245" w:rsidRDefault="00680245" w:rsidP="00D73E98">
            <w:pPr>
              <w:pStyle w:val="PrincCont"/>
              <w:jc w:val="left"/>
              <w:rPr>
                <w:lang w:val="it-IT"/>
              </w:rPr>
            </w:pPr>
            <w:r>
              <w:rPr>
                <w:lang w:val="it-IT"/>
              </w:rPr>
              <w:t>OIC 24.32</w:t>
            </w:r>
          </w:p>
        </w:tc>
        <w:tc>
          <w:tcPr>
            <w:tcW w:w="7071" w:type="dxa"/>
            <w:tcMar>
              <w:left w:w="108" w:type="dxa"/>
            </w:tcMar>
          </w:tcPr>
          <w:p w:rsidR="00680245" w:rsidRDefault="00680245" w:rsidP="00D73E98">
            <w:pPr>
              <w:spacing w:line="240" w:lineRule="exact"/>
              <w:rPr>
                <w:lang w:val="it-IT"/>
              </w:rPr>
            </w:pPr>
            <w:r w:rsidRPr="008F0DAC">
              <w:rPr>
                <w:lang w:val="it-IT"/>
              </w:rPr>
              <w:t>Per ciascuna voce delle immobilizzazioni immateriali è indicato nell’attivo dello stato</w:t>
            </w:r>
            <w:r>
              <w:rPr>
                <w:lang w:val="it-IT"/>
              </w:rPr>
              <w:t xml:space="preserve"> </w:t>
            </w:r>
            <w:r w:rsidRPr="008F0DAC">
              <w:rPr>
                <w:lang w:val="it-IT"/>
              </w:rPr>
              <w:t>patrimoniale il valore al netto degli am</w:t>
            </w:r>
            <w:r>
              <w:rPr>
                <w:lang w:val="it-IT"/>
              </w:rPr>
              <w:t>mortamenti e delle svalutazioni?</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3)</w:t>
            </w:r>
          </w:p>
        </w:tc>
        <w:tc>
          <w:tcPr>
            <w:tcW w:w="851" w:type="dxa"/>
            <w:tcMar>
              <w:left w:w="108" w:type="dxa"/>
              <w:right w:w="0" w:type="dxa"/>
            </w:tcMar>
          </w:tcPr>
          <w:p w:rsidR="00680245" w:rsidRDefault="00680245" w:rsidP="00D73E98">
            <w:pPr>
              <w:pStyle w:val="PrincCont"/>
              <w:jc w:val="left"/>
              <w:rPr>
                <w:lang w:val="it-IT"/>
              </w:rPr>
            </w:pPr>
            <w:r>
              <w:rPr>
                <w:lang w:val="it-IT"/>
              </w:rPr>
              <w:t>OIC 24.33</w:t>
            </w:r>
          </w:p>
        </w:tc>
        <w:tc>
          <w:tcPr>
            <w:tcW w:w="7071" w:type="dxa"/>
            <w:tcMar>
              <w:left w:w="108" w:type="dxa"/>
            </w:tcMar>
          </w:tcPr>
          <w:p w:rsidR="00680245" w:rsidRDefault="00680245" w:rsidP="00D73E98">
            <w:pPr>
              <w:spacing w:line="240" w:lineRule="exact"/>
              <w:rPr>
                <w:lang w:val="it-IT"/>
              </w:rPr>
            </w:pPr>
            <w:r w:rsidRPr="007546EF">
              <w:rPr>
                <w:lang w:val="it-IT"/>
              </w:rPr>
              <w:t>Gli ammortamenti sono iscritti nel conto economico, tra i costi della produzione, nella voce</w:t>
            </w:r>
            <w:r>
              <w:rPr>
                <w:lang w:val="it-IT"/>
              </w:rPr>
              <w:t xml:space="preserve"> </w:t>
            </w:r>
            <w:r w:rsidRPr="007546EF">
              <w:rPr>
                <w:lang w:val="it-IT"/>
              </w:rPr>
              <w:t>B10a) “Ammortamento dell</w:t>
            </w:r>
            <w:r>
              <w:rPr>
                <w:lang w:val="it-IT"/>
              </w:rPr>
              <w:t>e immobilizzazioni immateriali”?</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22747A"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vAlign w:val="center"/>
          </w:tcPr>
          <w:p w:rsidR="00680245" w:rsidRPr="003D61A0" w:rsidRDefault="00680245" w:rsidP="00D73E98">
            <w:pPr>
              <w:pStyle w:val="Titolo3"/>
              <w:jc w:val="left"/>
              <w:rPr>
                <w:lang w:val="it-IT"/>
              </w:rPr>
            </w:pPr>
            <w:r>
              <w:rPr>
                <w:lang w:val="it-IT"/>
              </w:rPr>
              <w:t>Bilancio in forma abbreviata</w:t>
            </w:r>
          </w:p>
        </w:tc>
        <w:tc>
          <w:tcPr>
            <w:tcW w:w="575" w:type="dxa"/>
            <w:tcMar>
              <w:left w:w="85" w:type="dxa"/>
              <w:right w:w="85" w:type="dxa"/>
            </w:tcMar>
            <w:vAlign w:val="center"/>
          </w:tcPr>
          <w:p w:rsidR="00680245" w:rsidRPr="00492518" w:rsidRDefault="00680245" w:rsidP="00D73E98">
            <w:pPr>
              <w:jc w:val="center"/>
              <w:rPr>
                <w:lang w:val="it-IT"/>
              </w:rPr>
            </w:pPr>
          </w:p>
        </w:tc>
        <w:tc>
          <w:tcPr>
            <w:tcW w:w="573" w:type="dxa"/>
            <w:tcMar>
              <w:left w:w="108" w:type="dxa"/>
            </w:tcMar>
            <w:vAlign w:val="center"/>
          </w:tcPr>
          <w:p w:rsidR="00680245" w:rsidRPr="00492518" w:rsidRDefault="00680245" w:rsidP="00D73E98">
            <w:pPr>
              <w:jc w:val="center"/>
              <w:rPr>
                <w:lang w:val="it-IT"/>
              </w:rPr>
            </w:pPr>
          </w:p>
        </w:tc>
        <w:tc>
          <w:tcPr>
            <w:tcW w:w="570" w:type="dxa"/>
            <w:tcMar>
              <w:left w:w="108" w:type="dxa"/>
            </w:tcMar>
            <w:vAlign w:val="center"/>
          </w:tcPr>
          <w:p w:rsidR="00680245" w:rsidRPr="00492518" w:rsidRDefault="00680245" w:rsidP="00D73E98">
            <w:pPr>
              <w:jc w:val="center"/>
              <w:rPr>
                <w:lang w:val="it-IT"/>
              </w:rPr>
            </w:pPr>
          </w:p>
        </w:tc>
      </w:tr>
      <w:tr w:rsidR="00680245" w:rsidRPr="00CC242B" w:rsidTr="00D73E98">
        <w:trPr>
          <w:cantSplit/>
          <w:trHeight w:val="340"/>
        </w:trPr>
        <w:tc>
          <w:tcPr>
            <w:tcW w:w="680" w:type="dxa"/>
          </w:tcPr>
          <w:p w:rsidR="00680245" w:rsidRPr="00DD3041" w:rsidRDefault="00680245" w:rsidP="00D73E98">
            <w:pPr>
              <w:jc w:val="center"/>
              <w:rPr>
                <w:b/>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24.35</w:t>
            </w:r>
          </w:p>
        </w:tc>
        <w:tc>
          <w:tcPr>
            <w:tcW w:w="7071" w:type="dxa"/>
            <w:tcMar>
              <w:left w:w="108" w:type="dxa"/>
            </w:tcMar>
          </w:tcPr>
          <w:p w:rsidR="00680245" w:rsidRPr="00492518" w:rsidRDefault="00680245" w:rsidP="00D73E98">
            <w:pPr>
              <w:pStyle w:val="Commentiriquadro"/>
            </w:pPr>
            <w:r>
              <w:t>Ai sensi dell’articolo 2435-bis del codice civile, nel bilancio in forma abbreviata, “lo stato patrimoniale comprende solo le voci contrassegnate nell’art. 2424 con lettere maiuscole e con numeri romani”. Inoltre, nel conto economico del bilancio in forma abbreviata le seguenti voci previste dall’art. 2425 del codice civile possono essere tra loro raggruppate: voci B10(a), B10(b) e B10(c).</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F01072"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Default="00680245" w:rsidP="00D73E98">
            <w:pPr>
              <w:pStyle w:val="Titolo2"/>
              <w:rPr>
                <w:lang w:val="it-IT"/>
              </w:rPr>
            </w:pPr>
            <w:r>
              <w:rPr>
                <w:lang w:val="it-IT"/>
              </w:rPr>
              <w:t>Rilevazione iniziale</w:t>
            </w:r>
          </w:p>
        </w:tc>
        <w:tc>
          <w:tcPr>
            <w:tcW w:w="575" w:type="dxa"/>
            <w:tcMar>
              <w:left w:w="85" w:type="dxa"/>
              <w:right w:w="85" w:type="dxa"/>
            </w:tcMar>
            <w:vAlign w:val="center"/>
          </w:tcPr>
          <w:p w:rsidR="00680245" w:rsidRPr="00492518" w:rsidRDefault="00680245" w:rsidP="00D73E98">
            <w:pPr>
              <w:jc w:val="center"/>
              <w:rPr>
                <w:lang w:val="it-IT"/>
              </w:rPr>
            </w:pPr>
          </w:p>
        </w:tc>
        <w:tc>
          <w:tcPr>
            <w:tcW w:w="573" w:type="dxa"/>
            <w:tcMar>
              <w:left w:w="108" w:type="dxa"/>
            </w:tcMar>
            <w:vAlign w:val="center"/>
          </w:tcPr>
          <w:p w:rsidR="00680245" w:rsidRPr="00492518" w:rsidRDefault="00680245" w:rsidP="00D73E98">
            <w:pPr>
              <w:jc w:val="center"/>
              <w:rPr>
                <w:lang w:val="it-IT"/>
              </w:rPr>
            </w:pPr>
          </w:p>
        </w:tc>
        <w:tc>
          <w:tcPr>
            <w:tcW w:w="570" w:type="dxa"/>
            <w:tcMar>
              <w:left w:w="108" w:type="dxa"/>
            </w:tcMar>
            <w:vAlign w:val="center"/>
          </w:tcPr>
          <w:p w:rsidR="00680245" w:rsidRPr="00492518" w:rsidRDefault="00680245" w:rsidP="00D73E98">
            <w:pPr>
              <w:jc w:val="center"/>
              <w:rPr>
                <w:lang w:val="it-IT"/>
              </w:rPr>
            </w:pPr>
          </w:p>
        </w:tc>
      </w:tr>
      <w:tr w:rsidR="00680245" w:rsidRPr="00F01072"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99703D" w:rsidRDefault="00680245" w:rsidP="00D73E98">
            <w:pPr>
              <w:pStyle w:val="Titolo3"/>
            </w:pPr>
            <w:r w:rsidRPr="0099703D">
              <w:t>Considerazioni generali</w:t>
            </w:r>
          </w:p>
        </w:tc>
        <w:tc>
          <w:tcPr>
            <w:tcW w:w="575" w:type="dxa"/>
            <w:tcMar>
              <w:left w:w="85" w:type="dxa"/>
              <w:right w:w="85" w:type="dxa"/>
            </w:tcMar>
            <w:vAlign w:val="center"/>
          </w:tcPr>
          <w:p w:rsidR="00680245" w:rsidRPr="00492518" w:rsidRDefault="00680245" w:rsidP="00D73E98">
            <w:pPr>
              <w:jc w:val="center"/>
              <w:rPr>
                <w:lang w:val="it-IT"/>
              </w:rPr>
            </w:pPr>
          </w:p>
        </w:tc>
        <w:tc>
          <w:tcPr>
            <w:tcW w:w="573" w:type="dxa"/>
            <w:tcMar>
              <w:left w:w="108" w:type="dxa"/>
            </w:tcMar>
            <w:vAlign w:val="center"/>
          </w:tcPr>
          <w:p w:rsidR="00680245" w:rsidRPr="00492518" w:rsidRDefault="00680245" w:rsidP="00D73E98">
            <w:pPr>
              <w:jc w:val="center"/>
              <w:rPr>
                <w:lang w:val="it-IT"/>
              </w:rPr>
            </w:pPr>
          </w:p>
        </w:tc>
        <w:tc>
          <w:tcPr>
            <w:tcW w:w="570" w:type="dxa"/>
            <w:tcMar>
              <w:left w:w="108" w:type="dxa"/>
            </w:tcMar>
            <w:vAlign w:val="center"/>
          </w:tcPr>
          <w:p w:rsidR="00680245" w:rsidRPr="00492518" w:rsidRDefault="00680245" w:rsidP="00D73E98">
            <w:pPr>
              <w:jc w:val="center"/>
              <w:rPr>
                <w:lang w:val="it-IT"/>
              </w:rPr>
            </w:pP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4)</w:t>
            </w:r>
          </w:p>
        </w:tc>
        <w:tc>
          <w:tcPr>
            <w:tcW w:w="851" w:type="dxa"/>
            <w:tcMar>
              <w:left w:w="108" w:type="dxa"/>
              <w:right w:w="0" w:type="dxa"/>
            </w:tcMar>
          </w:tcPr>
          <w:p w:rsidR="00680245" w:rsidRPr="00B34553" w:rsidRDefault="00680245" w:rsidP="00D73E98">
            <w:pPr>
              <w:pStyle w:val="PrincCont"/>
              <w:jc w:val="left"/>
            </w:pPr>
            <w:r w:rsidRPr="00B34553">
              <w:t>Art. 2426, c.1, n.1, CC</w:t>
            </w:r>
            <w:r>
              <w:t xml:space="preserve">      OIC 24.36</w:t>
            </w:r>
          </w:p>
        </w:tc>
        <w:tc>
          <w:tcPr>
            <w:tcW w:w="7071" w:type="dxa"/>
            <w:tcMar>
              <w:left w:w="108" w:type="dxa"/>
            </w:tcMar>
            <w:vAlign w:val="center"/>
          </w:tcPr>
          <w:p w:rsidR="00680245" w:rsidRPr="009D08A3" w:rsidRDefault="00680245" w:rsidP="00D73E98">
            <w:pPr>
              <w:spacing w:line="230" w:lineRule="exact"/>
              <w:rPr>
                <w:lang w:val="it-IT"/>
              </w:rPr>
            </w:pPr>
            <w:r>
              <w:rPr>
                <w:lang w:val="it-IT"/>
              </w:rPr>
              <w:t>L</w:t>
            </w:r>
            <w:r w:rsidRPr="00F809D8">
              <w:rPr>
                <w:lang w:val="it-IT"/>
              </w:rPr>
              <w:t>e immobilizzazioni sono iscritte al costo di acquisto o di produzione</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3F2760">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3F2760">
              <w:rPr>
                <w:lang w:val="it-IT"/>
              </w:rP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3F2760">
              <w:rPr>
                <w:lang w:val="it-IT"/>
              </w:rPr>
              <w:instrText xml:space="preserve"> FORMCHECKBOX</w:instrText>
            </w:r>
            <w:r>
              <w:instrText xml:space="preserve"> </w:instrText>
            </w:r>
            <w:r w:rsidR="00CA1681">
              <w:fldChar w:fldCharType="separate"/>
            </w:r>
            <w:r>
              <w:fldChar w:fldCharType="end"/>
            </w: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5)</w:t>
            </w:r>
          </w:p>
        </w:tc>
        <w:tc>
          <w:tcPr>
            <w:tcW w:w="851" w:type="dxa"/>
            <w:tcMar>
              <w:left w:w="108" w:type="dxa"/>
              <w:right w:w="0" w:type="dxa"/>
            </w:tcMar>
          </w:tcPr>
          <w:p w:rsidR="00680245" w:rsidRPr="00B34553" w:rsidRDefault="00680245" w:rsidP="00D73E98">
            <w:pPr>
              <w:pStyle w:val="PrincCont"/>
              <w:jc w:val="left"/>
            </w:pPr>
            <w:r>
              <w:t>OIC 24.37</w:t>
            </w:r>
          </w:p>
        </w:tc>
        <w:tc>
          <w:tcPr>
            <w:tcW w:w="7071" w:type="dxa"/>
            <w:tcMar>
              <w:left w:w="108" w:type="dxa"/>
            </w:tcMar>
          </w:tcPr>
          <w:p w:rsidR="00680245" w:rsidRPr="009D08A3" w:rsidRDefault="00680245" w:rsidP="00D73E98">
            <w:pPr>
              <w:spacing w:line="224" w:lineRule="exact"/>
              <w:rPr>
                <w:lang w:val="it-IT"/>
              </w:rPr>
            </w:pPr>
            <w:r w:rsidRPr="001C38C4">
              <w:rPr>
                <w:lang w:val="it-IT"/>
              </w:rPr>
              <w:t>Nel caso in cui il pagamento sia differito rispetto alle normali condizioni di mercato, per</w:t>
            </w:r>
            <w:r>
              <w:rPr>
                <w:lang w:val="it-IT"/>
              </w:rPr>
              <w:t xml:space="preserve"> </w:t>
            </w:r>
            <w:r w:rsidRPr="001C38C4">
              <w:rPr>
                <w:lang w:val="it-IT"/>
              </w:rPr>
              <w:t>operazioni similari o equiparabili, le immobilizzazioni immateriali sono iscritte in bilancio al</w:t>
            </w:r>
            <w:r>
              <w:rPr>
                <w:lang w:val="it-IT"/>
              </w:rPr>
              <w:t xml:space="preserve"> </w:t>
            </w:r>
            <w:r w:rsidRPr="001C38C4">
              <w:rPr>
                <w:lang w:val="it-IT"/>
              </w:rPr>
              <w:t>valore corrispondente al debito determinato ai sensi dell’OIC 19 “Debiti”</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6)</w:t>
            </w:r>
          </w:p>
        </w:tc>
        <w:tc>
          <w:tcPr>
            <w:tcW w:w="851" w:type="dxa"/>
            <w:tcMar>
              <w:left w:w="108" w:type="dxa"/>
              <w:right w:w="0" w:type="dxa"/>
            </w:tcMar>
          </w:tcPr>
          <w:p w:rsidR="00680245" w:rsidRPr="00B34553" w:rsidRDefault="00680245" w:rsidP="00D73E98">
            <w:pPr>
              <w:pStyle w:val="PrincCont"/>
              <w:jc w:val="left"/>
            </w:pPr>
            <w:r w:rsidRPr="00B34553">
              <w:t>O</w:t>
            </w:r>
            <w:r>
              <w:t>IC 24.38</w:t>
            </w:r>
          </w:p>
        </w:tc>
        <w:tc>
          <w:tcPr>
            <w:tcW w:w="7071" w:type="dxa"/>
            <w:tcMar>
              <w:left w:w="108" w:type="dxa"/>
            </w:tcMar>
          </w:tcPr>
          <w:p w:rsidR="00680245" w:rsidRPr="009D08A3" w:rsidRDefault="00680245" w:rsidP="00D73E98">
            <w:pPr>
              <w:spacing w:line="224" w:lineRule="exact"/>
              <w:rPr>
                <w:lang w:val="it-IT"/>
              </w:rPr>
            </w:pPr>
            <w:r>
              <w:rPr>
                <w:lang w:val="it-IT"/>
              </w:rPr>
              <w:t xml:space="preserve">E’ stato rispettato il divieto di </w:t>
            </w:r>
            <w:r w:rsidRPr="001C38C4">
              <w:rPr>
                <w:lang w:val="it-IT"/>
              </w:rPr>
              <w:t>capitalizza</w:t>
            </w:r>
            <w:r>
              <w:rPr>
                <w:lang w:val="it-IT"/>
              </w:rPr>
              <w:t xml:space="preserve">re </w:t>
            </w:r>
            <w:r w:rsidRPr="001C38C4">
              <w:rPr>
                <w:lang w:val="it-IT"/>
              </w:rPr>
              <w:t xml:space="preserve">nell'attivo dello stato patrimoniale </w:t>
            </w:r>
            <w:r>
              <w:rPr>
                <w:lang w:val="it-IT"/>
              </w:rPr>
              <w:t>i</w:t>
            </w:r>
            <w:r w:rsidRPr="001C38C4">
              <w:rPr>
                <w:lang w:val="it-IT"/>
              </w:rPr>
              <w:t xml:space="preserve"> costi iscritti in precedenti esercizi nel conto economico, in conseguenza di condizioni che non sussistevano all’epoca e</w:t>
            </w:r>
            <w:r>
              <w:rPr>
                <w:lang w:val="it-IT"/>
              </w:rPr>
              <w:t xml:space="preserve"> </w:t>
            </w:r>
            <w:r w:rsidRPr="001C38C4">
              <w:rPr>
                <w:lang w:val="it-IT"/>
              </w:rPr>
              <w:t>che pertanto non ne avevano</w:t>
            </w:r>
            <w:r>
              <w:rPr>
                <w:lang w:val="it-IT"/>
              </w:rPr>
              <w:t xml:space="preserve"> consentito la capitalizzazione?</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CC242B" w:rsidTr="00D73E98">
        <w:trPr>
          <w:cantSplit/>
          <w:trHeight w:val="340"/>
        </w:trPr>
        <w:tc>
          <w:tcPr>
            <w:tcW w:w="680" w:type="dxa"/>
          </w:tcPr>
          <w:p w:rsidR="00680245" w:rsidRPr="00DD3041" w:rsidRDefault="00680245" w:rsidP="00D73E98">
            <w:pPr>
              <w:jc w:val="center"/>
              <w:rPr>
                <w:b/>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24.38</w:t>
            </w:r>
          </w:p>
        </w:tc>
        <w:tc>
          <w:tcPr>
            <w:tcW w:w="7071" w:type="dxa"/>
            <w:tcMar>
              <w:left w:w="108" w:type="dxa"/>
            </w:tcMar>
          </w:tcPr>
          <w:p w:rsidR="00680245" w:rsidRPr="00492518" w:rsidRDefault="00680245" w:rsidP="00D73E98">
            <w:pPr>
              <w:pStyle w:val="Commentiriquadro"/>
            </w:pPr>
            <w:r>
              <w:t>In una fattispecie del genere, se la società dovesse continuare anche nell'esercizio successivo a sostenere costi del medesimo tipo per le stesse ragioni (per esempio, perché il progetto avviato non è stato ancora completato), la capitalizzazione dei costi potrà aver inizio solamente a far tempo dal momento in cui tutte le condizioni necessarie per la capitalizzazione sono soddisfatte. Conseguentemente, i costi soggetti a tale trattamento sono solamente quelli sostenuti da quel momento in avanti.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7)</w:t>
            </w:r>
          </w:p>
        </w:tc>
        <w:tc>
          <w:tcPr>
            <w:tcW w:w="851" w:type="dxa"/>
            <w:tcMar>
              <w:left w:w="108" w:type="dxa"/>
              <w:right w:w="0" w:type="dxa"/>
            </w:tcMar>
          </w:tcPr>
          <w:p w:rsidR="00680245" w:rsidRPr="00B34553" w:rsidRDefault="00680245" w:rsidP="00D73E98">
            <w:pPr>
              <w:pStyle w:val="PrincCont"/>
              <w:jc w:val="left"/>
            </w:pPr>
            <w:r w:rsidRPr="00B34553">
              <w:t>O</w:t>
            </w:r>
            <w:r>
              <w:t>IC 24.39</w:t>
            </w:r>
          </w:p>
        </w:tc>
        <w:tc>
          <w:tcPr>
            <w:tcW w:w="7071" w:type="dxa"/>
            <w:tcMar>
              <w:left w:w="108" w:type="dxa"/>
            </w:tcMar>
          </w:tcPr>
          <w:p w:rsidR="00680245" w:rsidRPr="009D08A3" w:rsidRDefault="00680245" w:rsidP="00D73E98">
            <w:pPr>
              <w:spacing w:line="230" w:lineRule="exact"/>
              <w:rPr>
                <w:lang w:val="it-IT"/>
              </w:rPr>
            </w:pPr>
            <w:r>
              <w:rPr>
                <w:lang w:val="it-IT"/>
              </w:rPr>
              <w:t>Qualora la società abbia optato per l</w:t>
            </w:r>
            <w:r w:rsidRPr="009966B2">
              <w:rPr>
                <w:lang w:val="it-IT"/>
              </w:rPr>
              <w:t>a capitalizzazione degli oneri finanziari</w:t>
            </w:r>
            <w:r>
              <w:rPr>
                <w:lang w:val="it-IT"/>
              </w:rPr>
              <w:t xml:space="preserve"> essa </w:t>
            </w:r>
            <w:r w:rsidRPr="009966B2">
              <w:rPr>
                <w:lang w:val="it-IT"/>
              </w:rPr>
              <w:t xml:space="preserve">è </w:t>
            </w:r>
            <w:r>
              <w:rPr>
                <w:lang w:val="it-IT"/>
              </w:rPr>
              <w:t>stata fatta</w:t>
            </w:r>
            <w:r w:rsidRPr="009966B2">
              <w:rPr>
                <w:lang w:val="it-IT"/>
              </w:rPr>
              <w:t xml:space="preserve"> con riferimento al </w:t>
            </w:r>
            <w:r>
              <w:rPr>
                <w:lang w:val="it-IT"/>
              </w:rPr>
              <w:t xml:space="preserve">solo </w:t>
            </w:r>
            <w:r w:rsidRPr="009966B2">
              <w:rPr>
                <w:lang w:val="it-IT"/>
              </w:rPr>
              <w:t>periodo di fabbricazione,</w:t>
            </w:r>
            <w:r>
              <w:rPr>
                <w:lang w:val="it-IT"/>
              </w:rPr>
              <w:t xml:space="preserve"> </w:t>
            </w:r>
            <w:r w:rsidRPr="009966B2">
              <w:rPr>
                <w:lang w:val="it-IT"/>
              </w:rPr>
              <w:t>inteso come il tempo che intercorre tra l’esborso dei fondi al fornitore e il momento in cui il bene</w:t>
            </w:r>
            <w:r>
              <w:rPr>
                <w:lang w:val="it-IT"/>
              </w:rPr>
              <w:t xml:space="preserve"> </w:t>
            </w:r>
            <w:r w:rsidRPr="009966B2">
              <w:rPr>
                <w:lang w:val="it-IT"/>
              </w:rPr>
              <w:t>è pronto per l’uso</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8)</w:t>
            </w:r>
          </w:p>
        </w:tc>
        <w:tc>
          <w:tcPr>
            <w:tcW w:w="851" w:type="dxa"/>
            <w:tcMar>
              <w:left w:w="108" w:type="dxa"/>
              <w:right w:w="0" w:type="dxa"/>
            </w:tcMar>
          </w:tcPr>
          <w:p w:rsidR="00680245" w:rsidRPr="00B34553" w:rsidRDefault="00680245" w:rsidP="00D73E98">
            <w:pPr>
              <w:pStyle w:val="PrincCont"/>
              <w:jc w:val="left"/>
            </w:pPr>
            <w:r w:rsidRPr="00B34553">
              <w:t>O</w:t>
            </w:r>
            <w:r>
              <w:t>IC 24.39</w:t>
            </w:r>
          </w:p>
        </w:tc>
        <w:tc>
          <w:tcPr>
            <w:tcW w:w="7071" w:type="dxa"/>
            <w:tcMar>
              <w:left w:w="108" w:type="dxa"/>
            </w:tcMar>
          </w:tcPr>
          <w:p w:rsidR="00680245" w:rsidRPr="009D08A3" w:rsidRDefault="00680245" w:rsidP="00D73E98">
            <w:pPr>
              <w:spacing w:line="230" w:lineRule="exact"/>
              <w:rPr>
                <w:lang w:val="it-IT"/>
              </w:rPr>
            </w:pPr>
            <w:r>
              <w:rPr>
                <w:lang w:val="it-IT"/>
              </w:rPr>
              <w:t>È stato rispettato i</w:t>
            </w:r>
            <w:r w:rsidRPr="009966B2">
              <w:rPr>
                <w:lang w:val="it-IT"/>
              </w:rPr>
              <w:t>l limite della capitalizzazione degli oneri finanziari rappresentato dal valore</w:t>
            </w:r>
            <w:r>
              <w:rPr>
                <w:lang w:val="it-IT"/>
              </w:rPr>
              <w:t xml:space="preserve"> </w:t>
            </w:r>
            <w:r w:rsidRPr="009966B2">
              <w:rPr>
                <w:lang w:val="it-IT"/>
              </w:rPr>
              <w:t>recuperabile del bene</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9)</w:t>
            </w:r>
          </w:p>
        </w:tc>
        <w:tc>
          <w:tcPr>
            <w:tcW w:w="851" w:type="dxa"/>
            <w:tcMar>
              <w:left w:w="108" w:type="dxa"/>
              <w:right w:w="0" w:type="dxa"/>
            </w:tcMar>
          </w:tcPr>
          <w:p w:rsidR="00680245" w:rsidRPr="00B34553" w:rsidRDefault="00680245" w:rsidP="00D73E98">
            <w:pPr>
              <w:pStyle w:val="PrincCont"/>
              <w:jc w:val="left"/>
            </w:pPr>
            <w:r w:rsidRPr="00B34553">
              <w:t>O</w:t>
            </w:r>
            <w:r>
              <w:t>IC 24.39</w:t>
            </w:r>
          </w:p>
        </w:tc>
        <w:tc>
          <w:tcPr>
            <w:tcW w:w="7071" w:type="dxa"/>
            <w:tcMar>
              <w:left w:w="108" w:type="dxa"/>
            </w:tcMar>
          </w:tcPr>
          <w:p w:rsidR="00680245" w:rsidRPr="009D08A3" w:rsidRDefault="00680245" w:rsidP="00D73E98">
            <w:pPr>
              <w:spacing w:line="230" w:lineRule="exact"/>
              <w:rPr>
                <w:lang w:val="it-IT"/>
              </w:rPr>
            </w:pPr>
            <w:r w:rsidRPr="009966B2">
              <w:rPr>
                <w:lang w:val="it-IT"/>
              </w:rPr>
              <w:t>I</w:t>
            </w:r>
            <w:r>
              <w:rPr>
                <w:lang w:val="it-IT"/>
              </w:rPr>
              <w:t xml:space="preserve">l </w:t>
            </w:r>
            <w:r w:rsidRPr="009966B2">
              <w:rPr>
                <w:lang w:val="it-IT"/>
              </w:rPr>
              <w:t>passaggio dalla capitalizzazione degli oneri finanziari all’imputazione direttamente a conto</w:t>
            </w:r>
            <w:r>
              <w:rPr>
                <w:lang w:val="it-IT"/>
              </w:rPr>
              <w:t xml:space="preserve"> </w:t>
            </w:r>
            <w:r w:rsidRPr="009966B2">
              <w:rPr>
                <w:lang w:val="it-IT"/>
              </w:rPr>
              <w:t xml:space="preserve">economico di tali oneri (o viceversa) </w:t>
            </w:r>
            <w:r>
              <w:rPr>
                <w:lang w:val="it-IT"/>
              </w:rPr>
              <w:t>è stato considerato</w:t>
            </w:r>
            <w:r w:rsidRPr="009966B2">
              <w:rPr>
                <w:lang w:val="it-IT"/>
              </w:rPr>
              <w:t xml:space="preserve"> un cambiamento di principio contabile (cfr. OIC</w:t>
            </w:r>
            <w:r>
              <w:rPr>
                <w:lang w:val="it-IT"/>
              </w:rPr>
              <w:t xml:space="preserve"> </w:t>
            </w:r>
            <w:r w:rsidRPr="009966B2">
              <w:rPr>
                <w:lang w:val="it-IT"/>
              </w:rPr>
              <w:t>29 “Cambiamenti di principi contabili, cambiamenti di stime contabili, correzione di errori, fatti</w:t>
            </w:r>
            <w:r>
              <w:rPr>
                <w:lang w:val="it-IT"/>
              </w:rPr>
              <w:t xml:space="preserve"> </w:t>
            </w:r>
            <w:r w:rsidRPr="009966B2">
              <w:rPr>
                <w:lang w:val="it-IT"/>
              </w:rPr>
              <w:t>intervenuti do</w:t>
            </w:r>
            <w:r>
              <w:rPr>
                <w:lang w:val="it-IT"/>
              </w:rPr>
              <w:t>po la chiusura dell’esercizio”)?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F01072"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99703D" w:rsidRDefault="00680245" w:rsidP="00D73E98">
            <w:pPr>
              <w:pStyle w:val="Titolo2"/>
              <w:rPr>
                <w:i/>
                <w:sz w:val="20"/>
              </w:rPr>
            </w:pPr>
            <w:r w:rsidRPr="0099703D">
              <w:rPr>
                <w:i/>
                <w:sz w:val="20"/>
              </w:rPr>
              <w:t>Oneri pluriennali</w:t>
            </w:r>
          </w:p>
        </w:tc>
        <w:tc>
          <w:tcPr>
            <w:tcW w:w="575" w:type="dxa"/>
            <w:tcMar>
              <w:left w:w="85" w:type="dxa"/>
              <w:right w:w="85" w:type="dxa"/>
            </w:tcMar>
            <w:vAlign w:val="center"/>
          </w:tcPr>
          <w:p w:rsidR="00680245" w:rsidRPr="009D08A3" w:rsidRDefault="00680245" w:rsidP="00D73E98">
            <w:pPr>
              <w:jc w:val="center"/>
              <w:rPr>
                <w:lang w:val="it-IT"/>
              </w:rPr>
            </w:pPr>
          </w:p>
        </w:tc>
        <w:tc>
          <w:tcPr>
            <w:tcW w:w="573" w:type="dxa"/>
            <w:tcMar>
              <w:left w:w="108" w:type="dxa"/>
            </w:tcMar>
            <w:vAlign w:val="center"/>
          </w:tcPr>
          <w:p w:rsidR="00680245" w:rsidRPr="009D08A3" w:rsidRDefault="00680245" w:rsidP="00D73E98">
            <w:pPr>
              <w:jc w:val="center"/>
              <w:rPr>
                <w:lang w:val="it-IT"/>
              </w:rPr>
            </w:pPr>
          </w:p>
        </w:tc>
        <w:tc>
          <w:tcPr>
            <w:tcW w:w="570" w:type="dxa"/>
            <w:tcMar>
              <w:left w:w="108" w:type="dxa"/>
            </w:tcMar>
            <w:vAlign w:val="center"/>
          </w:tcPr>
          <w:p w:rsidR="00680245" w:rsidRPr="009D08A3" w:rsidRDefault="00680245" w:rsidP="00D73E98">
            <w:pPr>
              <w:jc w:val="center"/>
              <w:rPr>
                <w:lang w:val="it-IT"/>
              </w:rPr>
            </w:pPr>
          </w:p>
        </w:tc>
      </w:tr>
      <w:tr w:rsidR="00680245" w:rsidRPr="00CC242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24.40</w:t>
            </w:r>
          </w:p>
        </w:tc>
        <w:tc>
          <w:tcPr>
            <w:tcW w:w="7071" w:type="dxa"/>
            <w:tcMar>
              <w:left w:w="108" w:type="dxa"/>
            </w:tcMar>
          </w:tcPr>
          <w:p w:rsidR="00680245" w:rsidRDefault="00680245" w:rsidP="00D73E98">
            <w:pPr>
              <w:pStyle w:val="Commentiriquadro"/>
            </w:pPr>
            <w:r>
              <w:t>Gli oneri pluriennali possono essere iscritti nell’attivo dello stato patrimoniale solo se:</w:t>
            </w:r>
          </w:p>
          <w:p w:rsidR="00680245" w:rsidRDefault="00680245" w:rsidP="00D73E98">
            <w:pPr>
              <w:pStyle w:val="Commentiriquadro"/>
              <w:ind w:left="176" w:hanging="119"/>
            </w:pPr>
            <w:r>
              <w:t>-</w:t>
            </w:r>
            <w:r>
              <w:tab/>
              <w:t>è dimostrata la loro utilità futura</w:t>
            </w:r>
          </w:p>
          <w:p w:rsidR="00680245" w:rsidRDefault="00680245" w:rsidP="00D73E98">
            <w:pPr>
              <w:pStyle w:val="Commentiriquadro"/>
              <w:ind w:left="176" w:hanging="119"/>
            </w:pPr>
            <w:r>
              <w:t>-</w:t>
            </w:r>
            <w:r>
              <w:tab/>
              <w:t>esiste una correlazione oggettiva con i relativi benefici futuri di cui godrà la società</w:t>
            </w:r>
          </w:p>
          <w:p w:rsidR="00680245" w:rsidRDefault="00680245" w:rsidP="00D73E98">
            <w:pPr>
              <w:pStyle w:val="Commentiriquadro"/>
              <w:ind w:left="176" w:hanging="119"/>
            </w:pPr>
            <w:r>
              <w:t>-</w:t>
            </w:r>
            <w:r>
              <w:tab/>
              <w:t>è stimabile con ragionevole certezza la loro recuperabilità. Essendo la recuperabilità caratterizzata da alta aleatorietà, essa va stimata dando prevalenza al principio della prudenza.</w:t>
            </w:r>
          </w:p>
          <w:p w:rsidR="00680245" w:rsidRPr="00ED2C18" w:rsidRDefault="00680245" w:rsidP="00D73E98">
            <w:pPr>
              <w:pStyle w:val="Commentiriquadro"/>
              <w:spacing w:line="190" w:lineRule="exact"/>
            </w:pPr>
            <w:r>
              <w:t>L’utilità pluriennale è giustificabile solo in seguito al verificarsi di determinate condizioni gestionali, produttive, di mercato che al momento della rilevazione iniziale dei costi devono risultare da un piano economico della società. I costi di impianto e di ampliamento ed i costi, sviluppo sono iscrivibili solo con il consenso del Collegio sindacale, ove esistente.</w:t>
            </w:r>
          </w:p>
        </w:tc>
        <w:tc>
          <w:tcPr>
            <w:tcW w:w="575" w:type="dxa"/>
            <w:tcMar>
              <w:left w:w="85" w:type="dxa"/>
              <w:right w:w="85" w:type="dxa"/>
            </w:tcMar>
            <w:vAlign w:val="center"/>
          </w:tcPr>
          <w:p w:rsidR="00680245" w:rsidRPr="00FD23BF" w:rsidRDefault="00680245" w:rsidP="00D73E98">
            <w:pPr>
              <w:jc w:val="center"/>
              <w:rPr>
                <w:lang w:val="it-IT"/>
              </w:rPr>
            </w:pPr>
          </w:p>
        </w:tc>
        <w:tc>
          <w:tcPr>
            <w:tcW w:w="573" w:type="dxa"/>
            <w:tcMar>
              <w:left w:w="108" w:type="dxa"/>
            </w:tcMar>
            <w:vAlign w:val="center"/>
          </w:tcPr>
          <w:p w:rsidR="00680245" w:rsidRPr="00FD23BF" w:rsidRDefault="00680245" w:rsidP="00D73E98">
            <w:pPr>
              <w:jc w:val="center"/>
              <w:rPr>
                <w:lang w:val="it-IT"/>
              </w:rPr>
            </w:pPr>
          </w:p>
        </w:tc>
        <w:tc>
          <w:tcPr>
            <w:tcW w:w="570" w:type="dxa"/>
            <w:tcMar>
              <w:left w:w="108" w:type="dxa"/>
            </w:tcMar>
            <w:vAlign w:val="center"/>
          </w:tcPr>
          <w:p w:rsidR="00680245" w:rsidRPr="00FD23BF" w:rsidRDefault="00680245" w:rsidP="00D73E98">
            <w:pPr>
              <w:jc w:val="center"/>
              <w:rPr>
                <w:lang w:val="it-IT"/>
              </w:rPr>
            </w:pPr>
          </w:p>
        </w:tc>
      </w:tr>
      <w:tr w:rsidR="00680245" w:rsidRPr="00CC242B" w:rsidTr="00D73E98">
        <w:trPr>
          <w:cantSplit/>
          <w:trHeight w:val="20"/>
        </w:trPr>
        <w:tc>
          <w:tcPr>
            <w:tcW w:w="680" w:type="dxa"/>
          </w:tcPr>
          <w:p w:rsidR="00680245" w:rsidRPr="00CD0FB5" w:rsidRDefault="00680245" w:rsidP="00D73E98">
            <w:pPr>
              <w:tabs>
                <w:tab w:val="left" w:pos="146"/>
              </w:tabs>
              <w:jc w:val="center"/>
              <w:rPr>
                <w:lang w:val="it-IT"/>
              </w:rPr>
            </w:pPr>
          </w:p>
        </w:tc>
        <w:tc>
          <w:tcPr>
            <w:tcW w:w="851" w:type="dxa"/>
            <w:tcMar>
              <w:left w:w="108" w:type="dxa"/>
              <w:right w:w="0" w:type="dxa"/>
            </w:tcMar>
          </w:tcPr>
          <w:p w:rsidR="00680245" w:rsidRPr="00CD0FB5" w:rsidRDefault="00680245" w:rsidP="00D73E98">
            <w:pPr>
              <w:pStyle w:val="PrincCont"/>
              <w:jc w:val="left"/>
              <w:rPr>
                <w:lang w:val="it-IT"/>
              </w:rPr>
            </w:pPr>
          </w:p>
        </w:tc>
        <w:tc>
          <w:tcPr>
            <w:tcW w:w="7071" w:type="dxa"/>
            <w:tcMar>
              <w:left w:w="108" w:type="dxa"/>
            </w:tcMar>
          </w:tcPr>
          <w:p w:rsidR="00680245" w:rsidRPr="00CD0FB5" w:rsidRDefault="00680245" w:rsidP="00D73E98">
            <w:pPr>
              <w:pStyle w:val="Titolo2"/>
              <w:spacing w:line="220" w:lineRule="exact"/>
              <w:rPr>
                <w:b w:val="0"/>
                <w:i/>
                <w:sz w:val="20"/>
                <w:lang w:val="it-IT"/>
              </w:rPr>
            </w:pPr>
            <w:r w:rsidRPr="00CD0FB5">
              <w:rPr>
                <w:b w:val="0"/>
                <w:i/>
                <w:sz w:val="20"/>
                <w:lang w:val="it-IT"/>
              </w:rPr>
              <w:t>Costi di impianto e di ampliamento</w:t>
            </w:r>
          </w:p>
        </w:tc>
        <w:tc>
          <w:tcPr>
            <w:tcW w:w="575" w:type="dxa"/>
            <w:tcMar>
              <w:left w:w="85" w:type="dxa"/>
              <w:right w:w="85" w:type="dxa"/>
            </w:tcMar>
            <w:vAlign w:val="center"/>
          </w:tcPr>
          <w:p w:rsidR="00680245" w:rsidRPr="00CD0FB5" w:rsidRDefault="00680245" w:rsidP="00D73E98">
            <w:pPr>
              <w:jc w:val="center"/>
              <w:rPr>
                <w:lang w:val="it-IT"/>
              </w:rPr>
            </w:pPr>
          </w:p>
        </w:tc>
        <w:tc>
          <w:tcPr>
            <w:tcW w:w="573" w:type="dxa"/>
            <w:tcMar>
              <w:left w:w="108" w:type="dxa"/>
            </w:tcMar>
            <w:vAlign w:val="center"/>
          </w:tcPr>
          <w:p w:rsidR="00680245" w:rsidRPr="00CD0FB5" w:rsidRDefault="00680245" w:rsidP="00D73E98">
            <w:pPr>
              <w:jc w:val="center"/>
              <w:rPr>
                <w:lang w:val="it-IT"/>
              </w:rPr>
            </w:pPr>
          </w:p>
        </w:tc>
        <w:tc>
          <w:tcPr>
            <w:tcW w:w="570" w:type="dxa"/>
            <w:tcMar>
              <w:left w:w="108" w:type="dxa"/>
            </w:tcMar>
            <w:vAlign w:val="center"/>
          </w:tcPr>
          <w:p w:rsidR="00680245" w:rsidRPr="00CD0FB5" w:rsidRDefault="00680245" w:rsidP="00D73E98">
            <w:pPr>
              <w:jc w:val="center"/>
              <w:rPr>
                <w:lang w:val="it-IT"/>
              </w:rPr>
            </w:pPr>
          </w:p>
        </w:tc>
      </w:tr>
      <w:tr w:rsidR="00680245" w:rsidRPr="00CC242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24.41</w:t>
            </w:r>
          </w:p>
        </w:tc>
        <w:tc>
          <w:tcPr>
            <w:tcW w:w="7071" w:type="dxa"/>
            <w:tcMar>
              <w:left w:w="108" w:type="dxa"/>
            </w:tcMar>
          </w:tcPr>
          <w:p w:rsidR="00680245" w:rsidRPr="00F0679B" w:rsidRDefault="00680245" w:rsidP="00D73E98">
            <w:pPr>
              <w:pStyle w:val="Commentiriquadro"/>
              <w:spacing w:line="190" w:lineRule="exact"/>
            </w:pPr>
            <w:r>
              <w:t>I costi di impianto e di ampliamento sono i costi che si sostengono in modo non ricorrente in alcuni caratteristici momenti del ciclo di vita della società, quali la fase pre-operativa (cosiddetti costi di start-up) o quella di accrescimento della capacità operativa.</w:t>
            </w:r>
          </w:p>
        </w:tc>
        <w:tc>
          <w:tcPr>
            <w:tcW w:w="575" w:type="dxa"/>
            <w:tcMar>
              <w:left w:w="85" w:type="dxa"/>
              <w:right w:w="85" w:type="dxa"/>
            </w:tcMar>
            <w:vAlign w:val="center"/>
          </w:tcPr>
          <w:p w:rsidR="00680245" w:rsidRPr="00F0679B" w:rsidRDefault="00680245" w:rsidP="00D73E98">
            <w:pPr>
              <w:jc w:val="center"/>
              <w:rPr>
                <w:lang w:val="it-IT"/>
              </w:rPr>
            </w:pPr>
          </w:p>
        </w:tc>
        <w:tc>
          <w:tcPr>
            <w:tcW w:w="573" w:type="dxa"/>
            <w:tcMar>
              <w:left w:w="108" w:type="dxa"/>
            </w:tcMar>
            <w:vAlign w:val="center"/>
          </w:tcPr>
          <w:p w:rsidR="00680245" w:rsidRPr="00F0679B" w:rsidRDefault="00680245" w:rsidP="00D73E98">
            <w:pPr>
              <w:jc w:val="center"/>
              <w:rPr>
                <w:lang w:val="it-IT"/>
              </w:rPr>
            </w:pPr>
          </w:p>
        </w:tc>
        <w:tc>
          <w:tcPr>
            <w:tcW w:w="570" w:type="dxa"/>
            <w:tcMar>
              <w:left w:w="108" w:type="dxa"/>
            </w:tcMar>
            <w:vAlign w:val="center"/>
          </w:tcPr>
          <w:p w:rsidR="00680245" w:rsidRPr="00F0679B" w:rsidRDefault="00680245" w:rsidP="00D73E98">
            <w:pPr>
              <w:jc w:val="center"/>
              <w:rPr>
                <w:lang w:val="it-IT"/>
              </w:rPr>
            </w:pPr>
          </w:p>
        </w:tc>
      </w:tr>
      <w:tr w:rsidR="00680245" w:rsidRPr="00F809D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10)</w:t>
            </w:r>
          </w:p>
        </w:tc>
        <w:tc>
          <w:tcPr>
            <w:tcW w:w="851" w:type="dxa"/>
            <w:tcMar>
              <w:left w:w="108" w:type="dxa"/>
              <w:right w:w="0" w:type="dxa"/>
            </w:tcMar>
          </w:tcPr>
          <w:p w:rsidR="00680245" w:rsidRDefault="00680245" w:rsidP="00D73E98">
            <w:pPr>
              <w:pStyle w:val="PrincCont"/>
              <w:jc w:val="left"/>
              <w:rPr>
                <w:lang w:val="it-IT"/>
              </w:rPr>
            </w:pPr>
            <w:r>
              <w:rPr>
                <w:lang w:val="it-IT"/>
              </w:rPr>
              <w:t>OIC 24.42</w:t>
            </w:r>
          </w:p>
        </w:tc>
        <w:tc>
          <w:tcPr>
            <w:tcW w:w="7071" w:type="dxa"/>
            <w:tcMar>
              <w:left w:w="108" w:type="dxa"/>
            </w:tcMar>
          </w:tcPr>
          <w:p w:rsidR="00680245" w:rsidRPr="009D08A3" w:rsidRDefault="00680245" w:rsidP="00D73E98">
            <w:pPr>
              <w:spacing w:line="230" w:lineRule="exact"/>
              <w:rPr>
                <w:lang w:val="it-IT"/>
              </w:rPr>
            </w:pPr>
            <w:r>
              <w:rPr>
                <w:lang w:val="it-IT"/>
              </w:rPr>
              <w:t>I</w:t>
            </w:r>
            <w:r w:rsidRPr="005713D4">
              <w:rPr>
                <w:lang w:val="it-IT"/>
              </w:rPr>
              <w:t xml:space="preserve"> costi di impianto e di ampliamento </w:t>
            </w:r>
            <w:r>
              <w:rPr>
                <w:lang w:val="it-IT"/>
              </w:rPr>
              <w:t xml:space="preserve">sono rilevati </w:t>
            </w:r>
            <w:r w:rsidRPr="005713D4">
              <w:rPr>
                <w:lang w:val="it-IT"/>
              </w:rPr>
              <w:t>nell’attivo dello stato patrimoniale</w:t>
            </w:r>
            <w:r>
              <w:rPr>
                <w:lang w:val="it-IT"/>
              </w:rPr>
              <w:t xml:space="preserve"> </w:t>
            </w:r>
            <w:r w:rsidRPr="005713D4">
              <w:rPr>
                <w:lang w:val="it-IT"/>
              </w:rPr>
              <w:t>solo se si dimostra la congruenza ed il rapporto causa-effetto tra i costi in questione</w:t>
            </w:r>
            <w:r>
              <w:rPr>
                <w:lang w:val="it-IT"/>
              </w:rPr>
              <w:t xml:space="preserve"> </w:t>
            </w:r>
            <w:r w:rsidRPr="005713D4">
              <w:rPr>
                <w:lang w:val="it-IT"/>
              </w:rPr>
              <w:t>ed il beneficio (futura utilità) che dagli stessi la società si attende, nel rispetto dei requisiti</w:t>
            </w:r>
            <w:r>
              <w:rPr>
                <w:lang w:val="it-IT"/>
              </w:rPr>
              <w:t xml:space="preserve"> </w:t>
            </w:r>
            <w:r w:rsidRPr="005713D4">
              <w:rPr>
                <w:lang w:val="it-IT"/>
              </w:rPr>
              <w:t>specifici previsti al paragrafo 40</w:t>
            </w:r>
            <w:r>
              <w:rPr>
                <w:lang w:val="it-IT"/>
              </w:rPr>
              <w:t xml:space="preserve"> del Principio?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F809D8">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F809D8">
              <w:rPr>
                <w:lang w:val="it-IT"/>
              </w:rP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F809D8">
              <w:rPr>
                <w:lang w:val="it-IT"/>
              </w:rPr>
              <w:instrText xml:space="preserve"> FORMCHECKBOX </w:instrText>
            </w:r>
            <w:r w:rsidR="00CA1681">
              <w:fldChar w:fldCharType="separate"/>
            </w:r>
            <w:r>
              <w:fldChar w:fldCharType="end"/>
            </w:r>
          </w:p>
        </w:tc>
      </w:tr>
      <w:tr w:rsidR="00680245" w:rsidRPr="00CC242B"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24.42</w:t>
            </w:r>
          </w:p>
        </w:tc>
        <w:tc>
          <w:tcPr>
            <w:tcW w:w="7071" w:type="dxa"/>
            <w:tcMar>
              <w:left w:w="108" w:type="dxa"/>
            </w:tcMar>
          </w:tcPr>
          <w:p w:rsidR="00680245" w:rsidRPr="00F0679B" w:rsidRDefault="00680245" w:rsidP="00D73E98">
            <w:pPr>
              <w:pStyle w:val="Commentiriquadro"/>
              <w:spacing w:line="190" w:lineRule="exact"/>
            </w:pPr>
            <w:r>
              <w:t>Ad esempio, i costi per la costituzione di una rete commerciale dovranno trovare correlazione logica nelle aspettative di vendita dei prodotti che a tale rete verranno affidati; la capitalizzazione dei costi inerenti un aumento di capitale sociale dovrà trovare giustificazione nell'atteso miglioramento della situazione finanziaria dell'impresa; i costi relativi alla costituzione della società troveranno ragione di capitalizzazione nella misura in cui le aspettative reddituali di tale nascente società siano positive. La facoltà concessa dalla norma civile di capitalizzare tali costi non è uno strumento per politiche di bilancio finalizzate all'alleggerimento, nel conto economico della società, di costi che potrebbero significativamente ridurre i risultati economici della stessa, né la capitalizzazione di questi costi è l’automatica conseguenza del fatto che gli stessi siano stati sostenuti.</w:t>
            </w:r>
          </w:p>
        </w:tc>
        <w:tc>
          <w:tcPr>
            <w:tcW w:w="575" w:type="dxa"/>
            <w:tcMar>
              <w:left w:w="85" w:type="dxa"/>
              <w:right w:w="85" w:type="dxa"/>
            </w:tcMar>
            <w:vAlign w:val="center"/>
          </w:tcPr>
          <w:p w:rsidR="00680245" w:rsidRPr="00F0679B" w:rsidRDefault="00680245" w:rsidP="00D73E98">
            <w:pPr>
              <w:jc w:val="center"/>
              <w:rPr>
                <w:lang w:val="it-IT"/>
              </w:rPr>
            </w:pPr>
          </w:p>
        </w:tc>
        <w:tc>
          <w:tcPr>
            <w:tcW w:w="573" w:type="dxa"/>
            <w:tcMar>
              <w:left w:w="108" w:type="dxa"/>
            </w:tcMar>
            <w:vAlign w:val="center"/>
          </w:tcPr>
          <w:p w:rsidR="00680245" w:rsidRPr="00F0679B" w:rsidRDefault="00680245" w:rsidP="00D73E98">
            <w:pPr>
              <w:jc w:val="center"/>
              <w:rPr>
                <w:lang w:val="it-IT"/>
              </w:rPr>
            </w:pPr>
          </w:p>
        </w:tc>
        <w:tc>
          <w:tcPr>
            <w:tcW w:w="570" w:type="dxa"/>
            <w:tcMar>
              <w:left w:w="108" w:type="dxa"/>
            </w:tcMar>
            <w:vAlign w:val="center"/>
          </w:tcPr>
          <w:p w:rsidR="00680245" w:rsidRPr="00F0679B" w:rsidRDefault="00680245" w:rsidP="00D73E98">
            <w:pPr>
              <w:jc w:val="center"/>
              <w:rPr>
                <w:lang w:val="it-IT"/>
              </w:rPr>
            </w:pPr>
          </w:p>
        </w:tc>
      </w:tr>
      <w:tr w:rsidR="00680245" w:rsidRPr="00CC242B"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11)</w:t>
            </w:r>
          </w:p>
        </w:tc>
        <w:tc>
          <w:tcPr>
            <w:tcW w:w="851" w:type="dxa"/>
            <w:tcMar>
              <w:left w:w="108" w:type="dxa"/>
              <w:right w:w="0" w:type="dxa"/>
            </w:tcMar>
          </w:tcPr>
          <w:p w:rsidR="00680245" w:rsidRDefault="00680245" w:rsidP="00D73E98">
            <w:pPr>
              <w:pStyle w:val="PrincCont"/>
              <w:jc w:val="left"/>
              <w:rPr>
                <w:lang w:val="it-IT"/>
              </w:rPr>
            </w:pPr>
            <w:r>
              <w:rPr>
                <w:lang w:val="it-IT"/>
              </w:rPr>
              <w:t>OIC 24.43</w:t>
            </w:r>
          </w:p>
        </w:tc>
        <w:tc>
          <w:tcPr>
            <w:tcW w:w="7071" w:type="dxa"/>
            <w:tcMar>
              <w:left w:w="108" w:type="dxa"/>
            </w:tcMar>
          </w:tcPr>
          <w:p w:rsidR="00680245" w:rsidRPr="007D6D25" w:rsidRDefault="00680245" w:rsidP="00D73E98">
            <w:pPr>
              <w:spacing w:line="240" w:lineRule="exact"/>
              <w:rPr>
                <w:lang w:val="it-IT"/>
              </w:rPr>
            </w:pPr>
            <w:r w:rsidRPr="00270CFE">
              <w:rPr>
                <w:lang w:val="it-IT"/>
              </w:rPr>
              <w:t xml:space="preserve">I costi di start-up sono capitalizzati </w:t>
            </w:r>
            <w:r>
              <w:rPr>
                <w:lang w:val="it-IT"/>
              </w:rPr>
              <w:t xml:space="preserve">solo </w:t>
            </w:r>
            <w:r w:rsidRPr="00270CFE">
              <w:rPr>
                <w:lang w:val="it-IT"/>
              </w:rPr>
              <w:t>quando sono rispettate tutte le seguenti condizioni:</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F809D8"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5A6EE3" w:rsidRDefault="00F0515C" w:rsidP="00F0515C">
            <w:pPr>
              <w:pStyle w:val="rientrotrattinook"/>
              <w:numPr>
                <w:ilvl w:val="0"/>
                <w:numId w:val="0"/>
              </w:numPr>
              <w:ind w:left="460" w:hanging="284"/>
            </w:pPr>
            <w:r>
              <w:t>-</w:t>
            </w:r>
            <w:r>
              <w:tab/>
            </w:r>
            <w:r w:rsidR="00680245" w:rsidRPr="005A6EE3">
              <w:t>costi sono direttamente attribuibili alla nuova attività e sono limitati a quelli sostenuti nel periodo antecedente il momento del possibile avvio (con esclusione dei costi generali e amministrativi e quelli derivanti da inefficienze sostenute durante il periodo di start-up)</w:t>
            </w:r>
          </w:p>
        </w:tc>
        <w:tc>
          <w:tcPr>
            <w:tcW w:w="575" w:type="dxa"/>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F809D8">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F809D8">
              <w:rPr>
                <w:lang w:val="it-IT"/>
              </w:rPr>
              <w:instrText xml:space="preserve"> FORMCHECKBOX </w:instrText>
            </w:r>
            <w:r w:rsidR="00CA1681">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F809D8">
              <w:rPr>
                <w:lang w:val="it-IT"/>
              </w:rPr>
              <w:instrText xml:space="preserve"> FORMCHECKBOX </w:instrText>
            </w:r>
            <w:r w:rsidR="00CA1681">
              <w:fldChar w:fldCharType="separate"/>
            </w:r>
            <w:r>
              <w:fldChar w:fldCharType="end"/>
            </w:r>
          </w:p>
        </w:tc>
      </w:tr>
      <w:tr w:rsidR="00680245" w:rsidRPr="00F809D8"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5A6EE3" w:rsidRDefault="00F0515C" w:rsidP="00F0515C">
            <w:pPr>
              <w:pStyle w:val="rientrotrattinook"/>
              <w:numPr>
                <w:ilvl w:val="0"/>
                <w:numId w:val="0"/>
              </w:numPr>
              <w:ind w:left="460" w:hanging="284"/>
            </w:pPr>
            <w:r>
              <w:t>-</w:t>
            </w:r>
            <w:r>
              <w:tab/>
            </w:r>
            <w:r w:rsidR="00680245" w:rsidRPr="005A6EE3">
              <w:t>il principio della recuperabilità dei costi è rispettato, in quanto è ragionevole una prospettiva di reddito?</w:t>
            </w:r>
          </w:p>
        </w:tc>
        <w:tc>
          <w:tcPr>
            <w:tcW w:w="575" w:type="dxa"/>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F809D8">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F809D8">
              <w:rPr>
                <w:lang w:val="it-IT"/>
              </w:rPr>
              <w:instrText xml:space="preserve"> FORMCHECKBOX </w:instrText>
            </w:r>
            <w:r w:rsidR="00CA1681">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F809D8">
              <w:rPr>
                <w:lang w:val="it-IT"/>
              </w:rPr>
              <w:instrText xml:space="preserve"> FORMCHECKBOX </w:instrText>
            </w:r>
            <w:r w:rsidR="00CA1681">
              <w:fldChar w:fldCharType="separate"/>
            </w:r>
            <w:r>
              <w:fldChar w:fldCharType="end"/>
            </w: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12)</w:t>
            </w:r>
          </w:p>
        </w:tc>
        <w:tc>
          <w:tcPr>
            <w:tcW w:w="851" w:type="dxa"/>
            <w:tcMar>
              <w:left w:w="108" w:type="dxa"/>
              <w:right w:w="0" w:type="dxa"/>
            </w:tcMar>
          </w:tcPr>
          <w:p w:rsidR="00680245" w:rsidRDefault="00680245" w:rsidP="00D73E98">
            <w:pPr>
              <w:pStyle w:val="PrincCont"/>
              <w:jc w:val="left"/>
              <w:rPr>
                <w:lang w:val="it-IT"/>
              </w:rPr>
            </w:pPr>
            <w:r>
              <w:rPr>
                <w:lang w:val="it-IT"/>
              </w:rPr>
              <w:t>OIC 24.44</w:t>
            </w:r>
          </w:p>
        </w:tc>
        <w:tc>
          <w:tcPr>
            <w:tcW w:w="7071" w:type="dxa"/>
            <w:tcMar>
              <w:left w:w="108" w:type="dxa"/>
            </w:tcMar>
          </w:tcPr>
          <w:p w:rsidR="00680245" w:rsidRPr="009D08A3" w:rsidRDefault="00680245" w:rsidP="00D73E98">
            <w:pPr>
              <w:spacing w:line="230" w:lineRule="exact"/>
              <w:rPr>
                <w:lang w:val="it-IT"/>
              </w:rPr>
            </w:pPr>
            <w:r w:rsidRPr="00D86EBB">
              <w:rPr>
                <w:lang w:val="it-IT"/>
              </w:rPr>
              <w:t xml:space="preserve">I costi di addestramento e di qualificazione del personale sono capitalizzati soltanto quando assimilabili ai costi di start-up e sostenuti in relazione ad una attività di avviamento di una nuova </w:t>
            </w:r>
            <w:r>
              <w:rPr>
                <w:lang w:val="it-IT"/>
              </w:rPr>
              <w:t>società o di una nuova attività?</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F809D8">
              <w:rPr>
                <w:lang w:val="it-IT"/>
              </w:rPr>
              <w:instrText xml:space="preserve"> F</w:instrText>
            </w:r>
            <w:r>
              <w:instrText xml:space="preserve">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CC242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24.44</w:t>
            </w:r>
          </w:p>
        </w:tc>
        <w:tc>
          <w:tcPr>
            <w:tcW w:w="7071" w:type="dxa"/>
            <w:tcMar>
              <w:left w:w="108" w:type="dxa"/>
            </w:tcMar>
          </w:tcPr>
          <w:p w:rsidR="00680245" w:rsidRPr="00F0679B" w:rsidRDefault="00680245" w:rsidP="00D73E98">
            <w:pPr>
              <w:pStyle w:val="Commentiriquadro"/>
            </w:pPr>
            <w:r w:rsidRPr="00DB46CE">
              <w:t xml:space="preserve">I costi di addestramento e di qualificazione del personale </w:t>
            </w:r>
            <w:r>
              <w:t xml:space="preserve">sono altresì differibili se essi sono direttamente sostenuti in relazione ad un processo di riconversione o ristrutturazione industriale (o commerciale, nel caso si tratti di agenti), purché tale processo si sostanzi in un investimento sugli attuali fattori produttivi e purché comporti un profondo cambiamento nella struttura produttiva (cambiamenti dei prodotti e dei processi produttivi), commerciale (cambiamenti della struttura distributiva) ed amministrativa della società. Tali ristrutturazioni e riconversioni industriali e/o commerciali debbono risultare da un piano approvato dagli amministratori, da cui risulti la capacità prospettica della società di generare flussi di reddito futuri, sufficienti a coprire tutti i costi e le spese, ivi inclusi gli </w:t>
            </w:r>
            <w:r w:rsidRPr="00BB016B">
              <w:t>ammortamenti dei costi capitalizzati.</w:t>
            </w:r>
          </w:p>
        </w:tc>
        <w:tc>
          <w:tcPr>
            <w:tcW w:w="575" w:type="dxa"/>
            <w:tcMar>
              <w:left w:w="85" w:type="dxa"/>
              <w:right w:w="85" w:type="dxa"/>
            </w:tcMar>
            <w:vAlign w:val="center"/>
          </w:tcPr>
          <w:p w:rsidR="00680245" w:rsidRPr="00F0679B" w:rsidRDefault="00680245" w:rsidP="00D73E98">
            <w:pPr>
              <w:jc w:val="center"/>
              <w:rPr>
                <w:lang w:val="it-IT"/>
              </w:rPr>
            </w:pPr>
          </w:p>
        </w:tc>
        <w:tc>
          <w:tcPr>
            <w:tcW w:w="573" w:type="dxa"/>
            <w:tcMar>
              <w:left w:w="108" w:type="dxa"/>
            </w:tcMar>
            <w:vAlign w:val="center"/>
          </w:tcPr>
          <w:p w:rsidR="00680245" w:rsidRPr="00F0679B" w:rsidRDefault="00680245" w:rsidP="00D73E98">
            <w:pPr>
              <w:jc w:val="center"/>
              <w:rPr>
                <w:lang w:val="it-IT"/>
              </w:rPr>
            </w:pPr>
          </w:p>
        </w:tc>
        <w:tc>
          <w:tcPr>
            <w:tcW w:w="570" w:type="dxa"/>
            <w:tcMar>
              <w:left w:w="108" w:type="dxa"/>
            </w:tcMar>
            <w:vAlign w:val="center"/>
          </w:tcPr>
          <w:p w:rsidR="00680245" w:rsidRPr="00F0679B" w:rsidRDefault="00680245" w:rsidP="00D73E98">
            <w:pPr>
              <w:jc w:val="center"/>
              <w:rPr>
                <w:lang w:val="it-IT"/>
              </w:rPr>
            </w:pP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13)</w:t>
            </w:r>
          </w:p>
        </w:tc>
        <w:tc>
          <w:tcPr>
            <w:tcW w:w="851" w:type="dxa"/>
            <w:tcMar>
              <w:left w:w="108" w:type="dxa"/>
              <w:right w:w="0" w:type="dxa"/>
            </w:tcMar>
          </w:tcPr>
          <w:p w:rsidR="00680245" w:rsidRDefault="00680245" w:rsidP="00D73E98">
            <w:pPr>
              <w:pStyle w:val="PrincCont"/>
              <w:jc w:val="left"/>
              <w:rPr>
                <w:lang w:val="it-IT"/>
              </w:rPr>
            </w:pPr>
            <w:r>
              <w:rPr>
                <w:lang w:val="it-IT"/>
              </w:rPr>
              <w:t>OIC 24.45</w:t>
            </w:r>
          </w:p>
        </w:tc>
        <w:tc>
          <w:tcPr>
            <w:tcW w:w="7071" w:type="dxa"/>
            <w:tcMar>
              <w:left w:w="108" w:type="dxa"/>
            </w:tcMar>
          </w:tcPr>
          <w:p w:rsidR="00680245" w:rsidRPr="009D08A3" w:rsidRDefault="00680245" w:rsidP="00D73E98">
            <w:pPr>
              <w:spacing w:line="230" w:lineRule="exact"/>
              <w:rPr>
                <w:lang w:val="it-IT"/>
              </w:rPr>
            </w:pPr>
            <w:r>
              <w:rPr>
                <w:lang w:val="it-IT"/>
              </w:rPr>
              <w:t xml:space="preserve">Si è tenuto conto del fatto che i </w:t>
            </w:r>
            <w:r w:rsidRPr="00DB46CE">
              <w:rPr>
                <w:lang w:val="it-IT"/>
              </w:rPr>
              <w:t>costi straordinari di riduzione del personale (ad esempio, gli incentivi) per favorire l'esodo o la messa in mobilità del personale e dei lavoratori ad esso assimilabili, per rimuovere inefficienze produttive, commerciali o amministrative e simili, non sono capitalizzabili nell’attivo patrimoniale in quanto, oltre a sostanziarsi in una eliminazione di fattori produttivi, vengono sostenuti in contesti della vita della società nei quali l’aleatorietà della loro recuperabilità è talmente elevata da non soddisfare i requisiti per l’iscrizione</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CD0FB5"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Pr="00CD0FB5" w:rsidRDefault="00680245" w:rsidP="00D73E98">
            <w:pPr>
              <w:pStyle w:val="PrincCont"/>
              <w:jc w:val="left"/>
              <w:rPr>
                <w:lang w:val="it-IT"/>
              </w:rPr>
            </w:pPr>
          </w:p>
        </w:tc>
        <w:tc>
          <w:tcPr>
            <w:tcW w:w="7071" w:type="dxa"/>
            <w:tcMar>
              <w:left w:w="108" w:type="dxa"/>
            </w:tcMar>
          </w:tcPr>
          <w:p w:rsidR="00680245" w:rsidRPr="00CD0FB5" w:rsidRDefault="00680245" w:rsidP="00D73E98">
            <w:pPr>
              <w:pStyle w:val="Titolo2"/>
              <w:rPr>
                <w:b w:val="0"/>
                <w:i/>
                <w:sz w:val="20"/>
                <w:lang w:val="it-IT"/>
              </w:rPr>
            </w:pPr>
            <w:r w:rsidRPr="00CD0FB5">
              <w:rPr>
                <w:b w:val="0"/>
                <w:i/>
                <w:sz w:val="20"/>
                <w:lang w:val="it-IT"/>
              </w:rPr>
              <w:t xml:space="preserve">Costi di </w:t>
            </w:r>
            <w:r>
              <w:rPr>
                <w:b w:val="0"/>
                <w:i/>
                <w:sz w:val="20"/>
                <w:lang w:val="it-IT"/>
              </w:rPr>
              <w:t>sviluppo</w:t>
            </w:r>
          </w:p>
        </w:tc>
        <w:tc>
          <w:tcPr>
            <w:tcW w:w="575" w:type="dxa"/>
            <w:tcMar>
              <w:left w:w="85" w:type="dxa"/>
              <w:right w:w="85" w:type="dxa"/>
            </w:tcMar>
            <w:vAlign w:val="center"/>
          </w:tcPr>
          <w:p w:rsidR="00680245" w:rsidRPr="00CD0FB5" w:rsidRDefault="00680245" w:rsidP="00D73E98">
            <w:pPr>
              <w:jc w:val="center"/>
              <w:rPr>
                <w:lang w:val="it-IT"/>
              </w:rPr>
            </w:pPr>
          </w:p>
        </w:tc>
        <w:tc>
          <w:tcPr>
            <w:tcW w:w="573" w:type="dxa"/>
            <w:tcMar>
              <w:left w:w="108" w:type="dxa"/>
            </w:tcMar>
            <w:vAlign w:val="center"/>
          </w:tcPr>
          <w:p w:rsidR="00680245" w:rsidRPr="00CD0FB5" w:rsidRDefault="00680245" w:rsidP="00D73E98">
            <w:pPr>
              <w:jc w:val="center"/>
              <w:rPr>
                <w:lang w:val="it-IT"/>
              </w:rPr>
            </w:pPr>
          </w:p>
        </w:tc>
        <w:tc>
          <w:tcPr>
            <w:tcW w:w="570" w:type="dxa"/>
            <w:tcMar>
              <w:left w:w="108" w:type="dxa"/>
            </w:tcMar>
            <w:vAlign w:val="center"/>
          </w:tcPr>
          <w:p w:rsidR="00680245" w:rsidRPr="00CD0FB5" w:rsidRDefault="00680245" w:rsidP="00D73E98">
            <w:pPr>
              <w:jc w:val="center"/>
              <w:rPr>
                <w:lang w:val="it-IT"/>
              </w:rPr>
            </w:pPr>
          </w:p>
        </w:tc>
      </w:tr>
      <w:tr w:rsidR="00680245" w:rsidRPr="00CC242B"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24.46</w:t>
            </w:r>
          </w:p>
          <w:p w:rsidR="00680245" w:rsidRDefault="00680245" w:rsidP="00D73E98">
            <w:pPr>
              <w:pStyle w:val="PrincCont"/>
              <w:jc w:val="left"/>
              <w:rPr>
                <w:lang w:val="it-IT"/>
              </w:rPr>
            </w:pPr>
          </w:p>
        </w:tc>
        <w:tc>
          <w:tcPr>
            <w:tcW w:w="7071" w:type="dxa"/>
            <w:tcMar>
              <w:left w:w="108" w:type="dxa"/>
            </w:tcMar>
          </w:tcPr>
          <w:p w:rsidR="00680245" w:rsidRPr="00F0679B" w:rsidRDefault="00680245" w:rsidP="00D73E98">
            <w:pPr>
              <w:pStyle w:val="Commentiriquadro"/>
            </w:pPr>
            <w:r>
              <w:t>Lo sviluppo è l’applicazione dei risultati della ricerca di base o di altre conoscenze possedute o acquisite in un piano o in un progetto per la produzione di materiali, dispositivi, processi, sistemi o servizi, nuovi o sostanzialmente migliorati, prima dell’inizio della produzione commerciale o dell’utilizzazione.</w:t>
            </w:r>
          </w:p>
        </w:tc>
        <w:tc>
          <w:tcPr>
            <w:tcW w:w="575" w:type="dxa"/>
            <w:tcMar>
              <w:left w:w="85" w:type="dxa"/>
              <w:right w:w="85" w:type="dxa"/>
            </w:tcMar>
            <w:vAlign w:val="center"/>
          </w:tcPr>
          <w:p w:rsidR="00680245" w:rsidRPr="00F0679B" w:rsidRDefault="00680245" w:rsidP="00D73E98">
            <w:pPr>
              <w:jc w:val="center"/>
              <w:rPr>
                <w:lang w:val="it-IT"/>
              </w:rPr>
            </w:pPr>
          </w:p>
        </w:tc>
        <w:tc>
          <w:tcPr>
            <w:tcW w:w="573" w:type="dxa"/>
            <w:tcMar>
              <w:left w:w="108" w:type="dxa"/>
            </w:tcMar>
            <w:vAlign w:val="center"/>
          </w:tcPr>
          <w:p w:rsidR="00680245" w:rsidRPr="00F0679B" w:rsidRDefault="00680245" w:rsidP="00D73E98">
            <w:pPr>
              <w:jc w:val="center"/>
              <w:rPr>
                <w:lang w:val="it-IT"/>
              </w:rPr>
            </w:pPr>
          </w:p>
        </w:tc>
        <w:tc>
          <w:tcPr>
            <w:tcW w:w="570" w:type="dxa"/>
            <w:tcMar>
              <w:left w:w="108" w:type="dxa"/>
            </w:tcMar>
            <w:vAlign w:val="center"/>
          </w:tcPr>
          <w:p w:rsidR="00680245" w:rsidRPr="00F0679B" w:rsidRDefault="00680245" w:rsidP="00D73E98">
            <w:pPr>
              <w:jc w:val="center"/>
              <w:rPr>
                <w:lang w:val="it-IT"/>
              </w:rPr>
            </w:pPr>
          </w:p>
        </w:tc>
      </w:tr>
      <w:tr w:rsidR="00680245" w:rsidRPr="00CC242B"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24.47</w:t>
            </w:r>
          </w:p>
          <w:p w:rsidR="00680245" w:rsidRDefault="00680245" w:rsidP="00D73E98">
            <w:pPr>
              <w:pStyle w:val="PrincCont"/>
              <w:jc w:val="left"/>
              <w:rPr>
                <w:lang w:val="it-IT"/>
              </w:rPr>
            </w:pPr>
          </w:p>
        </w:tc>
        <w:tc>
          <w:tcPr>
            <w:tcW w:w="7071" w:type="dxa"/>
            <w:tcMar>
              <w:left w:w="108" w:type="dxa"/>
            </w:tcMar>
          </w:tcPr>
          <w:p w:rsidR="00680245" w:rsidRPr="00F0679B" w:rsidRDefault="00680245" w:rsidP="00D73E98">
            <w:pPr>
              <w:pStyle w:val="Commentiriquadro"/>
            </w:pPr>
            <w:r>
              <w:t>La ricerca di base è un’indagine originale e pianificata intrapresa con la prospettiva di conseguire nuove conoscenze e scoperte, scientifiche o tecniche, che si considera di utilità generica alla società. I costi di ricerca di base sono normalmente precedenti a quelli sostenuti una volta identificato lo specifico prodotto o processo che si intende sviluppare.</w:t>
            </w:r>
          </w:p>
        </w:tc>
        <w:tc>
          <w:tcPr>
            <w:tcW w:w="575" w:type="dxa"/>
            <w:tcMar>
              <w:left w:w="85" w:type="dxa"/>
              <w:right w:w="85" w:type="dxa"/>
            </w:tcMar>
            <w:vAlign w:val="center"/>
          </w:tcPr>
          <w:p w:rsidR="00680245" w:rsidRPr="00F0679B" w:rsidRDefault="00680245" w:rsidP="00D73E98">
            <w:pPr>
              <w:jc w:val="center"/>
              <w:rPr>
                <w:lang w:val="it-IT"/>
              </w:rPr>
            </w:pPr>
          </w:p>
        </w:tc>
        <w:tc>
          <w:tcPr>
            <w:tcW w:w="573" w:type="dxa"/>
            <w:tcMar>
              <w:left w:w="108" w:type="dxa"/>
            </w:tcMar>
            <w:vAlign w:val="center"/>
          </w:tcPr>
          <w:p w:rsidR="00680245" w:rsidRPr="00F0679B" w:rsidRDefault="00680245" w:rsidP="00D73E98">
            <w:pPr>
              <w:jc w:val="center"/>
              <w:rPr>
                <w:lang w:val="it-IT"/>
              </w:rPr>
            </w:pPr>
          </w:p>
        </w:tc>
        <w:tc>
          <w:tcPr>
            <w:tcW w:w="570" w:type="dxa"/>
            <w:tcMar>
              <w:left w:w="108" w:type="dxa"/>
            </w:tcMar>
            <w:vAlign w:val="center"/>
          </w:tcPr>
          <w:p w:rsidR="00680245" w:rsidRPr="00F0679B" w:rsidRDefault="00680245" w:rsidP="00D73E98">
            <w:pPr>
              <w:jc w:val="center"/>
              <w:rPr>
                <w:lang w:val="it-IT"/>
              </w:rPr>
            </w:pP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14)</w:t>
            </w:r>
          </w:p>
        </w:tc>
        <w:tc>
          <w:tcPr>
            <w:tcW w:w="851" w:type="dxa"/>
            <w:tcMar>
              <w:left w:w="108" w:type="dxa"/>
              <w:right w:w="0" w:type="dxa"/>
            </w:tcMar>
          </w:tcPr>
          <w:p w:rsidR="00680245" w:rsidRDefault="00680245" w:rsidP="00D73E98">
            <w:pPr>
              <w:pStyle w:val="PrincCont"/>
              <w:jc w:val="left"/>
              <w:rPr>
                <w:lang w:val="it-IT"/>
              </w:rPr>
            </w:pPr>
            <w:r>
              <w:rPr>
                <w:lang w:val="it-IT"/>
              </w:rPr>
              <w:t>OIC 24.47</w:t>
            </w:r>
          </w:p>
        </w:tc>
        <w:tc>
          <w:tcPr>
            <w:tcW w:w="7071" w:type="dxa"/>
            <w:tcMar>
              <w:left w:w="108" w:type="dxa"/>
            </w:tcMar>
          </w:tcPr>
          <w:p w:rsidR="00680245" w:rsidRPr="00DF74E6" w:rsidRDefault="00680245" w:rsidP="00D73E98">
            <w:pPr>
              <w:spacing w:line="230" w:lineRule="exact"/>
              <w:rPr>
                <w:lang w:val="it-IT"/>
              </w:rPr>
            </w:pPr>
            <w:r w:rsidRPr="00DF74E6">
              <w:rPr>
                <w:lang w:val="it-IT"/>
              </w:rPr>
              <w:t>I costi sostenuti per la ricerca di base sono costi di periodo poiché rientrano nella ricorrente operatività dell'impresa e</w:t>
            </w:r>
            <w:r>
              <w:rPr>
                <w:lang w:val="it-IT"/>
              </w:rPr>
              <w:t xml:space="preserve"> </w:t>
            </w:r>
            <w:r w:rsidRPr="00DF74E6">
              <w:rPr>
                <w:lang w:val="it-IT"/>
              </w:rPr>
              <w:t>sono, nella sostanza, di supporto ordinario all’attivi</w:t>
            </w:r>
            <w:r>
              <w:rPr>
                <w:lang w:val="it-IT"/>
              </w:rPr>
              <w:t xml:space="preserve">tà imprenditoriale della stessa; </w:t>
            </w:r>
            <w:r w:rsidRPr="00DF74E6">
              <w:rPr>
                <w:lang w:val="it-IT"/>
              </w:rPr>
              <w:t>e</w:t>
            </w:r>
            <w:r>
              <w:rPr>
                <w:lang w:val="it-IT"/>
              </w:rPr>
              <w:t>ssi</w:t>
            </w:r>
            <w:r w:rsidRPr="00DF74E6">
              <w:rPr>
                <w:lang w:val="it-IT"/>
              </w:rPr>
              <w:t xml:space="preserve"> sono addebitati al conto economico</w:t>
            </w:r>
            <w:r>
              <w:rPr>
                <w:lang w:val="it-IT"/>
              </w:rPr>
              <w:t xml:space="preserve"> </w:t>
            </w:r>
            <w:r w:rsidRPr="00DF74E6">
              <w:rPr>
                <w:lang w:val="it-IT"/>
              </w:rPr>
              <w:t>dell'esercizio in</w:t>
            </w:r>
            <w:r>
              <w:rPr>
                <w:lang w:val="it-IT"/>
              </w:rPr>
              <w:t xml:space="preserve"> cui sono sostenuti</w:t>
            </w:r>
            <w:r w:rsidRPr="00DF74E6">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042F2E">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042F2E">
              <w:rPr>
                <w:lang w:val="it-IT"/>
              </w:rP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042F2E">
              <w:rPr>
                <w:lang w:val="it-IT"/>
              </w:rPr>
              <w:instrText xml:space="preserve"> FORMCHECKBOX </w:instrText>
            </w:r>
            <w:r w:rsidR="00CA1681">
              <w:fldChar w:fldCharType="separate"/>
            </w:r>
            <w:r>
              <w:fldChar w:fldCharType="end"/>
            </w:r>
          </w:p>
        </w:tc>
      </w:tr>
      <w:tr w:rsidR="00680245" w:rsidRPr="00CC242B"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15)</w:t>
            </w:r>
          </w:p>
        </w:tc>
        <w:tc>
          <w:tcPr>
            <w:tcW w:w="851" w:type="dxa"/>
            <w:tcMar>
              <w:left w:w="108" w:type="dxa"/>
              <w:right w:w="0" w:type="dxa"/>
            </w:tcMar>
          </w:tcPr>
          <w:p w:rsidR="00680245" w:rsidRDefault="00680245" w:rsidP="00D73E98">
            <w:pPr>
              <w:pStyle w:val="PrincCont"/>
              <w:jc w:val="left"/>
              <w:rPr>
                <w:lang w:val="it-IT"/>
              </w:rPr>
            </w:pPr>
            <w:r>
              <w:rPr>
                <w:lang w:val="it-IT"/>
              </w:rPr>
              <w:t>OIC 24.49</w:t>
            </w:r>
          </w:p>
        </w:tc>
        <w:tc>
          <w:tcPr>
            <w:tcW w:w="7071" w:type="dxa"/>
            <w:tcMar>
              <w:left w:w="108" w:type="dxa"/>
            </w:tcMar>
          </w:tcPr>
          <w:p w:rsidR="00680245" w:rsidRPr="007D6D25" w:rsidRDefault="00680245" w:rsidP="00D73E98">
            <w:pPr>
              <w:spacing w:line="240" w:lineRule="exact"/>
              <w:rPr>
                <w:lang w:val="it-IT"/>
              </w:rPr>
            </w:pPr>
            <w:r w:rsidRPr="00081655">
              <w:rPr>
                <w:lang w:val="it-IT"/>
              </w:rPr>
              <w:t xml:space="preserve">I costi di sviluppo </w:t>
            </w:r>
            <w:r>
              <w:rPr>
                <w:lang w:val="it-IT"/>
              </w:rPr>
              <w:t xml:space="preserve">sono </w:t>
            </w:r>
            <w:r w:rsidRPr="00081655">
              <w:rPr>
                <w:lang w:val="it-IT"/>
              </w:rPr>
              <w:t>capitalizzati</w:t>
            </w:r>
            <w:r>
              <w:rPr>
                <w:lang w:val="it-IT"/>
              </w:rPr>
              <w:t xml:space="preserve"> solo se rispondono alle </w:t>
            </w:r>
            <w:r w:rsidRPr="00081655">
              <w:rPr>
                <w:lang w:val="it-IT"/>
              </w:rPr>
              <w:t>seguenti specifiche caratteristiche</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081655" w:rsidRDefault="00F0515C" w:rsidP="00F0515C">
            <w:pPr>
              <w:pStyle w:val="rientrotrattinook"/>
              <w:numPr>
                <w:ilvl w:val="0"/>
                <w:numId w:val="0"/>
              </w:numPr>
              <w:ind w:left="460" w:hanging="284"/>
            </w:pPr>
            <w:r>
              <w:t>-</w:t>
            </w:r>
            <w:r>
              <w:tab/>
            </w:r>
            <w:r w:rsidR="00680245" w:rsidRPr="00081655">
              <w:t xml:space="preserve">sono recuperabili, cioè la società ha prospettive di reddito </w:t>
            </w:r>
            <w:r w:rsidR="00680245">
              <w:t>tali</w:t>
            </w:r>
            <w:r w:rsidR="00680245" w:rsidRPr="00081655">
              <w:t xml:space="preserve"> che i ricavi che prevede di realizzare dal progetto siano almeno sufficienti a coprire i costi sostenuti per lo stesso</w:t>
            </w:r>
            <w:r w:rsidR="00680245">
              <w:t>, dopo aver dedotto tutti gli altri costi di sviluppo, i costi di produzione e di vendita che si sosterranno per la commercializzazione del prodotto</w:t>
            </w:r>
          </w:p>
        </w:tc>
        <w:tc>
          <w:tcPr>
            <w:tcW w:w="575" w:type="dxa"/>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042F2E">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042F2E">
              <w:rPr>
                <w:lang w:val="it-IT"/>
              </w:rPr>
              <w:instrText xml:space="preserve"> FORMCHECKBOX </w:instrText>
            </w:r>
            <w:r w:rsidR="00CA1681">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042F2E">
              <w:rPr>
                <w:lang w:val="it-IT"/>
              </w:rPr>
              <w:instrText xml:space="preserve"> FORMCHECKBOX </w:instrText>
            </w:r>
            <w:r w:rsidR="00CA1681">
              <w:fldChar w:fldCharType="separate"/>
            </w:r>
            <w:r>
              <w:fldChar w:fldCharType="end"/>
            </w: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7D6D25" w:rsidRDefault="00F0515C" w:rsidP="00F0515C">
            <w:pPr>
              <w:pStyle w:val="rientrotrattinook"/>
              <w:numPr>
                <w:ilvl w:val="0"/>
                <w:numId w:val="0"/>
              </w:numPr>
              <w:ind w:left="460" w:hanging="284"/>
            </w:pPr>
            <w:r>
              <w:t>-</w:t>
            </w:r>
            <w:r>
              <w:tab/>
            </w:r>
            <w:r w:rsidR="00680245" w:rsidRPr="00081655">
              <w:t>sono riferiti ad un progetto realizzabile, cioè tecnicamente fattibile, per il quale la società possieda o possa di</w:t>
            </w:r>
            <w:r w:rsidR="00680245">
              <w:t>sporre delle necessarie risorse</w:t>
            </w:r>
          </w:p>
        </w:tc>
        <w:tc>
          <w:tcPr>
            <w:tcW w:w="575" w:type="dxa"/>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042F2E">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042F2E">
              <w:rPr>
                <w:lang w:val="it-IT"/>
              </w:rPr>
              <w:instrText xml:space="preserve"> FORMCHECKBOX </w:instrText>
            </w:r>
            <w:r w:rsidR="00CA1681">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042F2E">
              <w:rPr>
                <w:lang w:val="it-IT"/>
              </w:rPr>
              <w:instrText xml:space="preserve"> FORMCHECKBOX </w:instrText>
            </w:r>
            <w:r w:rsidR="00CA1681">
              <w:fldChar w:fldCharType="separate"/>
            </w:r>
            <w:r>
              <w:fldChar w:fldCharType="end"/>
            </w: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7D6D25" w:rsidRDefault="00F0515C" w:rsidP="00F0515C">
            <w:pPr>
              <w:pStyle w:val="rientrotrattinook"/>
              <w:numPr>
                <w:ilvl w:val="0"/>
                <w:numId w:val="0"/>
              </w:numPr>
              <w:ind w:left="460" w:hanging="284"/>
            </w:pPr>
            <w:r>
              <w:t>-</w:t>
            </w:r>
            <w:r>
              <w:tab/>
            </w:r>
            <w:r w:rsidR="00680245" w:rsidRPr="00081655">
              <w:t>sono relativi ad un prodotto o processo chiaramente definito, nonché identif</w:t>
            </w:r>
            <w:r w:rsidR="00680245">
              <w:t>icabili e misurabili</w:t>
            </w:r>
            <w:r w:rsidR="00D41FAC">
              <w:t>?</w:t>
            </w:r>
          </w:p>
        </w:tc>
        <w:tc>
          <w:tcPr>
            <w:tcW w:w="575" w:type="dxa"/>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042F2E">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042F2E">
              <w:rPr>
                <w:lang w:val="it-IT"/>
              </w:rPr>
              <w:instrText xml:space="preserve"> FORMCHECKBOX </w:instrText>
            </w:r>
            <w:r w:rsidR="00CA1681">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042F2E">
              <w:rPr>
                <w:lang w:val="it-IT"/>
              </w:rPr>
              <w:instrText xml:space="preserve"> FORMCHECKBOX </w:instrText>
            </w:r>
            <w:r w:rsidR="00CA1681">
              <w:fldChar w:fldCharType="separate"/>
            </w:r>
            <w:r>
              <w:fldChar w:fldCharType="end"/>
            </w:r>
          </w:p>
        </w:tc>
      </w:tr>
      <w:tr w:rsidR="00680245" w:rsidRPr="00CC242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24.48</w:t>
            </w:r>
          </w:p>
          <w:p w:rsidR="00680245" w:rsidRDefault="00680245" w:rsidP="00D73E98">
            <w:pPr>
              <w:pStyle w:val="PrincCont"/>
              <w:jc w:val="left"/>
              <w:rPr>
                <w:lang w:val="it-IT"/>
              </w:rPr>
            </w:pPr>
          </w:p>
        </w:tc>
        <w:tc>
          <w:tcPr>
            <w:tcW w:w="7071" w:type="dxa"/>
            <w:tcMar>
              <w:left w:w="108" w:type="dxa"/>
            </w:tcMar>
          </w:tcPr>
          <w:p w:rsidR="00680245" w:rsidRPr="00F0679B" w:rsidRDefault="00680245" w:rsidP="00D73E98">
            <w:pPr>
              <w:pStyle w:val="Commentiriquadro"/>
            </w:pPr>
            <w:r w:rsidRPr="00927BE7">
              <w:t>I costi di sviluppo capitalizzati nell’attivo patrimoniale sono composti: dagli stipendi, i salari e gli altri costi relativi al personale impegnato nell’attività di sviluppo; dai costi dei materiali e dei servizi impiegati nell’attività di sviluppo; dall'ammortamento di immobili, impianti e macchinari, nella misura in cui tali beni sono impiegati nell’attività di sviluppo; dai costi indiretti, diversi dai costi e dalle spese generali ed amministrativi, relativi all’attività di sviluppo; dagli altri costi, quali ad esempio l'ammortamento di brevetti e licenze, nella misura in cui tali beni sono impiegati nell'attività di sviluppo</w:t>
            </w:r>
            <w:r>
              <w:t>.</w:t>
            </w:r>
          </w:p>
        </w:tc>
        <w:tc>
          <w:tcPr>
            <w:tcW w:w="575" w:type="dxa"/>
            <w:tcMar>
              <w:left w:w="85" w:type="dxa"/>
              <w:right w:w="85" w:type="dxa"/>
            </w:tcMar>
            <w:vAlign w:val="center"/>
          </w:tcPr>
          <w:p w:rsidR="00680245" w:rsidRPr="00F0679B" w:rsidRDefault="00680245" w:rsidP="00D73E98">
            <w:pPr>
              <w:jc w:val="center"/>
              <w:rPr>
                <w:lang w:val="it-IT"/>
              </w:rPr>
            </w:pPr>
          </w:p>
        </w:tc>
        <w:tc>
          <w:tcPr>
            <w:tcW w:w="573" w:type="dxa"/>
            <w:tcMar>
              <w:left w:w="108" w:type="dxa"/>
            </w:tcMar>
            <w:vAlign w:val="center"/>
          </w:tcPr>
          <w:p w:rsidR="00680245" w:rsidRPr="00F0679B" w:rsidRDefault="00680245" w:rsidP="00D73E98">
            <w:pPr>
              <w:jc w:val="center"/>
              <w:rPr>
                <w:lang w:val="it-IT"/>
              </w:rPr>
            </w:pPr>
          </w:p>
        </w:tc>
        <w:tc>
          <w:tcPr>
            <w:tcW w:w="570" w:type="dxa"/>
            <w:tcMar>
              <w:left w:w="108" w:type="dxa"/>
            </w:tcMar>
            <w:vAlign w:val="center"/>
          </w:tcPr>
          <w:p w:rsidR="00680245" w:rsidRPr="00F0679B" w:rsidRDefault="00680245" w:rsidP="00D73E98">
            <w:pPr>
              <w:jc w:val="center"/>
              <w:rPr>
                <w:lang w:val="it-IT"/>
              </w:rPr>
            </w:pPr>
          </w:p>
        </w:tc>
      </w:tr>
      <w:tr w:rsidR="00680245" w:rsidRPr="00F01072"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99703D" w:rsidRDefault="00680245" w:rsidP="00D73E98">
            <w:pPr>
              <w:pStyle w:val="Titolo2"/>
              <w:keepNext w:val="0"/>
              <w:rPr>
                <w:i/>
                <w:sz w:val="20"/>
              </w:rPr>
            </w:pPr>
            <w:r w:rsidRPr="0099703D">
              <w:rPr>
                <w:i/>
                <w:sz w:val="20"/>
              </w:rPr>
              <w:t>Beni immateriali</w:t>
            </w:r>
          </w:p>
        </w:tc>
        <w:tc>
          <w:tcPr>
            <w:tcW w:w="575" w:type="dxa"/>
            <w:tcMar>
              <w:left w:w="85" w:type="dxa"/>
              <w:right w:w="85" w:type="dxa"/>
            </w:tcMar>
            <w:vAlign w:val="center"/>
          </w:tcPr>
          <w:p w:rsidR="00680245" w:rsidRPr="009D08A3" w:rsidRDefault="00680245" w:rsidP="00D73E98">
            <w:pPr>
              <w:jc w:val="center"/>
              <w:rPr>
                <w:lang w:val="it-IT"/>
              </w:rPr>
            </w:pPr>
          </w:p>
        </w:tc>
        <w:tc>
          <w:tcPr>
            <w:tcW w:w="573" w:type="dxa"/>
            <w:tcMar>
              <w:left w:w="108" w:type="dxa"/>
            </w:tcMar>
            <w:vAlign w:val="center"/>
          </w:tcPr>
          <w:p w:rsidR="00680245" w:rsidRPr="009D08A3" w:rsidRDefault="00680245" w:rsidP="00D73E98">
            <w:pPr>
              <w:jc w:val="center"/>
              <w:rPr>
                <w:lang w:val="it-IT"/>
              </w:rPr>
            </w:pPr>
          </w:p>
        </w:tc>
        <w:tc>
          <w:tcPr>
            <w:tcW w:w="570" w:type="dxa"/>
            <w:tcMar>
              <w:left w:w="108" w:type="dxa"/>
            </w:tcMar>
            <w:vAlign w:val="center"/>
          </w:tcPr>
          <w:p w:rsidR="00680245" w:rsidRPr="009D08A3" w:rsidRDefault="00680245" w:rsidP="00D73E98">
            <w:pPr>
              <w:jc w:val="center"/>
              <w:rPr>
                <w:lang w:val="it-IT"/>
              </w:rPr>
            </w:pPr>
          </w:p>
        </w:tc>
      </w:tr>
      <w:tr w:rsidR="00680245" w:rsidRPr="00CC242B"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16)</w:t>
            </w:r>
          </w:p>
        </w:tc>
        <w:tc>
          <w:tcPr>
            <w:tcW w:w="851" w:type="dxa"/>
            <w:tcMar>
              <w:left w:w="108" w:type="dxa"/>
              <w:right w:w="0" w:type="dxa"/>
            </w:tcMar>
          </w:tcPr>
          <w:p w:rsidR="00680245" w:rsidRDefault="00680245" w:rsidP="00D73E98">
            <w:pPr>
              <w:pStyle w:val="PrincCont"/>
              <w:jc w:val="left"/>
              <w:rPr>
                <w:lang w:val="it-IT"/>
              </w:rPr>
            </w:pPr>
            <w:r>
              <w:rPr>
                <w:lang w:val="it-IT"/>
              </w:rPr>
              <w:t>OIC 24.50</w:t>
            </w:r>
          </w:p>
        </w:tc>
        <w:tc>
          <w:tcPr>
            <w:tcW w:w="7071" w:type="dxa"/>
            <w:tcMar>
              <w:left w:w="108" w:type="dxa"/>
            </w:tcMar>
          </w:tcPr>
          <w:p w:rsidR="00680245" w:rsidRPr="000E3324" w:rsidRDefault="00680245" w:rsidP="00D73E98">
            <w:pPr>
              <w:spacing w:line="230" w:lineRule="exact"/>
              <w:rPr>
                <w:lang w:val="it-IT"/>
              </w:rPr>
            </w:pPr>
            <w:r w:rsidRPr="004C2A01">
              <w:rPr>
                <w:lang w:val="it-IT"/>
              </w:rPr>
              <w:t>I beni immateriali sono rilevati in bilancio quando:</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3F3C83"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3F3C83" w:rsidRDefault="00680245" w:rsidP="004E27C2">
            <w:pPr>
              <w:pStyle w:val="rientrotrattinook"/>
              <w:numPr>
                <w:ilvl w:val="0"/>
                <w:numId w:val="15"/>
              </w:numPr>
            </w:pPr>
            <w:r w:rsidRPr="003F3C83">
              <w:t>è soddisfatta la definizione di bene immateriale di cui al paragrafo 9 del Principio;</w:t>
            </w:r>
          </w:p>
        </w:tc>
        <w:tc>
          <w:tcPr>
            <w:tcW w:w="575" w:type="dxa"/>
            <w:tcMar>
              <w:left w:w="85" w:type="dxa"/>
              <w:right w:w="85" w:type="dxa"/>
            </w:tcMar>
            <w:vAlign w:val="center"/>
          </w:tcPr>
          <w:p w:rsidR="00680245" w:rsidRPr="003F3C83" w:rsidRDefault="00680245" w:rsidP="00D73E98">
            <w:pPr>
              <w:jc w:val="center"/>
            </w:pPr>
            <w:r w:rsidRPr="003F3C83">
              <w:fldChar w:fldCharType="begin">
                <w:ffData>
                  <w:name w:val="Check4"/>
                  <w:enabled/>
                  <w:calcOnExit w:val="0"/>
                  <w:checkBox>
                    <w:sizeAuto/>
                    <w:default w:val="0"/>
                  </w:checkBox>
                </w:ffData>
              </w:fldChar>
            </w:r>
            <w:r w:rsidRPr="003F3C83">
              <w:instrText xml:space="preserve"> FORMCHECKBOX </w:instrText>
            </w:r>
            <w:r w:rsidR="00CA1681">
              <w:fldChar w:fldCharType="separate"/>
            </w:r>
            <w:r w:rsidRPr="003F3C83">
              <w:fldChar w:fldCharType="end"/>
            </w:r>
          </w:p>
        </w:tc>
        <w:tc>
          <w:tcPr>
            <w:tcW w:w="573" w:type="dxa"/>
            <w:tcMar>
              <w:left w:w="108" w:type="dxa"/>
            </w:tcMar>
            <w:vAlign w:val="center"/>
          </w:tcPr>
          <w:p w:rsidR="00680245" w:rsidRPr="003F3C83" w:rsidRDefault="00680245" w:rsidP="00D73E98">
            <w:pPr>
              <w:jc w:val="center"/>
            </w:pPr>
            <w:r w:rsidRPr="003F3C83">
              <w:fldChar w:fldCharType="begin">
                <w:ffData>
                  <w:name w:val="Check4"/>
                  <w:enabled/>
                  <w:calcOnExit w:val="0"/>
                  <w:checkBox>
                    <w:sizeAuto/>
                    <w:default w:val="0"/>
                  </w:checkBox>
                </w:ffData>
              </w:fldChar>
            </w:r>
            <w:r w:rsidRPr="003F3C83">
              <w:instrText xml:space="preserve"> FORMCHECKBOX </w:instrText>
            </w:r>
            <w:r w:rsidR="00CA1681">
              <w:fldChar w:fldCharType="separate"/>
            </w:r>
            <w:r w:rsidRPr="003F3C83">
              <w:fldChar w:fldCharType="end"/>
            </w:r>
          </w:p>
        </w:tc>
        <w:tc>
          <w:tcPr>
            <w:tcW w:w="570" w:type="dxa"/>
            <w:tcMar>
              <w:left w:w="108" w:type="dxa"/>
            </w:tcMar>
            <w:vAlign w:val="center"/>
          </w:tcPr>
          <w:p w:rsidR="00680245" w:rsidRPr="003F3C83" w:rsidRDefault="00680245" w:rsidP="00D73E98">
            <w:pPr>
              <w:jc w:val="center"/>
            </w:pPr>
            <w:r w:rsidRPr="003F3C83">
              <w:fldChar w:fldCharType="begin">
                <w:ffData>
                  <w:name w:val="Check4"/>
                  <w:enabled/>
                  <w:calcOnExit w:val="0"/>
                  <w:checkBox>
                    <w:sizeAuto/>
                    <w:default w:val="0"/>
                  </w:checkBox>
                </w:ffData>
              </w:fldChar>
            </w:r>
            <w:r w:rsidRPr="003F3C83">
              <w:instrText xml:space="preserve"> FORMCHECKBOX </w:instrText>
            </w:r>
            <w:r w:rsidR="00CA1681">
              <w:fldChar w:fldCharType="separate"/>
            </w:r>
            <w:r w:rsidRPr="003F3C83">
              <w:fldChar w:fldCharType="end"/>
            </w:r>
          </w:p>
        </w:tc>
      </w:tr>
      <w:tr w:rsidR="003F3C83" w:rsidRPr="003F3C83" w:rsidTr="00D73E98">
        <w:trPr>
          <w:cantSplit/>
          <w:trHeight w:val="20"/>
        </w:trPr>
        <w:tc>
          <w:tcPr>
            <w:tcW w:w="680" w:type="dxa"/>
          </w:tcPr>
          <w:p w:rsidR="003F3C83" w:rsidRPr="003F3C83" w:rsidRDefault="003F3C83" w:rsidP="00D73E98">
            <w:pPr>
              <w:tabs>
                <w:tab w:val="left" w:pos="146"/>
              </w:tabs>
              <w:jc w:val="center"/>
              <w:rPr>
                <w:b/>
                <w:lang w:val="it-IT"/>
              </w:rPr>
            </w:pPr>
          </w:p>
        </w:tc>
        <w:tc>
          <w:tcPr>
            <w:tcW w:w="851" w:type="dxa"/>
            <w:tcMar>
              <w:left w:w="108" w:type="dxa"/>
              <w:right w:w="0" w:type="dxa"/>
            </w:tcMar>
          </w:tcPr>
          <w:p w:rsidR="003F3C83" w:rsidRPr="003F3C83" w:rsidRDefault="003F3C83" w:rsidP="00D73E98">
            <w:pPr>
              <w:pStyle w:val="PrincCont"/>
              <w:jc w:val="left"/>
              <w:rPr>
                <w:lang w:val="it-IT"/>
              </w:rPr>
            </w:pPr>
          </w:p>
        </w:tc>
        <w:tc>
          <w:tcPr>
            <w:tcW w:w="7071" w:type="dxa"/>
            <w:tcMar>
              <w:left w:w="108" w:type="dxa"/>
            </w:tcMar>
          </w:tcPr>
          <w:p w:rsidR="003F3C83" w:rsidRPr="003F3C83" w:rsidRDefault="003F3C83" w:rsidP="004E27C2">
            <w:pPr>
              <w:pStyle w:val="rientrotrattinook"/>
              <w:numPr>
                <w:ilvl w:val="0"/>
                <w:numId w:val="15"/>
              </w:numPr>
            </w:pPr>
            <w:r w:rsidRPr="003F3C83">
              <w:t>la società acquisisce il potere di usufruire dei benefici economici futuri derivanti dal bene stesso e può limitare l’accesso da parte di terzi a tali benefici; e</w:t>
            </w:r>
          </w:p>
        </w:tc>
        <w:tc>
          <w:tcPr>
            <w:tcW w:w="575" w:type="dxa"/>
            <w:tcMar>
              <w:left w:w="85" w:type="dxa"/>
              <w:right w:w="85" w:type="dxa"/>
            </w:tcMar>
            <w:vAlign w:val="center"/>
          </w:tcPr>
          <w:p w:rsidR="003F3C83" w:rsidRPr="003F3C83" w:rsidRDefault="003F3C83" w:rsidP="000D7E0A">
            <w:pPr>
              <w:jc w:val="center"/>
            </w:pPr>
            <w:r w:rsidRPr="003F3C83">
              <w:fldChar w:fldCharType="begin">
                <w:ffData>
                  <w:name w:val="Check4"/>
                  <w:enabled/>
                  <w:calcOnExit w:val="0"/>
                  <w:checkBox>
                    <w:sizeAuto/>
                    <w:default w:val="0"/>
                  </w:checkBox>
                </w:ffData>
              </w:fldChar>
            </w:r>
            <w:r w:rsidRPr="003F3C83">
              <w:instrText xml:space="preserve"> FORMCHECKBOX </w:instrText>
            </w:r>
            <w:r w:rsidR="00CA1681">
              <w:fldChar w:fldCharType="separate"/>
            </w:r>
            <w:r w:rsidRPr="003F3C83">
              <w:fldChar w:fldCharType="end"/>
            </w:r>
          </w:p>
        </w:tc>
        <w:tc>
          <w:tcPr>
            <w:tcW w:w="573" w:type="dxa"/>
            <w:tcMar>
              <w:left w:w="108" w:type="dxa"/>
            </w:tcMar>
            <w:vAlign w:val="center"/>
          </w:tcPr>
          <w:p w:rsidR="003F3C83" w:rsidRPr="003F3C83" w:rsidRDefault="003F3C83" w:rsidP="000D7E0A">
            <w:pPr>
              <w:jc w:val="center"/>
            </w:pPr>
            <w:r w:rsidRPr="003F3C83">
              <w:fldChar w:fldCharType="begin">
                <w:ffData>
                  <w:name w:val="Check4"/>
                  <w:enabled/>
                  <w:calcOnExit w:val="0"/>
                  <w:checkBox>
                    <w:sizeAuto/>
                    <w:default w:val="0"/>
                  </w:checkBox>
                </w:ffData>
              </w:fldChar>
            </w:r>
            <w:r w:rsidRPr="003F3C83">
              <w:instrText xml:space="preserve"> FORMCHECKBOX </w:instrText>
            </w:r>
            <w:r w:rsidR="00CA1681">
              <w:fldChar w:fldCharType="separate"/>
            </w:r>
            <w:r w:rsidRPr="003F3C83">
              <w:fldChar w:fldCharType="end"/>
            </w:r>
          </w:p>
        </w:tc>
        <w:tc>
          <w:tcPr>
            <w:tcW w:w="570" w:type="dxa"/>
            <w:tcMar>
              <w:left w:w="108" w:type="dxa"/>
            </w:tcMar>
            <w:vAlign w:val="center"/>
          </w:tcPr>
          <w:p w:rsidR="003F3C83" w:rsidRPr="003F3C83" w:rsidRDefault="003F3C83" w:rsidP="000D7E0A">
            <w:pPr>
              <w:jc w:val="center"/>
            </w:pPr>
            <w:r w:rsidRPr="003F3C83">
              <w:fldChar w:fldCharType="begin">
                <w:ffData>
                  <w:name w:val="Check4"/>
                  <w:enabled/>
                  <w:calcOnExit w:val="0"/>
                  <w:checkBox>
                    <w:sizeAuto/>
                    <w:default w:val="0"/>
                  </w:checkBox>
                </w:ffData>
              </w:fldChar>
            </w:r>
            <w:r w:rsidRPr="003F3C83">
              <w:instrText xml:space="preserve"> FORMCHECKBOX </w:instrText>
            </w:r>
            <w:r w:rsidR="00CA1681">
              <w:fldChar w:fldCharType="separate"/>
            </w:r>
            <w:r w:rsidRPr="003F3C83">
              <w:fldChar w:fldCharType="end"/>
            </w:r>
          </w:p>
        </w:tc>
      </w:tr>
      <w:tr w:rsidR="003F3C83" w:rsidRPr="003F3C83" w:rsidTr="00D73E98">
        <w:trPr>
          <w:cantSplit/>
          <w:trHeight w:val="20"/>
        </w:trPr>
        <w:tc>
          <w:tcPr>
            <w:tcW w:w="680" w:type="dxa"/>
          </w:tcPr>
          <w:p w:rsidR="003F3C83" w:rsidRPr="003F3C83" w:rsidRDefault="003F3C83" w:rsidP="00D73E98">
            <w:pPr>
              <w:tabs>
                <w:tab w:val="left" w:pos="146"/>
              </w:tabs>
              <w:jc w:val="center"/>
              <w:rPr>
                <w:b/>
                <w:lang w:val="it-IT"/>
              </w:rPr>
            </w:pPr>
          </w:p>
        </w:tc>
        <w:tc>
          <w:tcPr>
            <w:tcW w:w="851" w:type="dxa"/>
            <w:tcMar>
              <w:left w:w="108" w:type="dxa"/>
              <w:right w:w="0" w:type="dxa"/>
            </w:tcMar>
          </w:tcPr>
          <w:p w:rsidR="003F3C83" w:rsidRPr="003F3C83" w:rsidRDefault="003F3C83" w:rsidP="00D73E98">
            <w:pPr>
              <w:pStyle w:val="PrincCont"/>
              <w:jc w:val="left"/>
              <w:rPr>
                <w:lang w:val="it-IT"/>
              </w:rPr>
            </w:pPr>
          </w:p>
        </w:tc>
        <w:tc>
          <w:tcPr>
            <w:tcW w:w="7071" w:type="dxa"/>
            <w:tcMar>
              <w:left w:w="108" w:type="dxa"/>
            </w:tcMar>
          </w:tcPr>
          <w:p w:rsidR="003F3C83" w:rsidRPr="003F3C83" w:rsidRDefault="003F3C83" w:rsidP="004E27C2">
            <w:pPr>
              <w:pStyle w:val="rientrotrattinook"/>
              <w:numPr>
                <w:ilvl w:val="0"/>
                <w:numId w:val="15"/>
              </w:numPr>
            </w:pPr>
            <w:r w:rsidRPr="003F3C83">
              <w:t>il costo è stimabile con sufficiente attendibilità?</w:t>
            </w:r>
          </w:p>
        </w:tc>
        <w:tc>
          <w:tcPr>
            <w:tcW w:w="575" w:type="dxa"/>
            <w:tcMar>
              <w:left w:w="85" w:type="dxa"/>
              <w:right w:w="85" w:type="dxa"/>
            </w:tcMar>
            <w:vAlign w:val="center"/>
          </w:tcPr>
          <w:p w:rsidR="003F3C83" w:rsidRPr="003F3C83" w:rsidRDefault="003F3C83" w:rsidP="000D7E0A">
            <w:pPr>
              <w:jc w:val="center"/>
            </w:pPr>
            <w:r w:rsidRPr="003F3C83">
              <w:fldChar w:fldCharType="begin">
                <w:ffData>
                  <w:name w:val="Check4"/>
                  <w:enabled/>
                  <w:calcOnExit w:val="0"/>
                  <w:checkBox>
                    <w:sizeAuto/>
                    <w:default w:val="0"/>
                  </w:checkBox>
                </w:ffData>
              </w:fldChar>
            </w:r>
            <w:r w:rsidRPr="003F3C83">
              <w:instrText xml:space="preserve"> FORMCHECKBOX </w:instrText>
            </w:r>
            <w:r w:rsidR="00CA1681">
              <w:fldChar w:fldCharType="separate"/>
            </w:r>
            <w:r w:rsidRPr="003F3C83">
              <w:fldChar w:fldCharType="end"/>
            </w:r>
          </w:p>
        </w:tc>
        <w:tc>
          <w:tcPr>
            <w:tcW w:w="573" w:type="dxa"/>
            <w:tcMar>
              <w:left w:w="108" w:type="dxa"/>
            </w:tcMar>
            <w:vAlign w:val="center"/>
          </w:tcPr>
          <w:p w:rsidR="003F3C83" w:rsidRPr="003F3C83" w:rsidRDefault="003F3C83" w:rsidP="000D7E0A">
            <w:pPr>
              <w:jc w:val="center"/>
            </w:pPr>
            <w:r w:rsidRPr="003F3C83">
              <w:fldChar w:fldCharType="begin">
                <w:ffData>
                  <w:name w:val="Check4"/>
                  <w:enabled/>
                  <w:calcOnExit w:val="0"/>
                  <w:checkBox>
                    <w:sizeAuto/>
                    <w:default w:val="0"/>
                  </w:checkBox>
                </w:ffData>
              </w:fldChar>
            </w:r>
            <w:r w:rsidRPr="003F3C83">
              <w:instrText xml:space="preserve"> FORMCHECKBOX </w:instrText>
            </w:r>
            <w:r w:rsidR="00CA1681">
              <w:fldChar w:fldCharType="separate"/>
            </w:r>
            <w:r w:rsidRPr="003F3C83">
              <w:fldChar w:fldCharType="end"/>
            </w:r>
          </w:p>
        </w:tc>
        <w:tc>
          <w:tcPr>
            <w:tcW w:w="570" w:type="dxa"/>
            <w:tcMar>
              <w:left w:w="108" w:type="dxa"/>
            </w:tcMar>
            <w:vAlign w:val="center"/>
          </w:tcPr>
          <w:p w:rsidR="003F3C83" w:rsidRDefault="003F3C83" w:rsidP="000D7E0A">
            <w:pPr>
              <w:jc w:val="center"/>
            </w:pPr>
            <w:r w:rsidRPr="003F3C83">
              <w:fldChar w:fldCharType="begin">
                <w:ffData>
                  <w:name w:val="Check4"/>
                  <w:enabled/>
                  <w:calcOnExit w:val="0"/>
                  <w:checkBox>
                    <w:sizeAuto/>
                    <w:default w:val="0"/>
                  </w:checkBox>
                </w:ffData>
              </w:fldChar>
            </w:r>
            <w:r w:rsidRPr="003F3C83">
              <w:instrText xml:space="preserve"> FORMCHECKBOX </w:instrText>
            </w:r>
            <w:r w:rsidR="00CA1681">
              <w:fldChar w:fldCharType="separate"/>
            </w:r>
            <w:r w:rsidRPr="003F3C83">
              <w:fldChar w:fldCharType="end"/>
            </w:r>
          </w:p>
        </w:tc>
      </w:tr>
      <w:tr w:rsidR="00680245" w:rsidRPr="00CC242B"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24.50</w:t>
            </w:r>
          </w:p>
        </w:tc>
        <w:tc>
          <w:tcPr>
            <w:tcW w:w="7071" w:type="dxa"/>
            <w:tcMar>
              <w:left w:w="108" w:type="dxa"/>
            </w:tcMar>
          </w:tcPr>
          <w:p w:rsidR="00680245" w:rsidRPr="00ED2C18" w:rsidRDefault="00680245" w:rsidP="00D73E98">
            <w:pPr>
              <w:pStyle w:val="Commentiriquadro"/>
            </w:pPr>
            <w:r>
              <w:t>Per i beni immateriali il costo di acquisto comprende anche i costi accessori. Rientrano fra i costi accessori: spese di registrazione, iva indetraibile, consulenze tecniche specifiche, ecc. Gli sconti incondizionati in fattura sono portati a riduzione del costo.</w:t>
            </w:r>
          </w:p>
        </w:tc>
        <w:tc>
          <w:tcPr>
            <w:tcW w:w="575" w:type="dxa"/>
            <w:tcMar>
              <w:left w:w="85" w:type="dxa"/>
              <w:right w:w="85" w:type="dxa"/>
            </w:tcMar>
            <w:vAlign w:val="center"/>
          </w:tcPr>
          <w:p w:rsidR="00680245" w:rsidRPr="00C94E4E" w:rsidRDefault="00680245" w:rsidP="00D73E98">
            <w:pPr>
              <w:jc w:val="center"/>
              <w:rPr>
                <w:lang w:val="it-IT"/>
              </w:rPr>
            </w:pPr>
          </w:p>
        </w:tc>
        <w:tc>
          <w:tcPr>
            <w:tcW w:w="573" w:type="dxa"/>
            <w:tcMar>
              <w:left w:w="108" w:type="dxa"/>
            </w:tcMar>
            <w:vAlign w:val="center"/>
          </w:tcPr>
          <w:p w:rsidR="00680245" w:rsidRPr="00C94E4E" w:rsidRDefault="00680245" w:rsidP="00D73E98">
            <w:pPr>
              <w:jc w:val="center"/>
              <w:rPr>
                <w:lang w:val="it-IT"/>
              </w:rPr>
            </w:pPr>
          </w:p>
        </w:tc>
        <w:tc>
          <w:tcPr>
            <w:tcW w:w="570" w:type="dxa"/>
            <w:tcMar>
              <w:left w:w="108" w:type="dxa"/>
            </w:tcMar>
            <w:vAlign w:val="center"/>
          </w:tcPr>
          <w:p w:rsidR="00680245" w:rsidRPr="00C94E4E" w:rsidRDefault="00680245" w:rsidP="00D73E98">
            <w:pPr>
              <w:jc w:val="center"/>
              <w:rPr>
                <w:lang w:val="it-IT"/>
              </w:rPr>
            </w:pPr>
          </w:p>
        </w:tc>
      </w:tr>
      <w:tr w:rsidR="00680245" w:rsidRPr="00CC242B"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24.51</w:t>
            </w:r>
          </w:p>
        </w:tc>
        <w:tc>
          <w:tcPr>
            <w:tcW w:w="7071" w:type="dxa"/>
            <w:tcMar>
              <w:left w:w="108" w:type="dxa"/>
            </w:tcMar>
          </w:tcPr>
          <w:p w:rsidR="00680245" w:rsidRDefault="00680245" w:rsidP="00D73E98">
            <w:pPr>
              <w:pStyle w:val="Commentiriquadro"/>
            </w:pPr>
            <w:r>
              <w:t>Nel caso in cui il bene immateriale sia generato internamente, il costo di produzione comprende tutti i costi direttamente imputabili all’immobilizzazione immateriale. Può comprendere anche altri costi, per la quota ragionevolmente imputabile all’immobilizzazione, relativi al periodo di produzione e fino al momento dal quale il bene immateriale può essere utilizzato; con gli stessi criteri possono essere aggiunti gli oneri relativi al finanziamento della produzione, interna o presso terzi, con le medesime modalità previste dall’OIC 16.</w:t>
            </w:r>
          </w:p>
        </w:tc>
        <w:tc>
          <w:tcPr>
            <w:tcW w:w="575" w:type="dxa"/>
            <w:tcMar>
              <w:left w:w="85" w:type="dxa"/>
              <w:right w:w="85" w:type="dxa"/>
            </w:tcMar>
            <w:vAlign w:val="center"/>
          </w:tcPr>
          <w:p w:rsidR="00680245" w:rsidRPr="00F0679B" w:rsidRDefault="00680245" w:rsidP="00D73E98">
            <w:pPr>
              <w:jc w:val="center"/>
              <w:rPr>
                <w:lang w:val="it-IT"/>
              </w:rPr>
            </w:pPr>
          </w:p>
        </w:tc>
        <w:tc>
          <w:tcPr>
            <w:tcW w:w="573" w:type="dxa"/>
            <w:tcMar>
              <w:left w:w="108" w:type="dxa"/>
            </w:tcMar>
            <w:vAlign w:val="center"/>
          </w:tcPr>
          <w:p w:rsidR="00680245" w:rsidRPr="00F0679B" w:rsidRDefault="00680245" w:rsidP="00D73E98">
            <w:pPr>
              <w:jc w:val="center"/>
              <w:rPr>
                <w:lang w:val="it-IT"/>
              </w:rPr>
            </w:pPr>
          </w:p>
        </w:tc>
        <w:tc>
          <w:tcPr>
            <w:tcW w:w="570" w:type="dxa"/>
            <w:tcMar>
              <w:left w:w="108" w:type="dxa"/>
            </w:tcMar>
            <w:vAlign w:val="center"/>
          </w:tcPr>
          <w:p w:rsidR="00680245" w:rsidRPr="00F0679B" w:rsidRDefault="00680245" w:rsidP="00D73E98">
            <w:pPr>
              <w:jc w:val="center"/>
              <w:rPr>
                <w:lang w:val="it-IT"/>
              </w:rPr>
            </w:pPr>
          </w:p>
        </w:tc>
      </w:tr>
      <w:tr w:rsidR="00680245" w:rsidRPr="00CC242B"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24.52</w:t>
            </w:r>
          </w:p>
        </w:tc>
        <w:tc>
          <w:tcPr>
            <w:tcW w:w="7071" w:type="dxa"/>
            <w:tcMar>
              <w:left w:w="108" w:type="dxa"/>
            </w:tcMar>
          </w:tcPr>
          <w:p w:rsidR="00680245" w:rsidRPr="00F0679B" w:rsidRDefault="00680245" w:rsidP="00D73E98">
            <w:pPr>
              <w:pStyle w:val="Commentiriquadro"/>
            </w:pPr>
            <w:r>
              <w:t>Possono essere capitalizzati solo i costi sostenuti per l’acquisto o la produzione di nuovi beni immateriali (costi originari) e per migliorare, modificare, o rinnovare beni immateriali già esistenti, purché tali costi producano un incremento significativo e misurabile di capacità, di produttività ovvero ne prolunghino la vita utile. I costi sono capitalizzabili nel limite del valore recuperabile del bene.</w:t>
            </w:r>
          </w:p>
        </w:tc>
        <w:tc>
          <w:tcPr>
            <w:tcW w:w="575" w:type="dxa"/>
            <w:tcMar>
              <w:left w:w="85" w:type="dxa"/>
              <w:right w:w="85" w:type="dxa"/>
            </w:tcMar>
            <w:vAlign w:val="center"/>
          </w:tcPr>
          <w:p w:rsidR="00680245" w:rsidRPr="00F0679B" w:rsidRDefault="00680245" w:rsidP="00D73E98">
            <w:pPr>
              <w:jc w:val="center"/>
              <w:rPr>
                <w:lang w:val="it-IT"/>
              </w:rPr>
            </w:pPr>
          </w:p>
        </w:tc>
        <w:tc>
          <w:tcPr>
            <w:tcW w:w="573" w:type="dxa"/>
            <w:tcMar>
              <w:left w:w="108" w:type="dxa"/>
            </w:tcMar>
            <w:vAlign w:val="center"/>
          </w:tcPr>
          <w:p w:rsidR="00680245" w:rsidRPr="00F0679B" w:rsidRDefault="00680245" w:rsidP="00D73E98">
            <w:pPr>
              <w:jc w:val="center"/>
              <w:rPr>
                <w:lang w:val="it-IT"/>
              </w:rPr>
            </w:pPr>
          </w:p>
        </w:tc>
        <w:tc>
          <w:tcPr>
            <w:tcW w:w="570" w:type="dxa"/>
            <w:tcMar>
              <w:left w:w="108" w:type="dxa"/>
            </w:tcMar>
            <w:vAlign w:val="center"/>
          </w:tcPr>
          <w:p w:rsidR="00680245" w:rsidRPr="00F0679B" w:rsidRDefault="00680245" w:rsidP="00D73E98">
            <w:pPr>
              <w:jc w:val="center"/>
              <w:rPr>
                <w:lang w:val="it-IT"/>
              </w:rPr>
            </w:pP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17)</w:t>
            </w:r>
          </w:p>
        </w:tc>
        <w:tc>
          <w:tcPr>
            <w:tcW w:w="851" w:type="dxa"/>
            <w:tcMar>
              <w:left w:w="108" w:type="dxa"/>
              <w:right w:w="0" w:type="dxa"/>
            </w:tcMar>
          </w:tcPr>
          <w:p w:rsidR="00680245" w:rsidRDefault="00680245" w:rsidP="00D73E98">
            <w:pPr>
              <w:pStyle w:val="PrincCont"/>
              <w:jc w:val="left"/>
              <w:rPr>
                <w:lang w:val="it-IT"/>
              </w:rPr>
            </w:pPr>
            <w:r>
              <w:rPr>
                <w:lang w:val="it-IT"/>
              </w:rPr>
              <w:t>OIC 24.53</w:t>
            </w:r>
          </w:p>
        </w:tc>
        <w:tc>
          <w:tcPr>
            <w:tcW w:w="7071" w:type="dxa"/>
            <w:tcMar>
              <w:left w:w="108" w:type="dxa"/>
            </w:tcMar>
          </w:tcPr>
          <w:p w:rsidR="00680245" w:rsidRPr="00DF74E6" w:rsidRDefault="00680245" w:rsidP="00D73E98">
            <w:pPr>
              <w:spacing w:line="230" w:lineRule="exact"/>
              <w:rPr>
                <w:lang w:val="it-IT"/>
              </w:rPr>
            </w:pPr>
            <w:r>
              <w:rPr>
                <w:lang w:val="it-IT"/>
              </w:rPr>
              <w:t>È stato rispettato il divieto di capitalizzare i</w:t>
            </w:r>
            <w:r w:rsidRPr="004C2A01">
              <w:rPr>
                <w:lang w:val="it-IT"/>
              </w:rPr>
              <w:t xml:space="preserve"> beni immateriali ricevuti a titolo gratuito, sia per la mancanza del</w:t>
            </w:r>
            <w:r>
              <w:rPr>
                <w:lang w:val="it-IT"/>
              </w:rPr>
              <w:t xml:space="preserve"> </w:t>
            </w:r>
            <w:r w:rsidRPr="004C2A01">
              <w:rPr>
                <w:lang w:val="it-IT"/>
              </w:rPr>
              <w:t>sostenimento del costo di acquisto sia perché generalmente non è possibile individuare elementi</w:t>
            </w:r>
            <w:r>
              <w:rPr>
                <w:lang w:val="it-IT"/>
              </w:rPr>
              <w:t xml:space="preserve"> valutativi attendibili</w:t>
            </w:r>
            <w:r w:rsidRPr="00DF74E6">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042F2E">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042F2E">
              <w:rPr>
                <w:lang w:val="it-IT"/>
              </w:rP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042F2E">
              <w:rPr>
                <w:lang w:val="it-IT"/>
              </w:rPr>
              <w:instrText xml:space="preserve"> FORMCHECKBOX </w:instrText>
            </w:r>
            <w:r w:rsidR="00CA1681">
              <w:fldChar w:fldCharType="separate"/>
            </w:r>
            <w:r>
              <w:fldChar w:fldCharType="end"/>
            </w:r>
          </w:p>
        </w:tc>
      </w:tr>
      <w:tr w:rsidR="00680245" w:rsidRPr="00F01072"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99703D" w:rsidRDefault="00680245" w:rsidP="00D73E98">
            <w:pPr>
              <w:pStyle w:val="Titolo2"/>
              <w:keepNext w:val="0"/>
              <w:rPr>
                <w:i/>
                <w:sz w:val="20"/>
              </w:rPr>
            </w:pPr>
            <w:r>
              <w:rPr>
                <w:i/>
                <w:sz w:val="20"/>
              </w:rPr>
              <w:t>Avviamento</w:t>
            </w:r>
          </w:p>
        </w:tc>
        <w:tc>
          <w:tcPr>
            <w:tcW w:w="575" w:type="dxa"/>
            <w:tcMar>
              <w:left w:w="85" w:type="dxa"/>
              <w:right w:w="85" w:type="dxa"/>
            </w:tcMar>
            <w:vAlign w:val="center"/>
          </w:tcPr>
          <w:p w:rsidR="00680245" w:rsidRPr="009D08A3" w:rsidRDefault="00680245" w:rsidP="00D73E98">
            <w:pPr>
              <w:jc w:val="center"/>
              <w:rPr>
                <w:lang w:val="it-IT"/>
              </w:rPr>
            </w:pPr>
          </w:p>
        </w:tc>
        <w:tc>
          <w:tcPr>
            <w:tcW w:w="573" w:type="dxa"/>
            <w:tcMar>
              <w:left w:w="108" w:type="dxa"/>
            </w:tcMar>
            <w:vAlign w:val="center"/>
          </w:tcPr>
          <w:p w:rsidR="00680245" w:rsidRPr="009D08A3" w:rsidRDefault="00680245" w:rsidP="00D73E98">
            <w:pPr>
              <w:jc w:val="center"/>
              <w:rPr>
                <w:lang w:val="it-IT"/>
              </w:rPr>
            </w:pPr>
          </w:p>
        </w:tc>
        <w:tc>
          <w:tcPr>
            <w:tcW w:w="570" w:type="dxa"/>
            <w:tcMar>
              <w:left w:w="108" w:type="dxa"/>
            </w:tcMar>
            <w:vAlign w:val="center"/>
          </w:tcPr>
          <w:p w:rsidR="00680245" w:rsidRPr="009D08A3" w:rsidRDefault="00680245" w:rsidP="00D73E98">
            <w:pPr>
              <w:jc w:val="center"/>
              <w:rPr>
                <w:lang w:val="it-IT"/>
              </w:rPr>
            </w:pPr>
          </w:p>
        </w:tc>
      </w:tr>
      <w:tr w:rsidR="00680245" w:rsidRPr="00CC242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24.54</w:t>
            </w:r>
          </w:p>
        </w:tc>
        <w:tc>
          <w:tcPr>
            <w:tcW w:w="7071" w:type="dxa"/>
            <w:tcMar>
              <w:left w:w="108" w:type="dxa"/>
            </w:tcMar>
          </w:tcPr>
          <w:p w:rsidR="00680245" w:rsidRPr="00ED2C18" w:rsidRDefault="00680245" w:rsidP="00D73E98">
            <w:pPr>
              <w:pStyle w:val="Commentiriquadro"/>
            </w:pPr>
            <w:r>
              <w:t xml:space="preserve">L'avviamento può essere generato internamente, ovvero può essere acquisito a titolo oneroso (in seguito all’acquisto di un’azienda o ramo d’azienda). Ai fini della sua iscrizione e del suo trattamento contabile, l’avviamento rappresenta solo la parte di corrispettivo riconosciuta a titolo oneroso, non attribuibile ai singoli elementi patrimoniali acquisiti di un’azienda ma piuttosto riconducibile al suo valore intrinseco, che in generale può essere posto in relazione a motivazioni, quali: il miglioramento del posizionamento dell’impresa sul mercato, l’extra reddito generato da prodotti innovativi o di ampia richiesta, la creazione di </w:t>
            </w:r>
            <w:r w:rsidRPr="005A3FA9">
              <w:t>valore attraverso sinergie produttive o commerciali, ecc.</w:t>
            </w:r>
          </w:p>
        </w:tc>
        <w:tc>
          <w:tcPr>
            <w:tcW w:w="575" w:type="dxa"/>
            <w:tcMar>
              <w:left w:w="85" w:type="dxa"/>
              <w:right w:w="85" w:type="dxa"/>
            </w:tcMar>
            <w:vAlign w:val="center"/>
          </w:tcPr>
          <w:p w:rsidR="00680245" w:rsidRPr="002B5725" w:rsidRDefault="00680245" w:rsidP="00D73E98">
            <w:pPr>
              <w:jc w:val="center"/>
              <w:rPr>
                <w:lang w:val="it-IT"/>
              </w:rPr>
            </w:pPr>
          </w:p>
        </w:tc>
        <w:tc>
          <w:tcPr>
            <w:tcW w:w="573" w:type="dxa"/>
            <w:tcMar>
              <w:left w:w="108" w:type="dxa"/>
            </w:tcMar>
            <w:vAlign w:val="center"/>
          </w:tcPr>
          <w:p w:rsidR="00680245" w:rsidRPr="002B5725" w:rsidRDefault="00680245" w:rsidP="00D73E98">
            <w:pPr>
              <w:jc w:val="center"/>
              <w:rPr>
                <w:lang w:val="it-IT"/>
              </w:rPr>
            </w:pPr>
          </w:p>
        </w:tc>
        <w:tc>
          <w:tcPr>
            <w:tcW w:w="570" w:type="dxa"/>
            <w:tcMar>
              <w:left w:w="108" w:type="dxa"/>
            </w:tcMar>
            <w:vAlign w:val="center"/>
          </w:tcPr>
          <w:p w:rsidR="00680245" w:rsidRPr="002B5725" w:rsidRDefault="00680245" w:rsidP="00D73E98">
            <w:pPr>
              <w:jc w:val="center"/>
              <w:rPr>
                <w:lang w:val="it-IT"/>
              </w:rPr>
            </w:pPr>
          </w:p>
        </w:tc>
      </w:tr>
      <w:tr w:rsidR="00680245" w:rsidRPr="00CC242B"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18)</w:t>
            </w:r>
          </w:p>
        </w:tc>
        <w:tc>
          <w:tcPr>
            <w:tcW w:w="851" w:type="dxa"/>
            <w:tcMar>
              <w:left w:w="108" w:type="dxa"/>
              <w:right w:w="0" w:type="dxa"/>
            </w:tcMar>
          </w:tcPr>
          <w:p w:rsidR="00680245" w:rsidRDefault="00680245" w:rsidP="00D73E98">
            <w:pPr>
              <w:pStyle w:val="PrincCont"/>
              <w:jc w:val="left"/>
              <w:rPr>
                <w:lang w:val="it-IT"/>
              </w:rPr>
            </w:pPr>
            <w:r>
              <w:rPr>
                <w:lang w:val="it-IT"/>
              </w:rPr>
              <w:t>OIC 24.55</w:t>
            </w:r>
          </w:p>
        </w:tc>
        <w:tc>
          <w:tcPr>
            <w:tcW w:w="7071" w:type="dxa"/>
            <w:tcMar>
              <w:left w:w="108" w:type="dxa"/>
            </w:tcMar>
          </w:tcPr>
          <w:p w:rsidR="00680245" w:rsidRPr="0090542B" w:rsidRDefault="00680245" w:rsidP="00D73E98">
            <w:pPr>
              <w:spacing w:line="230" w:lineRule="exact"/>
              <w:rPr>
                <w:lang w:val="it-IT"/>
              </w:rPr>
            </w:pPr>
            <w:r w:rsidRPr="002B5725">
              <w:rPr>
                <w:lang w:val="it-IT"/>
              </w:rPr>
              <w:t>L’avviamento è iscritto tra le immobilizzazioni immateriali se sono sodd</w:t>
            </w:r>
            <w:r>
              <w:rPr>
                <w:lang w:val="it-IT"/>
              </w:rPr>
              <w:t>isfatte le seguenti condizioni:</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90542B" w:rsidRDefault="00F0515C" w:rsidP="00F0515C">
            <w:pPr>
              <w:pStyle w:val="rientrotrattinook"/>
              <w:numPr>
                <w:ilvl w:val="0"/>
                <w:numId w:val="0"/>
              </w:numPr>
              <w:ind w:left="460" w:hanging="284"/>
            </w:pPr>
            <w:r>
              <w:t>-</w:t>
            </w:r>
            <w:r>
              <w:tab/>
            </w:r>
            <w:r w:rsidR="00680245" w:rsidRPr="002B5725">
              <w:t>è acquisito a titolo oneroso (cioè derivi dall’acquisizione di un’azienda o ramo d’azienda oppure da un’operazione di conferimento, di fusione o di scissione</w:t>
            </w:r>
            <w:r w:rsidR="00680245">
              <w:t>)</w:t>
            </w:r>
          </w:p>
        </w:tc>
        <w:tc>
          <w:tcPr>
            <w:tcW w:w="575" w:type="dxa"/>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90542B" w:rsidRDefault="00F0515C" w:rsidP="00F0515C">
            <w:pPr>
              <w:pStyle w:val="rientrotrattinook"/>
              <w:numPr>
                <w:ilvl w:val="0"/>
                <w:numId w:val="0"/>
              </w:numPr>
              <w:ind w:left="460" w:hanging="284"/>
            </w:pPr>
            <w:r>
              <w:t>-</w:t>
            </w:r>
            <w:r>
              <w:tab/>
            </w:r>
            <w:r w:rsidR="00680245" w:rsidRPr="002B5725">
              <w:t>ha un valore quantificabile in quanto i</w:t>
            </w:r>
            <w:r w:rsidR="00680245">
              <w:t>ncluso nel corrispettivo pagato</w:t>
            </w:r>
          </w:p>
        </w:tc>
        <w:tc>
          <w:tcPr>
            <w:tcW w:w="575" w:type="dxa"/>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90542B" w:rsidRDefault="00F0515C" w:rsidP="00F0515C">
            <w:pPr>
              <w:pStyle w:val="rientrotrattinook"/>
              <w:numPr>
                <w:ilvl w:val="0"/>
                <w:numId w:val="0"/>
              </w:numPr>
              <w:ind w:left="460" w:hanging="284"/>
            </w:pPr>
            <w:r>
              <w:t>-</w:t>
            </w:r>
            <w:r>
              <w:tab/>
            </w:r>
            <w:r w:rsidR="00680245" w:rsidRPr="002B5725">
              <w:t>è costituito all’origine da oneri e costi ad utilità differita nel tempo, che garantiscano quindi benefici economici futuri (ad esempio</w:t>
            </w:r>
            <w:r w:rsidR="00680245">
              <w:t xml:space="preserve"> conseguimento di utili futuri)</w:t>
            </w:r>
          </w:p>
        </w:tc>
        <w:tc>
          <w:tcPr>
            <w:tcW w:w="575" w:type="dxa"/>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2B5725" w:rsidRDefault="00F0515C" w:rsidP="00F0515C">
            <w:pPr>
              <w:pStyle w:val="rientrotrattinook"/>
              <w:numPr>
                <w:ilvl w:val="0"/>
                <w:numId w:val="0"/>
              </w:numPr>
              <w:ind w:left="460" w:hanging="284"/>
            </w:pPr>
            <w:r>
              <w:t>-</w:t>
            </w:r>
            <w:r>
              <w:tab/>
            </w:r>
            <w:r w:rsidR="00680245" w:rsidRPr="002B5725">
              <w:t>è soddisfatto il principio della recuperab</w:t>
            </w:r>
            <w:r w:rsidR="00680245">
              <w:t>ilità del relativo costo (e quindi non si è in presenza di un cattivo affare)?</w:t>
            </w:r>
          </w:p>
        </w:tc>
        <w:tc>
          <w:tcPr>
            <w:tcW w:w="575" w:type="dxa"/>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CC242B"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24.56</w:t>
            </w:r>
          </w:p>
        </w:tc>
        <w:tc>
          <w:tcPr>
            <w:tcW w:w="7071" w:type="dxa"/>
            <w:tcMar>
              <w:left w:w="108" w:type="dxa"/>
            </w:tcMar>
          </w:tcPr>
          <w:p w:rsidR="00680245" w:rsidRPr="00ED2C18" w:rsidRDefault="00680245" w:rsidP="00D73E98">
            <w:pPr>
              <w:pStyle w:val="Commentiriquadro"/>
            </w:pPr>
            <w:r>
              <w:t xml:space="preserve">L’avviamento generato internamente non può pertanto essere capitalizzato tra le immobilizzazioni immateriali. </w:t>
            </w:r>
          </w:p>
        </w:tc>
        <w:tc>
          <w:tcPr>
            <w:tcW w:w="575" w:type="dxa"/>
            <w:tcMar>
              <w:left w:w="85" w:type="dxa"/>
              <w:right w:w="85" w:type="dxa"/>
            </w:tcMar>
            <w:vAlign w:val="center"/>
          </w:tcPr>
          <w:p w:rsidR="00680245" w:rsidRPr="002B5725" w:rsidRDefault="00680245" w:rsidP="00D73E98">
            <w:pPr>
              <w:jc w:val="center"/>
              <w:rPr>
                <w:lang w:val="it-IT"/>
              </w:rPr>
            </w:pPr>
          </w:p>
        </w:tc>
        <w:tc>
          <w:tcPr>
            <w:tcW w:w="573" w:type="dxa"/>
            <w:tcMar>
              <w:left w:w="108" w:type="dxa"/>
            </w:tcMar>
            <w:vAlign w:val="center"/>
          </w:tcPr>
          <w:p w:rsidR="00680245" w:rsidRPr="002B5725" w:rsidRDefault="00680245" w:rsidP="00D73E98">
            <w:pPr>
              <w:jc w:val="center"/>
              <w:rPr>
                <w:lang w:val="it-IT"/>
              </w:rPr>
            </w:pPr>
          </w:p>
        </w:tc>
        <w:tc>
          <w:tcPr>
            <w:tcW w:w="570" w:type="dxa"/>
            <w:tcMar>
              <w:left w:w="108" w:type="dxa"/>
            </w:tcMar>
            <w:vAlign w:val="center"/>
          </w:tcPr>
          <w:p w:rsidR="00680245" w:rsidRPr="002B5725" w:rsidRDefault="00680245" w:rsidP="00D73E98">
            <w:pPr>
              <w:jc w:val="center"/>
              <w:rPr>
                <w:lang w:val="it-IT"/>
              </w:rPr>
            </w:pPr>
          </w:p>
        </w:tc>
      </w:tr>
      <w:tr w:rsidR="00680245" w:rsidRPr="00CC242B"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24.57</w:t>
            </w:r>
          </w:p>
        </w:tc>
        <w:tc>
          <w:tcPr>
            <w:tcW w:w="7071" w:type="dxa"/>
            <w:tcMar>
              <w:left w:w="108" w:type="dxa"/>
            </w:tcMar>
          </w:tcPr>
          <w:p w:rsidR="00680245" w:rsidRPr="00ED2C18" w:rsidRDefault="00680245" w:rsidP="00D73E98">
            <w:pPr>
              <w:pStyle w:val="Commentiriquadro"/>
            </w:pPr>
            <w:r>
              <w:t>L'avviamento non è suscettibile di vita propria indipendente e separata dal complesso aziendale e non può essere considerato come un bene immateriale a sé stante, oggetto di diritti e rapporti autonomi: esso rappresenta una qualità dell’azienda.</w:t>
            </w:r>
          </w:p>
        </w:tc>
        <w:tc>
          <w:tcPr>
            <w:tcW w:w="575" w:type="dxa"/>
            <w:tcMar>
              <w:left w:w="85" w:type="dxa"/>
              <w:right w:w="85" w:type="dxa"/>
            </w:tcMar>
            <w:vAlign w:val="center"/>
          </w:tcPr>
          <w:p w:rsidR="00680245" w:rsidRPr="002B5725" w:rsidRDefault="00680245" w:rsidP="00D73E98">
            <w:pPr>
              <w:jc w:val="center"/>
              <w:rPr>
                <w:lang w:val="it-IT"/>
              </w:rPr>
            </w:pPr>
          </w:p>
        </w:tc>
        <w:tc>
          <w:tcPr>
            <w:tcW w:w="573" w:type="dxa"/>
            <w:tcMar>
              <w:left w:w="108" w:type="dxa"/>
            </w:tcMar>
            <w:vAlign w:val="center"/>
          </w:tcPr>
          <w:p w:rsidR="00680245" w:rsidRPr="002B5725" w:rsidRDefault="00680245" w:rsidP="00D73E98">
            <w:pPr>
              <w:jc w:val="center"/>
              <w:rPr>
                <w:lang w:val="it-IT"/>
              </w:rPr>
            </w:pPr>
          </w:p>
        </w:tc>
        <w:tc>
          <w:tcPr>
            <w:tcW w:w="570" w:type="dxa"/>
            <w:tcMar>
              <w:left w:w="108" w:type="dxa"/>
            </w:tcMar>
            <w:vAlign w:val="center"/>
          </w:tcPr>
          <w:p w:rsidR="00680245" w:rsidRPr="002B5725" w:rsidRDefault="00680245" w:rsidP="00D73E98">
            <w:pPr>
              <w:jc w:val="center"/>
              <w:rPr>
                <w:lang w:val="it-IT"/>
              </w:rPr>
            </w:pPr>
          </w:p>
        </w:tc>
      </w:tr>
      <w:tr w:rsidR="00680245" w:rsidRPr="00CC242B"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24.58</w:t>
            </w:r>
          </w:p>
        </w:tc>
        <w:tc>
          <w:tcPr>
            <w:tcW w:w="7071" w:type="dxa"/>
            <w:tcMar>
              <w:left w:w="108" w:type="dxa"/>
            </w:tcMar>
          </w:tcPr>
          <w:p w:rsidR="00680245" w:rsidRPr="00ED2C18" w:rsidRDefault="00680245" w:rsidP="00D73E98">
            <w:pPr>
              <w:pStyle w:val="Commentiriquadro"/>
            </w:pPr>
            <w:r>
              <w:t>Il valore dell'avviamento si determina per differenza fra il prezzo complessivo sostenuto per l'acquisizione dell'azienda o ramo d’azienda (o il valore di conferimento della medesima o il costo di acquisizione della società incorporata o fusa, o del patrimonio trasferito dalla società scissa alla società beneficiaria) ed il valore corrente attribuito agli altri elementi patrimoniali attivi e passivi che vengono trasferiti.</w:t>
            </w:r>
          </w:p>
        </w:tc>
        <w:tc>
          <w:tcPr>
            <w:tcW w:w="575" w:type="dxa"/>
            <w:tcMar>
              <w:left w:w="85" w:type="dxa"/>
              <w:right w:w="85" w:type="dxa"/>
            </w:tcMar>
            <w:vAlign w:val="center"/>
          </w:tcPr>
          <w:p w:rsidR="00680245" w:rsidRPr="002B5725" w:rsidRDefault="00680245" w:rsidP="00D73E98">
            <w:pPr>
              <w:jc w:val="center"/>
              <w:rPr>
                <w:lang w:val="it-IT"/>
              </w:rPr>
            </w:pPr>
          </w:p>
        </w:tc>
        <w:tc>
          <w:tcPr>
            <w:tcW w:w="573" w:type="dxa"/>
            <w:tcMar>
              <w:left w:w="108" w:type="dxa"/>
            </w:tcMar>
            <w:vAlign w:val="center"/>
          </w:tcPr>
          <w:p w:rsidR="00680245" w:rsidRPr="002B5725" w:rsidRDefault="00680245" w:rsidP="00D73E98">
            <w:pPr>
              <w:jc w:val="center"/>
              <w:rPr>
                <w:lang w:val="it-IT"/>
              </w:rPr>
            </w:pPr>
          </w:p>
        </w:tc>
        <w:tc>
          <w:tcPr>
            <w:tcW w:w="570" w:type="dxa"/>
            <w:tcMar>
              <w:left w:w="108" w:type="dxa"/>
            </w:tcMar>
            <w:vAlign w:val="center"/>
          </w:tcPr>
          <w:p w:rsidR="00680245" w:rsidRPr="002B5725" w:rsidRDefault="00680245" w:rsidP="00D73E98">
            <w:pPr>
              <w:jc w:val="center"/>
              <w:rPr>
                <w:lang w:val="it-IT"/>
              </w:rPr>
            </w:pPr>
          </w:p>
        </w:tc>
      </w:tr>
      <w:tr w:rsidR="00680245" w:rsidRPr="00CC242B"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5A3FA9" w:rsidRDefault="00680245" w:rsidP="00D73E98">
            <w:pPr>
              <w:pStyle w:val="Titolo2"/>
              <w:rPr>
                <w:i/>
                <w:sz w:val="20"/>
                <w:lang w:val="it-IT"/>
              </w:rPr>
            </w:pPr>
            <w:r w:rsidRPr="005A3FA9">
              <w:rPr>
                <w:i/>
                <w:sz w:val="20"/>
                <w:lang w:val="it-IT"/>
              </w:rPr>
              <w:t>Immobilizzazioni in corso e acconti</w:t>
            </w:r>
          </w:p>
        </w:tc>
        <w:tc>
          <w:tcPr>
            <w:tcW w:w="575" w:type="dxa"/>
            <w:tcMar>
              <w:left w:w="85" w:type="dxa"/>
              <w:right w:w="85" w:type="dxa"/>
            </w:tcMar>
            <w:vAlign w:val="center"/>
          </w:tcPr>
          <w:p w:rsidR="00680245" w:rsidRPr="00C62102" w:rsidRDefault="00680245" w:rsidP="00D73E98">
            <w:pPr>
              <w:jc w:val="center"/>
              <w:rPr>
                <w:lang w:val="it-IT"/>
              </w:rPr>
            </w:pPr>
          </w:p>
        </w:tc>
        <w:tc>
          <w:tcPr>
            <w:tcW w:w="573" w:type="dxa"/>
            <w:tcMar>
              <w:left w:w="108" w:type="dxa"/>
            </w:tcMar>
            <w:vAlign w:val="center"/>
          </w:tcPr>
          <w:p w:rsidR="00680245" w:rsidRPr="00C62102" w:rsidRDefault="00680245" w:rsidP="00D73E98">
            <w:pPr>
              <w:jc w:val="center"/>
              <w:rPr>
                <w:lang w:val="it-IT"/>
              </w:rPr>
            </w:pPr>
          </w:p>
        </w:tc>
        <w:tc>
          <w:tcPr>
            <w:tcW w:w="570" w:type="dxa"/>
            <w:tcMar>
              <w:left w:w="108" w:type="dxa"/>
            </w:tcMar>
            <w:vAlign w:val="center"/>
          </w:tcPr>
          <w:p w:rsidR="00680245" w:rsidRPr="00C62102" w:rsidRDefault="00680245" w:rsidP="00D73E98">
            <w:pPr>
              <w:jc w:val="center"/>
              <w:rPr>
                <w:lang w:val="it-IT"/>
              </w:rPr>
            </w:pP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19)</w:t>
            </w:r>
          </w:p>
        </w:tc>
        <w:tc>
          <w:tcPr>
            <w:tcW w:w="851" w:type="dxa"/>
            <w:tcMar>
              <w:left w:w="108" w:type="dxa"/>
              <w:right w:w="0" w:type="dxa"/>
            </w:tcMar>
          </w:tcPr>
          <w:p w:rsidR="00680245" w:rsidRDefault="00680245" w:rsidP="00D73E98">
            <w:pPr>
              <w:pStyle w:val="PrincCont"/>
              <w:jc w:val="left"/>
              <w:rPr>
                <w:lang w:val="it-IT"/>
              </w:rPr>
            </w:pPr>
            <w:r>
              <w:rPr>
                <w:lang w:val="it-IT"/>
              </w:rPr>
              <w:t>OIC 24.59</w:t>
            </w:r>
          </w:p>
        </w:tc>
        <w:tc>
          <w:tcPr>
            <w:tcW w:w="7071" w:type="dxa"/>
            <w:tcMar>
              <w:left w:w="108" w:type="dxa"/>
            </w:tcMar>
          </w:tcPr>
          <w:p w:rsidR="00680245" w:rsidRPr="009D08A3" w:rsidRDefault="00680245" w:rsidP="00D73E98">
            <w:pPr>
              <w:spacing w:line="230" w:lineRule="exact"/>
              <w:rPr>
                <w:lang w:val="it-IT"/>
              </w:rPr>
            </w:pPr>
            <w:r w:rsidRPr="00DC55B2">
              <w:rPr>
                <w:lang w:val="it-IT"/>
              </w:rPr>
              <w:t>Gli acconti ai fornitori per l’acquisto di immobilizzazioni immateriali iscritti nella voce BI6 sono</w:t>
            </w:r>
            <w:r>
              <w:rPr>
                <w:lang w:val="it-IT"/>
              </w:rPr>
              <w:t xml:space="preserve"> </w:t>
            </w:r>
            <w:r w:rsidRPr="00DC55B2">
              <w:rPr>
                <w:lang w:val="it-IT"/>
              </w:rPr>
              <w:t>rilevati inizialmente alla data in cui sorge l’obbligo al pagamento di tali importi</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D46C24"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20)</w:t>
            </w:r>
          </w:p>
        </w:tc>
        <w:tc>
          <w:tcPr>
            <w:tcW w:w="851" w:type="dxa"/>
            <w:tcMar>
              <w:left w:w="108" w:type="dxa"/>
              <w:right w:w="0" w:type="dxa"/>
            </w:tcMar>
          </w:tcPr>
          <w:p w:rsidR="00680245" w:rsidRDefault="00680245" w:rsidP="00D73E98">
            <w:pPr>
              <w:pStyle w:val="PrincCont"/>
              <w:jc w:val="left"/>
              <w:rPr>
                <w:lang w:val="it-IT"/>
              </w:rPr>
            </w:pPr>
            <w:r>
              <w:rPr>
                <w:lang w:val="it-IT"/>
              </w:rPr>
              <w:t>OIC 24.59</w:t>
            </w:r>
          </w:p>
        </w:tc>
        <w:tc>
          <w:tcPr>
            <w:tcW w:w="7071" w:type="dxa"/>
            <w:tcMar>
              <w:left w:w="108" w:type="dxa"/>
            </w:tcMar>
          </w:tcPr>
          <w:p w:rsidR="00680245" w:rsidRPr="002B5725" w:rsidRDefault="00680245" w:rsidP="00D73E98">
            <w:pPr>
              <w:spacing w:line="230" w:lineRule="exact"/>
              <w:rPr>
                <w:lang w:val="it-IT"/>
              </w:rPr>
            </w:pPr>
            <w:r>
              <w:rPr>
                <w:lang w:val="it-IT"/>
              </w:rPr>
              <w:t xml:space="preserve">Le immobilizzazioni immateriali in corso sono esposte al costo storico </w:t>
            </w:r>
            <w:r w:rsidRPr="00DC55B2">
              <w:rPr>
                <w:lang w:val="it-IT"/>
              </w:rPr>
              <w:t xml:space="preserve">nella voce BI6 </w:t>
            </w:r>
            <w:r>
              <w:rPr>
                <w:lang w:val="it-IT"/>
              </w:rPr>
              <w:t>fino a quando non è stata acquistata la titolarità del diritto o non sia stato completato il progetto e, in quel momento, tali valori sono riclassificati alle rispettive voci di competenza delle immobilizzazioni immateriali?</w:t>
            </w:r>
          </w:p>
        </w:tc>
        <w:tc>
          <w:tcPr>
            <w:tcW w:w="575" w:type="dxa"/>
            <w:tcMar>
              <w:left w:w="85" w:type="dxa"/>
              <w:right w:w="85" w:type="dxa"/>
            </w:tcMar>
            <w:vAlign w:val="center"/>
          </w:tcPr>
          <w:p w:rsidR="00680245" w:rsidRPr="00D46C24"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D46C24"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D46C24"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F01072"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71081D" w:rsidRDefault="00680245" w:rsidP="00D73E98">
            <w:pPr>
              <w:pStyle w:val="Titolo2"/>
              <w:rPr>
                <w:sz w:val="20"/>
              </w:rPr>
            </w:pPr>
            <w:r>
              <w:t>Valutazione e rilevazioni successive</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F01072"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135D46" w:rsidRDefault="00680245" w:rsidP="00D73E98">
            <w:pPr>
              <w:pStyle w:val="Titolo2"/>
              <w:rPr>
                <w:i/>
                <w:sz w:val="20"/>
              </w:rPr>
            </w:pPr>
            <w:r w:rsidRPr="00135D46">
              <w:rPr>
                <w:i/>
                <w:sz w:val="20"/>
              </w:rPr>
              <w:t>Ammortamento</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24.60</w:t>
            </w:r>
          </w:p>
        </w:tc>
        <w:tc>
          <w:tcPr>
            <w:tcW w:w="7071" w:type="dxa"/>
            <w:tcMar>
              <w:left w:w="108" w:type="dxa"/>
            </w:tcMar>
          </w:tcPr>
          <w:p w:rsidR="00680245" w:rsidRPr="00ED2C18" w:rsidRDefault="00680245" w:rsidP="00D73E98">
            <w:pPr>
              <w:pStyle w:val="Commentiriquadro"/>
            </w:pPr>
            <w:r>
              <w:t>Il costo delle immobilizzazioni immateriali, la cui utilizzazione è limitata nel tempo, deve essere sistematicamente ammortizzato in ogni esercizio in relazione con la loro residua possibilità di utilizzazione. La quota di ammortamento imputata a ciascun esercizio si riferisce alla ripartizione del costo sostenuto sull’intera durata di utilizzazione.</w:t>
            </w:r>
          </w:p>
        </w:tc>
        <w:tc>
          <w:tcPr>
            <w:tcW w:w="575" w:type="dxa"/>
            <w:tcMar>
              <w:left w:w="85" w:type="dxa"/>
              <w:right w:w="85" w:type="dxa"/>
            </w:tcMar>
            <w:vAlign w:val="center"/>
          </w:tcPr>
          <w:p w:rsidR="00680245" w:rsidRPr="00A21E88" w:rsidRDefault="00680245" w:rsidP="00D73E98">
            <w:pPr>
              <w:jc w:val="center"/>
              <w:rPr>
                <w:lang w:val="it-IT"/>
              </w:rPr>
            </w:pPr>
          </w:p>
        </w:tc>
        <w:tc>
          <w:tcPr>
            <w:tcW w:w="573" w:type="dxa"/>
            <w:tcMar>
              <w:left w:w="108" w:type="dxa"/>
            </w:tcMar>
            <w:vAlign w:val="center"/>
          </w:tcPr>
          <w:p w:rsidR="00680245" w:rsidRPr="00A21E88" w:rsidRDefault="00680245" w:rsidP="00D73E98">
            <w:pPr>
              <w:jc w:val="center"/>
              <w:rPr>
                <w:lang w:val="it-IT"/>
              </w:rPr>
            </w:pPr>
          </w:p>
        </w:tc>
        <w:tc>
          <w:tcPr>
            <w:tcW w:w="570" w:type="dxa"/>
            <w:tcMar>
              <w:left w:w="108" w:type="dxa"/>
            </w:tcMar>
            <w:vAlign w:val="center"/>
          </w:tcPr>
          <w:p w:rsidR="00680245" w:rsidRPr="00A21E88" w:rsidRDefault="00680245" w:rsidP="00D73E98">
            <w:pPr>
              <w:jc w:val="center"/>
              <w:rPr>
                <w:lang w:val="it-IT"/>
              </w:rPr>
            </w:pPr>
          </w:p>
        </w:tc>
      </w:tr>
      <w:tr w:rsidR="00680245" w:rsidRPr="00F0679B"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21)</w:t>
            </w:r>
          </w:p>
        </w:tc>
        <w:tc>
          <w:tcPr>
            <w:tcW w:w="851" w:type="dxa"/>
            <w:tcMar>
              <w:left w:w="108" w:type="dxa"/>
              <w:right w:w="0" w:type="dxa"/>
            </w:tcMar>
          </w:tcPr>
          <w:p w:rsidR="00680245" w:rsidRDefault="00680245" w:rsidP="00D73E98">
            <w:pPr>
              <w:pStyle w:val="PrincCont"/>
              <w:jc w:val="left"/>
              <w:rPr>
                <w:lang w:val="it-IT"/>
              </w:rPr>
            </w:pPr>
            <w:r>
              <w:rPr>
                <w:lang w:val="it-IT"/>
              </w:rPr>
              <w:t>OIC 24.61</w:t>
            </w:r>
          </w:p>
        </w:tc>
        <w:tc>
          <w:tcPr>
            <w:tcW w:w="7071" w:type="dxa"/>
            <w:tcMar>
              <w:left w:w="108" w:type="dxa"/>
            </w:tcMar>
          </w:tcPr>
          <w:p w:rsidR="00680245" w:rsidRPr="00EA46CB" w:rsidRDefault="00680245" w:rsidP="00D73E98">
            <w:pPr>
              <w:spacing w:line="230" w:lineRule="exact"/>
              <w:rPr>
                <w:lang w:val="it-IT"/>
              </w:rPr>
            </w:pPr>
            <w:r w:rsidRPr="003870E6">
              <w:rPr>
                <w:lang w:val="it-IT"/>
              </w:rPr>
              <w:t>L'ammortamento decorre dal momento in cui l'immobilizzazione è disponibile e pronta per l'uso</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CC242B"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24.62</w:t>
            </w:r>
          </w:p>
        </w:tc>
        <w:tc>
          <w:tcPr>
            <w:tcW w:w="7071" w:type="dxa"/>
            <w:tcMar>
              <w:left w:w="108" w:type="dxa"/>
            </w:tcMar>
          </w:tcPr>
          <w:p w:rsidR="00680245" w:rsidRPr="00ED2C18" w:rsidRDefault="00680245" w:rsidP="00D73E98">
            <w:pPr>
              <w:pStyle w:val="Commentiriquadro"/>
            </w:pPr>
            <w:r>
              <w:t>La sistematicità dell’ammortamento è definita nel piano di ammortamento, che è funzionale alla correlazione dei benefici attesi. Oltre all’utilizzo di piani di ammortamento a quote costanti, è ammesso anche l'utilizzo di piani a quote decrescenti, oppure parametrati ad altre variabili quantitative.</w:t>
            </w:r>
          </w:p>
        </w:tc>
        <w:tc>
          <w:tcPr>
            <w:tcW w:w="575" w:type="dxa"/>
            <w:tcMar>
              <w:left w:w="85" w:type="dxa"/>
              <w:right w:w="85" w:type="dxa"/>
            </w:tcMar>
            <w:vAlign w:val="center"/>
          </w:tcPr>
          <w:p w:rsidR="00680245" w:rsidRPr="00A21E88" w:rsidRDefault="00680245" w:rsidP="00D73E98">
            <w:pPr>
              <w:jc w:val="center"/>
              <w:rPr>
                <w:lang w:val="it-IT"/>
              </w:rPr>
            </w:pPr>
          </w:p>
        </w:tc>
        <w:tc>
          <w:tcPr>
            <w:tcW w:w="573" w:type="dxa"/>
            <w:tcMar>
              <w:left w:w="108" w:type="dxa"/>
            </w:tcMar>
            <w:vAlign w:val="center"/>
          </w:tcPr>
          <w:p w:rsidR="00680245" w:rsidRPr="00A21E88" w:rsidRDefault="00680245" w:rsidP="00D73E98">
            <w:pPr>
              <w:jc w:val="center"/>
              <w:rPr>
                <w:lang w:val="it-IT"/>
              </w:rPr>
            </w:pPr>
          </w:p>
        </w:tc>
        <w:tc>
          <w:tcPr>
            <w:tcW w:w="570" w:type="dxa"/>
            <w:tcMar>
              <w:left w:w="108" w:type="dxa"/>
            </w:tcMar>
            <w:vAlign w:val="center"/>
          </w:tcPr>
          <w:p w:rsidR="00680245" w:rsidRPr="00A21E88" w:rsidRDefault="00680245" w:rsidP="00D73E98">
            <w:pPr>
              <w:jc w:val="center"/>
              <w:rPr>
                <w:lang w:val="it-IT"/>
              </w:rPr>
            </w:pPr>
          </w:p>
        </w:tc>
      </w:tr>
      <w:tr w:rsidR="00680245" w:rsidRPr="00CC242B"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24.63</w:t>
            </w:r>
          </w:p>
        </w:tc>
        <w:tc>
          <w:tcPr>
            <w:tcW w:w="7071" w:type="dxa"/>
            <w:tcMar>
              <w:left w:w="108" w:type="dxa"/>
            </w:tcMar>
          </w:tcPr>
          <w:p w:rsidR="00680245" w:rsidRDefault="00680245" w:rsidP="00D73E98">
            <w:pPr>
              <w:pStyle w:val="Commentiriquadro"/>
            </w:pPr>
            <w:r>
              <w:t>La sistematicità dell’ammortamento non presuppone necessariamente l’applicazione del metodo a quote costanti. Esso si fonda sull’ipotesi semplificatrice che l’utilità dell’immobilizzazione immateriale oggetto di ammortamento si ripartisca nella stessa misura per ogni anno di vita utile.</w:t>
            </w:r>
          </w:p>
          <w:p w:rsidR="00680245" w:rsidRDefault="00680245" w:rsidP="00D73E98">
            <w:pPr>
              <w:pStyle w:val="Commentiriquadro"/>
            </w:pPr>
            <w:r>
              <w:t>Il metodo di ammortamento a quote costanti è il più diffuso, è di facile applicazione e favorisce la comparabilità dei bilanci. L’ammortamento a quote costanti è ottenuto ripartendo il valore da ammortizzare per il numero degli anni di vita utile.</w:t>
            </w:r>
          </w:p>
          <w:p w:rsidR="00680245" w:rsidRPr="00ED2C18" w:rsidRDefault="00680245" w:rsidP="00D73E98">
            <w:pPr>
              <w:pStyle w:val="Commentiriquadro"/>
            </w:pPr>
            <w:r>
              <w:t>Si applica il metodo a quote decrescenti quando l’immobilizzazione è maggiormente sfruttata nella prima parte della vita utile. È possibile ammortizzare l’immobilizzazione anche secondo il metodo per unità di prodotto quando questo metodo di ammortamento fornisce una migliore rappresentazione della ripartizione dell’utilità ritraibile dal bene lungo la sua vita utile. Non è invece ammesso l’utilizzo di metodi di ammortamento a quote crescenti, in quanto tale metodo tende a porsi in contrasto con il principio della prudenza. Non è altresì ammesso l’utilizzo di metodi dove le quote di ammortamento sono commisurate ai ricavi o ai risultati d'esercizio della società o di un suo ramo o divisione.</w:t>
            </w:r>
          </w:p>
        </w:tc>
        <w:tc>
          <w:tcPr>
            <w:tcW w:w="575" w:type="dxa"/>
            <w:tcMar>
              <w:left w:w="85" w:type="dxa"/>
              <w:right w:w="85" w:type="dxa"/>
            </w:tcMar>
            <w:vAlign w:val="center"/>
          </w:tcPr>
          <w:p w:rsidR="00680245" w:rsidRPr="00A21E88" w:rsidRDefault="00680245" w:rsidP="00D73E98">
            <w:pPr>
              <w:jc w:val="center"/>
              <w:rPr>
                <w:lang w:val="it-IT"/>
              </w:rPr>
            </w:pPr>
          </w:p>
        </w:tc>
        <w:tc>
          <w:tcPr>
            <w:tcW w:w="573" w:type="dxa"/>
            <w:tcMar>
              <w:left w:w="108" w:type="dxa"/>
            </w:tcMar>
            <w:vAlign w:val="center"/>
          </w:tcPr>
          <w:p w:rsidR="00680245" w:rsidRPr="00A21E88" w:rsidRDefault="00680245" w:rsidP="00D73E98">
            <w:pPr>
              <w:jc w:val="center"/>
              <w:rPr>
                <w:lang w:val="it-IT"/>
              </w:rPr>
            </w:pPr>
          </w:p>
        </w:tc>
        <w:tc>
          <w:tcPr>
            <w:tcW w:w="570" w:type="dxa"/>
            <w:tcMar>
              <w:left w:w="108" w:type="dxa"/>
            </w:tcMar>
            <w:vAlign w:val="center"/>
          </w:tcPr>
          <w:p w:rsidR="00680245" w:rsidRPr="00A21E88" w:rsidRDefault="00680245" w:rsidP="00D73E98">
            <w:pPr>
              <w:jc w:val="center"/>
              <w:rPr>
                <w:lang w:val="it-IT"/>
              </w:rPr>
            </w:pPr>
          </w:p>
        </w:tc>
      </w:tr>
      <w:tr w:rsidR="00680245" w:rsidRPr="00CC242B"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24.64</w:t>
            </w:r>
          </w:p>
        </w:tc>
        <w:tc>
          <w:tcPr>
            <w:tcW w:w="7071" w:type="dxa"/>
            <w:tcMar>
              <w:left w:w="108" w:type="dxa"/>
            </w:tcMar>
          </w:tcPr>
          <w:p w:rsidR="00680245" w:rsidRDefault="00680245" w:rsidP="00D73E98">
            <w:pPr>
              <w:pStyle w:val="Commentiriquadro"/>
            </w:pPr>
            <w:r>
              <w:t>Il valore residuo di un bene immateriale si presume pari a zero, a meno che:</w:t>
            </w:r>
          </w:p>
          <w:p w:rsidR="00680245" w:rsidRDefault="00680245" w:rsidP="00D73E98">
            <w:pPr>
              <w:pStyle w:val="Commentiriquadro"/>
              <w:ind w:left="176" w:hanging="119"/>
            </w:pPr>
            <w:r>
              <w:t xml:space="preserve">- </w:t>
            </w:r>
            <w:r>
              <w:tab/>
              <w:t>vi sia un impegno da parte di terzi ad acquistare il bene immateriale alla fine della sua vita utile; o</w:t>
            </w:r>
          </w:p>
          <w:p w:rsidR="00680245" w:rsidRDefault="00680245" w:rsidP="00D73E98">
            <w:pPr>
              <w:pStyle w:val="Commentiriquadro"/>
              <w:ind w:left="176" w:hanging="119"/>
            </w:pPr>
            <w:r>
              <w:t xml:space="preserve">- </w:t>
            </w:r>
            <w:r>
              <w:tab/>
              <w:t>sia dimostrabile l’esistenza di un mercato del bene dal quale trarre un valore oggettivo che permetta di effettuare una stima attendibile del valore realizzabile dall’alienazione dell’attività immateriale al termine della vita utile e:</w:t>
            </w:r>
          </w:p>
          <w:p w:rsidR="00680245" w:rsidRDefault="00680245" w:rsidP="00D73E98">
            <w:pPr>
              <w:pStyle w:val="Commentiriquadro"/>
              <w:ind w:left="176" w:hanging="119"/>
            </w:pPr>
            <w:r>
              <w:t xml:space="preserve">- </w:t>
            </w:r>
            <w:r>
              <w:tab/>
              <w:t>il valore residuo può essere determinato facendo riferimento a tale mercato; e</w:t>
            </w:r>
          </w:p>
          <w:p w:rsidR="00680245" w:rsidRDefault="00680245" w:rsidP="00D73E98">
            <w:pPr>
              <w:pStyle w:val="Commentiriquadro"/>
              <w:ind w:left="176" w:hanging="119"/>
            </w:pPr>
            <w:r>
              <w:t xml:space="preserve">- </w:t>
            </w:r>
            <w:r>
              <w:tab/>
              <w:t>è probabile che tale mercato esisterà alla fine della vita utile dell’attività.</w:t>
            </w:r>
          </w:p>
          <w:p w:rsidR="00680245" w:rsidRPr="00ED2C18" w:rsidRDefault="00680245" w:rsidP="00D73E98">
            <w:pPr>
              <w:pStyle w:val="Commentiriquadro"/>
            </w:pPr>
            <w:r>
              <w:t>Il valore residuo di un onere pluriennale è sempre pari a zero.</w:t>
            </w:r>
          </w:p>
        </w:tc>
        <w:tc>
          <w:tcPr>
            <w:tcW w:w="575" w:type="dxa"/>
            <w:tcMar>
              <w:left w:w="85" w:type="dxa"/>
              <w:right w:w="85" w:type="dxa"/>
            </w:tcMar>
            <w:vAlign w:val="center"/>
          </w:tcPr>
          <w:p w:rsidR="00680245" w:rsidRPr="00A21E88" w:rsidRDefault="00680245" w:rsidP="00D73E98">
            <w:pPr>
              <w:jc w:val="center"/>
              <w:rPr>
                <w:lang w:val="it-IT"/>
              </w:rPr>
            </w:pPr>
          </w:p>
        </w:tc>
        <w:tc>
          <w:tcPr>
            <w:tcW w:w="573" w:type="dxa"/>
            <w:tcMar>
              <w:left w:w="108" w:type="dxa"/>
            </w:tcMar>
            <w:vAlign w:val="center"/>
          </w:tcPr>
          <w:p w:rsidR="00680245" w:rsidRPr="00A21E88" w:rsidRDefault="00680245" w:rsidP="00D73E98">
            <w:pPr>
              <w:jc w:val="center"/>
              <w:rPr>
                <w:lang w:val="it-IT"/>
              </w:rPr>
            </w:pPr>
          </w:p>
        </w:tc>
        <w:tc>
          <w:tcPr>
            <w:tcW w:w="570" w:type="dxa"/>
            <w:tcMar>
              <w:left w:w="108" w:type="dxa"/>
            </w:tcMar>
            <w:vAlign w:val="center"/>
          </w:tcPr>
          <w:p w:rsidR="00680245" w:rsidRPr="00A21E88" w:rsidRDefault="00680245" w:rsidP="00D73E98">
            <w:pPr>
              <w:jc w:val="center"/>
              <w:rPr>
                <w:lang w:val="it-IT"/>
              </w:rPr>
            </w:pPr>
          </w:p>
        </w:tc>
      </w:tr>
      <w:tr w:rsidR="00680245" w:rsidRPr="00F01072"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1F7E7D" w:rsidRDefault="00680245" w:rsidP="00D73E98">
            <w:pPr>
              <w:pStyle w:val="Titolo2"/>
              <w:rPr>
                <w:b w:val="0"/>
                <w:i/>
                <w:sz w:val="20"/>
              </w:rPr>
            </w:pPr>
            <w:r w:rsidRPr="001F7E7D">
              <w:rPr>
                <w:b w:val="0"/>
                <w:i/>
                <w:sz w:val="20"/>
              </w:rPr>
              <w:t>Oneri pluriennali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F0679B"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22)</w:t>
            </w:r>
          </w:p>
        </w:tc>
        <w:tc>
          <w:tcPr>
            <w:tcW w:w="851" w:type="dxa"/>
            <w:tcMar>
              <w:left w:w="108" w:type="dxa"/>
              <w:right w:w="0" w:type="dxa"/>
            </w:tcMar>
          </w:tcPr>
          <w:p w:rsidR="00680245" w:rsidRDefault="00680245" w:rsidP="00D73E98">
            <w:pPr>
              <w:pStyle w:val="PrincCont"/>
              <w:jc w:val="left"/>
              <w:rPr>
                <w:lang w:val="it-IT"/>
              </w:rPr>
            </w:pPr>
            <w:r>
              <w:rPr>
                <w:lang w:val="it-IT"/>
              </w:rPr>
              <w:t>OIC 24.65</w:t>
            </w:r>
          </w:p>
        </w:tc>
        <w:tc>
          <w:tcPr>
            <w:tcW w:w="7071" w:type="dxa"/>
            <w:tcMar>
              <w:left w:w="108" w:type="dxa"/>
            </w:tcMar>
          </w:tcPr>
          <w:p w:rsidR="00680245" w:rsidRPr="00EA46CB" w:rsidRDefault="00680245" w:rsidP="00D73E98">
            <w:pPr>
              <w:spacing w:line="230" w:lineRule="exact"/>
              <w:rPr>
                <w:lang w:val="it-IT"/>
              </w:rPr>
            </w:pPr>
            <w:r w:rsidRPr="004B7A4E">
              <w:rPr>
                <w:lang w:val="it-IT"/>
              </w:rPr>
              <w:t xml:space="preserve">I costi di impianto e di ampliamento </w:t>
            </w:r>
            <w:r>
              <w:rPr>
                <w:lang w:val="it-IT"/>
              </w:rPr>
              <w:t>sono</w:t>
            </w:r>
            <w:r w:rsidRPr="004B7A4E">
              <w:rPr>
                <w:lang w:val="it-IT"/>
              </w:rPr>
              <w:t xml:space="preserve"> ammortizzati entro un periodo non superiore a</w:t>
            </w:r>
            <w:r>
              <w:rPr>
                <w:lang w:val="it-IT"/>
              </w:rPr>
              <w:t xml:space="preserve"> cinque anni?</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F0679B"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23)</w:t>
            </w:r>
          </w:p>
        </w:tc>
        <w:tc>
          <w:tcPr>
            <w:tcW w:w="851" w:type="dxa"/>
            <w:tcMar>
              <w:left w:w="108" w:type="dxa"/>
              <w:right w:w="0" w:type="dxa"/>
            </w:tcMar>
          </w:tcPr>
          <w:p w:rsidR="00680245" w:rsidRDefault="00680245" w:rsidP="00D73E98">
            <w:pPr>
              <w:pStyle w:val="PrincCont"/>
              <w:jc w:val="left"/>
              <w:rPr>
                <w:lang w:val="it-IT"/>
              </w:rPr>
            </w:pPr>
            <w:r>
              <w:rPr>
                <w:lang w:val="it-IT"/>
              </w:rPr>
              <w:t>OIC 24.65</w:t>
            </w:r>
          </w:p>
        </w:tc>
        <w:tc>
          <w:tcPr>
            <w:tcW w:w="7071" w:type="dxa"/>
            <w:tcMar>
              <w:left w:w="108" w:type="dxa"/>
            </w:tcMar>
          </w:tcPr>
          <w:p w:rsidR="00680245" w:rsidRPr="00EA46CB" w:rsidRDefault="00680245" w:rsidP="00D73E98">
            <w:pPr>
              <w:spacing w:line="230" w:lineRule="exact"/>
              <w:rPr>
                <w:lang w:val="it-IT"/>
              </w:rPr>
            </w:pPr>
            <w:r w:rsidRPr="004B7A4E">
              <w:rPr>
                <w:lang w:val="it-IT"/>
              </w:rPr>
              <w:t>I costi di sviluppo sono ammortizzati secondo la loro vita</w:t>
            </w:r>
            <w:r>
              <w:rPr>
                <w:lang w:val="it-IT"/>
              </w:rPr>
              <w:t xml:space="preserve"> utile e </w:t>
            </w:r>
            <w:r w:rsidRPr="004B7A4E">
              <w:rPr>
                <w:lang w:val="it-IT"/>
              </w:rPr>
              <w:t>nei casi eccezionali in cui non è</w:t>
            </w:r>
            <w:r>
              <w:rPr>
                <w:lang w:val="it-IT"/>
              </w:rPr>
              <w:t xml:space="preserve"> </w:t>
            </w:r>
            <w:r w:rsidRPr="004B7A4E">
              <w:rPr>
                <w:lang w:val="it-IT"/>
              </w:rPr>
              <w:t>possibile stimarne attendibilmente la vita utile, essi sono ammortizzati entro un periodo non</w:t>
            </w:r>
            <w:r>
              <w:rPr>
                <w:lang w:val="it-IT"/>
              </w:rPr>
              <w:t xml:space="preserve"> </w:t>
            </w:r>
            <w:r w:rsidRPr="004B7A4E">
              <w:rPr>
                <w:lang w:val="it-IT"/>
              </w:rPr>
              <w:t>superiore a cinque anni</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24)</w:t>
            </w:r>
          </w:p>
        </w:tc>
        <w:tc>
          <w:tcPr>
            <w:tcW w:w="851" w:type="dxa"/>
            <w:tcMar>
              <w:left w:w="108" w:type="dxa"/>
              <w:right w:w="0" w:type="dxa"/>
            </w:tcMar>
          </w:tcPr>
          <w:p w:rsidR="00680245" w:rsidRDefault="00680245" w:rsidP="00D73E98">
            <w:pPr>
              <w:pStyle w:val="PrincCont"/>
              <w:jc w:val="left"/>
              <w:rPr>
                <w:lang w:val="it-IT"/>
              </w:rPr>
            </w:pPr>
            <w:r>
              <w:rPr>
                <w:lang w:val="it-IT"/>
              </w:rPr>
              <w:t>OIC 24.65</w:t>
            </w:r>
          </w:p>
        </w:tc>
        <w:tc>
          <w:tcPr>
            <w:tcW w:w="7071" w:type="dxa"/>
            <w:tcMar>
              <w:left w:w="108" w:type="dxa"/>
            </w:tcMar>
          </w:tcPr>
          <w:p w:rsidR="00680245" w:rsidRPr="00817F12" w:rsidRDefault="00680245" w:rsidP="00D73E98">
            <w:pPr>
              <w:spacing w:line="230" w:lineRule="exact"/>
              <w:rPr>
                <w:lang w:val="it-IT"/>
              </w:rPr>
            </w:pPr>
            <w:r>
              <w:rPr>
                <w:lang w:val="it-IT"/>
              </w:rPr>
              <w:t>Si è tenuto conto del vincolo che prevede che f</w:t>
            </w:r>
            <w:r w:rsidRPr="004B7A4E">
              <w:rPr>
                <w:lang w:val="it-IT"/>
              </w:rPr>
              <w:t>ino a che l’ammortamento dei costi di sviluppo, di impianto e di ampliamento non è completato,</w:t>
            </w:r>
            <w:r>
              <w:rPr>
                <w:lang w:val="it-IT"/>
              </w:rPr>
              <w:t xml:space="preserve"> </w:t>
            </w:r>
            <w:r w:rsidRPr="004B7A4E">
              <w:rPr>
                <w:lang w:val="it-IT"/>
              </w:rPr>
              <w:t>possono essere distribuiti dividendi solo se residuano riserve disponibili sufficienti a coprire</w:t>
            </w:r>
            <w:r>
              <w:rPr>
                <w:lang w:val="it-IT"/>
              </w:rPr>
              <w:t xml:space="preserve"> </w:t>
            </w:r>
            <w:r w:rsidRPr="004B7A4E">
              <w:rPr>
                <w:lang w:val="it-IT"/>
              </w:rPr>
              <w:t>l’ammontare dei costi non ammortizzati</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F01072"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463D6A" w:rsidRDefault="00680245" w:rsidP="00D73E98">
            <w:pPr>
              <w:pStyle w:val="Titolo2"/>
              <w:rPr>
                <w:b w:val="0"/>
                <w:i/>
                <w:sz w:val="20"/>
              </w:rPr>
            </w:pPr>
            <w:r w:rsidRPr="00463D6A">
              <w:rPr>
                <w:b w:val="0"/>
                <w:i/>
                <w:sz w:val="20"/>
              </w:rPr>
              <w:t>Avviamento</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F0679B" w:rsidTr="00D73E98">
        <w:trPr>
          <w:cantSplit/>
          <w:trHeight w:val="20"/>
        </w:trPr>
        <w:tc>
          <w:tcPr>
            <w:tcW w:w="680" w:type="dxa"/>
          </w:tcPr>
          <w:p w:rsidR="00680245" w:rsidRPr="00DD3041" w:rsidRDefault="00680245" w:rsidP="00D73E98">
            <w:pPr>
              <w:tabs>
                <w:tab w:val="left" w:pos="146"/>
              </w:tabs>
              <w:spacing w:line="240" w:lineRule="exact"/>
              <w:jc w:val="center"/>
              <w:rPr>
                <w:b/>
                <w:lang w:val="it-IT"/>
              </w:rPr>
            </w:pPr>
            <w:r w:rsidRPr="00DD3041">
              <w:rPr>
                <w:b/>
                <w:lang w:val="it-IT"/>
              </w:rPr>
              <w:t>25)</w:t>
            </w:r>
          </w:p>
        </w:tc>
        <w:tc>
          <w:tcPr>
            <w:tcW w:w="851" w:type="dxa"/>
            <w:tcMar>
              <w:left w:w="108" w:type="dxa"/>
              <w:right w:w="0" w:type="dxa"/>
            </w:tcMar>
          </w:tcPr>
          <w:p w:rsidR="00680245" w:rsidRDefault="00680245" w:rsidP="00D73E98">
            <w:pPr>
              <w:pStyle w:val="PrincCont"/>
              <w:jc w:val="left"/>
              <w:rPr>
                <w:lang w:val="it-IT"/>
              </w:rPr>
            </w:pPr>
            <w:r>
              <w:rPr>
                <w:lang w:val="it-IT"/>
              </w:rPr>
              <w:t>OIC 24.66</w:t>
            </w:r>
          </w:p>
        </w:tc>
        <w:tc>
          <w:tcPr>
            <w:tcW w:w="7071" w:type="dxa"/>
            <w:tcMar>
              <w:left w:w="108" w:type="dxa"/>
            </w:tcMar>
          </w:tcPr>
          <w:p w:rsidR="00680245" w:rsidRPr="00EA46CB" w:rsidRDefault="00680245" w:rsidP="00D73E98">
            <w:pPr>
              <w:spacing w:line="240" w:lineRule="exact"/>
              <w:rPr>
                <w:lang w:val="it-IT"/>
              </w:rPr>
            </w:pPr>
            <w:r w:rsidRPr="00463D6A">
              <w:rPr>
                <w:lang w:val="it-IT"/>
              </w:rPr>
              <w:t>L’ammortamento dell’avviamento è effet</w:t>
            </w:r>
            <w:r>
              <w:rPr>
                <w:lang w:val="it-IT"/>
              </w:rPr>
              <w:t>tuato secondo la sua vita utile?</w:t>
            </w:r>
          </w:p>
        </w:tc>
        <w:tc>
          <w:tcPr>
            <w:tcW w:w="575" w:type="dxa"/>
            <w:tcMar>
              <w:left w:w="85" w:type="dxa"/>
              <w:right w:w="85" w:type="dxa"/>
            </w:tcMar>
            <w:vAlign w:val="center"/>
          </w:tcPr>
          <w:p w:rsidR="00680245" w:rsidRPr="00A32A16" w:rsidRDefault="00680245" w:rsidP="00D73E98">
            <w:pPr>
              <w:spacing w:line="240" w:lineRule="exact"/>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spacing w:line="240" w:lineRule="exact"/>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spacing w:line="240" w:lineRule="exact"/>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3F2760" w:rsidTr="00D73E98">
        <w:trPr>
          <w:cantSplit/>
          <w:trHeight w:val="20"/>
        </w:trPr>
        <w:tc>
          <w:tcPr>
            <w:tcW w:w="680" w:type="dxa"/>
          </w:tcPr>
          <w:p w:rsidR="00680245" w:rsidRPr="00DD3041" w:rsidRDefault="00680245" w:rsidP="00D73E98">
            <w:pPr>
              <w:tabs>
                <w:tab w:val="left" w:pos="146"/>
              </w:tabs>
              <w:jc w:val="center"/>
              <w:rPr>
                <w:b/>
                <w:lang w:val="it-IT"/>
              </w:rPr>
            </w:pPr>
            <w:r>
              <w:rPr>
                <w:b/>
                <w:lang w:val="it-IT"/>
              </w:rPr>
              <w:t>26)</w:t>
            </w:r>
          </w:p>
        </w:tc>
        <w:tc>
          <w:tcPr>
            <w:tcW w:w="851" w:type="dxa"/>
            <w:tcMar>
              <w:left w:w="108" w:type="dxa"/>
              <w:right w:w="0" w:type="dxa"/>
            </w:tcMar>
          </w:tcPr>
          <w:p w:rsidR="00680245" w:rsidRDefault="00680245" w:rsidP="00D73E98">
            <w:pPr>
              <w:pStyle w:val="PrincCont"/>
              <w:jc w:val="left"/>
              <w:rPr>
                <w:lang w:val="it-IT"/>
              </w:rPr>
            </w:pPr>
            <w:r>
              <w:rPr>
                <w:lang w:val="it-IT"/>
              </w:rPr>
              <w:t>OIC 24.67</w:t>
            </w:r>
          </w:p>
        </w:tc>
        <w:tc>
          <w:tcPr>
            <w:tcW w:w="7071" w:type="dxa"/>
            <w:tcMar>
              <w:left w:w="108" w:type="dxa"/>
            </w:tcMar>
          </w:tcPr>
          <w:p w:rsidR="00680245" w:rsidRPr="003F2760" w:rsidRDefault="00680245" w:rsidP="00D73E98">
            <w:pPr>
              <w:rPr>
                <w:lang w:val="it-IT"/>
              </w:rPr>
            </w:pPr>
            <w:r w:rsidRPr="003F2760">
              <w:rPr>
                <w:lang w:val="it-IT"/>
              </w:rPr>
              <w:t>Ai fini del calcolo dell’avviamento,sono state utilizzate tutte le informazioni disponibili per stimare il periodo entro cui è probabile che si manifesteranno i benefici connessi con l</w:t>
            </w:r>
            <w:r>
              <w:rPr>
                <w:lang w:val="it-IT"/>
              </w:rPr>
              <w:t>’avviamento?</w:t>
            </w:r>
          </w:p>
        </w:tc>
        <w:tc>
          <w:tcPr>
            <w:tcW w:w="575" w:type="dxa"/>
            <w:tcMar>
              <w:left w:w="85" w:type="dxa"/>
              <w:right w:w="85" w:type="dxa"/>
            </w:tcMar>
            <w:vAlign w:val="center"/>
          </w:tcPr>
          <w:p w:rsidR="00680245" w:rsidRPr="00DE38DC" w:rsidRDefault="00680245" w:rsidP="00D73E98">
            <w:pPr>
              <w:jc w:val="center"/>
              <w:rPr>
                <w:lang w:val="it-IT"/>
              </w:rPr>
            </w:pPr>
            <w:r>
              <w:fldChar w:fldCharType="begin">
                <w:ffData>
                  <w:name w:val="Check4"/>
                  <w:enabled/>
                  <w:calcOnExit w:val="0"/>
                  <w:checkBox>
                    <w:sizeAuto/>
                    <w:default w:val="0"/>
                  </w:checkBox>
                </w:ffData>
              </w:fldChar>
            </w:r>
            <w:r w:rsidRPr="003F2760">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Pr="00DE38DC" w:rsidRDefault="00680245" w:rsidP="00D73E98">
            <w:pPr>
              <w:jc w:val="center"/>
              <w:rPr>
                <w:lang w:val="it-IT"/>
              </w:rPr>
            </w:pPr>
            <w:r>
              <w:fldChar w:fldCharType="begin">
                <w:ffData>
                  <w:name w:val="Check4"/>
                  <w:enabled/>
                  <w:calcOnExit w:val="0"/>
                  <w:checkBox>
                    <w:sizeAuto/>
                    <w:default w:val="0"/>
                  </w:checkBox>
                </w:ffData>
              </w:fldChar>
            </w:r>
            <w:r w:rsidRPr="003F2760">
              <w:rPr>
                <w:lang w:val="it-IT"/>
              </w:rPr>
              <w:instrText xml:space="preserve"> FORMCHECKBOX </w:instrText>
            </w:r>
            <w:r w:rsidR="00CA1681">
              <w:fldChar w:fldCharType="separate"/>
            </w:r>
            <w:r>
              <w:fldChar w:fldCharType="end"/>
            </w:r>
          </w:p>
        </w:tc>
        <w:tc>
          <w:tcPr>
            <w:tcW w:w="570" w:type="dxa"/>
            <w:tcMar>
              <w:left w:w="108" w:type="dxa"/>
            </w:tcMar>
            <w:vAlign w:val="center"/>
          </w:tcPr>
          <w:p w:rsidR="00680245" w:rsidRPr="00DE38DC" w:rsidRDefault="00680245" w:rsidP="00D73E98">
            <w:pPr>
              <w:jc w:val="center"/>
              <w:rPr>
                <w:lang w:val="it-IT"/>
              </w:rPr>
            </w:pPr>
            <w:r>
              <w:fldChar w:fldCharType="begin">
                <w:ffData>
                  <w:name w:val="Check4"/>
                  <w:enabled/>
                  <w:calcOnExit w:val="0"/>
                  <w:checkBox>
                    <w:sizeAuto/>
                    <w:default w:val="0"/>
                  </w:checkBox>
                </w:ffData>
              </w:fldChar>
            </w:r>
            <w:r w:rsidRPr="003F2760">
              <w:rPr>
                <w:lang w:val="it-IT"/>
              </w:rPr>
              <w:instrText xml:space="preserve"> FORMCHECKBOX </w:instrText>
            </w:r>
            <w:r w:rsidR="00CA1681">
              <w:fldChar w:fldCharType="separate"/>
            </w:r>
            <w:r>
              <w:fldChar w:fldCharType="end"/>
            </w:r>
          </w:p>
        </w:tc>
      </w:tr>
      <w:tr w:rsidR="00680245" w:rsidRPr="00CC242B"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24.68</w:t>
            </w:r>
          </w:p>
        </w:tc>
        <w:tc>
          <w:tcPr>
            <w:tcW w:w="7071" w:type="dxa"/>
            <w:tcMar>
              <w:left w:w="108" w:type="dxa"/>
            </w:tcMar>
          </w:tcPr>
          <w:p w:rsidR="00680245" w:rsidRDefault="00680245" w:rsidP="00D73E98">
            <w:pPr>
              <w:pStyle w:val="Commentiriquadro"/>
            </w:pPr>
            <w:r>
              <w:t>Nel processo di stima della vita utile, possono rappresentare utili punti di riferimento:</w:t>
            </w:r>
          </w:p>
          <w:p w:rsidR="00680245" w:rsidRDefault="00680245" w:rsidP="00D73E98">
            <w:pPr>
              <w:pStyle w:val="Commentiriquadro"/>
              <w:ind w:left="176" w:hanging="119"/>
            </w:pPr>
            <w:r>
              <w:t xml:space="preserve">a. il periodo di tempo entro il quale la società si attende di godere dei benefici economici addizionali legati alle </w:t>
            </w:r>
            <w:r>
              <w:tab/>
              <w:t xml:space="preserve">prospettive reddituali favorevoli della società oggetto di aggregazione e alle sinergie generate dall’operazione </w:t>
            </w:r>
            <w:r>
              <w:tab/>
              <w:t xml:space="preserve">straordinaria. Si fa riferimento al periodo in cui si può ragionevolmente attendere la realizzazione dei benefici </w:t>
            </w:r>
            <w:r>
              <w:tab/>
              <w:t>economici addizionali;</w:t>
            </w:r>
          </w:p>
          <w:p w:rsidR="00680245" w:rsidRDefault="00680245" w:rsidP="00D73E98">
            <w:pPr>
              <w:pStyle w:val="Commentiriquadro"/>
            </w:pPr>
            <w:r>
              <w:t xml:space="preserve">b. </w:t>
            </w:r>
            <w:r>
              <w:tab/>
              <w:t xml:space="preserve">il periodo di tempo entro il quale l’impresa si attende di recuperare, in termini finanziari o reddituali, l’investimento </w:t>
            </w:r>
            <w:r>
              <w:tab/>
              <w:t>effettuato (cd payback period) sulla base di quanto previsto formalmente dall’organo decisionale della società;</w:t>
            </w:r>
          </w:p>
          <w:p w:rsidR="00680245" w:rsidRPr="002D239F" w:rsidRDefault="00680245" w:rsidP="00D73E98">
            <w:pPr>
              <w:pStyle w:val="Commentiriquadro"/>
              <w:ind w:left="176" w:hanging="119"/>
              <w:rPr>
                <w:color w:val="000000" w:themeColor="text1"/>
              </w:rPr>
            </w:pPr>
            <w:r>
              <w:t xml:space="preserve">c. </w:t>
            </w:r>
            <w:r>
              <w:tab/>
              <w:t xml:space="preserve">la media ponderata delle vite utili delle principali attività (core assets) acquisite con l’operazione di aggregazione </w:t>
            </w:r>
            <w:r>
              <w:tab/>
              <w:t>aziendale (incluse le immobilizzazioni immateriali).</w:t>
            </w:r>
          </w:p>
        </w:tc>
        <w:tc>
          <w:tcPr>
            <w:tcW w:w="575" w:type="dxa"/>
            <w:tcMar>
              <w:left w:w="85" w:type="dxa"/>
              <w:right w:w="85" w:type="dxa"/>
            </w:tcMar>
            <w:vAlign w:val="center"/>
          </w:tcPr>
          <w:p w:rsidR="00680245" w:rsidRPr="00DE38DC" w:rsidRDefault="00680245" w:rsidP="00D73E98">
            <w:pPr>
              <w:jc w:val="center"/>
              <w:rPr>
                <w:lang w:val="it-IT"/>
              </w:rPr>
            </w:pPr>
          </w:p>
        </w:tc>
        <w:tc>
          <w:tcPr>
            <w:tcW w:w="573" w:type="dxa"/>
            <w:tcMar>
              <w:left w:w="108" w:type="dxa"/>
            </w:tcMar>
            <w:vAlign w:val="center"/>
          </w:tcPr>
          <w:p w:rsidR="00680245" w:rsidRPr="00DE38DC" w:rsidRDefault="00680245" w:rsidP="00D73E98">
            <w:pPr>
              <w:jc w:val="center"/>
              <w:rPr>
                <w:lang w:val="it-IT"/>
              </w:rPr>
            </w:pPr>
          </w:p>
        </w:tc>
        <w:tc>
          <w:tcPr>
            <w:tcW w:w="570" w:type="dxa"/>
            <w:tcMar>
              <w:left w:w="108" w:type="dxa"/>
            </w:tcMar>
            <w:vAlign w:val="center"/>
          </w:tcPr>
          <w:p w:rsidR="00680245" w:rsidRPr="00DE38DC" w:rsidRDefault="00680245" w:rsidP="00D73E98">
            <w:pPr>
              <w:jc w:val="center"/>
              <w:rPr>
                <w:lang w:val="it-IT"/>
              </w:rPr>
            </w:pPr>
          </w:p>
        </w:tc>
      </w:tr>
      <w:tr w:rsidR="00680245" w:rsidRPr="00F0679B" w:rsidTr="00D73E98">
        <w:trPr>
          <w:cantSplit/>
          <w:trHeight w:val="20"/>
        </w:trPr>
        <w:tc>
          <w:tcPr>
            <w:tcW w:w="680" w:type="dxa"/>
          </w:tcPr>
          <w:p w:rsidR="00680245" w:rsidRPr="00DD3041" w:rsidRDefault="00680245" w:rsidP="00D73E98">
            <w:pPr>
              <w:tabs>
                <w:tab w:val="left" w:pos="146"/>
              </w:tabs>
              <w:spacing w:line="240" w:lineRule="exact"/>
              <w:jc w:val="center"/>
              <w:rPr>
                <w:b/>
                <w:lang w:val="it-IT"/>
              </w:rPr>
            </w:pPr>
            <w:r w:rsidRPr="00DD3041">
              <w:rPr>
                <w:b/>
                <w:lang w:val="it-IT"/>
              </w:rPr>
              <w:t>2</w:t>
            </w:r>
            <w:r>
              <w:rPr>
                <w:b/>
                <w:lang w:val="it-IT"/>
              </w:rPr>
              <w:t>7</w:t>
            </w:r>
            <w:r w:rsidRPr="00DD3041">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24.69</w:t>
            </w:r>
          </w:p>
        </w:tc>
        <w:tc>
          <w:tcPr>
            <w:tcW w:w="7071" w:type="dxa"/>
            <w:tcMar>
              <w:left w:w="108" w:type="dxa"/>
            </w:tcMar>
          </w:tcPr>
          <w:p w:rsidR="00680245" w:rsidRPr="00EA46CB" w:rsidRDefault="00680245" w:rsidP="00D73E98">
            <w:pPr>
              <w:spacing w:line="230" w:lineRule="exact"/>
              <w:rPr>
                <w:lang w:val="it-IT"/>
              </w:rPr>
            </w:pPr>
            <w:r w:rsidRPr="00463D6A">
              <w:rPr>
                <w:lang w:val="it-IT"/>
              </w:rPr>
              <w:t>Nei casi eccezionali in cui non sia possibile stimarne attendibilmente la vita utile, l’avviamento è</w:t>
            </w:r>
            <w:r>
              <w:rPr>
                <w:lang w:val="it-IT"/>
              </w:rPr>
              <w:t xml:space="preserve"> </w:t>
            </w:r>
            <w:r w:rsidRPr="00463D6A">
              <w:rPr>
                <w:lang w:val="it-IT"/>
              </w:rPr>
              <w:t>ammortizzato in un per</w:t>
            </w:r>
            <w:r>
              <w:rPr>
                <w:lang w:val="it-IT"/>
              </w:rPr>
              <w:t>iodo non superiore a dieci anni?</w:t>
            </w:r>
          </w:p>
        </w:tc>
        <w:tc>
          <w:tcPr>
            <w:tcW w:w="575" w:type="dxa"/>
            <w:tcMar>
              <w:left w:w="85" w:type="dxa"/>
              <w:right w:w="85" w:type="dxa"/>
            </w:tcMar>
            <w:vAlign w:val="center"/>
          </w:tcPr>
          <w:p w:rsidR="00680245" w:rsidRPr="00A32A16" w:rsidRDefault="00680245" w:rsidP="00D73E98">
            <w:pPr>
              <w:spacing w:line="240" w:lineRule="exact"/>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spacing w:line="240" w:lineRule="exact"/>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spacing w:line="240" w:lineRule="exact"/>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F0679B"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2</w:t>
            </w:r>
            <w:r>
              <w:rPr>
                <w:b/>
                <w:lang w:val="it-IT"/>
              </w:rPr>
              <w:t>8</w:t>
            </w:r>
            <w:r w:rsidRPr="00DD3041">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24.70</w:t>
            </w:r>
          </w:p>
        </w:tc>
        <w:tc>
          <w:tcPr>
            <w:tcW w:w="7071" w:type="dxa"/>
            <w:tcMar>
              <w:left w:w="108" w:type="dxa"/>
            </w:tcMar>
          </w:tcPr>
          <w:p w:rsidR="00680245" w:rsidRPr="00EA46CB" w:rsidRDefault="00680245" w:rsidP="00D73E98">
            <w:pPr>
              <w:spacing w:line="230" w:lineRule="exact"/>
              <w:rPr>
                <w:lang w:val="it-IT"/>
              </w:rPr>
            </w:pPr>
            <w:r w:rsidRPr="00463D6A">
              <w:rPr>
                <w:lang w:val="it-IT"/>
              </w:rPr>
              <w:t xml:space="preserve">Quando l’applicazione degli elementi di cui al paragrafo 68 </w:t>
            </w:r>
            <w:r>
              <w:rPr>
                <w:lang w:val="it-IT"/>
              </w:rPr>
              <w:t xml:space="preserve">del Principio </w:t>
            </w:r>
            <w:r w:rsidRPr="00463D6A">
              <w:rPr>
                <w:lang w:val="it-IT"/>
              </w:rPr>
              <w:t>determina una stima della vita utile</w:t>
            </w:r>
            <w:r>
              <w:rPr>
                <w:lang w:val="it-IT"/>
              </w:rPr>
              <w:t xml:space="preserve"> </w:t>
            </w:r>
            <w:r w:rsidRPr="00463D6A">
              <w:rPr>
                <w:lang w:val="it-IT"/>
              </w:rPr>
              <w:t>dell’avviamento superiore ai 10 anni</w:t>
            </w:r>
            <w:r>
              <w:rPr>
                <w:lang w:val="it-IT"/>
              </w:rPr>
              <w:t xml:space="preserve"> si è tenuto conto che, i</w:t>
            </w:r>
            <w:r w:rsidRPr="00463D6A">
              <w:rPr>
                <w:lang w:val="it-IT"/>
              </w:rPr>
              <w:t>n ogni caso</w:t>
            </w:r>
            <w:r>
              <w:rPr>
                <w:lang w:val="it-IT"/>
              </w:rPr>
              <w:t>,</w:t>
            </w:r>
            <w:r w:rsidRPr="00463D6A">
              <w:rPr>
                <w:lang w:val="it-IT"/>
              </w:rPr>
              <w:t xml:space="preserve"> la vita utile dell’avviam</w:t>
            </w:r>
            <w:r>
              <w:rPr>
                <w:lang w:val="it-IT"/>
              </w:rPr>
              <w:t>ento non può superare i 20 anni?</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F0679B"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2</w:t>
            </w:r>
            <w:r>
              <w:rPr>
                <w:b/>
                <w:lang w:val="it-IT"/>
              </w:rPr>
              <w:t>9</w:t>
            </w:r>
            <w:r w:rsidRPr="00DD3041">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24.66</w:t>
            </w:r>
          </w:p>
        </w:tc>
        <w:tc>
          <w:tcPr>
            <w:tcW w:w="7071" w:type="dxa"/>
            <w:tcMar>
              <w:left w:w="108" w:type="dxa"/>
            </w:tcMar>
          </w:tcPr>
          <w:p w:rsidR="00680245" w:rsidRPr="00EA46CB" w:rsidRDefault="00680245" w:rsidP="00D73E98">
            <w:pPr>
              <w:spacing w:line="230" w:lineRule="exact"/>
              <w:rPr>
                <w:lang w:val="it-IT"/>
              </w:rPr>
            </w:pPr>
            <w:r>
              <w:rPr>
                <w:lang w:val="it-IT"/>
              </w:rPr>
              <w:t>Si è tenuto conto che l</w:t>
            </w:r>
            <w:r w:rsidRPr="001F7E7D">
              <w:rPr>
                <w:lang w:val="it-IT"/>
              </w:rPr>
              <w:t>a vita utile è stimata in</w:t>
            </w:r>
            <w:r>
              <w:rPr>
                <w:lang w:val="it-IT"/>
              </w:rPr>
              <w:t xml:space="preserve"> </w:t>
            </w:r>
            <w:r w:rsidRPr="001F7E7D">
              <w:rPr>
                <w:lang w:val="it-IT"/>
              </w:rPr>
              <w:t>sede di rilevazione iniziale dell’avviamento e non può essere modif</w:t>
            </w:r>
            <w:r>
              <w:rPr>
                <w:lang w:val="it-IT"/>
              </w:rPr>
              <w:t>icata negli esercizi successivi?</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F01072" w:rsidTr="00D73E98">
        <w:trPr>
          <w:cantSplit/>
          <w:trHeight w:val="20"/>
        </w:trPr>
        <w:tc>
          <w:tcPr>
            <w:tcW w:w="680" w:type="dxa"/>
          </w:tcPr>
          <w:p w:rsidR="00680245" w:rsidRPr="00525FD3" w:rsidRDefault="00680245" w:rsidP="00D73E98">
            <w:pPr>
              <w:tabs>
                <w:tab w:val="left" w:pos="146"/>
              </w:tabs>
              <w:jc w:val="center"/>
              <w:rPr>
                <w:b/>
                <w:lang w:val="it-IT"/>
              </w:rPr>
            </w:pPr>
            <w:r w:rsidRPr="00525FD3">
              <w:rPr>
                <w:b/>
                <w:lang w:val="it-IT"/>
              </w:rPr>
              <w:t>30)</w:t>
            </w:r>
          </w:p>
        </w:tc>
        <w:tc>
          <w:tcPr>
            <w:tcW w:w="851" w:type="dxa"/>
            <w:tcMar>
              <w:left w:w="108" w:type="dxa"/>
              <w:right w:w="0" w:type="dxa"/>
            </w:tcMar>
          </w:tcPr>
          <w:p w:rsidR="00680245" w:rsidRDefault="00680245" w:rsidP="00D73E98">
            <w:pPr>
              <w:pStyle w:val="PrincCont"/>
              <w:jc w:val="left"/>
              <w:rPr>
                <w:lang w:val="it-IT"/>
              </w:rPr>
            </w:pPr>
            <w:r>
              <w:rPr>
                <w:lang w:val="it-IT"/>
              </w:rPr>
              <w:t>OIC 24.67</w:t>
            </w:r>
          </w:p>
        </w:tc>
        <w:tc>
          <w:tcPr>
            <w:tcW w:w="7071" w:type="dxa"/>
            <w:tcMar>
              <w:left w:w="108" w:type="dxa"/>
            </w:tcMar>
          </w:tcPr>
          <w:p w:rsidR="00680245" w:rsidRPr="00525FD3" w:rsidRDefault="00680245" w:rsidP="00D73E98">
            <w:pPr>
              <w:pStyle w:val="Titolo2"/>
              <w:spacing w:line="230" w:lineRule="exact"/>
              <w:rPr>
                <w:b w:val="0"/>
                <w:sz w:val="20"/>
                <w:lang w:val="it-IT"/>
              </w:rPr>
            </w:pPr>
            <w:r>
              <w:rPr>
                <w:b w:val="0"/>
                <w:sz w:val="20"/>
                <w:lang w:val="it-IT"/>
              </w:rPr>
              <w:t>A</w:t>
            </w:r>
            <w:r w:rsidRPr="00525FD3">
              <w:rPr>
                <w:b w:val="0"/>
                <w:sz w:val="20"/>
                <w:lang w:val="it-IT"/>
              </w:rPr>
              <w:t xml:space="preserve">i fini del calcolo della vita utile, la società ha utilizzato tutte le informazioni disponibili </w:t>
            </w:r>
            <w:r>
              <w:rPr>
                <w:b w:val="0"/>
                <w:sz w:val="20"/>
                <w:lang w:val="it-IT"/>
              </w:rPr>
              <w:t>per stimare il periodo entro cui è probabile che si manifesteranno i benefici economici connessi con l’avviamento?</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F01072"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463D6A" w:rsidRDefault="00680245" w:rsidP="00D73E98">
            <w:pPr>
              <w:pStyle w:val="Titolo2"/>
              <w:rPr>
                <w:b w:val="0"/>
                <w:i/>
                <w:sz w:val="20"/>
              </w:rPr>
            </w:pPr>
            <w:r w:rsidRPr="00463D6A">
              <w:rPr>
                <w:b w:val="0"/>
                <w:i/>
                <w:sz w:val="20"/>
              </w:rPr>
              <w:t>Beni immateriali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A46CB" w:rsidTr="00D73E98">
        <w:trPr>
          <w:cantSplit/>
          <w:trHeight w:val="20"/>
        </w:trPr>
        <w:tc>
          <w:tcPr>
            <w:tcW w:w="680" w:type="dxa"/>
          </w:tcPr>
          <w:p w:rsidR="00680245" w:rsidRPr="00833EB2" w:rsidRDefault="00680245" w:rsidP="00D73E98">
            <w:pPr>
              <w:tabs>
                <w:tab w:val="left" w:pos="146"/>
              </w:tabs>
              <w:jc w:val="center"/>
              <w:rPr>
                <w:b/>
                <w:lang w:val="it-IT"/>
              </w:rPr>
            </w:pPr>
            <w:r>
              <w:rPr>
                <w:b/>
                <w:lang w:val="it-IT"/>
              </w:rPr>
              <w:t>31</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24.71</w:t>
            </w:r>
          </w:p>
        </w:tc>
        <w:tc>
          <w:tcPr>
            <w:tcW w:w="7071" w:type="dxa"/>
            <w:tcMar>
              <w:left w:w="108" w:type="dxa"/>
            </w:tcMar>
          </w:tcPr>
          <w:p w:rsidR="00680245" w:rsidRPr="00817F12" w:rsidRDefault="00680245" w:rsidP="00D73E98">
            <w:pPr>
              <w:spacing w:line="230" w:lineRule="exact"/>
              <w:rPr>
                <w:lang w:val="it-IT"/>
              </w:rPr>
            </w:pPr>
            <w:r w:rsidRPr="00FE125D">
              <w:rPr>
                <w:lang w:val="it-IT"/>
              </w:rPr>
              <w:t xml:space="preserve">Per i beni immateriali </w:t>
            </w:r>
            <w:r>
              <w:rPr>
                <w:lang w:val="it-IT"/>
              </w:rPr>
              <w:t>nel determinare il</w:t>
            </w:r>
            <w:r w:rsidRPr="00FE125D">
              <w:rPr>
                <w:lang w:val="it-IT"/>
              </w:rPr>
              <w:t xml:space="preserve"> periodo di ammortamento </w:t>
            </w:r>
            <w:r>
              <w:rPr>
                <w:lang w:val="it-IT"/>
              </w:rPr>
              <w:t xml:space="preserve">si è tenuto conto del limite legale o contrattuale e </w:t>
            </w:r>
            <w:r w:rsidRPr="00FE125D">
              <w:rPr>
                <w:lang w:val="it-IT"/>
              </w:rPr>
              <w:t xml:space="preserve">del periodo durante il quale la società prevede di utilizzare </w:t>
            </w:r>
            <w:r>
              <w:rPr>
                <w:lang w:val="it-IT"/>
              </w:rPr>
              <w:t>il bene?</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3</w:t>
            </w:r>
            <w:r>
              <w:rPr>
                <w:b/>
                <w:lang w:val="it-IT"/>
              </w:rPr>
              <w:t>2</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24.71</w:t>
            </w:r>
          </w:p>
        </w:tc>
        <w:tc>
          <w:tcPr>
            <w:tcW w:w="7071" w:type="dxa"/>
            <w:tcMar>
              <w:left w:w="108" w:type="dxa"/>
            </w:tcMar>
          </w:tcPr>
          <w:p w:rsidR="00680245" w:rsidRPr="00CC4532" w:rsidRDefault="00680245" w:rsidP="00D73E98">
            <w:pPr>
              <w:rPr>
                <w:lang w:val="it-IT"/>
              </w:rPr>
            </w:pPr>
            <w:r>
              <w:rPr>
                <w:lang w:val="it-IT"/>
              </w:rPr>
              <w:t>Si è tenuto conto che l</w:t>
            </w:r>
            <w:r w:rsidRPr="001F7E7D">
              <w:rPr>
                <w:lang w:val="it-IT"/>
              </w:rPr>
              <w:t>a</w:t>
            </w:r>
            <w:r w:rsidRPr="00FE125D">
              <w:rPr>
                <w:lang w:val="it-IT"/>
              </w:rPr>
              <w:t xml:space="preserve"> stima della vita utile dei mar</w:t>
            </w:r>
            <w:r>
              <w:rPr>
                <w:lang w:val="it-IT"/>
              </w:rPr>
              <w:t>chi non deve eccedere i 20 anni?</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Default="00680245"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680245" w:rsidRDefault="00680245"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680245" w:rsidRPr="00F01072" w:rsidTr="00D73E98">
        <w:trPr>
          <w:cantSplit/>
          <w:trHeight w:val="20"/>
        </w:trPr>
        <w:tc>
          <w:tcPr>
            <w:tcW w:w="680" w:type="dxa"/>
          </w:tcPr>
          <w:p w:rsidR="00680245" w:rsidRPr="00833EB2"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463D6A" w:rsidRDefault="00680245" w:rsidP="00D73E98">
            <w:pPr>
              <w:pStyle w:val="Titolo2"/>
              <w:rPr>
                <w:b w:val="0"/>
                <w:i/>
                <w:sz w:val="20"/>
              </w:rPr>
            </w:pPr>
            <w:r>
              <w:rPr>
                <w:b w:val="0"/>
                <w:i/>
                <w:sz w:val="20"/>
              </w:rPr>
              <w:t>Immobilizzazioni in corso</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A46CB"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3</w:t>
            </w:r>
            <w:r>
              <w:rPr>
                <w:b/>
                <w:lang w:val="it-IT"/>
              </w:rPr>
              <w:t>3</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24.72</w:t>
            </w:r>
          </w:p>
        </w:tc>
        <w:tc>
          <w:tcPr>
            <w:tcW w:w="7071" w:type="dxa"/>
            <w:tcMar>
              <w:left w:w="108" w:type="dxa"/>
            </w:tcMar>
          </w:tcPr>
          <w:p w:rsidR="00680245" w:rsidRPr="00817F12" w:rsidRDefault="00680245" w:rsidP="00D73E98">
            <w:pPr>
              <w:spacing w:line="230" w:lineRule="exact"/>
              <w:rPr>
                <w:lang w:val="it-IT"/>
              </w:rPr>
            </w:pPr>
            <w:r>
              <w:rPr>
                <w:lang w:val="it-IT"/>
              </w:rPr>
              <w:t>Si è tenuto conto che l</w:t>
            </w:r>
            <w:r w:rsidRPr="00704F2D">
              <w:rPr>
                <w:lang w:val="it-IT"/>
              </w:rPr>
              <w:t>e immobilizzazioni in corso n</w:t>
            </w:r>
            <w:r>
              <w:rPr>
                <w:lang w:val="it-IT"/>
              </w:rPr>
              <w:t>on devono essere oggetto di ammortamento in quanto il</w:t>
            </w:r>
            <w:r w:rsidRPr="00704F2D">
              <w:rPr>
                <w:lang w:val="it-IT"/>
              </w:rPr>
              <w:t xml:space="preserve"> processo di ammortamento</w:t>
            </w:r>
            <w:r>
              <w:rPr>
                <w:lang w:val="it-IT"/>
              </w:rPr>
              <w:t xml:space="preserve"> </w:t>
            </w:r>
            <w:r w:rsidRPr="00704F2D">
              <w:rPr>
                <w:lang w:val="it-IT"/>
              </w:rPr>
              <w:t>inizia nel momento in cui tali valori sono riclassificati alle rispettive voci di competenza delle</w:t>
            </w:r>
            <w:r>
              <w:rPr>
                <w:lang w:val="it-IT"/>
              </w:rPr>
              <w:t xml:space="preserve"> </w:t>
            </w:r>
            <w:r w:rsidRPr="00704F2D">
              <w:rPr>
                <w:lang w:val="it-IT"/>
              </w:rPr>
              <w:t>immobilizzazioni immateriali</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F01072" w:rsidTr="00D73E98">
        <w:trPr>
          <w:cantSplit/>
          <w:trHeight w:val="20"/>
        </w:trPr>
        <w:tc>
          <w:tcPr>
            <w:tcW w:w="680" w:type="dxa"/>
          </w:tcPr>
          <w:p w:rsidR="00680245" w:rsidRPr="00833EB2"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463D6A" w:rsidRDefault="00680245" w:rsidP="00D73E98">
            <w:pPr>
              <w:pStyle w:val="Titolo2"/>
              <w:rPr>
                <w:b w:val="0"/>
                <w:i/>
                <w:sz w:val="20"/>
              </w:rPr>
            </w:pPr>
            <w:r>
              <w:rPr>
                <w:b w:val="0"/>
                <w:i/>
                <w:sz w:val="20"/>
              </w:rPr>
              <w:t>Altre immobilizzazioni immateriali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A46CB"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3</w:t>
            </w:r>
            <w:r>
              <w:rPr>
                <w:b/>
                <w:lang w:val="it-IT"/>
              </w:rPr>
              <w:t>4</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24.73</w:t>
            </w:r>
          </w:p>
        </w:tc>
        <w:tc>
          <w:tcPr>
            <w:tcW w:w="7071" w:type="dxa"/>
            <w:tcMar>
              <w:left w:w="108" w:type="dxa"/>
            </w:tcMar>
          </w:tcPr>
          <w:p w:rsidR="00680245" w:rsidRPr="00817F12" w:rsidRDefault="00680245" w:rsidP="00D73E98">
            <w:pPr>
              <w:spacing w:line="230" w:lineRule="exact"/>
              <w:rPr>
                <w:lang w:val="it-IT"/>
              </w:rPr>
            </w:pPr>
            <w:r w:rsidRPr="00704F2D">
              <w:rPr>
                <w:lang w:val="it-IT"/>
              </w:rPr>
              <w:t>L’ammortamento del diritto di usufrutto su azioni è effettuato sull</w:t>
            </w:r>
            <w:r>
              <w:rPr>
                <w:lang w:val="it-IT"/>
              </w:rPr>
              <w:t>a base della durata del diritto?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3</w:t>
            </w:r>
            <w:r>
              <w:rPr>
                <w:b/>
                <w:lang w:val="it-IT"/>
              </w:rPr>
              <w:t>5</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24.74</w:t>
            </w:r>
          </w:p>
        </w:tc>
        <w:tc>
          <w:tcPr>
            <w:tcW w:w="7071" w:type="dxa"/>
            <w:tcMar>
              <w:left w:w="108" w:type="dxa"/>
            </w:tcMar>
          </w:tcPr>
          <w:p w:rsidR="00680245" w:rsidRPr="00817F12" w:rsidRDefault="00680245" w:rsidP="00D73E98">
            <w:pPr>
              <w:spacing w:line="230" w:lineRule="exact"/>
              <w:rPr>
                <w:lang w:val="it-IT"/>
              </w:rPr>
            </w:pPr>
            <w:r w:rsidRPr="00704F2D">
              <w:rPr>
                <w:lang w:val="it-IT"/>
              </w:rPr>
              <w:t>L’ammortamento del costo del software non tutelato è effettuato nel prevedibile periodo di</w:t>
            </w:r>
            <w:r>
              <w:rPr>
                <w:lang w:val="it-IT"/>
              </w:rPr>
              <w:t xml:space="preserve"> utilizzo?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3</w:t>
            </w:r>
            <w:r>
              <w:rPr>
                <w:b/>
                <w:lang w:val="it-IT"/>
              </w:rPr>
              <w:t>6</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24.75</w:t>
            </w:r>
          </w:p>
        </w:tc>
        <w:tc>
          <w:tcPr>
            <w:tcW w:w="7071" w:type="dxa"/>
            <w:tcMar>
              <w:left w:w="108" w:type="dxa"/>
            </w:tcMar>
          </w:tcPr>
          <w:p w:rsidR="00680245" w:rsidRPr="00817F12" w:rsidRDefault="00680245" w:rsidP="00D73E98">
            <w:pPr>
              <w:spacing w:line="230" w:lineRule="exact"/>
              <w:rPr>
                <w:lang w:val="it-IT"/>
              </w:rPr>
            </w:pPr>
            <w:r w:rsidRPr="00704F2D">
              <w:rPr>
                <w:lang w:val="it-IT"/>
              </w:rPr>
              <w:t>L’ammortamento del software di base, essendo strettamente correlato all’hardware, è trattato</w:t>
            </w:r>
            <w:r>
              <w:rPr>
                <w:lang w:val="it-IT"/>
              </w:rPr>
              <w:t xml:space="preserve"> in conformità a quanto previsto dall’OIC 16?</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3</w:t>
            </w:r>
            <w:r>
              <w:rPr>
                <w:b/>
                <w:lang w:val="it-IT"/>
              </w:rPr>
              <w:t>7</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24.76</w:t>
            </w:r>
          </w:p>
        </w:tc>
        <w:tc>
          <w:tcPr>
            <w:tcW w:w="7071" w:type="dxa"/>
            <w:tcMar>
              <w:left w:w="108" w:type="dxa"/>
            </w:tcMar>
          </w:tcPr>
          <w:p w:rsidR="00680245" w:rsidRPr="00817F12" w:rsidRDefault="00680245" w:rsidP="00D73E98">
            <w:pPr>
              <w:spacing w:line="230" w:lineRule="exact"/>
              <w:rPr>
                <w:lang w:val="it-IT"/>
              </w:rPr>
            </w:pPr>
            <w:r w:rsidRPr="00FC49AD">
              <w:rPr>
                <w:lang w:val="it-IT"/>
              </w:rPr>
              <w:t xml:space="preserve">L'ammortamento dei costi per migliorie dei beni di terzi </w:t>
            </w:r>
            <w:r>
              <w:rPr>
                <w:lang w:val="it-IT"/>
              </w:rPr>
              <w:t xml:space="preserve">è </w:t>
            </w:r>
            <w:r w:rsidRPr="00FC49AD">
              <w:rPr>
                <w:lang w:val="it-IT"/>
              </w:rPr>
              <w:t>effettua</w:t>
            </w:r>
            <w:r>
              <w:rPr>
                <w:lang w:val="it-IT"/>
              </w:rPr>
              <w:t>to</w:t>
            </w:r>
            <w:r w:rsidRPr="00FC49AD">
              <w:rPr>
                <w:lang w:val="it-IT"/>
              </w:rPr>
              <w:t xml:space="preserve"> nel periodo minore tra quello</w:t>
            </w:r>
            <w:r>
              <w:rPr>
                <w:lang w:val="it-IT"/>
              </w:rPr>
              <w:t xml:space="preserve"> </w:t>
            </w:r>
            <w:r w:rsidRPr="00FC49AD">
              <w:rPr>
                <w:lang w:val="it-IT"/>
              </w:rPr>
              <w:t>di utilità futura delle spese sostenute e quello residuo della locazione, tenuto conto dell'eventuale</w:t>
            </w:r>
            <w:r>
              <w:rPr>
                <w:lang w:val="it-IT"/>
              </w:rPr>
              <w:t xml:space="preserve"> </w:t>
            </w:r>
            <w:r w:rsidRPr="00FC49AD">
              <w:rPr>
                <w:lang w:val="it-IT"/>
              </w:rPr>
              <w:t>periodo di rinnov</w:t>
            </w:r>
            <w:r>
              <w:rPr>
                <w:lang w:val="it-IT"/>
              </w:rPr>
              <w:t>o, se dipendente dal conduttore?</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3</w:t>
            </w:r>
            <w:r>
              <w:rPr>
                <w:b/>
                <w:lang w:val="it-IT"/>
              </w:rPr>
              <w:t>8</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24.77</w:t>
            </w:r>
          </w:p>
        </w:tc>
        <w:tc>
          <w:tcPr>
            <w:tcW w:w="7071" w:type="dxa"/>
            <w:tcMar>
              <w:left w:w="108" w:type="dxa"/>
            </w:tcMar>
          </w:tcPr>
          <w:p w:rsidR="00680245" w:rsidRPr="00817F12" w:rsidRDefault="00680245" w:rsidP="00D73E98">
            <w:pPr>
              <w:spacing w:line="230" w:lineRule="exact"/>
              <w:rPr>
                <w:lang w:val="it-IT"/>
              </w:rPr>
            </w:pPr>
            <w:r w:rsidRPr="00FC49AD">
              <w:rPr>
                <w:lang w:val="it-IT"/>
              </w:rPr>
              <w:t xml:space="preserve">L’ammortamento dei costi per il trasferimento e il riposizionamento di cespiti in essere </w:t>
            </w:r>
            <w:r>
              <w:rPr>
                <w:lang w:val="it-IT"/>
              </w:rPr>
              <w:t xml:space="preserve">è stato effettuato </w:t>
            </w:r>
            <w:r w:rsidRPr="00FC49AD">
              <w:rPr>
                <w:lang w:val="it-IT"/>
              </w:rPr>
              <w:t>prudenzialmente in un periodo di tempo relativamente breve (da tre a ci</w:t>
            </w:r>
            <w:r>
              <w:rPr>
                <w:lang w:val="it-IT"/>
              </w:rPr>
              <w:t>nque anni)?</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F50B82" w:rsidTr="00D73E98">
        <w:trPr>
          <w:cantSplit/>
          <w:trHeight w:val="20"/>
        </w:trPr>
        <w:tc>
          <w:tcPr>
            <w:tcW w:w="680" w:type="dxa"/>
          </w:tcPr>
          <w:p w:rsidR="00680245" w:rsidRPr="00833EB2"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135D46" w:rsidRDefault="00680245" w:rsidP="00D73E98">
            <w:pPr>
              <w:pStyle w:val="Titolo2"/>
              <w:jc w:val="both"/>
              <w:rPr>
                <w:i/>
                <w:sz w:val="20"/>
              </w:rPr>
            </w:pPr>
            <w:r>
              <w:rPr>
                <w:i/>
                <w:sz w:val="20"/>
              </w:rPr>
              <w:t>S</w:t>
            </w:r>
            <w:r w:rsidRPr="00135D46">
              <w:rPr>
                <w:i/>
                <w:sz w:val="20"/>
              </w:rPr>
              <w:t>valutazione</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EA46CB"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3</w:t>
            </w:r>
            <w:r>
              <w:rPr>
                <w:b/>
                <w:lang w:val="it-IT"/>
              </w:rPr>
              <w:t>9</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24.78</w:t>
            </w:r>
          </w:p>
        </w:tc>
        <w:tc>
          <w:tcPr>
            <w:tcW w:w="7071" w:type="dxa"/>
            <w:tcMar>
              <w:left w:w="108" w:type="dxa"/>
            </w:tcMar>
          </w:tcPr>
          <w:p w:rsidR="00680245" w:rsidRPr="00817F12" w:rsidRDefault="00680245" w:rsidP="00D73E98">
            <w:pPr>
              <w:spacing w:line="230" w:lineRule="exact"/>
              <w:rPr>
                <w:lang w:val="it-IT"/>
              </w:rPr>
            </w:pPr>
            <w:r w:rsidRPr="00C502C9">
              <w:rPr>
                <w:lang w:val="it-IT"/>
              </w:rPr>
              <w:t>La società valuta a ogni data di riferimento del bilancio la presenza di indicatori di perdite</w:t>
            </w:r>
            <w:r>
              <w:rPr>
                <w:lang w:val="it-IT"/>
              </w:rPr>
              <w:t xml:space="preserve"> </w:t>
            </w:r>
            <w:r w:rsidRPr="00C502C9">
              <w:rPr>
                <w:lang w:val="it-IT"/>
              </w:rPr>
              <w:t xml:space="preserve">durevoli di valore per quanto concerne </w:t>
            </w:r>
            <w:r>
              <w:rPr>
                <w:lang w:val="it-IT"/>
              </w:rPr>
              <w:t>le immobilizzazioni immateriali?</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Pr>
          <w:p w:rsidR="00680245" w:rsidRPr="00833EB2" w:rsidRDefault="00680245" w:rsidP="00D73E98">
            <w:pPr>
              <w:tabs>
                <w:tab w:val="left" w:pos="146"/>
              </w:tabs>
              <w:jc w:val="center"/>
              <w:rPr>
                <w:b/>
                <w:lang w:val="it-IT"/>
              </w:rPr>
            </w:pPr>
            <w:r>
              <w:rPr>
                <w:b/>
                <w:lang w:val="it-IT"/>
              </w:rPr>
              <w:t>40</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24.78</w:t>
            </w:r>
          </w:p>
        </w:tc>
        <w:tc>
          <w:tcPr>
            <w:tcW w:w="7071" w:type="dxa"/>
            <w:tcMar>
              <w:left w:w="108" w:type="dxa"/>
            </w:tcMar>
          </w:tcPr>
          <w:p w:rsidR="00680245" w:rsidRPr="00817F12" w:rsidRDefault="00680245" w:rsidP="00D73E98">
            <w:pPr>
              <w:spacing w:line="230" w:lineRule="exact"/>
              <w:rPr>
                <w:lang w:val="it-IT"/>
              </w:rPr>
            </w:pPr>
            <w:r w:rsidRPr="00C502C9">
              <w:rPr>
                <w:lang w:val="it-IT"/>
              </w:rPr>
              <w:t>Se tali indicatori</w:t>
            </w:r>
            <w:r>
              <w:rPr>
                <w:lang w:val="it-IT"/>
              </w:rPr>
              <w:t xml:space="preserve"> </w:t>
            </w:r>
            <w:r w:rsidRPr="00C502C9">
              <w:rPr>
                <w:lang w:val="it-IT"/>
              </w:rPr>
              <w:t>dovessero sussistere, la società procede alla stima del valore recuperabile dell’immobilizzazione</w:t>
            </w:r>
            <w:r>
              <w:rPr>
                <w:lang w:val="it-IT"/>
              </w:rPr>
              <w:t xml:space="preserve"> ed effettua una svalutazione</w:t>
            </w:r>
            <w:r w:rsidRPr="00C502C9">
              <w:rPr>
                <w:lang w:val="it-IT"/>
              </w:rPr>
              <w:t xml:space="preserve"> qualora</w:t>
            </w:r>
            <w:r>
              <w:rPr>
                <w:lang w:val="it-IT"/>
              </w:rPr>
              <w:t xml:space="preserve"> </w:t>
            </w:r>
            <w:r w:rsidRPr="00C502C9">
              <w:rPr>
                <w:lang w:val="it-IT"/>
              </w:rPr>
              <w:t>l’immobilizzazione risulti durevolmente di valore inferiore al valore netto contabile</w:t>
            </w:r>
            <w:r>
              <w:rPr>
                <w:lang w:val="it-IT"/>
              </w:rPr>
              <w:t>? (</w:t>
            </w:r>
            <w:r w:rsidRPr="00C502C9">
              <w:rPr>
                <w:lang w:val="it-IT"/>
              </w:rPr>
              <w:t>Sul punto si</w:t>
            </w:r>
            <w:r>
              <w:rPr>
                <w:lang w:val="it-IT"/>
              </w:rPr>
              <w:t xml:space="preserve"> </w:t>
            </w:r>
            <w:r w:rsidRPr="00C502C9">
              <w:rPr>
                <w:lang w:val="it-IT"/>
              </w:rPr>
              <w:t>veda l’OIC 9 “Svalutazioni per perdite durevoli di valore delle immobilizzazioni mate</w:t>
            </w:r>
            <w:r w:rsidRPr="00ED5209">
              <w:rPr>
                <w:lang w:val="it-IT"/>
              </w:rPr>
              <w:t>riali e immateriali”).</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F50B82"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135D46" w:rsidRDefault="00680245" w:rsidP="00D73E98">
            <w:pPr>
              <w:pStyle w:val="Titolo2"/>
              <w:jc w:val="both"/>
              <w:rPr>
                <w:i/>
                <w:sz w:val="20"/>
              </w:rPr>
            </w:pPr>
            <w:r w:rsidRPr="00135D46">
              <w:rPr>
                <w:i/>
                <w:sz w:val="20"/>
              </w:rPr>
              <w:t>Rivalutazione</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DE38DC" w:rsidTr="00D73E98">
        <w:trPr>
          <w:cantSplit/>
          <w:trHeight w:val="20"/>
        </w:trPr>
        <w:tc>
          <w:tcPr>
            <w:tcW w:w="680" w:type="dxa"/>
          </w:tcPr>
          <w:p w:rsidR="00680245" w:rsidRPr="00833EB2" w:rsidRDefault="00680245" w:rsidP="00D73E98">
            <w:pPr>
              <w:tabs>
                <w:tab w:val="left" w:pos="146"/>
              </w:tabs>
              <w:jc w:val="center"/>
              <w:rPr>
                <w:b/>
                <w:lang w:val="it-IT"/>
              </w:rPr>
            </w:pPr>
            <w:r>
              <w:rPr>
                <w:b/>
                <w:lang w:val="it-IT"/>
              </w:rPr>
              <w:t>41</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24.79</w:t>
            </w:r>
          </w:p>
        </w:tc>
        <w:tc>
          <w:tcPr>
            <w:tcW w:w="7071" w:type="dxa"/>
            <w:tcMar>
              <w:left w:w="108" w:type="dxa"/>
            </w:tcMar>
          </w:tcPr>
          <w:p w:rsidR="00680245" w:rsidRPr="00DE38DC" w:rsidRDefault="00680245" w:rsidP="00D73E98">
            <w:pPr>
              <w:spacing w:line="230" w:lineRule="exact"/>
              <w:rPr>
                <w:lang w:val="it-IT"/>
              </w:rPr>
            </w:pPr>
            <w:r w:rsidRPr="00210983">
              <w:rPr>
                <w:lang w:val="it-IT"/>
              </w:rPr>
              <w:t xml:space="preserve">Le immobilizzazioni immateriali, costituite da beni immateriali, </w:t>
            </w:r>
            <w:r>
              <w:rPr>
                <w:lang w:val="it-IT"/>
              </w:rPr>
              <w:t>sono</w:t>
            </w:r>
            <w:r w:rsidRPr="00210983">
              <w:rPr>
                <w:lang w:val="it-IT"/>
              </w:rPr>
              <w:t xml:space="preserve"> rivalutate solo nei casi in cui</w:t>
            </w:r>
            <w:r>
              <w:rPr>
                <w:lang w:val="it-IT"/>
              </w:rPr>
              <w:t xml:space="preserve"> la</w:t>
            </w:r>
            <w:r w:rsidRPr="00210983">
              <w:rPr>
                <w:lang w:val="it-IT"/>
              </w:rPr>
              <w:t xml:space="preserve"> legg</w:t>
            </w:r>
            <w:r>
              <w:rPr>
                <w:lang w:val="it-IT"/>
              </w:rPr>
              <w:t>e lo preveda o lo consenta?</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680245" w:rsidRPr="00CC242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24.79</w:t>
            </w:r>
          </w:p>
        </w:tc>
        <w:tc>
          <w:tcPr>
            <w:tcW w:w="7071" w:type="dxa"/>
            <w:tcMar>
              <w:left w:w="108" w:type="dxa"/>
            </w:tcMar>
          </w:tcPr>
          <w:p w:rsidR="00680245" w:rsidRPr="00DE38DC" w:rsidRDefault="00680245" w:rsidP="00D73E98">
            <w:pPr>
              <w:pStyle w:val="Commentiriquadro"/>
              <w:spacing w:before="20"/>
              <w:ind w:left="58" w:right="58"/>
            </w:pPr>
            <w:r w:rsidRPr="00210983">
              <w:t>Non sono ammesse rivalutazioni discrezionali o volontarie delle immobilizzazioni immateriali ovvero rivalutazioni che non derivino dall’applicazione di leggi speciali. L’accresciuto valore di un bene immateriale derivante dal processo inflattivo non è considerato di per sé ragione sufficiente per la sua rivalutazione, né costituisce un “caso eccezionale” di deroga al divieto di rivalutazione. I criteri seguiti per procedere alla rivalutazione, le metodologie adottate per la sua applicazione ed i limiti entro cui la rivalutazione è effettuata devono conformarsi a quanto stabilito dalla legge speciale in base alla quale la rivalutazione è effettuata. Se la legge non stabilisce criteri, metodologie e limiti da adottare per effettuare la rivalutazione, tutti questi elementi devono comunque essere determinati in conformità al principio generale di rappresentazione veritiera e corretta del bilancio.</w:t>
            </w:r>
          </w:p>
        </w:tc>
        <w:tc>
          <w:tcPr>
            <w:tcW w:w="575" w:type="dxa"/>
            <w:tcMar>
              <w:left w:w="85" w:type="dxa"/>
              <w:right w:w="85" w:type="dxa"/>
            </w:tcMar>
            <w:vAlign w:val="center"/>
          </w:tcPr>
          <w:p w:rsidR="00680245" w:rsidRPr="00DE38DC" w:rsidRDefault="00680245" w:rsidP="00D73E98">
            <w:pPr>
              <w:jc w:val="center"/>
              <w:rPr>
                <w:lang w:val="it-IT"/>
              </w:rPr>
            </w:pPr>
          </w:p>
        </w:tc>
        <w:tc>
          <w:tcPr>
            <w:tcW w:w="573" w:type="dxa"/>
            <w:tcMar>
              <w:left w:w="108" w:type="dxa"/>
            </w:tcMar>
            <w:vAlign w:val="center"/>
          </w:tcPr>
          <w:p w:rsidR="00680245" w:rsidRPr="00DE38DC" w:rsidRDefault="00680245" w:rsidP="00D73E98">
            <w:pPr>
              <w:jc w:val="center"/>
              <w:rPr>
                <w:lang w:val="it-IT"/>
              </w:rPr>
            </w:pPr>
          </w:p>
        </w:tc>
        <w:tc>
          <w:tcPr>
            <w:tcW w:w="570" w:type="dxa"/>
            <w:tcMar>
              <w:left w:w="108" w:type="dxa"/>
            </w:tcMar>
            <w:vAlign w:val="center"/>
          </w:tcPr>
          <w:p w:rsidR="00680245" w:rsidRPr="00DE38DC" w:rsidRDefault="00680245" w:rsidP="00D73E98">
            <w:pPr>
              <w:jc w:val="center"/>
              <w:rPr>
                <w:lang w:val="it-IT"/>
              </w:rPr>
            </w:pPr>
          </w:p>
        </w:tc>
      </w:tr>
      <w:tr w:rsidR="00680245" w:rsidRPr="00F01072"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4</w:t>
            </w:r>
            <w:r>
              <w:rPr>
                <w:b/>
                <w:lang w:val="it-IT"/>
              </w:rPr>
              <w:t>2</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24.80</w:t>
            </w:r>
          </w:p>
        </w:tc>
        <w:tc>
          <w:tcPr>
            <w:tcW w:w="7071" w:type="dxa"/>
            <w:tcMar>
              <w:left w:w="108" w:type="dxa"/>
            </w:tcMar>
          </w:tcPr>
          <w:p w:rsidR="00680245" w:rsidRPr="00DE38DC" w:rsidRDefault="00680245" w:rsidP="00D73E98">
            <w:pPr>
              <w:spacing w:line="230" w:lineRule="exact"/>
              <w:rPr>
                <w:lang w:val="it-IT"/>
              </w:rPr>
            </w:pPr>
            <w:r>
              <w:rPr>
                <w:lang w:val="it-IT"/>
              </w:rPr>
              <w:t>È stato rispettato il</w:t>
            </w:r>
            <w:r w:rsidRPr="00E34A76">
              <w:rPr>
                <w:lang w:val="it-IT"/>
              </w:rPr>
              <w:t xml:space="preserve"> limite massimo della rivalutazione di un’im</w:t>
            </w:r>
            <w:r>
              <w:rPr>
                <w:lang w:val="it-IT"/>
              </w:rPr>
              <w:t xml:space="preserve">mobilizzazione immateriale, pari al </w:t>
            </w:r>
            <w:r w:rsidRPr="00E34A76">
              <w:rPr>
                <w:lang w:val="it-IT"/>
              </w:rPr>
              <w:t>valore recuperabile dell’immobilizzazione stessa</w:t>
            </w:r>
            <w:r>
              <w:rPr>
                <w:lang w:val="it-IT"/>
              </w:rPr>
              <w:t>,</w:t>
            </w:r>
            <w:r w:rsidRPr="00E34A76">
              <w:rPr>
                <w:lang w:val="it-IT"/>
              </w:rPr>
              <w:t xml:space="preserve"> che in </w:t>
            </w:r>
            <w:r>
              <w:rPr>
                <w:lang w:val="it-IT"/>
              </w:rPr>
              <w:t>nessun caso può essere superato?</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680245" w:rsidRPr="00F01072"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4</w:t>
            </w:r>
            <w:r>
              <w:rPr>
                <w:b/>
                <w:lang w:val="it-IT"/>
              </w:rPr>
              <w:t>3</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24.81</w:t>
            </w:r>
          </w:p>
        </w:tc>
        <w:tc>
          <w:tcPr>
            <w:tcW w:w="7071" w:type="dxa"/>
            <w:tcMar>
              <w:left w:w="108" w:type="dxa"/>
            </w:tcMar>
          </w:tcPr>
          <w:p w:rsidR="00680245" w:rsidRPr="00DE38DC" w:rsidRDefault="00680245" w:rsidP="00A707D4">
            <w:pPr>
              <w:rPr>
                <w:lang w:val="it-IT"/>
              </w:rPr>
            </w:pPr>
            <w:r w:rsidRPr="00CF7F92">
              <w:rPr>
                <w:lang w:val="it-IT"/>
              </w:rPr>
              <w:t>Se la legge speciale stabilisce che la rivalutazione di un bene immateriale debba essere effettuata in base a parametri prestabiliti e l’adozione di tali parametri comporta l’iscrizione di un valore rivalutato che negli esercizi successivi risulti eccedente il valore recuperabile, il valore rivalutato è conseguentemente svalutato con rilevazione della perdita durevole a conto economico (cfr. OIC 9)</w:t>
            </w:r>
            <w:r>
              <w:rPr>
                <w:lang w:val="it-IT"/>
              </w:rPr>
              <w:t>,</w:t>
            </w:r>
            <w:r w:rsidRPr="00CF7F92">
              <w:rPr>
                <w:lang w:val="it-IT"/>
              </w:rPr>
              <w:t xml:space="preserve"> se non di</w:t>
            </w:r>
            <w:r>
              <w:rPr>
                <w:lang w:val="it-IT"/>
              </w:rPr>
              <w:t>sposto diversamente dalla legge?</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680245" w:rsidRPr="00DE38DC"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4</w:t>
            </w:r>
            <w:r>
              <w:rPr>
                <w:b/>
                <w:lang w:val="it-IT"/>
              </w:rPr>
              <w:t>4</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24.82</w:t>
            </w:r>
          </w:p>
        </w:tc>
        <w:tc>
          <w:tcPr>
            <w:tcW w:w="7071" w:type="dxa"/>
            <w:tcMar>
              <w:left w:w="108" w:type="dxa"/>
            </w:tcMar>
          </w:tcPr>
          <w:p w:rsidR="00680245" w:rsidRPr="00DE38DC" w:rsidRDefault="00680245" w:rsidP="00A707D4">
            <w:pPr>
              <w:rPr>
                <w:lang w:val="it-IT"/>
              </w:rPr>
            </w:pPr>
            <w:r>
              <w:rPr>
                <w:lang w:val="it-IT"/>
              </w:rPr>
              <w:t>Poichè l</w:t>
            </w:r>
            <w:r w:rsidRPr="00983A4B">
              <w:rPr>
                <w:lang w:val="it-IT"/>
              </w:rPr>
              <w:t>a rivalutazione di un’immobilizzazione immateriale, ove prevista da una legge, non modifica la stimata residua vita utile, che prescinde dal valore economico del bene</w:t>
            </w:r>
            <w:r>
              <w:rPr>
                <w:lang w:val="it-IT"/>
              </w:rPr>
              <w:t>, l</w:t>
            </w:r>
            <w:r w:rsidRPr="00983A4B">
              <w:rPr>
                <w:lang w:val="it-IT"/>
              </w:rPr>
              <w:t>’ammortamento dell’immobilizzazione immateriale rivalutata continua ad essere determinato coerentemente con i criteri applicati precedentemente, senza modificare la vita utile residua</w:t>
            </w:r>
            <w:r>
              <w:rPr>
                <w:lang w:val="it-IT"/>
              </w:rPr>
              <w:t>?</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680245" w:rsidRPr="00F0679B"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4</w:t>
            </w:r>
            <w:r>
              <w:rPr>
                <w:b/>
                <w:lang w:val="it-IT"/>
              </w:rPr>
              <w:t>5</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24.83</w:t>
            </w:r>
          </w:p>
        </w:tc>
        <w:tc>
          <w:tcPr>
            <w:tcW w:w="7071" w:type="dxa"/>
            <w:tcMar>
              <w:left w:w="108" w:type="dxa"/>
            </w:tcMar>
          </w:tcPr>
          <w:p w:rsidR="00680245" w:rsidRPr="00AD6E2D" w:rsidRDefault="00680245" w:rsidP="00D73E98">
            <w:pPr>
              <w:spacing w:line="230" w:lineRule="exact"/>
              <w:rPr>
                <w:lang w:val="it-IT"/>
              </w:rPr>
            </w:pPr>
            <w:r w:rsidRPr="003C2B0B">
              <w:rPr>
                <w:lang w:val="it-IT"/>
              </w:rPr>
              <w:t xml:space="preserve">L’effetto netto della rivalutazione è accreditato tra le riserve di patrimonio netto, alla voce </w:t>
            </w:r>
            <w:r>
              <w:rPr>
                <w:lang w:val="it-IT"/>
              </w:rPr>
              <w:t xml:space="preserve">AIII "Riserve di rivalutazione”, </w:t>
            </w:r>
            <w:r w:rsidRPr="002B5FD2">
              <w:rPr>
                <w:lang w:val="it-IT"/>
              </w:rPr>
              <w:t>salv</w:t>
            </w:r>
            <w:r>
              <w:rPr>
                <w:lang w:val="it-IT"/>
              </w:rPr>
              <w:t>o diversa disposizione di legge?</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Default="00680245"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680245" w:rsidRDefault="00680245"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680245" w:rsidRPr="00F50B82" w:rsidTr="00D73E98">
        <w:trPr>
          <w:cantSplit/>
          <w:trHeight w:val="20"/>
        </w:trPr>
        <w:tc>
          <w:tcPr>
            <w:tcW w:w="680" w:type="dxa"/>
          </w:tcPr>
          <w:p w:rsidR="00680245" w:rsidRPr="00833EB2"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135D46" w:rsidRDefault="00680245" w:rsidP="00D73E98">
            <w:pPr>
              <w:pStyle w:val="Titolo2"/>
              <w:jc w:val="both"/>
              <w:rPr>
                <w:i/>
                <w:sz w:val="20"/>
              </w:rPr>
            </w:pPr>
            <w:r>
              <w:rPr>
                <w:i/>
                <w:sz w:val="20"/>
              </w:rPr>
              <w:t>Alienazioni</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DE38DC"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4</w:t>
            </w:r>
            <w:r>
              <w:rPr>
                <w:b/>
                <w:lang w:val="it-IT"/>
              </w:rPr>
              <w:t>6</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24.84</w:t>
            </w:r>
          </w:p>
        </w:tc>
        <w:tc>
          <w:tcPr>
            <w:tcW w:w="7071" w:type="dxa"/>
            <w:tcMar>
              <w:left w:w="108" w:type="dxa"/>
            </w:tcMar>
          </w:tcPr>
          <w:p w:rsidR="00680245" w:rsidRPr="00DE38DC" w:rsidRDefault="00680245" w:rsidP="00A707D4">
            <w:pPr>
              <w:rPr>
                <w:lang w:val="it-IT"/>
              </w:rPr>
            </w:pPr>
            <w:r>
              <w:rPr>
                <w:lang w:val="it-IT"/>
              </w:rPr>
              <w:t>In caso di vendita di</w:t>
            </w:r>
            <w:r w:rsidRPr="0017756A">
              <w:rPr>
                <w:lang w:val="it-IT"/>
              </w:rPr>
              <w:t xml:space="preserve"> un bene immateriale </w:t>
            </w:r>
            <w:r>
              <w:rPr>
                <w:lang w:val="it-IT"/>
              </w:rPr>
              <w:t xml:space="preserve">si è proceduto ad </w:t>
            </w:r>
            <w:r w:rsidRPr="0017756A">
              <w:rPr>
                <w:lang w:val="it-IT"/>
              </w:rPr>
              <w:t>eliminare contabilmente, in contropartita al</w:t>
            </w:r>
            <w:r>
              <w:rPr>
                <w:lang w:val="it-IT"/>
              </w:rPr>
              <w:t xml:space="preserve"> </w:t>
            </w:r>
            <w:r w:rsidRPr="0017756A">
              <w:rPr>
                <w:lang w:val="it-IT"/>
              </w:rPr>
              <w:t>corrispettivo ricevuto, la voce delle immobilizzazioni per il valore netto contabile</w:t>
            </w:r>
            <w:r>
              <w:rPr>
                <w:lang w:val="it-IT"/>
              </w:rPr>
              <w:t xml:space="preserve"> </w:t>
            </w:r>
            <w:r w:rsidRPr="0017756A">
              <w:rPr>
                <w:lang w:val="it-IT"/>
              </w:rPr>
              <w:t>dell’immobilizzazione ceduta, cioè al netto degli ammortamenti accumulati fino alla data di</w:t>
            </w:r>
            <w:r>
              <w:rPr>
                <w:lang w:val="it-IT"/>
              </w:rPr>
              <w:t xml:space="preserve"> </w:t>
            </w:r>
            <w:r w:rsidRPr="0017756A">
              <w:rPr>
                <w:lang w:val="it-IT"/>
              </w:rPr>
              <w:t>alienazione comprendendo anche la quota di ammortamento relativa alla frazione dell’ultimo</w:t>
            </w:r>
            <w:r>
              <w:rPr>
                <w:lang w:val="it-IT"/>
              </w:rPr>
              <w:t xml:space="preserve"> </w:t>
            </w:r>
            <w:r w:rsidRPr="0017756A">
              <w:rPr>
                <w:lang w:val="it-IT"/>
              </w:rPr>
              <w:t>esercizio in cui è stat</w:t>
            </w:r>
            <w:r>
              <w:rPr>
                <w:lang w:val="it-IT"/>
              </w:rPr>
              <w:t>o utilizzato?</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680245" w:rsidRPr="00DE38DC"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4</w:t>
            </w:r>
            <w:r>
              <w:rPr>
                <w:b/>
                <w:lang w:val="it-IT"/>
              </w:rPr>
              <w:t>7</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24.84</w:t>
            </w:r>
          </w:p>
        </w:tc>
        <w:tc>
          <w:tcPr>
            <w:tcW w:w="7071" w:type="dxa"/>
            <w:tcMar>
              <w:left w:w="108" w:type="dxa"/>
            </w:tcMar>
          </w:tcPr>
          <w:p w:rsidR="00680245" w:rsidRPr="00DE38DC" w:rsidRDefault="00680245" w:rsidP="00D73E98">
            <w:pPr>
              <w:spacing w:line="230" w:lineRule="exact"/>
              <w:rPr>
                <w:lang w:val="it-IT"/>
              </w:rPr>
            </w:pPr>
            <w:r w:rsidRPr="0017756A">
              <w:rPr>
                <w:lang w:val="it-IT"/>
              </w:rPr>
              <w:t>L’eventuale differenza tra il valore netto contabile e il</w:t>
            </w:r>
            <w:r>
              <w:rPr>
                <w:lang w:val="it-IT"/>
              </w:rPr>
              <w:t xml:space="preserve"> </w:t>
            </w:r>
            <w:r w:rsidRPr="0017756A">
              <w:rPr>
                <w:lang w:val="it-IT"/>
              </w:rPr>
              <w:t xml:space="preserve">corrispettivo della cessione, e cioè la plusvalenza o la minusvalenza realizzata, </w:t>
            </w:r>
            <w:r>
              <w:rPr>
                <w:lang w:val="it-IT"/>
              </w:rPr>
              <w:t>è stata</w:t>
            </w:r>
            <w:r w:rsidRPr="0017756A">
              <w:rPr>
                <w:lang w:val="it-IT"/>
              </w:rPr>
              <w:t xml:space="preserve"> rilevata nel conto economico rispettivamente nella voce A5 “altri ricavi e proventi”, o nella voce B14 “oneri diversi della gestione”</w:t>
            </w:r>
            <w:r>
              <w:rPr>
                <w:lang w:val="it-IT"/>
              </w:rPr>
              <w:t>?</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680245" w:rsidRPr="00F0679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AD6E2D" w:rsidRDefault="00680245" w:rsidP="00D73E98">
            <w:pPr>
              <w:pStyle w:val="Titolo2"/>
              <w:keepNext w:val="0"/>
              <w:rPr>
                <w:lang w:val="it-IT"/>
              </w:rPr>
            </w:pPr>
            <w:r>
              <w:rPr>
                <w:lang w:val="it-IT"/>
              </w:rPr>
              <w:t>Casi</w:t>
            </w:r>
            <w:r w:rsidRPr="00135D46">
              <w:rPr>
                <w:lang w:val="it-IT"/>
              </w:rPr>
              <w:t xml:space="preserve"> </w:t>
            </w:r>
            <w:r>
              <w:rPr>
                <w:lang w:val="it-IT"/>
              </w:rPr>
              <w:t>particolari</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CC242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523753" w:rsidRDefault="00680245" w:rsidP="00D73E98">
            <w:pPr>
              <w:pStyle w:val="Titolo2"/>
              <w:keepNext w:val="0"/>
              <w:rPr>
                <w:i/>
                <w:sz w:val="20"/>
                <w:lang w:val="it-IT"/>
              </w:rPr>
            </w:pPr>
            <w:r w:rsidRPr="00523753">
              <w:rPr>
                <w:i/>
                <w:sz w:val="20"/>
                <w:lang w:val="it-IT"/>
              </w:rPr>
              <w:t>Contributi pubblici commisurati al costo delle immobilizzazioni immateriali</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CC242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24.85</w:t>
            </w:r>
          </w:p>
        </w:tc>
        <w:tc>
          <w:tcPr>
            <w:tcW w:w="7071" w:type="dxa"/>
            <w:tcMar>
              <w:left w:w="108" w:type="dxa"/>
            </w:tcMar>
          </w:tcPr>
          <w:p w:rsidR="00680245" w:rsidRPr="00AD6E2D" w:rsidRDefault="00680245" w:rsidP="00D73E98">
            <w:pPr>
              <w:pStyle w:val="Commentiriquadro"/>
              <w:spacing w:before="20"/>
              <w:ind w:left="58" w:right="58"/>
            </w:pPr>
            <w:r w:rsidRPr="00A4787C">
              <w:t>I contributi erogati alla società da un soggetto pubblico (Stato o enti pubblici) per la realizzazione di iniziative e progetti che riguardino le immobilizzazioni immateriali sono definiti “contributi pubblici”. Sono contributi per i quali la società beneficiaria può essere vincolata a mantenere in uso le immobilizzazioni immateriali cui essi si riferiscono per un determinato tempo, stabilito dalle norme che li concedono.</w:t>
            </w:r>
          </w:p>
        </w:tc>
        <w:tc>
          <w:tcPr>
            <w:tcW w:w="575" w:type="dxa"/>
            <w:tcMar>
              <w:left w:w="85" w:type="dxa"/>
              <w:right w:w="85" w:type="dxa"/>
            </w:tcMar>
            <w:vAlign w:val="center"/>
          </w:tcPr>
          <w:p w:rsidR="00680245" w:rsidRPr="00AD6E2D" w:rsidRDefault="00680245" w:rsidP="00D73E98">
            <w:pPr>
              <w:jc w:val="center"/>
              <w:rPr>
                <w:lang w:val="it-IT"/>
              </w:rPr>
            </w:pPr>
          </w:p>
        </w:tc>
        <w:tc>
          <w:tcPr>
            <w:tcW w:w="573" w:type="dxa"/>
            <w:tcMar>
              <w:left w:w="108" w:type="dxa"/>
            </w:tcMar>
            <w:vAlign w:val="center"/>
          </w:tcPr>
          <w:p w:rsidR="00680245" w:rsidRPr="00AD6E2D" w:rsidRDefault="00680245" w:rsidP="00D73E98">
            <w:pPr>
              <w:jc w:val="center"/>
              <w:rPr>
                <w:lang w:val="it-IT"/>
              </w:rPr>
            </w:pPr>
          </w:p>
        </w:tc>
        <w:tc>
          <w:tcPr>
            <w:tcW w:w="570" w:type="dxa"/>
            <w:tcMar>
              <w:left w:w="108" w:type="dxa"/>
            </w:tcMar>
            <w:vAlign w:val="center"/>
          </w:tcPr>
          <w:p w:rsidR="00680245" w:rsidRPr="00AD6E2D" w:rsidRDefault="00680245" w:rsidP="00D73E98">
            <w:pPr>
              <w:jc w:val="center"/>
              <w:rPr>
                <w:lang w:val="it-IT"/>
              </w:rPr>
            </w:pPr>
          </w:p>
        </w:tc>
      </w:tr>
      <w:tr w:rsidR="00680245" w:rsidRPr="00F0679B"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4</w:t>
            </w:r>
            <w:r>
              <w:rPr>
                <w:b/>
                <w:lang w:val="it-IT"/>
              </w:rPr>
              <w:t>8</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24.86</w:t>
            </w:r>
          </w:p>
        </w:tc>
        <w:tc>
          <w:tcPr>
            <w:tcW w:w="7071" w:type="dxa"/>
            <w:tcMar>
              <w:left w:w="108" w:type="dxa"/>
            </w:tcMar>
          </w:tcPr>
          <w:p w:rsidR="00680245" w:rsidRPr="00AD6E2D" w:rsidRDefault="00680245" w:rsidP="00D73E98">
            <w:pPr>
              <w:spacing w:line="230" w:lineRule="exact"/>
              <w:rPr>
                <w:lang w:val="it-IT"/>
              </w:rPr>
            </w:pPr>
            <w:r w:rsidRPr="00A4787C">
              <w:rPr>
                <w:lang w:val="it-IT"/>
              </w:rPr>
              <w:t>I contributi pubblici sono rilevati nel momento in cui esiste una ragionevole certezza che le condizioni previste per il riconoscimento del contributo sono soddisfatte e che i contributi saranno erogati</w:t>
            </w:r>
            <w:r>
              <w:rPr>
                <w:lang w:val="it-IT"/>
              </w:rPr>
              <w:t>?</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Default="00680245"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680245" w:rsidRDefault="00680245"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680245" w:rsidRPr="00CC242B"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4</w:t>
            </w:r>
            <w:r>
              <w:rPr>
                <w:b/>
                <w:lang w:val="it-IT"/>
              </w:rPr>
              <w:t>9</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24.87</w:t>
            </w:r>
          </w:p>
        </w:tc>
        <w:tc>
          <w:tcPr>
            <w:tcW w:w="7071" w:type="dxa"/>
            <w:tcMar>
              <w:left w:w="108" w:type="dxa"/>
            </w:tcMar>
          </w:tcPr>
          <w:p w:rsidR="00680245" w:rsidRPr="004F656C" w:rsidRDefault="00680245" w:rsidP="00D73E98">
            <w:pPr>
              <w:spacing w:line="230" w:lineRule="exact"/>
              <w:rPr>
                <w:lang w:val="it-IT"/>
              </w:rPr>
            </w:pPr>
            <w:r w:rsidRPr="00346BEC">
              <w:rPr>
                <w:lang w:val="it-IT"/>
              </w:rPr>
              <w:t xml:space="preserve">I contributi pubblici commisurati al costo delle immobilizzazioni </w:t>
            </w:r>
            <w:r>
              <w:rPr>
                <w:lang w:val="it-IT"/>
              </w:rPr>
              <w:t>im</w:t>
            </w:r>
            <w:r w:rsidRPr="00346BEC">
              <w:rPr>
                <w:lang w:val="it-IT"/>
              </w:rPr>
              <w:t xml:space="preserve">materiali sono rilevati a conto economico con un criterio sistematico, gradualmente lungo la vita utile dell’immobilizzazione </w:t>
            </w:r>
            <w:r>
              <w:rPr>
                <w:lang w:val="it-IT"/>
              </w:rPr>
              <w:t xml:space="preserve">mediante uno dei seguenti </w:t>
            </w:r>
            <w:r w:rsidRPr="00346BEC">
              <w:rPr>
                <w:lang w:val="it-IT"/>
              </w:rPr>
              <w:t xml:space="preserve">due metodi: </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DE38DC" w:rsidRDefault="00680245" w:rsidP="00D73E98">
            <w:pPr>
              <w:jc w:val="center"/>
              <w:rPr>
                <w:lang w:val="it-IT"/>
              </w:rPr>
            </w:pPr>
          </w:p>
        </w:tc>
        <w:tc>
          <w:tcPr>
            <w:tcW w:w="570" w:type="dxa"/>
            <w:tcMar>
              <w:left w:w="108" w:type="dxa"/>
            </w:tcMar>
            <w:vAlign w:val="center"/>
          </w:tcPr>
          <w:p w:rsidR="00680245" w:rsidRPr="00DE38DC" w:rsidRDefault="00680245" w:rsidP="00D73E98">
            <w:pPr>
              <w:jc w:val="center"/>
              <w:rPr>
                <w:lang w:val="it-IT"/>
              </w:rPr>
            </w:pPr>
          </w:p>
        </w:tc>
      </w:tr>
      <w:tr w:rsidR="00680245" w:rsidRPr="004F656C" w:rsidTr="00D73E98">
        <w:trPr>
          <w:cantSplit/>
          <w:trHeight w:val="20"/>
        </w:trPr>
        <w:tc>
          <w:tcPr>
            <w:tcW w:w="680" w:type="dxa"/>
          </w:tcPr>
          <w:p w:rsidR="00680245" w:rsidRPr="00833EB2"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4F656C" w:rsidRDefault="00680245" w:rsidP="00A707D4">
            <w:pPr>
              <w:pStyle w:val="rientrotrattinook"/>
              <w:numPr>
                <w:ilvl w:val="0"/>
                <w:numId w:val="15"/>
              </w:numPr>
              <w:ind w:left="460" w:hanging="284"/>
            </w:pPr>
            <w:r>
              <w:t>metodo indiretto,</w:t>
            </w:r>
            <w:r w:rsidRPr="00346BEC">
              <w:t xml:space="preserve"> i contributi sono portati indirettamente a riduzione del costo in quanto imputati al conto economico nella voce A5 “altri ricavi e proventi”, e quindi rinviati per competenza agli esercizi successivi attraverso l’i</w:t>
            </w:r>
            <w:r>
              <w:t>scrizione di “Risconti passivi”</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680245" w:rsidRPr="004F656C" w:rsidTr="00D73E98">
        <w:trPr>
          <w:cantSplit/>
          <w:trHeight w:val="20"/>
        </w:trPr>
        <w:tc>
          <w:tcPr>
            <w:tcW w:w="680" w:type="dxa"/>
          </w:tcPr>
          <w:p w:rsidR="00680245" w:rsidRPr="00833EB2"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4F656C" w:rsidRDefault="00680245" w:rsidP="00A707D4">
            <w:pPr>
              <w:pStyle w:val="rientrotrattinook"/>
              <w:numPr>
                <w:ilvl w:val="0"/>
                <w:numId w:val="15"/>
              </w:numPr>
              <w:ind w:left="460" w:hanging="284"/>
            </w:pPr>
            <w:r w:rsidRPr="004F656C">
              <w:t>metodo diretto, i contributi sono portati a riduzione del costo delle immobilizzazioni immateriali cui si riferiscono?</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680245" w:rsidRPr="00B94B6C" w:rsidTr="00D73E98">
        <w:trPr>
          <w:cantSplit/>
          <w:trHeight w:val="20"/>
        </w:trPr>
        <w:tc>
          <w:tcPr>
            <w:tcW w:w="680" w:type="dxa"/>
          </w:tcPr>
          <w:p w:rsidR="00680245" w:rsidRPr="00833EB2"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B94B6C" w:rsidRDefault="00680245" w:rsidP="00D73E98">
            <w:pPr>
              <w:pStyle w:val="Titolo2"/>
              <w:keepNext w:val="0"/>
              <w:jc w:val="both"/>
              <w:rPr>
                <w:lang w:val="it-IT"/>
              </w:rPr>
            </w:pPr>
            <w:r>
              <w:rPr>
                <w:lang w:val="it-IT"/>
              </w:rPr>
              <w:t>Nota Integrativa</w:t>
            </w:r>
          </w:p>
        </w:tc>
        <w:tc>
          <w:tcPr>
            <w:tcW w:w="575" w:type="dxa"/>
            <w:tcMar>
              <w:left w:w="85" w:type="dxa"/>
              <w:right w:w="85" w:type="dxa"/>
            </w:tcMar>
            <w:vAlign w:val="center"/>
          </w:tcPr>
          <w:p w:rsidR="00680245" w:rsidRPr="00B94B6C" w:rsidRDefault="00680245" w:rsidP="00D73E98">
            <w:pPr>
              <w:jc w:val="center"/>
              <w:rPr>
                <w:lang w:val="it-IT"/>
              </w:rPr>
            </w:pPr>
          </w:p>
        </w:tc>
        <w:tc>
          <w:tcPr>
            <w:tcW w:w="573" w:type="dxa"/>
            <w:tcMar>
              <w:left w:w="108" w:type="dxa"/>
            </w:tcMar>
            <w:vAlign w:val="center"/>
          </w:tcPr>
          <w:p w:rsidR="00680245" w:rsidRPr="00B94B6C" w:rsidRDefault="00680245" w:rsidP="00D73E98">
            <w:pPr>
              <w:jc w:val="center"/>
              <w:rPr>
                <w:lang w:val="it-IT"/>
              </w:rPr>
            </w:pPr>
          </w:p>
        </w:tc>
        <w:tc>
          <w:tcPr>
            <w:tcW w:w="570" w:type="dxa"/>
            <w:tcMar>
              <w:left w:w="108" w:type="dxa"/>
            </w:tcMar>
            <w:vAlign w:val="center"/>
          </w:tcPr>
          <w:p w:rsidR="00680245" w:rsidRPr="00B94B6C" w:rsidRDefault="00680245" w:rsidP="00D73E98">
            <w:pPr>
              <w:jc w:val="center"/>
              <w:rPr>
                <w:lang w:val="it-IT"/>
              </w:rPr>
            </w:pPr>
          </w:p>
        </w:tc>
      </w:tr>
      <w:tr w:rsidR="00680245" w:rsidRPr="00CC242B" w:rsidTr="00D73E98">
        <w:trPr>
          <w:cantSplit/>
          <w:trHeight w:val="20"/>
        </w:trPr>
        <w:tc>
          <w:tcPr>
            <w:tcW w:w="680" w:type="dxa"/>
          </w:tcPr>
          <w:p w:rsidR="00680245" w:rsidRPr="00833EB2"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5F59D8" w:rsidRDefault="00680245" w:rsidP="00D73E98">
            <w:pPr>
              <w:pStyle w:val="Titolo2"/>
              <w:keepNext w:val="0"/>
              <w:rPr>
                <w:i/>
                <w:sz w:val="20"/>
                <w:lang w:val="it-IT"/>
              </w:rPr>
            </w:pPr>
            <w:r w:rsidRPr="005F59D8">
              <w:rPr>
                <w:i/>
                <w:sz w:val="20"/>
                <w:lang w:val="it-IT"/>
              </w:rPr>
              <w:t>Informazioni relative alle società che redigono il bilancio in forma ordinaria</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CC242B" w:rsidTr="00D73E98">
        <w:trPr>
          <w:cantSplit/>
          <w:trHeight w:val="20"/>
        </w:trPr>
        <w:tc>
          <w:tcPr>
            <w:tcW w:w="680" w:type="dxa"/>
          </w:tcPr>
          <w:p w:rsidR="00680245" w:rsidRPr="00833EB2" w:rsidRDefault="00680245" w:rsidP="00D73E98">
            <w:pPr>
              <w:tabs>
                <w:tab w:val="left" w:pos="146"/>
              </w:tabs>
              <w:jc w:val="center"/>
              <w:rPr>
                <w:b/>
                <w:lang w:val="it-IT"/>
              </w:rPr>
            </w:pPr>
            <w:r>
              <w:rPr>
                <w:b/>
                <w:lang w:val="it-IT"/>
              </w:rPr>
              <w:t>50</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24.88</w:t>
            </w:r>
          </w:p>
        </w:tc>
        <w:tc>
          <w:tcPr>
            <w:tcW w:w="7071" w:type="dxa"/>
            <w:tcMar>
              <w:left w:w="108" w:type="dxa"/>
            </w:tcMar>
          </w:tcPr>
          <w:p w:rsidR="00680245" w:rsidRPr="00135D46" w:rsidRDefault="00680245" w:rsidP="00D73E98">
            <w:pPr>
              <w:spacing w:line="230" w:lineRule="exact"/>
              <w:rPr>
                <w:lang w:val="it-IT"/>
              </w:rPr>
            </w:pPr>
            <w:r>
              <w:rPr>
                <w:lang w:val="it-IT"/>
              </w:rPr>
              <w:t>N</w:t>
            </w:r>
            <w:r w:rsidRPr="00AC6649">
              <w:rPr>
                <w:lang w:val="it-IT"/>
              </w:rPr>
              <w:t xml:space="preserve">ella </w:t>
            </w:r>
            <w:r>
              <w:rPr>
                <w:lang w:val="it-IT"/>
              </w:rPr>
              <w:t>Nota Integrativa sono fornite le seguenti informazioni c</w:t>
            </w:r>
            <w:r w:rsidRPr="00D25CFE">
              <w:rPr>
                <w:lang w:val="it-IT"/>
              </w:rPr>
              <w:t>on riferimento al</w:t>
            </w:r>
            <w:r>
              <w:rPr>
                <w:lang w:val="it-IT"/>
              </w:rPr>
              <w:t>le immobilizzazioni immateriali:</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EA46C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Art. 2427, c.1, n.1, CC</w:t>
            </w:r>
          </w:p>
        </w:tc>
        <w:tc>
          <w:tcPr>
            <w:tcW w:w="7071" w:type="dxa"/>
            <w:tcMar>
              <w:left w:w="108" w:type="dxa"/>
            </w:tcMar>
          </w:tcPr>
          <w:p w:rsidR="00680245" w:rsidRPr="00AC6649" w:rsidRDefault="00A707D4" w:rsidP="00A707D4">
            <w:pPr>
              <w:pStyle w:val="rientrotrattinook"/>
              <w:numPr>
                <w:ilvl w:val="0"/>
                <w:numId w:val="0"/>
              </w:numPr>
              <w:ind w:left="460" w:hanging="284"/>
            </w:pPr>
            <w:r>
              <w:t>-</w:t>
            </w:r>
            <w:r>
              <w:tab/>
            </w:r>
            <w:r w:rsidR="00680245" w:rsidRPr="00AC6649">
              <w:t xml:space="preserve">i criteri applicati nella valutazione delle voci del bilancio, nelle rettifiche di valore e nella conversione dei valori non espressi all'origine in moneta </w:t>
            </w:r>
            <w:r w:rsidR="00680245">
              <w:t>avente corso legale nello Stato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Art. 2427, c.1, n.2, CC</w:t>
            </w:r>
          </w:p>
        </w:tc>
        <w:tc>
          <w:tcPr>
            <w:tcW w:w="7071" w:type="dxa"/>
            <w:tcMar>
              <w:left w:w="108" w:type="dxa"/>
            </w:tcMar>
          </w:tcPr>
          <w:p w:rsidR="00680245" w:rsidRPr="00AC6649" w:rsidRDefault="00A707D4" w:rsidP="00A707D4">
            <w:pPr>
              <w:pStyle w:val="rientrotrattinook"/>
              <w:numPr>
                <w:ilvl w:val="0"/>
                <w:numId w:val="0"/>
              </w:numPr>
              <w:ind w:left="460" w:hanging="284"/>
            </w:pPr>
            <w:r>
              <w:t>-</w:t>
            </w:r>
            <w:r>
              <w:tab/>
            </w:r>
            <w:r w:rsidR="00680245" w:rsidRPr="00AC6649">
              <w:t>i movimenti delle immobilizzazioni, specificando per ciascuna voce: il costo; le precedenti rivalutazioni, ammortamenti e svalutazioni; le acquisizioni, gli spostamenti da una ad altra voce, le alienazioni avvenuti nell'esercizio; le rivalutazioni, gli ammortamenti e le svalutazioni effettuati nell'esercizio; il totale delle rivalutazioni riguardanti le immobilizzazioni esisten</w:t>
            </w:r>
            <w:r w:rsidR="00680245">
              <w:t>ti alla chiusura dell'esercizio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Art. 2427, c.1, n.3, CC</w:t>
            </w:r>
          </w:p>
        </w:tc>
        <w:tc>
          <w:tcPr>
            <w:tcW w:w="7071" w:type="dxa"/>
            <w:tcMar>
              <w:left w:w="108" w:type="dxa"/>
            </w:tcMar>
          </w:tcPr>
          <w:p w:rsidR="00680245" w:rsidRPr="00AC6649" w:rsidRDefault="00A707D4" w:rsidP="00A707D4">
            <w:pPr>
              <w:pStyle w:val="rientrotrattinook"/>
              <w:numPr>
                <w:ilvl w:val="0"/>
                <w:numId w:val="0"/>
              </w:numPr>
              <w:ind w:left="460" w:hanging="284"/>
            </w:pPr>
            <w:r>
              <w:t>-</w:t>
            </w:r>
            <w:r>
              <w:tab/>
            </w:r>
            <w:r w:rsidR="00680245" w:rsidRPr="00AC6649">
              <w:t xml:space="preserve">la composizione delle voci "costi d'impianto e di ampliamento" e "costi di </w:t>
            </w:r>
            <w:r w:rsidR="00680245">
              <w:t>sviluppo</w:t>
            </w:r>
            <w:r w:rsidR="00680245" w:rsidRPr="00AC6649">
              <w:t>", nonché le ragion</w:t>
            </w:r>
            <w:r w:rsidR="00680245">
              <w:t xml:space="preserve">i dell'iscrizione di tali voci </w:t>
            </w:r>
            <w:r w:rsidR="00680245" w:rsidRPr="00D25CFE">
              <w:t>ed i rispettivi criteri di ammortamento”</w:t>
            </w:r>
            <w:r w:rsidR="00680245">
              <w:t xml:space="preserve"> </w:t>
            </w:r>
            <w:r w:rsidR="00680245" w:rsidRPr="00AC6649">
              <w:t>ossia le motivazioni che attribuiscono a tali voci i</w:t>
            </w:r>
            <w:r w:rsidR="00680245">
              <w:t>l carattere della pluriennalità</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Pr="005855C5" w:rsidRDefault="00680245" w:rsidP="00D73E98">
            <w:pPr>
              <w:pStyle w:val="PrincCont"/>
              <w:jc w:val="left"/>
            </w:pPr>
            <w:r w:rsidRPr="005855C5">
              <w:t>Art. 2427, c.1, n.3-bis, CC</w:t>
            </w:r>
          </w:p>
        </w:tc>
        <w:tc>
          <w:tcPr>
            <w:tcW w:w="7071" w:type="dxa"/>
            <w:tcMar>
              <w:left w:w="108" w:type="dxa"/>
            </w:tcMar>
          </w:tcPr>
          <w:p w:rsidR="00680245" w:rsidRPr="00AC6649" w:rsidRDefault="00A707D4" w:rsidP="00A707D4">
            <w:pPr>
              <w:pStyle w:val="rientrotrattinook"/>
              <w:numPr>
                <w:ilvl w:val="0"/>
                <w:numId w:val="0"/>
              </w:numPr>
              <w:ind w:left="460" w:hanging="284"/>
            </w:pPr>
            <w:r>
              <w:t>-</w:t>
            </w:r>
            <w:r>
              <w:tab/>
            </w:r>
            <w:r w:rsidR="00680245" w:rsidRPr="00AC6649">
              <w:t>la misura e le motivazioni delle riduzioni di valore applicate alle immobilizzazioni immateriali, facendo a tal fine esplicito riferimento al loro concorso alla futura produzione di risultati economici, alla loro prevedibile durata utile e, per quanto rilevante, al loro valore di mercato, segnalando altresì le differenze rispetto a quelle operate negli esercizi precedenti ed evidenziando la loro influenza sui ris</w:t>
            </w:r>
            <w:r w:rsidR="00680245">
              <w:t>ultati economici dell'esercizio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Art. 2427, c.1, n.8, CC</w:t>
            </w:r>
          </w:p>
        </w:tc>
        <w:tc>
          <w:tcPr>
            <w:tcW w:w="7071" w:type="dxa"/>
            <w:tcMar>
              <w:left w:w="108" w:type="dxa"/>
            </w:tcMar>
          </w:tcPr>
          <w:p w:rsidR="00680245" w:rsidRPr="00AC6649" w:rsidRDefault="00A707D4" w:rsidP="00A707D4">
            <w:pPr>
              <w:pStyle w:val="rientrotrattinook"/>
              <w:numPr>
                <w:ilvl w:val="0"/>
                <w:numId w:val="0"/>
              </w:numPr>
              <w:ind w:left="460" w:hanging="284"/>
            </w:pPr>
            <w:r>
              <w:t>-</w:t>
            </w:r>
            <w:r>
              <w:tab/>
            </w:r>
            <w:r w:rsidR="00680245" w:rsidRPr="00AC6649">
              <w:t>l'ammontare degli oneri finanziari imputati nell'esercizio ai valori iscritti nell'attivo dello stato patrimonia</w:t>
            </w:r>
            <w:r w:rsidR="00680245">
              <w:t>le, distintamente per ogni voce</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Art. 2427, c.1, n.9, CC</w:t>
            </w:r>
          </w:p>
        </w:tc>
        <w:tc>
          <w:tcPr>
            <w:tcW w:w="7071" w:type="dxa"/>
            <w:tcMar>
              <w:left w:w="108" w:type="dxa"/>
            </w:tcMar>
          </w:tcPr>
          <w:p w:rsidR="00680245" w:rsidRPr="00AC6649" w:rsidRDefault="00A707D4" w:rsidP="00A707D4">
            <w:pPr>
              <w:pStyle w:val="rientrotrattinook"/>
              <w:numPr>
                <w:ilvl w:val="0"/>
                <w:numId w:val="0"/>
              </w:numPr>
              <w:ind w:left="460" w:hanging="284"/>
            </w:pPr>
            <w:r>
              <w:t>-</w:t>
            </w:r>
            <w:r>
              <w:tab/>
            </w:r>
            <w:r w:rsidR="00680245">
              <w:t>l’importo complessivo degli impegni, delle garanzie e delle passività potenziali non risultanti dallo stato patrimoniale, con indicazione della natura delle garanzie reali prestate?</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CC242B" w:rsidTr="00D73E98">
        <w:trPr>
          <w:cantSplit/>
          <w:trHeight w:val="20"/>
        </w:trPr>
        <w:tc>
          <w:tcPr>
            <w:tcW w:w="680" w:type="dxa"/>
          </w:tcPr>
          <w:p w:rsidR="00680245" w:rsidRPr="00DC1370" w:rsidRDefault="00680245" w:rsidP="00D73E98">
            <w:pPr>
              <w:tabs>
                <w:tab w:val="left" w:pos="146"/>
              </w:tabs>
              <w:jc w:val="center"/>
              <w:rPr>
                <w:b/>
                <w:lang w:val="it-IT"/>
              </w:rPr>
            </w:pPr>
            <w:r>
              <w:rPr>
                <w:b/>
                <w:lang w:val="it-IT"/>
              </w:rPr>
              <w:t>51</w:t>
            </w:r>
            <w:r w:rsidRPr="00DC1370">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24.89</w:t>
            </w:r>
          </w:p>
        </w:tc>
        <w:tc>
          <w:tcPr>
            <w:tcW w:w="7071" w:type="dxa"/>
            <w:tcMar>
              <w:left w:w="108" w:type="dxa"/>
            </w:tcMar>
          </w:tcPr>
          <w:p w:rsidR="00680245" w:rsidRPr="005855C5" w:rsidRDefault="00680245" w:rsidP="00D73E98">
            <w:pPr>
              <w:spacing w:line="230" w:lineRule="exact"/>
              <w:rPr>
                <w:lang w:val="it-IT"/>
              </w:rPr>
            </w:pPr>
            <w:r w:rsidRPr="003565E2">
              <w:rPr>
                <w:lang w:val="it-IT"/>
              </w:rPr>
              <w:t xml:space="preserve">Nel descrivere i criteri applicati alla valutazione delle immobilizzazioni </w:t>
            </w:r>
            <w:r>
              <w:rPr>
                <w:lang w:val="it-IT"/>
              </w:rPr>
              <w:t>im</w:t>
            </w:r>
            <w:r w:rsidRPr="003565E2">
              <w:rPr>
                <w:lang w:val="it-IT"/>
              </w:rPr>
              <w:t>materia</w:t>
            </w:r>
            <w:r>
              <w:rPr>
                <w:lang w:val="it-IT"/>
              </w:rPr>
              <w:t>li, la Nota Integrativa indica:</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5855C5" w:rsidTr="00D73E98">
        <w:trPr>
          <w:cantSplit/>
          <w:trHeight w:val="20"/>
        </w:trPr>
        <w:tc>
          <w:tcPr>
            <w:tcW w:w="680" w:type="dxa"/>
          </w:tcPr>
          <w:p w:rsidR="00680245" w:rsidRPr="00DC1370"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5855C5" w:rsidRDefault="00680245" w:rsidP="00D73E98">
            <w:pPr>
              <w:pStyle w:val="Paragrafoelenco"/>
              <w:spacing w:line="230" w:lineRule="exact"/>
              <w:ind w:left="460" w:hanging="284"/>
              <w:rPr>
                <w:lang w:val="it-IT"/>
              </w:rPr>
            </w:pPr>
            <w:r>
              <w:rPr>
                <w:lang w:val="it-IT"/>
              </w:rPr>
              <w:t>-</w:t>
            </w:r>
            <w:r>
              <w:rPr>
                <w:lang w:val="it-IT"/>
              </w:rPr>
              <w:tab/>
            </w:r>
            <w:r w:rsidRPr="003565E2">
              <w:rPr>
                <w:lang w:val="it-IT"/>
              </w:rPr>
              <w:t xml:space="preserve">il metodo e i coefficienti d’ammortamento usati nel determinare la quota dell’esercizio per le varie categorie o classi </w:t>
            </w:r>
            <w:r>
              <w:rPr>
                <w:lang w:val="it-IT"/>
              </w:rPr>
              <w:t>di immobilizzazioni immateriali;</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680245" w:rsidRPr="005855C5" w:rsidTr="00D73E98">
        <w:trPr>
          <w:cantSplit/>
          <w:trHeight w:val="20"/>
        </w:trPr>
        <w:tc>
          <w:tcPr>
            <w:tcW w:w="680" w:type="dxa"/>
          </w:tcPr>
          <w:p w:rsidR="00680245" w:rsidRPr="00DC1370"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5855C5" w:rsidRDefault="00680245" w:rsidP="00D73E98">
            <w:pPr>
              <w:pStyle w:val="Paragrafoelenco"/>
              <w:spacing w:line="230" w:lineRule="exact"/>
              <w:ind w:left="460" w:hanging="284"/>
              <w:rPr>
                <w:lang w:val="it-IT"/>
              </w:rPr>
            </w:pPr>
            <w:r>
              <w:rPr>
                <w:lang w:val="it-IT"/>
              </w:rPr>
              <w:t>-</w:t>
            </w:r>
            <w:r>
              <w:rPr>
                <w:lang w:val="it-IT"/>
              </w:rPr>
              <w:tab/>
            </w:r>
            <w:r w:rsidRPr="00D25CFE">
              <w:rPr>
                <w:lang w:val="it-IT"/>
              </w:rPr>
              <w:t>le modalità di determinazione della quota di costi generali di fabbricazione eventualmente</w:t>
            </w:r>
            <w:r>
              <w:rPr>
                <w:lang w:val="it-IT"/>
              </w:rPr>
              <w:t xml:space="preserve"> </w:t>
            </w:r>
            <w:r w:rsidRPr="00D25CFE">
              <w:rPr>
                <w:lang w:val="it-IT"/>
              </w:rPr>
              <w:t>oggetto di capitalizzazione;</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680245" w:rsidRPr="005855C5" w:rsidTr="00D73E98">
        <w:trPr>
          <w:cantSplit/>
          <w:trHeight w:val="20"/>
        </w:trPr>
        <w:tc>
          <w:tcPr>
            <w:tcW w:w="680" w:type="dxa"/>
          </w:tcPr>
          <w:p w:rsidR="00680245" w:rsidRPr="00DC1370"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5855C5" w:rsidRDefault="00680245" w:rsidP="00D73E98">
            <w:pPr>
              <w:pStyle w:val="Paragrafoelenco"/>
              <w:spacing w:line="230" w:lineRule="exact"/>
              <w:ind w:left="460" w:hanging="284"/>
              <w:rPr>
                <w:lang w:val="it-IT"/>
              </w:rPr>
            </w:pPr>
            <w:r>
              <w:rPr>
                <w:lang w:val="it-IT"/>
              </w:rPr>
              <w:t>-</w:t>
            </w:r>
            <w:r>
              <w:rPr>
                <w:lang w:val="it-IT"/>
              </w:rPr>
              <w:tab/>
            </w:r>
            <w:r w:rsidRPr="005855C5">
              <w:rPr>
                <w:lang w:val="it-IT"/>
              </w:rPr>
              <w:t>il criterio seguito per l’eventuale rivalutazione, la legge speciale che l’ha determinata, l’importo della rivalutazione, al lordo ed al netto degli ammortamenti, e</w:t>
            </w:r>
            <w:r>
              <w:rPr>
                <w:lang w:val="it-IT"/>
              </w:rPr>
              <w:t xml:space="preserve"> l’effetto sul patrimonio netto;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680245" w:rsidRPr="005855C5" w:rsidTr="00D73E98">
        <w:trPr>
          <w:cantSplit/>
          <w:trHeight w:val="20"/>
        </w:trPr>
        <w:tc>
          <w:tcPr>
            <w:tcW w:w="680" w:type="dxa"/>
          </w:tcPr>
          <w:p w:rsidR="00680245" w:rsidRPr="00DC1370"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5855C5" w:rsidRDefault="00680245" w:rsidP="00D73E98">
            <w:pPr>
              <w:pStyle w:val="Paragrafoelenco"/>
              <w:spacing w:line="230" w:lineRule="exact"/>
              <w:ind w:left="460" w:hanging="284"/>
              <w:rPr>
                <w:lang w:val="it-IT"/>
              </w:rPr>
            </w:pPr>
            <w:r>
              <w:rPr>
                <w:lang w:val="it-IT"/>
              </w:rPr>
              <w:t>-</w:t>
            </w:r>
            <w:r>
              <w:rPr>
                <w:lang w:val="it-IT"/>
              </w:rPr>
              <w:tab/>
            </w:r>
            <w:r w:rsidRPr="00D25CFE">
              <w:rPr>
                <w:lang w:val="it-IT"/>
              </w:rPr>
              <w:t>il metodo di contabilizzazione dei contributi ricevuti (a riduzione del costo</w:t>
            </w:r>
            <w:r>
              <w:rPr>
                <w:lang w:val="it-IT"/>
              </w:rPr>
              <w:t xml:space="preserve"> </w:t>
            </w:r>
            <w:r w:rsidRPr="00D25CFE">
              <w:rPr>
                <w:lang w:val="it-IT"/>
              </w:rPr>
              <w:t>dell</w:t>
            </w:r>
            <w:r>
              <w:rPr>
                <w:lang w:val="it-IT"/>
              </w:rPr>
              <w:t>’immobilizzazione o a risconto)?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680245" w:rsidRPr="00D25CFE" w:rsidTr="00D73E98">
        <w:trPr>
          <w:cantSplit/>
          <w:trHeight w:val="20"/>
        </w:trPr>
        <w:tc>
          <w:tcPr>
            <w:tcW w:w="680" w:type="dxa"/>
          </w:tcPr>
          <w:p w:rsidR="00680245" w:rsidRPr="00DC1370" w:rsidRDefault="00680245" w:rsidP="00D73E98">
            <w:pPr>
              <w:tabs>
                <w:tab w:val="left" w:pos="146"/>
              </w:tabs>
              <w:jc w:val="center"/>
              <w:rPr>
                <w:b/>
                <w:lang w:val="it-IT"/>
              </w:rPr>
            </w:pPr>
            <w:r w:rsidRPr="00DC1370">
              <w:rPr>
                <w:b/>
                <w:lang w:val="it-IT"/>
              </w:rPr>
              <w:t>5</w:t>
            </w:r>
            <w:r>
              <w:rPr>
                <w:b/>
                <w:lang w:val="it-IT"/>
              </w:rPr>
              <w:t>2</w:t>
            </w:r>
            <w:r w:rsidRPr="00DC1370">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24.90</w:t>
            </w:r>
          </w:p>
        </w:tc>
        <w:tc>
          <w:tcPr>
            <w:tcW w:w="7071" w:type="dxa"/>
            <w:tcMar>
              <w:left w:w="108" w:type="dxa"/>
            </w:tcMar>
          </w:tcPr>
          <w:p w:rsidR="00680245" w:rsidRPr="005855C5" w:rsidRDefault="00680245" w:rsidP="00D73E98">
            <w:pPr>
              <w:spacing w:line="224" w:lineRule="exact"/>
              <w:rPr>
                <w:lang w:val="it-IT"/>
              </w:rPr>
            </w:pPr>
            <w:r w:rsidRPr="003565E2">
              <w:rPr>
                <w:lang w:val="it-IT"/>
              </w:rPr>
              <w:t>La descrizione della movimentazione delle immobilizzazioni imm</w:t>
            </w:r>
            <w:r>
              <w:rPr>
                <w:lang w:val="it-IT"/>
              </w:rPr>
              <w:t>ateriali include l’indicazione</w:t>
            </w:r>
            <w:r w:rsidRPr="00D25CFE">
              <w:rPr>
                <w:lang w:val="it-IT"/>
              </w:rPr>
              <w:t>ove rilevante, dell’ammontare cumulativo degli oneri finanziari capitalizzati tra le immobilizzazioni, distintamente per ciascuna voce quando assumono particolare rilevanza rispetto all’ammontare dell’immobilizzazione</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680245" w:rsidRPr="005855C5" w:rsidTr="00D73E98">
        <w:trPr>
          <w:cantSplit/>
          <w:trHeight w:val="20"/>
        </w:trPr>
        <w:tc>
          <w:tcPr>
            <w:tcW w:w="680" w:type="dxa"/>
          </w:tcPr>
          <w:p w:rsidR="00680245" w:rsidRPr="00DC1370" w:rsidRDefault="00680245" w:rsidP="00D73E98">
            <w:pPr>
              <w:tabs>
                <w:tab w:val="left" w:pos="146"/>
              </w:tabs>
              <w:jc w:val="center"/>
              <w:rPr>
                <w:b/>
                <w:lang w:val="it-IT"/>
              </w:rPr>
            </w:pPr>
            <w:r w:rsidRPr="00DC1370">
              <w:rPr>
                <w:b/>
                <w:lang w:val="it-IT"/>
              </w:rPr>
              <w:t>5</w:t>
            </w:r>
            <w:r>
              <w:rPr>
                <w:b/>
                <w:lang w:val="it-IT"/>
              </w:rPr>
              <w:t>3</w:t>
            </w:r>
            <w:r w:rsidRPr="00DC1370">
              <w:rPr>
                <w:b/>
                <w:lang w:val="it-IT"/>
              </w:rPr>
              <w:t>)</w:t>
            </w:r>
          </w:p>
        </w:tc>
        <w:tc>
          <w:tcPr>
            <w:tcW w:w="851" w:type="dxa"/>
            <w:tcMar>
              <w:left w:w="108" w:type="dxa"/>
              <w:right w:w="0" w:type="dxa"/>
            </w:tcMar>
          </w:tcPr>
          <w:p w:rsidR="00680245" w:rsidRPr="003F2760" w:rsidRDefault="00680245" w:rsidP="00D73E98">
            <w:pPr>
              <w:pStyle w:val="PrincCont"/>
              <w:jc w:val="left"/>
              <w:rPr>
                <w:lang w:val="en-GB"/>
              </w:rPr>
            </w:pPr>
            <w:r w:rsidRPr="003F2760">
              <w:rPr>
                <w:lang w:val="en-GB"/>
              </w:rPr>
              <w:t>Art.2427,</w:t>
            </w:r>
            <w:r>
              <w:rPr>
                <w:lang w:val="en-GB"/>
              </w:rPr>
              <w:t xml:space="preserve"> </w:t>
            </w:r>
            <w:r w:rsidRPr="003F2760">
              <w:rPr>
                <w:lang w:val="en-GB"/>
              </w:rPr>
              <w:t>c.1,</w:t>
            </w:r>
            <w:r>
              <w:rPr>
                <w:lang w:val="en-GB"/>
              </w:rPr>
              <w:t xml:space="preserve"> </w:t>
            </w:r>
            <w:r w:rsidRPr="003F2760">
              <w:rPr>
                <w:lang w:val="en-GB"/>
              </w:rPr>
              <w:t>n.9 CC</w:t>
            </w:r>
            <w:r>
              <w:rPr>
                <w:lang w:val="en-GB"/>
              </w:rPr>
              <w:t xml:space="preserve">       </w:t>
            </w:r>
            <w:r w:rsidRPr="003F2760">
              <w:rPr>
                <w:lang w:val="en-GB"/>
              </w:rPr>
              <w:t>OIC 24.90</w:t>
            </w:r>
          </w:p>
        </w:tc>
        <w:tc>
          <w:tcPr>
            <w:tcW w:w="7071" w:type="dxa"/>
            <w:tcMar>
              <w:left w:w="108" w:type="dxa"/>
            </w:tcMar>
          </w:tcPr>
          <w:p w:rsidR="00680245" w:rsidRPr="003565E2" w:rsidRDefault="00680245" w:rsidP="00D73E98">
            <w:pPr>
              <w:spacing w:line="230" w:lineRule="exact"/>
              <w:rPr>
                <w:lang w:val="it-IT"/>
              </w:rPr>
            </w:pPr>
            <w:r>
              <w:rPr>
                <w:lang w:val="it-IT"/>
              </w:rPr>
              <w:t xml:space="preserve">In presenza di restrizioni o di vincoli riferibili ai contributi pubblici ricevuti a fronte di immobilizzazioni immateriali, la Nota Integrativa ne dà evidenza? </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680245" w:rsidRPr="00216D43" w:rsidTr="00D73E98">
        <w:trPr>
          <w:cantSplit/>
          <w:trHeight w:val="20"/>
        </w:trPr>
        <w:tc>
          <w:tcPr>
            <w:tcW w:w="680" w:type="dxa"/>
          </w:tcPr>
          <w:p w:rsidR="00680245" w:rsidRPr="00DC1370" w:rsidRDefault="00680245" w:rsidP="00D73E98">
            <w:pPr>
              <w:tabs>
                <w:tab w:val="left" w:pos="146"/>
              </w:tabs>
              <w:jc w:val="center"/>
              <w:rPr>
                <w:b/>
                <w:lang w:val="it-IT"/>
              </w:rPr>
            </w:pPr>
            <w:r w:rsidRPr="00DC1370">
              <w:rPr>
                <w:b/>
                <w:lang w:val="it-IT"/>
              </w:rPr>
              <w:t>5</w:t>
            </w:r>
            <w:r>
              <w:rPr>
                <w:b/>
                <w:lang w:val="it-IT"/>
              </w:rPr>
              <w:t>4</w:t>
            </w:r>
            <w:r w:rsidRPr="00DC1370">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24.90</w:t>
            </w:r>
          </w:p>
        </w:tc>
        <w:tc>
          <w:tcPr>
            <w:tcW w:w="7071" w:type="dxa"/>
            <w:tcMar>
              <w:left w:w="108" w:type="dxa"/>
            </w:tcMar>
          </w:tcPr>
          <w:p w:rsidR="00680245" w:rsidRPr="00135D46" w:rsidRDefault="00680245" w:rsidP="00D73E98">
            <w:pPr>
              <w:spacing w:line="230" w:lineRule="exact"/>
              <w:rPr>
                <w:lang w:val="it-IT"/>
              </w:rPr>
            </w:pPr>
            <w:r w:rsidRPr="003565E2">
              <w:rPr>
                <w:lang w:val="it-IT"/>
              </w:rPr>
              <w:t xml:space="preserve">Se le clausole di concessione del contributo indicano che l’inosservanza delle clausole che prevedono restrizioni o vincoli comporta la possibilità per l’ente erogatore del richiamo del contributo, tale fatto </w:t>
            </w:r>
            <w:r>
              <w:rPr>
                <w:lang w:val="it-IT"/>
              </w:rPr>
              <w:t>è</w:t>
            </w:r>
            <w:r w:rsidRPr="003565E2">
              <w:rPr>
                <w:lang w:val="it-IT"/>
              </w:rPr>
              <w:t xml:space="preserve"> chiaramente indicato</w:t>
            </w:r>
            <w:r>
              <w:rPr>
                <w:lang w:val="it-IT"/>
              </w:rPr>
              <w:t xml:space="preserve"> nella Nota Integrativa?</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680245" w:rsidRPr="001B172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DC1370" w:rsidRDefault="00680245" w:rsidP="00D73E98">
            <w:pPr>
              <w:tabs>
                <w:tab w:val="left" w:pos="146"/>
              </w:tabs>
              <w:jc w:val="center"/>
              <w:rPr>
                <w:b/>
                <w:lang w:val="it-IT"/>
              </w:rPr>
            </w:pPr>
            <w:r w:rsidRPr="00DC1370">
              <w:rPr>
                <w:b/>
                <w:lang w:val="it-IT"/>
              </w:rPr>
              <w:t>5</w:t>
            </w:r>
            <w:r>
              <w:rPr>
                <w:b/>
                <w:lang w:val="it-IT"/>
              </w:rPr>
              <w:t>5</w:t>
            </w:r>
            <w:r w:rsidRPr="00DC1370">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Default="00680245" w:rsidP="00D73E98">
            <w:pPr>
              <w:pStyle w:val="PrincCont"/>
              <w:jc w:val="left"/>
              <w:rPr>
                <w:lang w:val="it-IT"/>
              </w:rPr>
            </w:pPr>
            <w:r>
              <w:rPr>
                <w:lang w:val="it-IT"/>
              </w:rPr>
              <w:t>OIC 24.90</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D25CFE" w:rsidRDefault="00680245" w:rsidP="00D73E98">
            <w:pPr>
              <w:spacing w:line="230" w:lineRule="exact"/>
              <w:rPr>
                <w:lang w:val="it-IT"/>
              </w:rPr>
            </w:pPr>
            <w:r>
              <w:rPr>
                <w:lang w:val="it-IT"/>
              </w:rPr>
              <w:t xml:space="preserve">È </w:t>
            </w:r>
            <w:r w:rsidRPr="00D25CFE">
              <w:rPr>
                <w:lang w:val="it-IT"/>
              </w:rPr>
              <w:t>stata fornita una descrizione dei beni immater</w:t>
            </w:r>
            <w:r>
              <w:rPr>
                <w:lang w:val="it-IT"/>
              </w:rPr>
              <w:t>iali ricevuti a titolo gratuito</w:t>
            </w:r>
            <w:r w:rsidRPr="00D25CFE">
              <w:rPr>
                <w:lang w:val="it-IT"/>
              </w:rPr>
              <w:t>?</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rsidRPr="00D25CFE">
              <w:instrText xml:space="preserve"> FORMCHECKBOX </w:instrText>
            </w:r>
            <w:r w:rsidR="00CA1681">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rsidRPr="00D25CFE">
              <w:instrText xml:space="preserve"> FORMCHECKBOX </w:instrText>
            </w:r>
            <w:r w:rsidR="00CA1681">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rsidRPr="00D25CFE">
              <w:instrText xml:space="preserve"> FORMCHECKBOX </w:instrText>
            </w:r>
            <w:r w:rsidR="00CA1681">
              <w:fldChar w:fldCharType="separate"/>
            </w:r>
            <w:r>
              <w:fldChar w:fldCharType="end"/>
            </w:r>
          </w:p>
        </w:tc>
      </w:tr>
      <w:tr w:rsidR="00680245" w:rsidRPr="00CC242B" w:rsidTr="00D73E98">
        <w:trPr>
          <w:cantSplit/>
          <w:trHeight w:val="20"/>
        </w:trPr>
        <w:tc>
          <w:tcPr>
            <w:tcW w:w="680" w:type="dxa"/>
          </w:tcPr>
          <w:p w:rsidR="00680245" w:rsidRPr="00DC1370" w:rsidRDefault="00680245" w:rsidP="00D73E98">
            <w:pPr>
              <w:tabs>
                <w:tab w:val="left" w:pos="146"/>
              </w:tabs>
              <w:jc w:val="center"/>
              <w:rPr>
                <w:b/>
                <w:lang w:val="it-IT"/>
              </w:rPr>
            </w:pPr>
            <w:r w:rsidRPr="00DC1370">
              <w:rPr>
                <w:b/>
                <w:lang w:val="it-IT"/>
              </w:rPr>
              <w:t>5</w:t>
            </w:r>
            <w:r>
              <w:rPr>
                <w:b/>
                <w:lang w:val="it-IT"/>
              </w:rPr>
              <w:t>6</w:t>
            </w:r>
            <w:r w:rsidRPr="00DC1370">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Art. 2426, c.1,</w:t>
            </w:r>
          </w:p>
        </w:tc>
        <w:tc>
          <w:tcPr>
            <w:tcW w:w="7071" w:type="dxa"/>
            <w:tcMar>
              <w:left w:w="108" w:type="dxa"/>
            </w:tcMar>
          </w:tcPr>
          <w:p w:rsidR="00680245" w:rsidRPr="00135D46" w:rsidRDefault="00680245" w:rsidP="00D73E98">
            <w:pPr>
              <w:rPr>
                <w:lang w:val="it-IT"/>
              </w:rPr>
            </w:pPr>
            <w:r>
              <w:rPr>
                <w:lang w:val="it-IT"/>
              </w:rPr>
              <w:t>Sono fornite le seguenti informazioni c</w:t>
            </w:r>
            <w:r w:rsidRPr="00D25CFE">
              <w:rPr>
                <w:lang w:val="it-IT"/>
              </w:rPr>
              <w:t>on riferimento al</w:t>
            </w:r>
            <w:r>
              <w:rPr>
                <w:lang w:val="it-IT"/>
              </w:rPr>
              <w:t>le immobilizzazioni immateriali:</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99703D" w:rsidRDefault="00680245" w:rsidP="00D73E98">
            <w:pPr>
              <w:tabs>
                <w:tab w:val="left" w:pos="146"/>
              </w:tabs>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Default="00680245" w:rsidP="00D73E98">
            <w:pPr>
              <w:pStyle w:val="PrincCont"/>
              <w:jc w:val="left"/>
              <w:rPr>
                <w:lang w:val="it-IT"/>
              </w:rPr>
            </w:pPr>
            <w:r>
              <w:rPr>
                <w:lang w:val="it-IT"/>
              </w:rPr>
              <w:t>Art. 2426, c.1, n.2, CC</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AC6649" w:rsidRDefault="00A707D4" w:rsidP="00A707D4">
            <w:pPr>
              <w:pStyle w:val="rientrotrattinook"/>
              <w:numPr>
                <w:ilvl w:val="0"/>
                <w:numId w:val="0"/>
              </w:numPr>
              <w:ind w:left="460" w:hanging="284"/>
            </w:pPr>
            <w:r>
              <w:t>-</w:t>
            </w:r>
            <w:r>
              <w:tab/>
            </w:r>
            <w:r w:rsidR="00680245" w:rsidRPr="00AC6649">
              <w:t>la motivazione delle “modifiche dei criteri di ammortamento e dei coefficienti appli</w:t>
            </w:r>
            <w:r w:rsidR="00680245">
              <w:t>cati”</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rsidRPr="00D25CFE">
              <w:instrText xml:space="preserve"> FORMCHECKBOX </w:instrText>
            </w:r>
            <w:r w:rsidR="00CA1681">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rsidRPr="00D25CFE">
              <w:instrText xml:space="preserve"> FORMCHECKBOX </w:instrText>
            </w:r>
            <w:r w:rsidR="00CA1681">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rsidRPr="00D25CFE">
              <w:instrText xml:space="preserve"> FOR</w:instrText>
            </w:r>
            <w:r>
              <w:instrText xml:space="preserve">MCHECKBOX </w:instrText>
            </w:r>
            <w:r w:rsidR="00CA1681">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99703D" w:rsidRDefault="00680245" w:rsidP="00D73E98">
            <w:pPr>
              <w:tabs>
                <w:tab w:val="left" w:pos="146"/>
              </w:tabs>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Art. 2426, c.1, n.6, CC</w:t>
            </w:r>
            <w:r>
              <w:t xml:space="preserve">      </w:t>
            </w:r>
            <w:r w:rsidRPr="007145DB">
              <w:t>OIC 24.92</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AC6649" w:rsidRDefault="00A707D4" w:rsidP="00A707D4">
            <w:pPr>
              <w:pStyle w:val="rientrotrattinook"/>
              <w:numPr>
                <w:ilvl w:val="0"/>
                <w:numId w:val="0"/>
              </w:numPr>
              <w:ind w:left="460" w:hanging="284"/>
            </w:pPr>
            <w:r>
              <w:t>-</w:t>
            </w:r>
            <w:r>
              <w:tab/>
            </w:r>
            <w:r w:rsidR="00680245">
              <w:t xml:space="preserve">la </w:t>
            </w:r>
            <w:r w:rsidR="00680245" w:rsidRPr="00D25CFE">
              <w:t xml:space="preserve">spiegazione del periodo </w:t>
            </w:r>
            <w:r w:rsidR="00680245">
              <w:t>di ammortamento dell’avviamento e in particolare i criteri utilizzati, seguendo le indicazione del paragrafo 68 del Principio, per la stima della vita utile dell’avviamento?</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99703D" w:rsidRDefault="00680245" w:rsidP="00D73E98">
            <w:pPr>
              <w:tabs>
                <w:tab w:val="left" w:pos="146"/>
              </w:tabs>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OIC 24.92</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AC6649" w:rsidRDefault="00A707D4" w:rsidP="00A707D4">
            <w:pPr>
              <w:pStyle w:val="rientrotrattinook"/>
              <w:numPr>
                <w:ilvl w:val="0"/>
                <w:numId w:val="0"/>
              </w:numPr>
              <w:ind w:left="460" w:hanging="284"/>
            </w:pPr>
            <w:r>
              <w:t>-</w:t>
            </w:r>
            <w:r>
              <w:tab/>
            </w:r>
            <w:r w:rsidR="00680245" w:rsidRPr="007145DB">
              <w:t>q</w:t>
            </w:r>
            <w:r w:rsidR="00680245">
              <w:t>ualora la società non sia in grado di stimare attendibilmente la vita utile dell’avviamento la Nota Integrativa dà conto delle ragioni per cui non ha ritenuto possibile effettuare tale stima?</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CC242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24.93</w:t>
            </w:r>
          </w:p>
        </w:tc>
        <w:tc>
          <w:tcPr>
            <w:tcW w:w="7071" w:type="dxa"/>
            <w:tcMar>
              <w:left w:w="108" w:type="dxa"/>
            </w:tcMar>
          </w:tcPr>
          <w:p w:rsidR="00680245" w:rsidRPr="00AD6E2D" w:rsidRDefault="00680245" w:rsidP="00D73E98">
            <w:pPr>
              <w:pStyle w:val="Commentiriquadro"/>
              <w:ind w:left="58" w:right="58"/>
            </w:pPr>
            <w:r>
              <w:t>L’articolo 2423, comma 4, del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w:t>
            </w:r>
          </w:p>
        </w:tc>
        <w:tc>
          <w:tcPr>
            <w:tcW w:w="575" w:type="dxa"/>
            <w:tcMar>
              <w:left w:w="85" w:type="dxa"/>
              <w:right w:w="85" w:type="dxa"/>
            </w:tcMar>
            <w:vAlign w:val="center"/>
          </w:tcPr>
          <w:p w:rsidR="00680245" w:rsidRPr="00AD6E2D" w:rsidRDefault="00680245" w:rsidP="00D73E98">
            <w:pPr>
              <w:jc w:val="center"/>
              <w:rPr>
                <w:lang w:val="it-IT"/>
              </w:rPr>
            </w:pPr>
          </w:p>
        </w:tc>
        <w:tc>
          <w:tcPr>
            <w:tcW w:w="573" w:type="dxa"/>
            <w:tcMar>
              <w:left w:w="108" w:type="dxa"/>
            </w:tcMar>
            <w:vAlign w:val="center"/>
          </w:tcPr>
          <w:p w:rsidR="00680245" w:rsidRPr="00AD6E2D" w:rsidRDefault="00680245" w:rsidP="00D73E98">
            <w:pPr>
              <w:jc w:val="center"/>
              <w:rPr>
                <w:lang w:val="it-IT"/>
              </w:rPr>
            </w:pPr>
          </w:p>
        </w:tc>
        <w:tc>
          <w:tcPr>
            <w:tcW w:w="570" w:type="dxa"/>
            <w:tcMar>
              <w:left w:w="108" w:type="dxa"/>
            </w:tcMar>
            <w:vAlign w:val="center"/>
          </w:tcPr>
          <w:p w:rsidR="00680245" w:rsidRPr="00AD6E2D" w:rsidRDefault="00680245" w:rsidP="00D73E98">
            <w:pPr>
              <w:jc w:val="center"/>
              <w:rPr>
                <w:lang w:val="it-IT"/>
              </w:rPr>
            </w:pP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DC1370" w:rsidRDefault="00680245" w:rsidP="00D73E98">
            <w:pPr>
              <w:tabs>
                <w:tab w:val="left" w:pos="146"/>
              </w:tabs>
              <w:jc w:val="center"/>
              <w:rPr>
                <w:b/>
                <w:lang w:val="it-IT"/>
              </w:rPr>
            </w:pPr>
            <w:r w:rsidRPr="00DC1370">
              <w:rPr>
                <w:b/>
                <w:lang w:val="it-IT"/>
              </w:rPr>
              <w:t>5</w:t>
            </w:r>
            <w:r>
              <w:rPr>
                <w:b/>
                <w:lang w:val="it-IT"/>
              </w:rPr>
              <w:t>7</w:t>
            </w:r>
            <w:r w:rsidRPr="00DC1370">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w:t>
            </w:r>
            <w:r>
              <w:t>IC 24.93</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7145DB" w:rsidRDefault="00680245" w:rsidP="00D73E98">
            <w:pPr>
              <w:rPr>
                <w:lang w:val="it-IT"/>
              </w:rPr>
            </w:pPr>
            <w:r>
              <w:rPr>
                <w:lang w:val="it-IT"/>
              </w:rPr>
              <w:t>La società illustra</w:t>
            </w:r>
            <w:r w:rsidRPr="007145DB">
              <w:rPr>
                <w:lang w:val="it-IT"/>
              </w:rPr>
              <w:t xml:space="preserve"> nella </w:t>
            </w:r>
            <w:r>
              <w:rPr>
                <w:lang w:val="it-IT"/>
              </w:rPr>
              <w:t>Nota Integrativa</w:t>
            </w:r>
            <w:r w:rsidRPr="007145DB">
              <w:rPr>
                <w:lang w:val="it-IT"/>
              </w:rPr>
              <w:t xml:space="preserve"> i criteri con i quali ha dato attuazione alla presente disposizione?</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CC242B" w:rsidTr="00D73E98">
        <w:trPr>
          <w:cantSplit/>
          <w:trHeight w:val="20"/>
        </w:trPr>
        <w:tc>
          <w:tcPr>
            <w:tcW w:w="680" w:type="dxa"/>
          </w:tcPr>
          <w:p w:rsidR="00680245" w:rsidRPr="00DC1370"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5F59D8" w:rsidRDefault="00680245" w:rsidP="00D73E98">
            <w:pPr>
              <w:pStyle w:val="Titolo2"/>
              <w:keepNext w:val="0"/>
              <w:rPr>
                <w:i/>
                <w:sz w:val="20"/>
                <w:lang w:val="it-IT"/>
              </w:rPr>
            </w:pPr>
            <w:r w:rsidRPr="005F59D8">
              <w:rPr>
                <w:i/>
                <w:sz w:val="20"/>
                <w:lang w:val="it-IT"/>
              </w:rPr>
              <w:t xml:space="preserve">Informazioni relative alle società che redigono </w:t>
            </w:r>
            <w:r>
              <w:rPr>
                <w:i/>
                <w:sz w:val="20"/>
                <w:lang w:val="it-IT"/>
              </w:rPr>
              <w:t>il bilancio in forma abbreviata</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CC242B" w:rsidTr="00D73E98">
        <w:trPr>
          <w:cantSplit/>
          <w:trHeight w:val="20"/>
        </w:trPr>
        <w:tc>
          <w:tcPr>
            <w:tcW w:w="680" w:type="dxa"/>
          </w:tcPr>
          <w:p w:rsidR="00680245" w:rsidRPr="00DC1370" w:rsidRDefault="00680245" w:rsidP="00D73E98">
            <w:pPr>
              <w:tabs>
                <w:tab w:val="left" w:pos="146"/>
              </w:tabs>
              <w:jc w:val="center"/>
              <w:rPr>
                <w:b/>
                <w:lang w:val="it-IT"/>
              </w:rPr>
            </w:pPr>
            <w:r w:rsidRPr="00DC1370">
              <w:rPr>
                <w:b/>
                <w:lang w:val="it-IT"/>
              </w:rPr>
              <w:t>5</w:t>
            </w:r>
            <w:r>
              <w:rPr>
                <w:b/>
                <w:lang w:val="it-IT"/>
              </w:rPr>
              <w:t>8</w:t>
            </w:r>
            <w:r w:rsidRPr="00DC1370">
              <w:rPr>
                <w:b/>
                <w:lang w:val="it-IT"/>
              </w:rPr>
              <w:t>)</w:t>
            </w:r>
          </w:p>
        </w:tc>
        <w:tc>
          <w:tcPr>
            <w:tcW w:w="851" w:type="dxa"/>
            <w:tcMar>
              <w:left w:w="108" w:type="dxa"/>
              <w:right w:w="0" w:type="dxa"/>
            </w:tcMar>
          </w:tcPr>
          <w:p w:rsidR="00680245" w:rsidRDefault="00680245" w:rsidP="00D73E98">
            <w:pPr>
              <w:pStyle w:val="PrincCont"/>
              <w:jc w:val="left"/>
              <w:rPr>
                <w:lang w:val="it-IT"/>
              </w:rPr>
            </w:pPr>
            <w:r>
              <w:t xml:space="preserve">Art. 2427, c.1, </w:t>
            </w:r>
            <w:r w:rsidRPr="007145DB">
              <w:t>CC</w:t>
            </w:r>
            <w:r>
              <w:t xml:space="preserve">               OIC 24.94</w:t>
            </w:r>
          </w:p>
        </w:tc>
        <w:tc>
          <w:tcPr>
            <w:tcW w:w="7071" w:type="dxa"/>
            <w:tcMar>
              <w:left w:w="108" w:type="dxa"/>
            </w:tcMar>
          </w:tcPr>
          <w:p w:rsidR="00680245" w:rsidRPr="005855C5" w:rsidRDefault="00680245" w:rsidP="00D73E98">
            <w:pPr>
              <w:spacing w:line="230" w:lineRule="exact"/>
              <w:rPr>
                <w:lang w:val="it-IT"/>
              </w:rPr>
            </w:pPr>
            <w:r w:rsidRPr="00A2008B">
              <w:rPr>
                <w:lang w:val="it-IT"/>
              </w:rPr>
              <w:t xml:space="preserve">Con riferimento alle immobilizzazioni immateriali, nella </w:t>
            </w:r>
            <w:r>
              <w:rPr>
                <w:lang w:val="it-IT"/>
              </w:rPr>
              <w:t>Nota Integrativa</w:t>
            </w:r>
            <w:r w:rsidRPr="00A2008B">
              <w:rPr>
                <w:lang w:val="it-IT"/>
              </w:rPr>
              <w:t xml:space="preserve"> del bilancio in forma abbreviata sono f</w:t>
            </w:r>
            <w:r>
              <w:rPr>
                <w:lang w:val="it-IT"/>
              </w:rPr>
              <w:t>ornite le seguenti informazioni:</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99703D" w:rsidRDefault="00680245" w:rsidP="00D73E98">
            <w:pPr>
              <w:tabs>
                <w:tab w:val="left" w:pos="146"/>
              </w:tabs>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A2008B" w:rsidRDefault="00680245" w:rsidP="00D73E98">
            <w:pPr>
              <w:pStyle w:val="PrincCont"/>
              <w:jc w:val="left"/>
              <w:rPr>
                <w:lang w:val="it-IT"/>
              </w:rPr>
            </w:pP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AC6649" w:rsidRDefault="00A707D4" w:rsidP="00A707D4">
            <w:pPr>
              <w:pStyle w:val="rientrotrattinook"/>
              <w:numPr>
                <w:ilvl w:val="0"/>
                <w:numId w:val="0"/>
              </w:numPr>
              <w:ind w:left="460" w:hanging="284"/>
            </w:pPr>
            <w:r>
              <w:t>-</w:t>
            </w:r>
            <w:r>
              <w:tab/>
            </w:r>
            <w:r w:rsidR="00680245">
              <w:t>“i criteri applicati nella valutazione delle voci del bilancio, nelle rettifiche di valore e nella conversione dei valori non espressi all'origine in moneta avente corso legale nello Stato” (n. 1)?</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99703D" w:rsidRDefault="00680245" w:rsidP="00D73E98">
            <w:pPr>
              <w:tabs>
                <w:tab w:val="left" w:pos="146"/>
              </w:tabs>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A2008B" w:rsidRDefault="00680245" w:rsidP="00D73E98">
            <w:pPr>
              <w:pStyle w:val="PrincCont"/>
              <w:jc w:val="left"/>
              <w:rPr>
                <w:lang w:val="it-IT"/>
              </w:rPr>
            </w:pP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AC6649" w:rsidRDefault="00A707D4" w:rsidP="00A707D4">
            <w:pPr>
              <w:pStyle w:val="rientrotrattinook"/>
              <w:numPr>
                <w:ilvl w:val="0"/>
                <w:numId w:val="0"/>
              </w:numPr>
              <w:ind w:left="460" w:hanging="284"/>
            </w:pPr>
            <w:r>
              <w:t>-</w:t>
            </w:r>
            <w:r>
              <w:tab/>
            </w:r>
            <w:r w:rsidR="00680245">
              <w:t>“i movimenti delle immobilizzazioni, specificando per ciascuna voce: il costo; le precedenti rivalutazioni, ammortamenti e svalutazioni; le acquisizioni, gli spostamenti da una ad altra voce, le alienazioni avvenuti nell’esercizio; le rivalutazioni, gli ammortamenti e le svalutazioni effettuati nell’esercizio; il totale delle rivalutazioni riguardanti le immobilizzazioni esistenti alla chiusura dell’esercizio” (n. 2)?</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99703D" w:rsidRDefault="00680245" w:rsidP="00D73E98">
            <w:pPr>
              <w:tabs>
                <w:tab w:val="left" w:pos="146"/>
              </w:tabs>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A2008B" w:rsidRDefault="00680245" w:rsidP="00D73E98">
            <w:pPr>
              <w:pStyle w:val="PrincCont"/>
              <w:jc w:val="left"/>
              <w:rPr>
                <w:lang w:val="it-IT"/>
              </w:rPr>
            </w:pP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AC6649" w:rsidRDefault="00A707D4" w:rsidP="00A707D4">
            <w:pPr>
              <w:pStyle w:val="rientrotrattinook"/>
              <w:numPr>
                <w:ilvl w:val="0"/>
                <w:numId w:val="0"/>
              </w:numPr>
              <w:ind w:left="460" w:hanging="284"/>
            </w:pPr>
            <w:r>
              <w:t>-</w:t>
            </w:r>
            <w:r>
              <w:tab/>
            </w:r>
            <w:r w:rsidR="00680245">
              <w:t>“l'ammontare degli oneri finanziari imputati nell'esercizio ai valori iscritti nell'attivo dello stato patrimoniale, distintamente per ogni voce” (n. 8)?</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99703D" w:rsidRDefault="00680245" w:rsidP="00D73E98">
            <w:pPr>
              <w:tabs>
                <w:tab w:val="left" w:pos="146"/>
              </w:tabs>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A2008B" w:rsidRDefault="00680245" w:rsidP="00D73E98">
            <w:pPr>
              <w:pStyle w:val="PrincCont"/>
              <w:jc w:val="left"/>
              <w:rPr>
                <w:lang w:val="it-IT"/>
              </w:rPr>
            </w:pP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AC6649" w:rsidRDefault="00A707D4" w:rsidP="00A707D4">
            <w:pPr>
              <w:pStyle w:val="rientrotrattinook"/>
              <w:numPr>
                <w:ilvl w:val="0"/>
                <w:numId w:val="0"/>
              </w:numPr>
              <w:ind w:left="460" w:hanging="284"/>
            </w:pPr>
            <w:r>
              <w:t>-</w:t>
            </w:r>
            <w:r>
              <w:tab/>
            </w:r>
            <w:r w:rsidR="00680245">
              <w:t>“l’importo complessivo degli impegni, delle garanzie e delle passività potenziali non risultanti dallo stato patrimoniale, con indicazione della natura delle garanzie reali prestate” (n. 9)?</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99703D" w:rsidRDefault="00680245" w:rsidP="00D73E98">
            <w:pPr>
              <w:tabs>
                <w:tab w:val="left" w:pos="146"/>
              </w:tabs>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A2008B" w:rsidRDefault="00680245" w:rsidP="00D73E98">
            <w:pPr>
              <w:pStyle w:val="PrincCont"/>
              <w:jc w:val="left"/>
              <w:rPr>
                <w:lang w:val="it-IT"/>
              </w:rPr>
            </w:pPr>
            <w:r>
              <w:rPr>
                <w:lang w:val="it-IT"/>
              </w:rPr>
              <w:t>Art.2426, c.1, CC    OIC.24.95</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AC6649" w:rsidRDefault="00A707D4" w:rsidP="00A707D4">
            <w:pPr>
              <w:pStyle w:val="rientrotrattinook"/>
              <w:numPr>
                <w:ilvl w:val="0"/>
                <w:numId w:val="0"/>
              </w:numPr>
              <w:ind w:left="460" w:hanging="284"/>
            </w:pPr>
            <w:r>
              <w:t>-</w:t>
            </w:r>
            <w:r>
              <w:tab/>
            </w:r>
            <w:r w:rsidR="00680245">
              <w:t xml:space="preserve">la </w:t>
            </w:r>
            <w:r w:rsidR="00680245" w:rsidRPr="00D25CFE">
              <w:t xml:space="preserve">spiegazione del periodo </w:t>
            </w:r>
            <w:r w:rsidR="00680245">
              <w:t>di ammortamento dell’avviamento?</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CC242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24.96</w:t>
            </w:r>
          </w:p>
        </w:tc>
        <w:tc>
          <w:tcPr>
            <w:tcW w:w="7071" w:type="dxa"/>
            <w:tcMar>
              <w:left w:w="108" w:type="dxa"/>
            </w:tcMar>
          </w:tcPr>
          <w:p w:rsidR="00680245" w:rsidRPr="00AD6E2D" w:rsidRDefault="00680245" w:rsidP="00D73E98">
            <w:pPr>
              <w:pStyle w:val="Commentiriquadro"/>
              <w:ind w:left="58" w:right="58"/>
            </w:pPr>
            <w:r>
              <w:t>L’articolo 2423, comma 4, del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w:t>
            </w:r>
          </w:p>
        </w:tc>
        <w:tc>
          <w:tcPr>
            <w:tcW w:w="575" w:type="dxa"/>
            <w:tcMar>
              <w:left w:w="85" w:type="dxa"/>
              <w:right w:w="85" w:type="dxa"/>
            </w:tcMar>
            <w:vAlign w:val="center"/>
          </w:tcPr>
          <w:p w:rsidR="00680245" w:rsidRPr="00AD6E2D" w:rsidRDefault="00680245" w:rsidP="00D73E98">
            <w:pPr>
              <w:jc w:val="center"/>
              <w:rPr>
                <w:lang w:val="it-IT"/>
              </w:rPr>
            </w:pPr>
          </w:p>
        </w:tc>
        <w:tc>
          <w:tcPr>
            <w:tcW w:w="573" w:type="dxa"/>
            <w:tcMar>
              <w:left w:w="108" w:type="dxa"/>
            </w:tcMar>
            <w:vAlign w:val="center"/>
          </w:tcPr>
          <w:p w:rsidR="00680245" w:rsidRPr="00AD6E2D" w:rsidRDefault="00680245" w:rsidP="00D73E98">
            <w:pPr>
              <w:jc w:val="center"/>
              <w:rPr>
                <w:lang w:val="it-IT"/>
              </w:rPr>
            </w:pPr>
          </w:p>
        </w:tc>
        <w:tc>
          <w:tcPr>
            <w:tcW w:w="570" w:type="dxa"/>
            <w:tcMar>
              <w:left w:w="108" w:type="dxa"/>
            </w:tcMar>
            <w:vAlign w:val="center"/>
          </w:tcPr>
          <w:p w:rsidR="00680245" w:rsidRPr="00AD6E2D" w:rsidRDefault="00680245" w:rsidP="00D73E98">
            <w:pPr>
              <w:jc w:val="center"/>
              <w:rPr>
                <w:lang w:val="it-IT"/>
              </w:rPr>
            </w:pP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tabs>
                <w:tab w:val="left" w:pos="146"/>
              </w:tabs>
              <w:jc w:val="center"/>
              <w:rPr>
                <w:b/>
                <w:lang w:val="it-IT"/>
              </w:rPr>
            </w:pPr>
            <w:r w:rsidRPr="00E56401">
              <w:rPr>
                <w:b/>
                <w:lang w:val="it-IT"/>
              </w:rPr>
              <w:t>5</w:t>
            </w:r>
            <w:r>
              <w:rPr>
                <w:b/>
                <w:lang w:val="it-IT"/>
              </w:rPr>
              <w:t>9</w:t>
            </w:r>
            <w:r w:rsidRPr="00E56401">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w:t>
            </w:r>
            <w:r>
              <w:t>IC 24.96</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7145DB" w:rsidRDefault="00680245" w:rsidP="00D73E98">
            <w:pPr>
              <w:spacing w:line="230" w:lineRule="exact"/>
              <w:rPr>
                <w:lang w:val="it-IT"/>
              </w:rPr>
            </w:pPr>
            <w:r>
              <w:rPr>
                <w:lang w:val="it-IT"/>
              </w:rPr>
              <w:t>La società illustra</w:t>
            </w:r>
            <w:r w:rsidRPr="007145DB">
              <w:rPr>
                <w:lang w:val="it-IT"/>
              </w:rPr>
              <w:t xml:space="preserve"> nella </w:t>
            </w:r>
            <w:r>
              <w:rPr>
                <w:lang w:val="it-IT"/>
              </w:rPr>
              <w:t>Nota Integrativa</w:t>
            </w:r>
            <w:r w:rsidRPr="007145DB">
              <w:rPr>
                <w:lang w:val="it-IT"/>
              </w:rPr>
              <w:t xml:space="preserve"> i criteri con i quali ha dato attuazione alla presente disposizione?</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B94B6C"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pageBreakBefore/>
              <w:tabs>
                <w:tab w:val="left" w:pos="146"/>
              </w:tabs>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6F175A" w:rsidRDefault="00680245" w:rsidP="00D73E98">
            <w:pPr>
              <w:pStyle w:val="PrincCont"/>
              <w:pageBreakBefore/>
              <w:jc w:val="left"/>
            </w:pP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6F175A" w:rsidRDefault="00680245" w:rsidP="00D73E98">
            <w:pPr>
              <w:pageBreakBefore/>
              <w:rPr>
                <w:b/>
                <w:sz w:val="22"/>
                <w:lang w:val="it-IT"/>
              </w:rPr>
            </w:pPr>
            <w:r w:rsidRPr="006F175A">
              <w:rPr>
                <w:b/>
                <w:sz w:val="22"/>
                <w:lang w:val="it-IT"/>
              </w:rPr>
              <w:t>Disposizioni di prima applicazione</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6F175A" w:rsidRDefault="00680245" w:rsidP="00D73E98">
            <w:pPr>
              <w:pageBreakBefore/>
              <w:jc w:val="center"/>
            </w:pP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6F175A" w:rsidRDefault="00680245" w:rsidP="00D73E98">
            <w:pPr>
              <w:pageBreakBefore/>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6F175A" w:rsidRDefault="00680245" w:rsidP="00D73E98">
            <w:pPr>
              <w:pageBreakBefore/>
              <w:jc w:val="center"/>
            </w:pP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tabs>
                <w:tab w:val="left" w:pos="146"/>
              </w:tabs>
              <w:jc w:val="center"/>
              <w:rPr>
                <w:b/>
                <w:lang w:val="it-IT"/>
              </w:rPr>
            </w:pPr>
            <w:r>
              <w:rPr>
                <w:b/>
                <w:lang w:val="it-IT"/>
              </w:rPr>
              <w:t>60</w:t>
            </w:r>
            <w:r w:rsidRPr="00E56401">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w:t>
            </w:r>
            <w:r>
              <w:t>IC 24.100</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D3790B" w:rsidRDefault="00680245" w:rsidP="00D73E98">
            <w:pPr>
              <w:spacing w:line="230" w:lineRule="exact"/>
              <w:rPr>
                <w:lang w:val="it-IT"/>
              </w:rPr>
            </w:pPr>
            <w:r w:rsidRPr="00D3790B">
              <w:rPr>
                <w:lang w:val="it-IT"/>
              </w:rPr>
              <w:t xml:space="preserve">I costi di pubblicità precedentemente capitalizzati ai sensi dell’OIC 24 aggiornato nel 2015 </w:t>
            </w:r>
            <w:r>
              <w:rPr>
                <w:lang w:val="it-IT"/>
              </w:rPr>
              <w:t xml:space="preserve">che </w:t>
            </w:r>
            <w:r w:rsidRPr="00D3790B">
              <w:rPr>
                <w:lang w:val="it-IT"/>
              </w:rPr>
              <w:t xml:space="preserve">soddisfano i requisiti stabiliti per la capitalizzazione dei costi di impianto e ampliamento, </w:t>
            </w:r>
            <w:r>
              <w:rPr>
                <w:lang w:val="it-IT"/>
              </w:rPr>
              <w:t>sono stati</w:t>
            </w:r>
            <w:r w:rsidRPr="00D3790B">
              <w:rPr>
                <w:lang w:val="it-IT"/>
              </w:rPr>
              <w:t xml:space="preserve"> riclassificati, in sede di prima applicazione della nuova</w:t>
            </w:r>
            <w:r>
              <w:rPr>
                <w:lang w:val="it-IT"/>
              </w:rPr>
              <w:t xml:space="preserve"> </w:t>
            </w:r>
            <w:r w:rsidRPr="00D3790B">
              <w:rPr>
                <w:lang w:val="it-IT"/>
              </w:rPr>
              <w:t>disciplina, dalla voce BI2 alla voce BI1 Cos</w:t>
            </w:r>
            <w:r>
              <w:rPr>
                <w:lang w:val="it-IT"/>
              </w:rPr>
              <w:t>ti di impianto e di ampliamento</w:t>
            </w:r>
            <w:r w:rsidRPr="00D3790B">
              <w:rPr>
                <w:lang w:val="it-IT"/>
              </w:rPr>
              <w:t>?</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tabs>
                <w:tab w:val="left" w:pos="146"/>
              </w:tabs>
              <w:jc w:val="center"/>
              <w:rPr>
                <w:b/>
                <w:lang w:val="it-IT"/>
              </w:rPr>
            </w:pPr>
            <w:r>
              <w:rPr>
                <w:b/>
                <w:lang w:val="it-IT"/>
              </w:rPr>
              <w:t>61</w:t>
            </w:r>
            <w:r w:rsidRPr="00E56401">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w:t>
            </w:r>
            <w:r>
              <w:t>IC 24.100</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D3790B" w:rsidRDefault="00680245" w:rsidP="00D73E98">
            <w:pPr>
              <w:spacing w:line="230" w:lineRule="exact"/>
              <w:rPr>
                <w:lang w:val="it-IT"/>
              </w:rPr>
            </w:pPr>
            <w:r w:rsidRPr="001D10C2">
              <w:rPr>
                <w:lang w:val="it-IT"/>
              </w:rPr>
              <w:t xml:space="preserve">Gli effetti </w:t>
            </w:r>
            <w:r>
              <w:rPr>
                <w:lang w:val="it-IT"/>
              </w:rPr>
              <w:t xml:space="preserve">di quanto sopra </w:t>
            </w:r>
            <w:r w:rsidRPr="001D10C2">
              <w:rPr>
                <w:lang w:val="it-IT"/>
              </w:rPr>
              <w:t>sono</w:t>
            </w:r>
            <w:r>
              <w:rPr>
                <w:lang w:val="it-IT"/>
              </w:rPr>
              <w:t xml:space="preserve"> </w:t>
            </w:r>
            <w:r w:rsidRPr="001D10C2">
              <w:rPr>
                <w:lang w:val="it-IT"/>
              </w:rPr>
              <w:t>rilevati in bilancio retroattivamente ai sensi dell’OIC 2</w:t>
            </w:r>
            <w:r>
              <w:rPr>
                <w:lang w:val="it-IT"/>
              </w:rPr>
              <w:t>9 ai soli fini riclassificatori</w:t>
            </w:r>
            <w:r w:rsidRPr="00D3790B">
              <w:rPr>
                <w:lang w:val="it-IT"/>
              </w:rPr>
              <w:t>?</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tabs>
                <w:tab w:val="left" w:pos="146"/>
              </w:tabs>
              <w:jc w:val="center"/>
              <w:rPr>
                <w:b/>
                <w:lang w:val="it-IT"/>
              </w:rPr>
            </w:pPr>
            <w:r w:rsidRPr="00E56401">
              <w:rPr>
                <w:b/>
                <w:lang w:val="it-IT"/>
              </w:rPr>
              <w:t>6</w:t>
            </w:r>
            <w:r>
              <w:rPr>
                <w:b/>
                <w:lang w:val="it-IT"/>
              </w:rPr>
              <w:t>2</w:t>
            </w:r>
            <w:r w:rsidRPr="00E56401">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w:t>
            </w:r>
            <w:r>
              <w:t>IC 24.100</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D3790B" w:rsidRDefault="00680245" w:rsidP="00D73E98">
            <w:pPr>
              <w:spacing w:line="230" w:lineRule="exact"/>
              <w:rPr>
                <w:lang w:val="it-IT"/>
              </w:rPr>
            </w:pPr>
            <w:r w:rsidRPr="001D10C2">
              <w:rPr>
                <w:lang w:val="it-IT"/>
              </w:rPr>
              <w:t>I costi di pubblicità, che non soddisfano i requisiti per la capitalizzazione tra i costi di impianto e</w:t>
            </w:r>
            <w:r>
              <w:rPr>
                <w:lang w:val="it-IT"/>
              </w:rPr>
              <w:t xml:space="preserve"> </w:t>
            </w:r>
            <w:r w:rsidRPr="001D10C2">
              <w:rPr>
                <w:lang w:val="it-IT"/>
              </w:rPr>
              <w:t>di ampliamento, in sede di prima applicazione della nuova disciplina, sono eliminati dalla voce</w:t>
            </w:r>
            <w:r>
              <w:rPr>
                <w:lang w:val="it-IT"/>
              </w:rPr>
              <w:t xml:space="preserve"> </w:t>
            </w:r>
            <w:r w:rsidRPr="001D10C2">
              <w:rPr>
                <w:lang w:val="it-IT"/>
              </w:rPr>
              <w:t>BI2 dell’at</w:t>
            </w:r>
            <w:r>
              <w:rPr>
                <w:lang w:val="it-IT"/>
              </w:rPr>
              <w:t>tivo dello stato patrimoniale e g</w:t>
            </w:r>
            <w:r w:rsidRPr="001D10C2">
              <w:rPr>
                <w:lang w:val="it-IT"/>
              </w:rPr>
              <w:t>li effetti sono rilevati in bilancio retroattivamente ai</w:t>
            </w:r>
            <w:r>
              <w:rPr>
                <w:lang w:val="it-IT"/>
              </w:rPr>
              <w:t xml:space="preserve"> sensi dell’OIC 29</w:t>
            </w:r>
            <w:r w:rsidRPr="00D3790B">
              <w:rPr>
                <w:lang w:val="it-IT"/>
              </w:rPr>
              <w:t>?</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tabs>
                <w:tab w:val="left" w:pos="146"/>
              </w:tabs>
              <w:jc w:val="center"/>
              <w:rPr>
                <w:b/>
                <w:lang w:val="it-IT"/>
              </w:rPr>
            </w:pPr>
            <w:r w:rsidRPr="00E56401">
              <w:rPr>
                <w:b/>
                <w:lang w:val="it-IT"/>
              </w:rPr>
              <w:t>6</w:t>
            </w:r>
            <w:r>
              <w:rPr>
                <w:b/>
                <w:lang w:val="it-IT"/>
              </w:rPr>
              <w:t>3</w:t>
            </w:r>
            <w:r w:rsidRPr="00E56401">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w:t>
            </w:r>
            <w:r>
              <w:t>IC 24.101</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D3790B" w:rsidRDefault="00680245" w:rsidP="00D73E98">
            <w:pPr>
              <w:spacing w:line="230" w:lineRule="exact"/>
              <w:rPr>
                <w:lang w:val="it-IT"/>
              </w:rPr>
            </w:pPr>
            <w:r w:rsidRPr="001D10C2">
              <w:rPr>
                <w:lang w:val="it-IT"/>
              </w:rPr>
              <w:t>I costi di ricerca, capitalizzati in esercizi precedenti all’entrata in vigore del D.lgs. 139/2015,</w:t>
            </w:r>
            <w:r>
              <w:rPr>
                <w:lang w:val="it-IT"/>
              </w:rPr>
              <w:t xml:space="preserve"> </w:t>
            </w:r>
            <w:r w:rsidRPr="001D10C2">
              <w:rPr>
                <w:lang w:val="it-IT"/>
              </w:rPr>
              <w:t>continuano, in sede di prima applicazione della nuova disciplina, ad essere iscritti nella voce BI2</w:t>
            </w:r>
            <w:r>
              <w:rPr>
                <w:lang w:val="it-IT"/>
              </w:rPr>
              <w:t xml:space="preserve"> </w:t>
            </w:r>
            <w:r w:rsidRPr="001D10C2">
              <w:rPr>
                <w:lang w:val="it-IT"/>
              </w:rPr>
              <w:t xml:space="preserve">Costi di sviluppo </w:t>
            </w:r>
            <w:r>
              <w:rPr>
                <w:lang w:val="it-IT"/>
              </w:rPr>
              <w:t xml:space="preserve">solo </w:t>
            </w:r>
            <w:r w:rsidRPr="001D10C2">
              <w:rPr>
                <w:lang w:val="it-IT"/>
              </w:rPr>
              <w:t>se soddisfano i criteri di capitalizza</w:t>
            </w:r>
            <w:r>
              <w:rPr>
                <w:lang w:val="it-IT"/>
              </w:rPr>
              <w:t>bilità previsti al paragrafo 49 del Principio</w:t>
            </w:r>
            <w:r w:rsidRPr="00D3790B">
              <w:rPr>
                <w:lang w:val="it-IT"/>
              </w:rPr>
              <w:t>?</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tabs>
                <w:tab w:val="left" w:pos="146"/>
              </w:tabs>
              <w:jc w:val="center"/>
              <w:rPr>
                <w:b/>
                <w:lang w:val="it-IT"/>
              </w:rPr>
            </w:pPr>
            <w:r w:rsidRPr="00E56401">
              <w:rPr>
                <w:b/>
                <w:lang w:val="it-IT"/>
              </w:rPr>
              <w:t>6</w:t>
            </w:r>
            <w:r>
              <w:rPr>
                <w:b/>
                <w:lang w:val="it-IT"/>
              </w:rPr>
              <w:t>4</w:t>
            </w:r>
            <w:r w:rsidRPr="00E56401">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w:t>
            </w:r>
            <w:r>
              <w:t>IC 24.101</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D3790B" w:rsidRDefault="00680245" w:rsidP="00D73E98">
            <w:pPr>
              <w:spacing w:line="230" w:lineRule="exact"/>
              <w:rPr>
                <w:lang w:val="it-IT"/>
              </w:rPr>
            </w:pPr>
            <w:r w:rsidRPr="001D10C2">
              <w:rPr>
                <w:lang w:val="it-IT"/>
              </w:rPr>
              <w:t>I costi di ricerca, capitalizzati in esercizi precedenti, che non soddisfano i requisiti per la</w:t>
            </w:r>
            <w:r>
              <w:rPr>
                <w:lang w:val="it-IT"/>
              </w:rPr>
              <w:t xml:space="preserve"> </w:t>
            </w:r>
            <w:r w:rsidRPr="001D10C2">
              <w:rPr>
                <w:lang w:val="it-IT"/>
              </w:rPr>
              <w:t>capitalizzazione previsti al paragrafo 49, in sede di prima applicazione della nuova disciplina,</w:t>
            </w:r>
            <w:r>
              <w:rPr>
                <w:lang w:val="it-IT"/>
              </w:rPr>
              <w:t xml:space="preserve"> </w:t>
            </w:r>
            <w:r w:rsidRPr="001D10C2">
              <w:rPr>
                <w:lang w:val="it-IT"/>
              </w:rPr>
              <w:t>sono eliminati dalla voce BI2 dell’at</w:t>
            </w:r>
            <w:r>
              <w:rPr>
                <w:lang w:val="it-IT"/>
              </w:rPr>
              <w:t>tivo dello stato patrimoniale e g</w:t>
            </w:r>
            <w:r w:rsidRPr="001D10C2">
              <w:rPr>
                <w:lang w:val="it-IT"/>
              </w:rPr>
              <w:t>li effetti sono rilevati in</w:t>
            </w:r>
            <w:r>
              <w:rPr>
                <w:lang w:val="it-IT"/>
              </w:rPr>
              <w:t xml:space="preserve"> </w:t>
            </w:r>
            <w:r w:rsidRPr="001D10C2">
              <w:rPr>
                <w:lang w:val="it-IT"/>
              </w:rPr>
              <w:t>bilancio retroa</w:t>
            </w:r>
            <w:r>
              <w:rPr>
                <w:lang w:val="it-IT"/>
              </w:rPr>
              <w:t>ttivamente ai sensi dell’OIC 29</w:t>
            </w:r>
            <w:r w:rsidRPr="00D3790B">
              <w:rPr>
                <w:lang w:val="it-IT"/>
              </w:rPr>
              <w:t>?</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tabs>
                <w:tab w:val="left" w:pos="146"/>
              </w:tabs>
              <w:jc w:val="center"/>
              <w:rPr>
                <w:b/>
                <w:lang w:val="it-IT"/>
              </w:rPr>
            </w:pPr>
            <w:r w:rsidRPr="00E56401">
              <w:rPr>
                <w:b/>
                <w:lang w:val="it-IT"/>
              </w:rPr>
              <w:t>6</w:t>
            </w:r>
            <w:r>
              <w:rPr>
                <w:b/>
                <w:lang w:val="it-IT"/>
              </w:rPr>
              <w:t>5</w:t>
            </w:r>
            <w:r w:rsidRPr="00E56401">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w:t>
            </w:r>
            <w:r>
              <w:t>IC 24.102</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D3790B" w:rsidRDefault="00680245" w:rsidP="00D73E98">
            <w:pPr>
              <w:spacing w:line="230" w:lineRule="exact"/>
              <w:rPr>
                <w:lang w:val="it-IT"/>
              </w:rPr>
            </w:pPr>
            <w:r w:rsidRPr="0094261E">
              <w:rPr>
                <w:lang w:val="it-IT"/>
              </w:rPr>
              <w:t>Eventuali effetti derivanti dalle disposizioni di cui al paragrafo 65</w:t>
            </w:r>
            <w:r>
              <w:rPr>
                <w:lang w:val="it-IT"/>
              </w:rPr>
              <w:t xml:space="preserve"> del Principio</w:t>
            </w:r>
            <w:r w:rsidRPr="0094261E">
              <w:rPr>
                <w:lang w:val="it-IT"/>
              </w:rPr>
              <w:t xml:space="preserve"> inerente l’ammortamento dei</w:t>
            </w:r>
            <w:r>
              <w:rPr>
                <w:lang w:val="it-IT"/>
              </w:rPr>
              <w:t xml:space="preserve"> </w:t>
            </w:r>
            <w:r w:rsidRPr="0094261E">
              <w:rPr>
                <w:lang w:val="it-IT"/>
              </w:rPr>
              <w:t>costi di sviluppo sono applicati retroa</w:t>
            </w:r>
            <w:r>
              <w:rPr>
                <w:lang w:val="it-IT"/>
              </w:rPr>
              <w:t>ttivamente ai sensi dell’OIC 29</w:t>
            </w:r>
            <w:r w:rsidRPr="00D3790B">
              <w:rPr>
                <w:lang w:val="it-IT"/>
              </w:rPr>
              <w:t>?</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tabs>
                <w:tab w:val="left" w:pos="146"/>
              </w:tabs>
              <w:jc w:val="center"/>
              <w:rPr>
                <w:b/>
                <w:lang w:val="it-IT"/>
              </w:rPr>
            </w:pPr>
            <w:r w:rsidRPr="00E56401">
              <w:rPr>
                <w:b/>
                <w:lang w:val="it-IT"/>
              </w:rPr>
              <w:t>6</w:t>
            </w:r>
            <w:r>
              <w:rPr>
                <w:b/>
                <w:lang w:val="it-IT"/>
              </w:rPr>
              <w:t>6</w:t>
            </w:r>
            <w:r w:rsidRPr="00E56401">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w:t>
            </w:r>
            <w:r>
              <w:t>IC 24.103</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D3790B" w:rsidRDefault="00680245" w:rsidP="00D73E98">
            <w:pPr>
              <w:spacing w:line="230" w:lineRule="exact"/>
              <w:rPr>
                <w:lang w:val="it-IT"/>
              </w:rPr>
            </w:pPr>
            <w:r w:rsidRPr="0094261E">
              <w:rPr>
                <w:lang w:val="it-IT"/>
              </w:rPr>
              <w:t xml:space="preserve">Qualora </w:t>
            </w:r>
            <w:r>
              <w:rPr>
                <w:lang w:val="it-IT"/>
              </w:rPr>
              <w:t>la società</w:t>
            </w:r>
            <w:r w:rsidRPr="0094261E">
              <w:rPr>
                <w:lang w:val="it-IT"/>
              </w:rPr>
              <w:t xml:space="preserve"> usufr</w:t>
            </w:r>
            <w:r>
              <w:rPr>
                <w:lang w:val="it-IT"/>
              </w:rPr>
              <w:t>uisca della</w:t>
            </w:r>
            <w:r w:rsidRPr="0094261E">
              <w:rPr>
                <w:lang w:val="it-IT"/>
              </w:rPr>
              <w:t xml:space="preserve"> facoltà</w:t>
            </w:r>
            <w:r>
              <w:rPr>
                <w:lang w:val="it-IT"/>
              </w:rPr>
              <w:t xml:space="preserve"> </w:t>
            </w:r>
            <w:r w:rsidRPr="0094261E">
              <w:rPr>
                <w:lang w:val="it-IT"/>
              </w:rPr>
              <w:t xml:space="preserve">di applicare le </w:t>
            </w:r>
            <w:r>
              <w:rPr>
                <w:lang w:val="it-IT"/>
              </w:rPr>
              <w:t xml:space="preserve">nuove </w:t>
            </w:r>
            <w:r w:rsidRPr="0094261E">
              <w:rPr>
                <w:lang w:val="it-IT"/>
              </w:rPr>
              <w:t xml:space="preserve">disposizioni </w:t>
            </w:r>
            <w:r>
              <w:rPr>
                <w:lang w:val="it-IT"/>
              </w:rPr>
              <w:t xml:space="preserve">in maniera prospettica al solo </w:t>
            </w:r>
            <w:r w:rsidRPr="0094261E">
              <w:rPr>
                <w:lang w:val="it-IT"/>
              </w:rPr>
              <w:t>avviamento sorto successivamente all’esercizio avente inizio a partire dal 1° gennaio 2016</w:t>
            </w:r>
            <w:r>
              <w:rPr>
                <w:lang w:val="it-IT"/>
              </w:rPr>
              <w:t xml:space="preserve"> è stata fatta</w:t>
            </w:r>
            <w:r w:rsidRPr="0094261E">
              <w:rPr>
                <w:lang w:val="it-IT"/>
              </w:rPr>
              <w:t xml:space="preserve"> menzione in </w:t>
            </w:r>
            <w:r>
              <w:rPr>
                <w:lang w:val="it-IT"/>
              </w:rPr>
              <w:t>Nota Integrativa</w:t>
            </w:r>
            <w:r w:rsidRPr="0094261E">
              <w:rPr>
                <w:lang w:val="it-IT"/>
              </w:rPr>
              <w:t xml:space="preserve"> dell’esercizio di tale facoltà</w:t>
            </w:r>
            <w:r w:rsidRPr="00D3790B">
              <w:rPr>
                <w:lang w:val="it-IT"/>
              </w:rPr>
              <w:t>?</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tabs>
                <w:tab w:val="left" w:pos="146"/>
              </w:tabs>
              <w:jc w:val="center"/>
              <w:rPr>
                <w:b/>
                <w:lang w:val="it-IT"/>
              </w:rPr>
            </w:pPr>
            <w:r w:rsidRPr="00E56401">
              <w:rPr>
                <w:b/>
                <w:lang w:val="it-IT"/>
              </w:rPr>
              <w:t>6</w:t>
            </w:r>
            <w:r>
              <w:rPr>
                <w:b/>
                <w:lang w:val="it-IT"/>
              </w:rPr>
              <w:t>7</w:t>
            </w:r>
            <w:r w:rsidRPr="00E56401">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w:t>
            </w:r>
            <w:r>
              <w:t>IC 24.104</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D3790B" w:rsidRDefault="00680245" w:rsidP="00D73E98">
            <w:pPr>
              <w:spacing w:line="230" w:lineRule="exact"/>
              <w:rPr>
                <w:lang w:val="it-IT"/>
              </w:rPr>
            </w:pPr>
            <w:r w:rsidRPr="0094261E">
              <w:rPr>
                <w:lang w:val="it-IT"/>
              </w:rPr>
              <w:t>Qualora la società applichi il criterio del costo ammortizzato esclusivamente ai debiti sorti</w:t>
            </w:r>
            <w:r>
              <w:rPr>
                <w:lang w:val="it-IT"/>
              </w:rPr>
              <w:t xml:space="preserve"> </w:t>
            </w:r>
            <w:r w:rsidRPr="0094261E">
              <w:rPr>
                <w:lang w:val="it-IT"/>
              </w:rPr>
              <w:t>successivamente all’esercizio avente inizio a partire dal 1° gennaio 2016, continua a classificare i</w:t>
            </w:r>
            <w:r>
              <w:rPr>
                <w:lang w:val="it-IT"/>
              </w:rPr>
              <w:t xml:space="preserve"> </w:t>
            </w:r>
            <w:r w:rsidRPr="0094261E">
              <w:rPr>
                <w:lang w:val="it-IT"/>
              </w:rPr>
              <w:t>costi accessori ai finanziamenti tra le “altre” immobilizzazioni immateriali e ad ammortizzare tali</w:t>
            </w:r>
            <w:r>
              <w:rPr>
                <w:lang w:val="it-IT"/>
              </w:rPr>
              <w:t xml:space="preserve"> </w:t>
            </w:r>
            <w:r w:rsidRPr="0094261E">
              <w:rPr>
                <w:lang w:val="it-IT"/>
              </w:rPr>
              <w:t>costi in conformità al precedente principio,</w:t>
            </w:r>
            <w:r>
              <w:rPr>
                <w:lang w:val="it-IT"/>
              </w:rPr>
              <w:t xml:space="preserve"> come previsto al paragrafo 107 del Principio</w:t>
            </w:r>
            <w:r w:rsidRPr="00D3790B">
              <w:rPr>
                <w:lang w:val="it-IT"/>
              </w:rPr>
              <w:t>?</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3F2760"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tabs>
                <w:tab w:val="left" w:pos="146"/>
              </w:tabs>
              <w:jc w:val="center"/>
              <w:rPr>
                <w:b/>
                <w:lang w:val="it-IT"/>
              </w:rPr>
            </w:pPr>
            <w:r>
              <w:rPr>
                <w:b/>
                <w:lang w:val="it-IT"/>
              </w:rPr>
              <w:t>68)</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t>OIC 24.105</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94261E" w:rsidRDefault="00680245" w:rsidP="0029700F">
            <w:pPr>
              <w:spacing w:line="230" w:lineRule="exact"/>
              <w:rPr>
                <w:lang w:val="it-IT"/>
              </w:rPr>
            </w:pPr>
            <w:r>
              <w:rPr>
                <w:lang w:val="it-IT"/>
              </w:rPr>
              <w:t xml:space="preserve">Qualora la società applichi il criterio del costo ammortizzato retrospettivamente, le immobilizzazioni immateriali sono iscritte al valore corrispondente al debito determinato secondo quanto indicato </w:t>
            </w:r>
            <w:r w:rsidR="0029700F">
              <w:rPr>
                <w:lang w:val="it-IT"/>
              </w:rPr>
              <w:t>dall’OIC</w:t>
            </w:r>
            <w:r>
              <w:rPr>
                <w:lang w:val="it-IT"/>
              </w:rPr>
              <w:t xml:space="preserve"> 19?</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3F2760"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3F2760"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3F2760"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tabs>
                <w:tab w:val="left" w:pos="146"/>
              </w:tabs>
              <w:jc w:val="center"/>
              <w:rPr>
                <w:b/>
                <w:lang w:val="it-IT"/>
              </w:rPr>
            </w:pPr>
            <w:r w:rsidRPr="00E56401">
              <w:rPr>
                <w:b/>
                <w:lang w:val="it-IT"/>
              </w:rPr>
              <w:t>6</w:t>
            </w:r>
            <w:r>
              <w:rPr>
                <w:b/>
                <w:lang w:val="it-IT"/>
              </w:rPr>
              <w:t>9</w:t>
            </w:r>
            <w:r w:rsidRPr="00E56401">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w:t>
            </w:r>
            <w:r>
              <w:t>IC 24.106</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D3790B" w:rsidRDefault="00680245" w:rsidP="00D73E98">
            <w:pPr>
              <w:spacing w:line="230" w:lineRule="exact"/>
              <w:rPr>
                <w:lang w:val="it-IT"/>
              </w:rPr>
            </w:pPr>
            <w:r w:rsidRPr="0094261E">
              <w:rPr>
                <w:lang w:val="it-IT"/>
              </w:rPr>
              <w:t>Gli eventuali effetti derivanti dall’applicazione delle modifiche apportate alla precedente versione</w:t>
            </w:r>
            <w:r>
              <w:rPr>
                <w:lang w:val="it-IT"/>
              </w:rPr>
              <w:t xml:space="preserve"> </w:t>
            </w:r>
            <w:r w:rsidRPr="0094261E">
              <w:rPr>
                <w:lang w:val="it-IT"/>
              </w:rPr>
              <w:t>dell’OIC 24 in tema di riclassificazione degli oneri e proventi straordinari sono applicati</w:t>
            </w:r>
            <w:r>
              <w:rPr>
                <w:lang w:val="it-IT"/>
              </w:rPr>
              <w:t xml:space="preserve"> </w:t>
            </w:r>
            <w:r w:rsidRPr="0094261E">
              <w:rPr>
                <w:lang w:val="it-IT"/>
              </w:rPr>
              <w:t>retroattivamente, ai soli fini riclassificatori</w:t>
            </w:r>
            <w:r w:rsidRPr="00D3790B">
              <w:rPr>
                <w:lang w:val="it-IT"/>
              </w:rPr>
              <w:t>?</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CC242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24.107</w:t>
            </w:r>
          </w:p>
        </w:tc>
        <w:tc>
          <w:tcPr>
            <w:tcW w:w="7071" w:type="dxa"/>
            <w:tcMar>
              <w:left w:w="108" w:type="dxa"/>
            </w:tcMar>
          </w:tcPr>
          <w:p w:rsidR="00680245" w:rsidRPr="00AD6E2D" w:rsidRDefault="00680245" w:rsidP="00D73E98">
            <w:pPr>
              <w:pStyle w:val="Commentiriquadro"/>
              <w:ind w:left="58" w:right="58"/>
            </w:pPr>
            <w:r>
              <w:t>Eventuali effetti derivanti dall’applicazione delle altre modifiche apportate alla precedente versione dell’OIC 24 possono essere rilevati in bilancio prospetticamente ai sensi dell’OIC 29. Pertanto le componenti delle voci riferite ad operazioni che non hanno ancora esaurito i loro effetti in bilancio possono continuare ad essere contabilizzate in conformità al precedente principio.</w:t>
            </w:r>
          </w:p>
        </w:tc>
        <w:tc>
          <w:tcPr>
            <w:tcW w:w="575" w:type="dxa"/>
            <w:tcMar>
              <w:left w:w="85" w:type="dxa"/>
              <w:right w:w="85" w:type="dxa"/>
            </w:tcMar>
            <w:vAlign w:val="center"/>
          </w:tcPr>
          <w:p w:rsidR="00680245" w:rsidRPr="00AD6E2D" w:rsidRDefault="00680245" w:rsidP="00D73E98">
            <w:pPr>
              <w:jc w:val="center"/>
              <w:rPr>
                <w:lang w:val="it-IT"/>
              </w:rPr>
            </w:pPr>
          </w:p>
        </w:tc>
        <w:tc>
          <w:tcPr>
            <w:tcW w:w="573" w:type="dxa"/>
            <w:tcMar>
              <w:left w:w="108" w:type="dxa"/>
            </w:tcMar>
            <w:vAlign w:val="center"/>
          </w:tcPr>
          <w:p w:rsidR="00680245" w:rsidRPr="00AD6E2D" w:rsidRDefault="00680245" w:rsidP="00D73E98">
            <w:pPr>
              <w:jc w:val="center"/>
              <w:rPr>
                <w:lang w:val="it-IT"/>
              </w:rPr>
            </w:pPr>
          </w:p>
        </w:tc>
        <w:tc>
          <w:tcPr>
            <w:tcW w:w="570" w:type="dxa"/>
            <w:tcMar>
              <w:left w:w="108" w:type="dxa"/>
            </w:tcMar>
            <w:vAlign w:val="center"/>
          </w:tcPr>
          <w:p w:rsidR="00680245" w:rsidRPr="00AD6E2D" w:rsidRDefault="00680245" w:rsidP="00D73E98">
            <w:pPr>
              <w:jc w:val="center"/>
              <w:rPr>
                <w:lang w:val="it-IT"/>
              </w:rPr>
            </w:pPr>
          </w:p>
        </w:tc>
      </w:tr>
    </w:tbl>
    <w:p w:rsidR="00680245" w:rsidRPr="004F7394" w:rsidRDefault="00680245" w:rsidP="00680245">
      <w:pPr>
        <w:rPr>
          <w:lang w:val="it-IT"/>
        </w:rPr>
      </w:pPr>
    </w:p>
    <w:p w:rsidR="00680245" w:rsidRDefault="00680245" w:rsidP="00680245">
      <w:pPr>
        <w:tabs>
          <w:tab w:val="left" w:pos="1210"/>
        </w:tabs>
        <w:rPr>
          <w:lang w:val="it-IT"/>
        </w:rPr>
        <w:sectPr w:rsidR="00680245" w:rsidSect="00D73E98">
          <w:headerReference w:type="default" r:id="rId23"/>
          <w:footerReference w:type="default" r:id="rId24"/>
          <w:pgSz w:w="11906" w:h="16838" w:code="9"/>
          <w:pgMar w:top="1134" w:right="851" w:bottom="851" w:left="851" w:header="709" w:footer="567" w:gutter="0"/>
          <w:cols w:space="708"/>
          <w:docGrid w:linePitch="360"/>
        </w:sectPr>
      </w:pPr>
    </w:p>
    <w:p w:rsidR="00680245" w:rsidRPr="00680245" w:rsidRDefault="00680245" w:rsidP="00680245">
      <w:pPr>
        <w:tabs>
          <w:tab w:val="left" w:pos="1890"/>
        </w:tabs>
        <w:spacing w:line="260" w:lineRule="exact"/>
        <w:ind w:left="990" w:hanging="990"/>
        <w:jc w:val="left"/>
        <w:rPr>
          <w:b/>
          <w:color w:val="0070C0"/>
          <w:lang w:val="it-IT"/>
        </w:rPr>
      </w:pPr>
    </w:p>
    <w:p w:rsidR="00680245" w:rsidRPr="00D66047" w:rsidRDefault="00680245" w:rsidP="00680245">
      <w:pPr>
        <w:tabs>
          <w:tab w:val="left" w:pos="1890"/>
        </w:tabs>
        <w:spacing w:line="260" w:lineRule="exact"/>
        <w:ind w:left="990" w:hanging="990"/>
        <w:jc w:val="left"/>
        <w:rPr>
          <w:b/>
          <w:color w:val="0070C0"/>
          <w:sz w:val="28"/>
        </w:rPr>
      </w:pPr>
      <w:r w:rsidRPr="00D66047">
        <w:rPr>
          <w:b/>
          <w:color w:val="0070C0"/>
          <w:sz w:val="28"/>
        </w:rPr>
        <w:t>Immobilizzazioni materiali</w:t>
      </w:r>
    </w:p>
    <w:p w:rsidR="00680245" w:rsidRDefault="00680245" w:rsidP="00680245"/>
    <w:p w:rsidR="00680245" w:rsidRPr="002F2F73" w:rsidRDefault="00680245" w:rsidP="00680245"/>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11"/>
        <w:gridCol w:w="575"/>
        <w:gridCol w:w="573"/>
        <w:gridCol w:w="570"/>
      </w:tblGrid>
      <w:tr w:rsidR="00680245" w:rsidTr="00D73E98">
        <w:trPr>
          <w:cantSplit/>
          <w:trHeight w:val="20"/>
        </w:trPr>
        <w:tc>
          <w:tcPr>
            <w:tcW w:w="680"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rsidR="00680245" w:rsidRDefault="00680245" w:rsidP="00D73E98">
            <w:pPr>
              <w:overflowPunct/>
              <w:autoSpaceDE/>
              <w:autoSpaceDN/>
              <w:adjustRightInd/>
              <w:spacing w:before="0" w:after="0" w:line="240" w:lineRule="auto"/>
              <w:jc w:val="left"/>
              <w:textAlignment w:val="auto"/>
              <w:rPr>
                <w:lang w:val="it-IT"/>
              </w:rPr>
            </w:pPr>
          </w:p>
        </w:tc>
        <w:tc>
          <w:tcPr>
            <w:tcW w:w="851"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right w:w="0" w:type="dxa"/>
            </w:tcMar>
            <w:vAlign w:val="center"/>
          </w:tcPr>
          <w:p w:rsidR="00680245" w:rsidRPr="00EC3C8A" w:rsidRDefault="00680245" w:rsidP="00D73E98">
            <w:pPr>
              <w:pStyle w:val="PrincCont"/>
              <w:pageBreakBefore/>
              <w:rPr>
                <w:lang w:val="it-IT"/>
              </w:rPr>
            </w:pPr>
          </w:p>
        </w:tc>
        <w:tc>
          <w:tcPr>
            <w:tcW w:w="7071" w:type="dxa"/>
            <w:gridSpan w:val="2"/>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680245" w:rsidRDefault="00680245" w:rsidP="00D73E98">
            <w:pPr>
              <w:pStyle w:val="Titolo1"/>
              <w:pageBreakBefore/>
            </w:pPr>
          </w:p>
        </w:tc>
        <w:tc>
          <w:tcPr>
            <w:tcW w:w="575"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85" w:type="dxa"/>
              <w:right w:w="85" w:type="dxa"/>
            </w:tcMar>
            <w:vAlign w:val="center"/>
          </w:tcPr>
          <w:p w:rsidR="00680245" w:rsidRPr="00EC3C8A" w:rsidRDefault="00680245" w:rsidP="00D73E98">
            <w:pPr>
              <w:pageBreakBefore/>
              <w:jc w:val="center"/>
              <w:rPr>
                <w:b/>
                <w:lang w:val="it-IT"/>
              </w:rPr>
            </w:pPr>
            <w:r w:rsidRPr="00EC3C8A">
              <w:rPr>
                <w:b/>
                <w:lang w:val="it-IT"/>
              </w:rPr>
              <w:t>SI</w:t>
            </w:r>
          </w:p>
        </w:tc>
        <w:tc>
          <w:tcPr>
            <w:tcW w:w="573"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680245" w:rsidRPr="00EC3C8A" w:rsidRDefault="00680245" w:rsidP="00D73E98">
            <w:pPr>
              <w:pageBreakBefore/>
              <w:jc w:val="center"/>
              <w:rPr>
                <w:b/>
                <w:lang w:val="it-IT"/>
              </w:rPr>
            </w:pPr>
            <w:r w:rsidRPr="00EC3C8A">
              <w:rPr>
                <w:b/>
                <w:lang w:val="it-IT"/>
              </w:rPr>
              <w:t>NO</w:t>
            </w:r>
          </w:p>
        </w:tc>
        <w:tc>
          <w:tcPr>
            <w:tcW w:w="570"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680245" w:rsidRPr="00EC3C8A" w:rsidRDefault="00680245" w:rsidP="00D73E98">
            <w:pPr>
              <w:pageBreakBefore/>
              <w:jc w:val="center"/>
              <w:rPr>
                <w:b/>
                <w:lang w:val="it-IT"/>
              </w:rPr>
            </w:pPr>
            <w:r w:rsidRPr="00EC3C8A">
              <w:rPr>
                <w:b/>
                <w:lang w:val="it-IT"/>
              </w:rPr>
              <w:t>N/A</w:t>
            </w:r>
          </w:p>
        </w:tc>
      </w:tr>
      <w:tr w:rsidR="00680245" w:rsidRPr="008A0F36" w:rsidTr="00D73E98">
        <w:trPr>
          <w:cantSplit/>
          <w:trHeight w:val="20"/>
        </w:trPr>
        <w:tc>
          <w:tcPr>
            <w:tcW w:w="680" w:type="dxa"/>
            <w:vAlign w:val="center"/>
          </w:tcPr>
          <w:p w:rsidR="00680245" w:rsidRPr="008A0F36" w:rsidRDefault="00680245" w:rsidP="00D73E98">
            <w:pPr>
              <w:jc w:val="center"/>
              <w:rPr>
                <w:lang w:val="it-IT"/>
              </w:rPr>
            </w:pPr>
          </w:p>
        </w:tc>
        <w:tc>
          <w:tcPr>
            <w:tcW w:w="851" w:type="dxa"/>
            <w:tcMar>
              <w:left w:w="108" w:type="dxa"/>
              <w:right w:w="0" w:type="dxa"/>
            </w:tcMar>
            <w:vAlign w:val="center"/>
          </w:tcPr>
          <w:p w:rsidR="00680245" w:rsidRPr="008A0F36" w:rsidRDefault="00680245" w:rsidP="00D73E98">
            <w:pPr>
              <w:pStyle w:val="PrincCont"/>
              <w:jc w:val="left"/>
              <w:rPr>
                <w:lang w:val="it-IT"/>
              </w:rPr>
            </w:pPr>
          </w:p>
        </w:tc>
        <w:tc>
          <w:tcPr>
            <w:tcW w:w="7060" w:type="dxa"/>
            <w:tcMar>
              <w:left w:w="108" w:type="dxa"/>
            </w:tcMar>
            <w:vAlign w:val="center"/>
          </w:tcPr>
          <w:p w:rsidR="00680245" w:rsidRPr="008A0F36" w:rsidRDefault="00680245" w:rsidP="00D73E98">
            <w:pPr>
              <w:pStyle w:val="Titolo1"/>
            </w:pPr>
            <w:r w:rsidRPr="00231C12">
              <w:t>Immobilizzazioni materiali</w:t>
            </w:r>
          </w:p>
        </w:tc>
        <w:tc>
          <w:tcPr>
            <w:tcW w:w="586" w:type="dxa"/>
            <w:gridSpan w:val="2"/>
            <w:tcMar>
              <w:left w:w="85" w:type="dxa"/>
              <w:right w:w="85" w:type="dxa"/>
            </w:tcMar>
            <w:vAlign w:val="center"/>
          </w:tcPr>
          <w:p w:rsidR="00680245" w:rsidRPr="008A0F36" w:rsidRDefault="00680245" w:rsidP="00D73E98">
            <w:pPr>
              <w:jc w:val="left"/>
              <w:rPr>
                <w:lang w:val="it-IT"/>
              </w:rPr>
            </w:pPr>
          </w:p>
        </w:tc>
        <w:tc>
          <w:tcPr>
            <w:tcW w:w="573" w:type="dxa"/>
            <w:tcMar>
              <w:left w:w="108" w:type="dxa"/>
            </w:tcMar>
            <w:vAlign w:val="center"/>
          </w:tcPr>
          <w:p w:rsidR="00680245" w:rsidRPr="008A0F36" w:rsidRDefault="00680245" w:rsidP="00D73E98">
            <w:pPr>
              <w:jc w:val="left"/>
              <w:rPr>
                <w:lang w:val="it-IT"/>
              </w:rPr>
            </w:pPr>
          </w:p>
        </w:tc>
        <w:tc>
          <w:tcPr>
            <w:tcW w:w="570" w:type="dxa"/>
            <w:tcMar>
              <w:left w:w="108" w:type="dxa"/>
            </w:tcMar>
            <w:vAlign w:val="center"/>
          </w:tcPr>
          <w:p w:rsidR="00680245" w:rsidRPr="008A0F36" w:rsidRDefault="00680245" w:rsidP="00D73E98">
            <w:pPr>
              <w:jc w:val="left"/>
              <w:rPr>
                <w:lang w:val="it-IT"/>
              </w:rPr>
            </w:pPr>
          </w:p>
        </w:tc>
      </w:tr>
      <w:tr w:rsidR="00680245" w:rsidRPr="00C6349A"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60" w:type="dxa"/>
            <w:tcMar>
              <w:left w:w="108" w:type="dxa"/>
            </w:tcMar>
            <w:vAlign w:val="center"/>
          </w:tcPr>
          <w:p w:rsidR="00680245" w:rsidRPr="00492518" w:rsidRDefault="00680245" w:rsidP="00D73E98">
            <w:pPr>
              <w:pStyle w:val="Titolo2"/>
              <w:rPr>
                <w:lang w:val="it-IT"/>
              </w:rPr>
            </w:pPr>
            <w:r>
              <w:rPr>
                <w:lang w:val="it-IT"/>
              </w:rPr>
              <w:t>Definizioni</w:t>
            </w:r>
          </w:p>
        </w:tc>
        <w:tc>
          <w:tcPr>
            <w:tcW w:w="586" w:type="dxa"/>
            <w:gridSpan w:val="2"/>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4</w:t>
            </w:r>
          </w:p>
        </w:tc>
        <w:tc>
          <w:tcPr>
            <w:tcW w:w="7060" w:type="dxa"/>
            <w:tcMar>
              <w:left w:w="108" w:type="dxa"/>
            </w:tcMar>
          </w:tcPr>
          <w:p w:rsidR="00680245" w:rsidRDefault="00680245" w:rsidP="00D73E98">
            <w:pPr>
              <w:pStyle w:val="Commentiriquadro"/>
            </w:pPr>
            <w:r>
              <w:t xml:space="preserve">Le </w:t>
            </w:r>
            <w:r w:rsidRPr="00E71390">
              <w:rPr>
                <w:i/>
              </w:rPr>
              <w:t>immobilizzazioni materiali</w:t>
            </w:r>
            <w:r>
              <w:t xml:space="preserve"> sono beni tangibili di uso durevole costituenti parte dell’organizzazione permanente delle società, la cui utilità economica si estende oltre i limiti di un esercizio. Il riferirsi a fattori e condizioni durature non è una caratteristica intrinseca ai beni come tali, bensì alla loro destinazione. Esse sono normalmente impiegate come strumenti di produzione del reddito della gestione caratteristica e non sono, quindi, destinate alla vendita, né</w:t>
            </w:r>
          </w:p>
          <w:p w:rsidR="00680245" w:rsidRDefault="00680245" w:rsidP="00D73E98">
            <w:pPr>
              <w:pStyle w:val="Commentiriquadro"/>
            </w:pPr>
            <w:r>
              <w:t>alla trasformazione per l’ottenimento dei prodotti della società.</w:t>
            </w:r>
          </w:p>
          <w:p w:rsidR="00680245" w:rsidRDefault="00680245" w:rsidP="00D73E98">
            <w:pPr>
              <w:pStyle w:val="Commentiriquadro"/>
            </w:pPr>
            <w:r>
              <w:t>Possono consistere in:</w:t>
            </w:r>
          </w:p>
          <w:p w:rsidR="00680245" w:rsidRDefault="00680245" w:rsidP="00D73E98">
            <w:pPr>
              <w:pStyle w:val="Commentiriquadro"/>
              <w:ind w:left="176" w:hanging="119"/>
            </w:pPr>
            <w:r>
              <w:t xml:space="preserve">- </w:t>
            </w:r>
            <w:r>
              <w:tab/>
              <w:t>beni materiali acquistati o realizzati internamente;</w:t>
            </w:r>
          </w:p>
          <w:p w:rsidR="00680245" w:rsidRDefault="00680245" w:rsidP="00D73E98">
            <w:pPr>
              <w:pStyle w:val="Commentiriquadro"/>
              <w:ind w:left="176" w:hanging="119"/>
            </w:pPr>
            <w:r>
              <w:t xml:space="preserve">- </w:t>
            </w:r>
            <w:r>
              <w:tab/>
              <w:t>beni materiali in corso di costruzione;</w:t>
            </w:r>
          </w:p>
          <w:p w:rsidR="00680245" w:rsidRDefault="00680245" w:rsidP="00D73E98">
            <w:pPr>
              <w:pStyle w:val="Commentiriquadro"/>
              <w:ind w:left="176" w:hanging="119"/>
            </w:pPr>
            <w:r>
              <w:t>-</w:t>
            </w:r>
            <w:r>
              <w:tab/>
              <w:t>somme anticipate a fronte del loro acquisto o della loro produzione.</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CC242B"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5</w:t>
            </w:r>
          </w:p>
        </w:tc>
        <w:tc>
          <w:tcPr>
            <w:tcW w:w="7060" w:type="dxa"/>
            <w:tcMar>
              <w:left w:w="108" w:type="dxa"/>
            </w:tcMar>
          </w:tcPr>
          <w:p w:rsidR="00680245" w:rsidRDefault="00680245" w:rsidP="00D73E98">
            <w:pPr>
              <w:pStyle w:val="Commentiriquadro"/>
            </w:pPr>
            <w:r>
              <w:t xml:space="preserve">Il </w:t>
            </w:r>
            <w:r w:rsidRPr="00E71390">
              <w:rPr>
                <w:i/>
              </w:rPr>
              <w:t>costo d’acquisto</w:t>
            </w:r>
            <w:r>
              <w:t xml:space="preserve"> è rappresentato dal prezzo effettivo d’acquisto da corrispondere al fornitore del bene, di solito rilevato dal contratto o dalla fattura.</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CC242B"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6</w:t>
            </w:r>
          </w:p>
        </w:tc>
        <w:tc>
          <w:tcPr>
            <w:tcW w:w="7060" w:type="dxa"/>
            <w:tcMar>
              <w:left w:w="108" w:type="dxa"/>
            </w:tcMar>
          </w:tcPr>
          <w:p w:rsidR="00680245" w:rsidRDefault="00680245" w:rsidP="00D73E98">
            <w:pPr>
              <w:pStyle w:val="Commentiriquadro"/>
            </w:pPr>
            <w:r>
              <w:t xml:space="preserve">I </w:t>
            </w:r>
            <w:r w:rsidRPr="00E71390">
              <w:rPr>
                <w:i/>
              </w:rPr>
              <w:t>costi accessori d’acquisto</w:t>
            </w:r>
            <w:r>
              <w:t xml:space="preserve"> comprendono tutti i costi collegati all’acquisto che la società sostiene affinché l’immobilizzazione possa essere utilizzata e i costi sostenuti per portare il cespite nel luogo e nelle condizioni necessarie perché costituisca un bene duraturo per la società.</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CC242B"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7</w:t>
            </w:r>
          </w:p>
        </w:tc>
        <w:tc>
          <w:tcPr>
            <w:tcW w:w="7060" w:type="dxa"/>
            <w:tcMar>
              <w:left w:w="108" w:type="dxa"/>
            </w:tcMar>
          </w:tcPr>
          <w:p w:rsidR="00680245" w:rsidRDefault="00680245" w:rsidP="00D73E98">
            <w:pPr>
              <w:pStyle w:val="Commentiriquadro"/>
            </w:pPr>
            <w:r>
              <w:t xml:space="preserve">Il </w:t>
            </w:r>
            <w:r w:rsidRPr="00FC2F78">
              <w:rPr>
                <w:i/>
              </w:rPr>
              <w:t>costo di produzione</w:t>
            </w:r>
            <w:r>
              <w:t xml:space="preserve"> comprende tutti i costi direttamente imputabili al bene. Può comprendere anche altri costi, per la quota ragionevolmente imputabile al bene, relativi al periodo di fabbricazione e fino al momento dal quale il bene può essere utilizzato. Con gli stessi criteri possono essere aggiunti gli oneri relativi al finanziamento della fabbricazione, interna o presso terzi.</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CC242B"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8</w:t>
            </w:r>
          </w:p>
        </w:tc>
        <w:tc>
          <w:tcPr>
            <w:tcW w:w="7060" w:type="dxa"/>
            <w:tcMar>
              <w:left w:w="108" w:type="dxa"/>
            </w:tcMar>
          </w:tcPr>
          <w:p w:rsidR="00680245" w:rsidRDefault="00680245" w:rsidP="00D73E98">
            <w:pPr>
              <w:pStyle w:val="Commentiriquadro"/>
            </w:pPr>
            <w:r>
              <w:t xml:space="preserve">La </w:t>
            </w:r>
            <w:r w:rsidRPr="00A654B3">
              <w:rPr>
                <w:i/>
              </w:rPr>
              <w:t>vita utile</w:t>
            </w:r>
            <w:r>
              <w:t xml:space="preserve"> è il periodo di tempo durante il quale la società prevede di poter utilizzare l’immobilizzazione. Può essere determinata anche attraverso il numero complessivo di unità di prodotto (o misura equivalente) che si stima poter ottenere tramite l’uso dell’immobilizzazione.</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CC242B"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9</w:t>
            </w:r>
          </w:p>
        </w:tc>
        <w:tc>
          <w:tcPr>
            <w:tcW w:w="7060" w:type="dxa"/>
            <w:tcMar>
              <w:left w:w="108" w:type="dxa"/>
            </w:tcMar>
          </w:tcPr>
          <w:p w:rsidR="00680245" w:rsidRDefault="00680245" w:rsidP="00D73E98">
            <w:pPr>
              <w:pStyle w:val="Commentiriquadro"/>
            </w:pPr>
            <w:r>
              <w:t xml:space="preserve">Il </w:t>
            </w:r>
            <w:r w:rsidRPr="00A654B3">
              <w:rPr>
                <w:i/>
              </w:rPr>
              <w:t>valore netto contabile</w:t>
            </w:r>
            <w:r>
              <w:t xml:space="preserve"> di un’immobilizzazione materiale è il valore al quale il bene è iscritto in bilancio al netto di ammortamenti e svalutazioni dell’esercizio e di esercizi precedenti.</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CC242B"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10</w:t>
            </w:r>
          </w:p>
        </w:tc>
        <w:tc>
          <w:tcPr>
            <w:tcW w:w="7060" w:type="dxa"/>
            <w:tcMar>
              <w:left w:w="108" w:type="dxa"/>
            </w:tcMar>
          </w:tcPr>
          <w:p w:rsidR="00680245" w:rsidRDefault="00680245" w:rsidP="00D73E98">
            <w:pPr>
              <w:pStyle w:val="Commentiriquadro"/>
            </w:pPr>
            <w:r>
              <w:t>L’</w:t>
            </w:r>
            <w:r w:rsidRPr="00A06AD0">
              <w:rPr>
                <w:i/>
              </w:rPr>
              <w:t>ammortamento</w:t>
            </w:r>
            <w:r>
              <w:t xml:space="preserve"> è la ripartizione del costo di un’immobilizzazione nel periodo della sua stimata vita utile con un metodo sistematico e razionale, indipendentemente dai risultati conseguiti nell’esercizio.</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CC242B"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11</w:t>
            </w:r>
          </w:p>
        </w:tc>
        <w:tc>
          <w:tcPr>
            <w:tcW w:w="7060" w:type="dxa"/>
            <w:tcMar>
              <w:left w:w="108" w:type="dxa"/>
            </w:tcMar>
          </w:tcPr>
          <w:p w:rsidR="00680245" w:rsidRDefault="00680245" w:rsidP="00D73E98">
            <w:pPr>
              <w:pStyle w:val="Commentiriquadro"/>
            </w:pPr>
            <w:r>
              <w:t xml:space="preserve">Il </w:t>
            </w:r>
            <w:r w:rsidRPr="00A06AD0">
              <w:rPr>
                <w:i/>
              </w:rPr>
              <w:t>valore da ammortizzare</w:t>
            </w:r>
            <w:r>
              <w:t xml:space="preserve"> è la differenza tra il costo dell’immobilizzazione, determinato secondo i criteri enunciati nel principio, e, se determinabile, il valore residuo.</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CC242B"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12</w:t>
            </w:r>
          </w:p>
        </w:tc>
        <w:tc>
          <w:tcPr>
            <w:tcW w:w="7060" w:type="dxa"/>
            <w:tcMar>
              <w:left w:w="108" w:type="dxa"/>
            </w:tcMar>
          </w:tcPr>
          <w:p w:rsidR="00680245" w:rsidRDefault="00680245" w:rsidP="00D73E98">
            <w:pPr>
              <w:pStyle w:val="Commentiriquadro"/>
            </w:pPr>
            <w:r>
              <w:t xml:space="preserve">Il </w:t>
            </w:r>
            <w:r w:rsidRPr="00A06AD0">
              <w:rPr>
                <w:i/>
              </w:rPr>
              <w:t>valore residuo</w:t>
            </w:r>
            <w:r>
              <w:t xml:space="preserve"> di un bene è il presumibile valore realizzabile del bene al termine del periodo di vita utile.</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CC242B"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13</w:t>
            </w:r>
          </w:p>
        </w:tc>
        <w:tc>
          <w:tcPr>
            <w:tcW w:w="7060" w:type="dxa"/>
            <w:tcMar>
              <w:left w:w="108" w:type="dxa"/>
            </w:tcMar>
          </w:tcPr>
          <w:p w:rsidR="00680245" w:rsidRDefault="00680245" w:rsidP="00D73E98">
            <w:pPr>
              <w:pStyle w:val="Commentiriquadro"/>
            </w:pPr>
            <w:r>
              <w:t xml:space="preserve">La </w:t>
            </w:r>
            <w:r w:rsidRPr="00A06AD0">
              <w:rPr>
                <w:i/>
              </w:rPr>
              <w:t>svalutazione</w:t>
            </w:r>
            <w:r>
              <w:t xml:space="preserve"> è la riduzione del valore contabile di un’immobilizzazione per adeguarla al valore recuperabile a seguito di perdita durevole valore.</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CC242B"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14</w:t>
            </w:r>
          </w:p>
        </w:tc>
        <w:tc>
          <w:tcPr>
            <w:tcW w:w="7060" w:type="dxa"/>
            <w:tcMar>
              <w:left w:w="108" w:type="dxa"/>
            </w:tcMar>
          </w:tcPr>
          <w:p w:rsidR="00680245" w:rsidRDefault="00680245" w:rsidP="00D73E98">
            <w:pPr>
              <w:pStyle w:val="Commentiriquadro"/>
            </w:pPr>
            <w:r>
              <w:t xml:space="preserve">Il </w:t>
            </w:r>
            <w:r w:rsidRPr="00A06AD0">
              <w:rPr>
                <w:i/>
              </w:rPr>
              <w:t>valore recuperabile</w:t>
            </w:r>
            <w:r>
              <w:t xml:space="preserve"> di un’immobilizzazione è pari al maggiore tra il valore d’uso e il suo fair value, al netto dei costi di vendita.</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CC242B"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15</w:t>
            </w:r>
          </w:p>
        </w:tc>
        <w:tc>
          <w:tcPr>
            <w:tcW w:w="7060" w:type="dxa"/>
            <w:tcMar>
              <w:left w:w="108" w:type="dxa"/>
            </w:tcMar>
          </w:tcPr>
          <w:p w:rsidR="00680245" w:rsidRDefault="00680245" w:rsidP="00D73E98">
            <w:pPr>
              <w:pStyle w:val="Commentiriquadro"/>
            </w:pPr>
            <w:r>
              <w:t xml:space="preserve">La </w:t>
            </w:r>
            <w:r w:rsidRPr="00A06AD0">
              <w:rPr>
                <w:i/>
              </w:rPr>
              <w:t>manutenzione ordinaria</w:t>
            </w:r>
            <w:r>
              <w:t xml:space="preserve"> è costituita dalle manutenzioni e riparazioni di natura ricorrente (ad esempio, pulizia, verniciatura, riparazione, sostituzione di parti deteriorate dall’uso) che vengono effettuate per mantenere i cespiti in un buono stato di funzionamento per assicurarne la vita utile prevista, la capacità e la produttività originarie.</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CC242B"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16</w:t>
            </w:r>
          </w:p>
        </w:tc>
        <w:tc>
          <w:tcPr>
            <w:tcW w:w="7060" w:type="dxa"/>
            <w:tcMar>
              <w:left w:w="108" w:type="dxa"/>
            </w:tcMar>
          </w:tcPr>
          <w:p w:rsidR="00680245" w:rsidRDefault="00680245" w:rsidP="00D73E98">
            <w:pPr>
              <w:pStyle w:val="Commentiriquadro"/>
            </w:pPr>
            <w:r>
              <w:t xml:space="preserve">La </w:t>
            </w:r>
            <w:r w:rsidRPr="00A06AD0">
              <w:rPr>
                <w:i/>
              </w:rPr>
              <w:t>manutenzione straordinaria</w:t>
            </w:r>
            <w:r>
              <w:t xml:space="preserve"> si sostanzia in ampliamenti, ammodernamenti, sostituzioni e altri miglioramenti riferibili al bene che producono un aumento significativo e misurabile di capacità, di produttività o di sicurezza dei cespiti ovvero ne prolunghino la vita utile.</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CC242B"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17</w:t>
            </w:r>
          </w:p>
        </w:tc>
        <w:tc>
          <w:tcPr>
            <w:tcW w:w="7060" w:type="dxa"/>
            <w:tcMar>
              <w:left w:w="108" w:type="dxa"/>
            </w:tcMar>
          </w:tcPr>
          <w:p w:rsidR="00680245" w:rsidRDefault="00680245" w:rsidP="00D73E98">
            <w:pPr>
              <w:pStyle w:val="Commentiriquadro"/>
            </w:pPr>
            <w:r>
              <w:t xml:space="preserve">Per </w:t>
            </w:r>
            <w:r w:rsidRPr="00A06AD0">
              <w:rPr>
                <w:i/>
              </w:rPr>
              <w:t>valore desumibile dall’andamento di mercato</w:t>
            </w:r>
            <w:r>
              <w:t xml:space="preserve"> si intende il valore netto di realizzazione, ossia il prezzo di vendita nel corso della normale gestione al netto dei costi diretti di vendita e dismissione. Alcuni esempi di costi di vendita e dismissione sono le spese legali connesse alla transazione, imposte, costi di rimozione del bene e costi diretti necessari per rendere il bene pronto per la vendita.</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CC242B"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18</w:t>
            </w:r>
          </w:p>
        </w:tc>
        <w:tc>
          <w:tcPr>
            <w:tcW w:w="7060" w:type="dxa"/>
            <w:tcMar>
              <w:left w:w="108" w:type="dxa"/>
            </w:tcMar>
          </w:tcPr>
          <w:p w:rsidR="00680245" w:rsidRDefault="00680245" w:rsidP="00D73E98">
            <w:pPr>
              <w:pStyle w:val="Commentiriquadro"/>
            </w:pPr>
            <w:r>
              <w:t xml:space="preserve">Il </w:t>
            </w:r>
            <w:r w:rsidRPr="00A06AD0">
              <w:rPr>
                <w:i/>
              </w:rPr>
              <w:t>bilancio in forma ordinaria</w:t>
            </w:r>
            <w:r>
              <w:t xml:space="preserve"> è il bilancio redatto secondo le disposizioni del codice civile dalle società che non redigono il bilancio in forma abbreviata ai sensi dell’art. 2435-bis c.c. e che non redigono il bilancio ai sensi dell’art. 2435-ter c.c. (bilancio delle micro-imprese).</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CC242B"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60" w:type="dxa"/>
            <w:tcMar>
              <w:left w:w="108" w:type="dxa"/>
            </w:tcMar>
            <w:vAlign w:val="center"/>
          </w:tcPr>
          <w:p w:rsidR="00680245" w:rsidRPr="00492518" w:rsidRDefault="00680245" w:rsidP="00D73E98">
            <w:pPr>
              <w:pStyle w:val="Titolo2"/>
              <w:rPr>
                <w:lang w:val="it-IT"/>
              </w:rPr>
            </w:pPr>
            <w:r w:rsidRPr="00492518">
              <w:rPr>
                <w:lang w:val="it-IT"/>
              </w:rPr>
              <w:t>Classificazione e contenuto delle voci</w:t>
            </w:r>
          </w:p>
        </w:tc>
        <w:tc>
          <w:tcPr>
            <w:tcW w:w="586" w:type="dxa"/>
            <w:gridSpan w:val="2"/>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20"/>
        </w:trPr>
        <w:tc>
          <w:tcPr>
            <w:tcW w:w="680" w:type="dxa"/>
          </w:tcPr>
          <w:p w:rsidR="00680245" w:rsidRPr="00987EB8" w:rsidRDefault="00680245" w:rsidP="00D73E98">
            <w:pPr>
              <w:jc w:val="center"/>
              <w:rPr>
                <w:b/>
                <w:lang w:val="it-IT"/>
              </w:rPr>
            </w:pPr>
            <w:r w:rsidRPr="00987EB8">
              <w:rPr>
                <w:b/>
                <w:lang w:val="it-IT"/>
              </w:rPr>
              <w:t>1)</w:t>
            </w:r>
          </w:p>
        </w:tc>
        <w:tc>
          <w:tcPr>
            <w:tcW w:w="851" w:type="dxa"/>
            <w:tcMar>
              <w:left w:w="108" w:type="dxa"/>
              <w:right w:w="0" w:type="dxa"/>
            </w:tcMar>
          </w:tcPr>
          <w:p w:rsidR="00680245" w:rsidRPr="008A0F36" w:rsidRDefault="00680245" w:rsidP="00D73E98">
            <w:pPr>
              <w:pStyle w:val="PrincCont"/>
              <w:jc w:val="left"/>
              <w:rPr>
                <w:lang w:val="it-IT"/>
              </w:rPr>
            </w:pPr>
            <w:r>
              <w:rPr>
                <w:lang w:val="it-IT"/>
              </w:rPr>
              <w:t>Art. 2424 CC OIC 16.19</w:t>
            </w:r>
          </w:p>
        </w:tc>
        <w:tc>
          <w:tcPr>
            <w:tcW w:w="7060" w:type="dxa"/>
            <w:tcMar>
              <w:left w:w="108" w:type="dxa"/>
            </w:tcMar>
          </w:tcPr>
          <w:p w:rsidR="00680245" w:rsidRPr="004A750E" w:rsidRDefault="00680245" w:rsidP="00D73E98">
            <w:pPr>
              <w:spacing w:line="230" w:lineRule="exact"/>
              <w:ind w:left="64"/>
              <w:rPr>
                <w:lang w:val="it-IT"/>
              </w:rPr>
            </w:pPr>
            <w:r>
              <w:rPr>
                <w:lang w:val="it-IT"/>
              </w:rPr>
              <w:t>L</w:t>
            </w:r>
            <w:r w:rsidRPr="001D0197">
              <w:rPr>
                <w:lang w:val="it-IT"/>
              </w:rPr>
              <w:t>e immobilizzazioni materiali sono iscritte nell’attivo dello stato patrimoniale alla voce BII con la seguente classificazione:</w:t>
            </w:r>
          </w:p>
        </w:tc>
        <w:tc>
          <w:tcPr>
            <w:tcW w:w="586" w:type="dxa"/>
            <w:gridSpan w:val="2"/>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BD07F7"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60" w:type="dxa"/>
            <w:tcMar>
              <w:left w:w="108" w:type="dxa"/>
            </w:tcMar>
          </w:tcPr>
          <w:p w:rsidR="00680245" w:rsidRDefault="00680245" w:rsidP="00D73E98">
            <w:pPr>
              <w:spacing w:line="230" w:lineRule="exact"/>
              <w:ind w:left="431" w:hanging="397"/>
              <w:rPr>
                <w:lang w:val="it-IT"/>
              </w:rPr>
            </w:pPr>
            <w:r>
              <w:rPr>
                <w:lang w:val="it-IT"/>
              </w:rPr>
              <w:t xml:space="preserve">1) </w:t>
            </w:r>
            <w:r>
              <w:rPr>
                <w:lang w:val="it-IT"/>
              </w:rPr>
              <w:tab/>
              <w:t>Terreni e fabbricati</w:t>
            </w:r>
          </w:p>
        </w:tc>
        <w:tc>
          <w:tcPr>
            <w:tcW w:w="586" w:type="dxa"/>
            <w:gridSpan w:val="2"/>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BD07F7"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60" w:type="dxa"/>
            <w:tcMar>
              <w:left w:w="108" w:type="dxa"/>
            </w:tcMar>
          </w:tcPr>
          <w:p w:rsidR="00680245" w:rsidRDefault="00680245" w:rsidP="00D73E98">
            <w:pPr>
              <w:spacing w:line="230" w:lineRule="exact"/>
              <w:ind w:left="431" w:hanging="397"/>
              <w:rPr>
                <w:lang w:val="it-IT"/>
              </w:rPr>
            </w:pPr>
            <w:r>
              <w:rPr>
                <w:lang w:val="it-IT"/>
              </w:rPr>
              <w:t xml:space="preserve">2) </w:t>
            </w:r>
            <w:r>
              <w:rPr>
                <w:lang w:val="it-IT"/>
              </w:rPr>
              <w:tab/>
              <w:t>Impianti e macchinario</w:t>
            </w:r>
          </w:p>
        </w:tc>
        <w:tc>
          <w:tcPr>
            <w:tcW w:w="586" w:type="dxa"/>
            <w:gridSpan w:val="2"/>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BD07F7"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60" w:type="dxa"/>
            <w:tcMar>
              <w:left w:w="108" w:type="dxa"/>
            </w:tcMar>
          </w:tcPr>
          <w:p w:rsidR="00680245" w:rsidRDefault="00680245" w:rsidP="00D73E98">
            <w:pPr>
              <w:spacing w:line="230" w:lineRule="exact"/>
              <w:ind w:left="431" w:hanging="397"/>
              <w:rPr>
                <w:lang w:val="it-IT"/>
              </w:rPr>
            </w:pPr>
            <w:r w:rsidRPr="001D0197">
              <w:rPr>
                <w:lang w:val="it-IT"/>
              </w:rPr>
              <w:t xml:space="preserve">3) </w:t>
            </w:r>
            <w:r>
              <w:rPr>
                <w:lang w:val="it-IT"/>
              </w:rPr>
              <w:tab/>
            </w:r>
            <w:r w:rsidRPr="001D0197">
              <w:rPr>
                <w:lang w:val="it-IT"/>
              </w:rPr>
              <w:t>Attrezz</w:t>
            </w:r>
            <w:r>
              <w:rPr>
                <w:lang w:val="it-IT"/>
              </w:rPr>
              <w:t>ature industriali e commerciali</w:t>
            </w:r>
          </w:p>
        </w:tc>
        <w:tc>
          <w:tcPr>
            <w:tcW w:w="586" w:type="dxa"/>
            <w:gridSpan w:val="2"/>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BD07F7"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60" w:type="dxa"/>
            <w:tcMar>
              <w:left w:w="108" w:type="dxa"/>
            </w:tcMar>
          </w:tcPr>
          <w:p w:rsidR="00680245" w:rsidRDefault="00680245" w:rsidP="00D73E98">
            <w:pPr>
              <w:spacing w:line="230" w:lineRule="exact"/>
              <w:ind w:left="431" w:hanging="397"/>
              <w:rPr>
                <w:lang w:val="it-IT"/>
              </w:rPr>
            </w:pPr>
            <w:r>
              <w:rPr>
                <w:lang w:val="it-IT"/>
              </w:rPr>
              <w:t xml:space="preserve">4) </w:t>
            </w:r>
            <w:r>
              <w:rPr>
                <w:lang w:val="it-IT"/>
              </w:rPr>
              <w:tab/>
              <w:t>Altri beni</w:t>
            </w:r>
          </w:p>
        </w:tc>
        <w:tc>
          <w:tcPr>
            <w:tcW w:w="586" w:type="dxa"/>
            <w:gridSpan w:val="2"/>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1A4B4D"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60" w:type="dxa"/>
            <w:tcMar>
              <w:left w:w="108" w:type="dxa"/>
            </w:tcMar>
          </w:tcPr>
          <w:p w:rsidR="00680245" w:rsidRPr="001D0197" w:rsidRDefault="00680245" w:rsidP="00D73E98">
            <w:pPr>
              <w:spacing w:line="230" w:lineRule="exact"/>
              <w:ind w:left="454" w:hanging="419"/>
              <w:rPr>
                <w:lang w:val="it-IT"/>
              </w:rPr>
            </w:pPr>
            <w:r w:rsidRPr="001D0197">
              <w:rPr>
                <w:lang w:val="it-IT"/>
              </w:rPr>
              <w:t xml:space="preserve">5) </w:t>
            </w:r>
            <w:r>
              <w:rPr>
                <w:lang w:val="it-IT"/>
              </w:rPr>
              <w:tab/>
            </w:r>
            <w:r w:rsidRPr="001D0197">
              <w:rPr>
                <w:lang w:val="it-IT"/>
              </w:rPr>
              <w:t>Immob</w:t>
            </w:r>
            <w:r>
              <w:rPr>
                <w:lang w:val="it-IT"/>
              </w:rPr>
              <w:t>ilizzazioni in corso e acconti?</w:t>
            </w:r>
          </w:p>
        </w:tc>
        <w:tc>
          <w:tcPr>
            <w:tcW w:w="586" w:type="dxa"/>
            <w:gridSpan w:val="2"/>
            <w:tcMar>
              <w:left w:w="85" w:type="dxa"/>
              <w:right w:w="85" w:type="dxa"/>
            </w:tcMar>
            <w:vAlign w:val="center"/>
          </w:tcPr>
          <w:p w:rsidR="00680245" w:rsidRPr="001A4B4D"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1A4B4D"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1A4B4D"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C6349A" w:rsidTr="00D73E98">
        <w:trPr>
          <w:cantSplit/>
          <w:trHeight w:val="34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16.20</w:t>
            </w:r>
          </w:p>
        </w:tc>
        <w:tc>
          <w:tcPr>
            <w:tcW w:w="7060" w:type="dxa"/>
            <w:tcMar>
              <w:left w:w="108" w:type="dxa"/>
            </w:tcMar>
          </w:tcPr>
          <w:p w:rsidR="00680245" w:rsidRDefault="00680245" w:rsidP="00D73E98">
            <w:pPr>
              <w:pStyle w:val="Commentiriquadro"/>
            </w:pPr>
            <w:r>
              <w:t xml:space="preserve">La voce BII1 </w:t>
            </w:r>
            <w:r w:rsidRPr="00CB192A">
              <w:rPr>
                <w:i/>
              </w:rPr>
              <w:t>“Terreni e fabbricati”</w:t>
            </w:r>
            <w:r>
              <w:t xml:space="preserve"> può comprendere:</w:t>
            </w:r>
          </w:p>
          <w:p w:rsidR="00680245" w:rsidRDefault="00680245" w:rsidP="00D73E98">
            <w:pPr>
              <w:pStyle w:val="Commentiriquadro"/>
              <w:spacing w:line="190" w:lineRule="exact"/>
              <w:ind w:left="170" w:hanging="113"/>
            </w:pPr>
            <w:r>
              <w:t>- terreni (ad esempio: pertinenze fondiarie degli stabilimenti, terreni su cui insistono i fabbricati, fondi e terreni agricoli, moli, ormeggi e banchine, cave, terreni estrattivi e minerari, sorgenti);</w:t>
            </w:r>
          </w:p>
          <w:p w:rsidR="00680245" w:rsidRDefault="00680245" w:rsidP="00D73E98">
            <w:pPr>
              <w:pStyle w:val="Commentiriquadro"/>
              <w:spacing w:line="190" w:lineRule="exact"/>
              <w:ind w:left="170" w:hanging="113"/>
            </w:pPr>
            <w:r>
              <w:t xml:space="preserve">- </w:t>
            </w:r>
            <w:r>
              <w:tab/>
              <w:t>fabbricati strumentali per l’attività della società (ad esempio: fabbricati e stabilimenti con destinazione industriale, opere idrauliche fisse, silos, piazzali e recinzioni, autorimesse, officine, oleodotti, opere di urbanizzazione, fabbricati ad uso amministrativo, commerciale, uffici, negozi, esposizioni, magazzini ed altre opere murarie);</w:t>
            </w:r>
          </w:p>
          <w:p w:rsidR="00680245" w:rsidRDefault="00680245" w:rsidP="00D73E98">
            <w:pPr>
              <w:pStyle w:val="Commentiriquadro"/>
              <w:spacing w:line="190" w:lineRule="exact"/>
              <w:ind w:left="170" w:hanging="113"/>
            </w:pPr>
            <w:r>
              <w:t xml:space="preserve">- </w:t>
            </w:r>
            <w:r>
              <w:tab/>
              <w:t>fabbricati che non sono strumentali per l’attività della società ma che rappresentano un investimento di mezzi finanziari oppure sono posseduti in ossequio a norme di carattere statutario o previsioni di legge (ad esempio: immobili ad uso abitativo, termale, sportivo, balneare, terapeutico; collegi, colonie, asili nido, scuole materne ed edifici atti allo svolgimento di altre attività accessorie); accoglie inoltre immobili aventi carattere accessorio rispetto agli investimenti strumentali (ad esempio: villaggi residenziali ubicati in prossimità degli stabilimenti per l’abitazione del personale);</w:t>
            </w:r>
          </w:p>
          <w:p w:rsidR="00680245" w:rsidRPr="008E64D7" w:rsidRDefault="00680245" w:rsidP="00D73E98">
            <w:pPr>
              <w:pStyle w:val="Commentiriquadro"/>
              <w:ind w:left="173" w:hanging="116"/>
            </w:pPr>
            <w:r>
              <w:t xml:space="preserve">- </w:t>
            </w:r>
            <w:r>
              <w:tab/>
              <w:t xml:space="preserve">costruzioni leggere. </w:t>
            </w:r>
          </w:p>
        </w:tc>
        <w:tc>
          <w:tcPr>
            <w:tcW w:w="586" w:type="dxa"/>
            <w:gridSpan w:val="2"/>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CC242B"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16.21</w:t>
            </w:r>
          </w:p>
        </w:tc>
        <w:tc>
          <w:tcPr>
            <w:tcW w:w="7060" w:type="dxa"/>
            <w:tcMar>
              <w:left w:w="108" w:type="dxa"/>
            </w:tcMar>
          </w:tcPr>
          <w:p w:rsidR="00680245" w:rsidRDefault="00680245" w:rsidP="00D73E98">
            <w:pPr>
              <w:pStyle w:val="Commentiriquadro"/>
            </w:pPr>
            <w:r>
              <w:t xml:space="preserve">La voce BII2 </w:t>
            </w:r>
            <w:r w:rsidRPr="00CB192A">
              <w:rPr>
                <w:i/>
              </w:rPr>
              <w:t>“Impianti e macchinario”</w:t>
            </w:r>
            <w:r>
              <w:t xml:space="preserve"> può comprendere:</w:t>
            </w:r>
          </w:p>
          <w:p w:rsidR="00680245" w:rsidRDefault="00680245" w:rsidP="00D73E98">
            <w:pPr>
              <w:pStyle w:val="Commentiriquadro"/>
              <w:ind w:left="173" w:hanging="116"/>
            </w:pPr>
            <w:r>
              <w:t xml:space="preserve">- </w:t>
            </w:r>
            <w:r>
              <w:tab/>
              <w:t>impianti generici: sono gli impianti non legati alla tipica attività della società (ad esempio: servizi riscaldamento e condizionamento, impianti di allarme);</w:t>
            </w:r>
          </w:p>
          <w:p w:rsidR="00680245" w:rsidRDefault="00680245" w:rsidP="00D73E98">
            <w:pPr>
              <w:pStyle w:val="Commentiriquadro"/>
              <w:ind w:left="173" w:hanging="116"/>
            </w:pPr>
            <w:r>
              <w:t>-</w:t>
            </w:r>
            <w:r>
              <w:tab/>
              <w:t>impianti specifici: sono gli impianti legati alle tipiche attività produttive dell’azienda;</w:t>
            </w:r>
          </w:p>
          <w:p w:rsidR="00680245" w:rsidRDefault="00680245" w:rsidP="00D73E98">
            <w:pPr>
              <w:pStyle w:val="Commentiriquadro"/>
              <w:ind w:left="173" w:hanging="116"/>
            </w:pPr>
            <w:r>
              <w:t xml:space="preserve">- </w:t>
            </w:r>
            <w:r>
              <w:tab/>
              <w:t>altri impianti (ad esempio: forni e loro pertinenze);</w:t>
            </w:r>
          </w:p>
          <w:p w:rsidR="00680245" w:rsidRPr="00141502" w:rsidRDefault="00680245" w:rsidP="00D73E98">
            <w:pPr>
              <w:pStyle w:val="Commentiriquadro"/>
              <w:ind w:left="173" w:hanging="116"/>
            </w:pPr>
            <w:r>
              <w:t xml:space="preserve">- </w:t>
            </w:r>
            <w:r>
              <w:tab/>
              <w:t>macchinario automatico e macchinario non automatico: si tratta di apparati in grado di svolgere da sé (automatico) ovvero con ausilio di persone (semiautomatico) determinate operazioni.</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CC242B"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Default="00680245" w:rsidP="00D73E98">
            <w:pPr>
              <w:pStyle w:val="PrincCont"/>
              <w:jc w:val="left"/>
              <w:rPr>
                <w:lang w:val="it-IT"/>
              </w:rPr>
            </w:pPr>
            <w:r>
              <w:t>OIC 16.22</w:t>
            </w:r>
          </w:p>
        </w:tc>
        <w:tc>
          <w:tcPr>
            <w:tcW w:w="7060" w:type="dxa"/>
            <w:tcMar>
              <w:left w:w="108" w:type="dxa"/>
            </w:tcMar>
          </w:tcPr>
          <w:p w:rsidR="00680245" w:rsidRDefault="00680245" w:rsidP="00D73E98">
            <w:pPr>
              <w:pStyle w:val="Commentiriquadro"/>
            </w:pPr>
            <w:r>
              <w:t xml:space="preserve">La voce BII3 </w:t>
            </w:r>
            <w:r w:rsidRPr="00CB192A">
              <w:rPr>
                <w:i/>
              </w:rPr>
              <w:t>“Attrezzature industriali e commerciali”</w:t>
            </w:r>
            <w:r>
              <w:t xml:space="preserve"> può comprendere:</w:t>
            </w:r>
          </w:p>
          <w:p w:rsidR="00680245" w:rsidRDefault="00680245" w:rsidP="00D73E98">
            <w:pPr>
              <w:pStyle w:val="Commentiriquadro"/>
              <w:ind w:left="173" w:hanging="116"/>
            </w:pPr>
            <w:r>
              <w:t xml:space="preserve">- </w:t>
            </w:r>
            <w:r>
              <w:tab/>
              <w:t>attrezzature: sono strumenti (con uso manuale) necessari per il funzionamento o lo svolgimento di una particolare attività o di un bene più complesso (ad esempio: attrezzi di laboratorio, equipaggiamenti e ricambi, attrezzatura commerciale e di mensa);</w:t>
            </w:r>
          </w:p>
          <w:p w:rsidR="00680245" w:rsidRPr="00141502" w:rsidRDefault="00680245" w:rsidP="00D73E98">
            <w:pPr>
              <w:pStyle w:val="Commentiriquadro"/>
              <w:ind w:left="173" w:hanging="116"/>
            </w:pPr>
            <w:r>
              <w:t xml:space="preserve">- </w:t>
            </w:r>
            <w:r>
              <w:tab/>
              <w:t>attrezzatura varia, legata al processo produttivo o commerciale dell’impresa, completante la capacità funzionale di impianti e macchinario, distinguendosi anche per un più rapido ciclo d’usura; comprende convenzionalmente gli utensili.</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CC242B"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Pr="00FA09A8" w:rsidRDefault="00680245" w:rsidP="00D73E98">
            <w:pPr>
              <w:pStyle w:val="PrincCont"/>
              <w:jc w:val="left"/>
              <w:rPr>
                <w:lang w:val="it-IT"/>
              </w:rPr>
            </w:pPr>
            <w:r>
              <w:t>OIC 16.23</w:t>
            </w:r>
          </w:p>
        </w:tc>
        <w:tc>
          <w:tcPr>
            <w:tcW w:w="7060" w:type="dxa"/>
            <w:tcMar>
              <w:left w:w="108" w:type="dxa"/>
            </w:tcMar>
          </w:tcPr>
          <w:p w:rsidR="00680245" w:rsidRDefault="00680245" w:rsidP="00D73E98">
            <w:pPr>
              <w:pStyle w:val="Commentiriquadro"/>
            </w:pPr>
            <w:r>
              <w:t xml:space="preserve">La voce BII4 </w:t>
            </w:r>
            <w:r w:rsidRPr="00232508">
              <w:rPr>
                <w:i/>
              </w:rPr>
              <w:t>“Altri beni”</w:t>
            </w:r>
            <w:r>
              <w:t xml:space="preserve"> può comprendere:</w:t>
            </w:r>
          </w:p>
          <w:p w:rsidR="00680245" w:rsidRDefault="00680245" w:rsidP="00D73E98">
            <w:pPr>
              <w:pStyle w:val="Commentiriquadro"/>
              <w:spacing w:before="0"/>
              <w:ind w:left="173" w:hanging="116"/>
            </w:pPr>
            <w:r>
              <w:t xml:space="preserve">- </w:t>
            </w:r>
            <w:r>
              <w:tab/>
              <w:t>mobili (ad esempio: mobili, arredi e dotazioni di ufficio, mobili e dotazioni di laboratorio, di officina, di magazzino e di reparto, mobili e dotazioni per mense, servizi sanitari ed assistenziali);</w:t>
            </w:r>
          </w:p>
          <w:p w:rsidR="00680245" w:rsidRDefault="00680245" w:rsidP="00D73E98">
            <w:pPr>
              <w:pStyle w:val="Commentiriquadro"/>
              <w:spacing w:before="0"/>
              <w:ind w:left="173" w:hanging="116"/>
            </w:pPr>
            <w:r>
              <w:t xml:space="preserve">- </w:t>
            </w:r>
            <w:r>
              <w:tab/>
              <w:t>macchine d’ufficio (ad esempio: macchine ordinarie ed elettroniche);</w:t>
            </w:r>
          </w:p>
          <w:p w:rsidR="00680245" w:rsidRDefault="00680245" w:rsidP="00D73E98">
            <w:pPr>
              <w:pStyle w:val="Commentiriquadro"/>
              <w:spacing w:before="0"/>
              <w:ind w:left="173" w:hanging="116"/>
            </w:pPr>
            <w:r>
              <w:t xml:space="preserve">- </w:t>
            </w:r>
            <w:r>
              <w:tab/>
              <w:t>automezzi (ad esempio: autovetture, autocarri, altri automezzi, motoveicoli e simili, mezzi di trasporto interni);</w:t>
            </w:r>
          </w:p>
          <w:p w:rsidR="00680245" w:rsidRDefault="00680245" w:rsidP="00D73E98">
            <w:pPr>
              <w:pStyle w:val="Commentiriquadro"/>
              <w:spacing w:before="0"/>
              <w:ind w:left="173" w:hanging="116"/>
            </w:pPr>
            <w:r>
              <w:t xml:space="preserve">- </w:t>
            </w:r>
            <w:r>
              <w:tab/>
              <w:t>imballaggi da riutilizzare;</w:t>
            </w:r>
          </w:p>
          <w:p w:rsidR="00680245" w:rsidRPr="00D779F2" w:rsidRDefault="00680245" w:rsidP="00D73E98">
            <w:pPr>
              <w:pStyle w:val="Commentiriquadro"/>
              <w:spacing w:before="0"/>
              <w:ind w:left="173" w:hanging="116"/>
            </w:pPr>
            <w:r>
              <w:t>-</w:t>
            </w:r>
            <w:r>
              <w:tab/>
              <w:t>beni gratuitamente devolvibili.</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CC242B"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Default="00680245" w:rsidP="00D73E98">
            <w:pPr>
              <w:pStyle w:val="PrincCont"/>
              <w:jc w:val="left"/>
            </w:pPr>
            <w:r w:rsidRPr="006A2F99">
              <w:t>OIC 16.</w:t>
            </w:r>
            <w:r>
              <w:t>24</w:t>
            </w:r>
          </w:p>
        </w:tc>
        <w:tc>
          <w:tcPr>
            <w:tcW w:w="7060" w:type="dxa"/>
            <w:tcMar>
              <w:left w:w="108" w:type="dxa"/>
            </w:tcMar>
          </w:tcPr>
          <w:p w:rsidR="00680245" w:rsidRDefault="00680245" w:rsidP="00D73E98">
            <w:pPr>
              <w:pStyle w:val="Commentiriquadro"/>
            </w:pPr>
            <w:r>
              <w:t xml:space="preserve">La voce BII5 </w:t>
            </w:r>
            <w:r w:rsidRPr="00057604">
              <w:rPr>
                <w:i/>
              </w:rPr>
              <w:t>“Immobilizzazioni in corso e acconti”</w:t>
            </w:r>
            <w:r>
              <w:t xml:space="preserve"> comprende:</w:t>
            </w:r>
          </w:p>
          <w:p w:rsidR="00680245" w:rsidRDefault="00680245" w:rsidP="00D73E98">
            <w:pPr>
              <w:pStyle w:val="Commentiriquadro"/>
              <w:spacing w:line="190" w:lineRule="exact"/>
              <w:ind w:left="176" w:hanging="119"/>
            </w:pPr>
            <w:r>
              <w:t xml:space="preserve">- </w:t>
            </w:r>
            <w:r>
              <w:tab/>
              <w:t>Immobilizzazioni materiali in corso di costruzione</w:t>
            </w:r>
          </w:p>
          <w:p w:rsidR="00680245" w:rsidRDefault="00680245" w:rsidP="00D73E98">
            <w:pPr>
              <w:pStyle w:val="Commentiriquadro"/>
              <w:spacing w:line="190" w:lineRule="exact"/>
              <w:ind w:left="176" w:hanging="119"/>
            </w:pPr>
            <w:r>
              <w:t>-</w:t>
            </w:r>
            <w:r>
              <w:tab/>
              <w:t xml:space="preserve">Acconti a fornitori per l’acquisizione </w:t>
            </w:r>
            <w:r w:rsidRPr="00057604">
              <w:t xml:space="preserve">o la costruzione </w:t>
            </w:r>
            <w:r>
              <w:t>di immobilizzazioni materiali.</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CC242B" w:rsidTr="00D73E98">
        <w:trPr>
          <w:cantSplit/>
          <w:trHeight w:val="20"/>
        </w:trPr>
        <w:tc>
          <w:tcPr>
            <w:tcW w:w="680" w:type="dxa"/>
          </w:tcPr>
          <w:p w:rsidR="00680245" w:rsidRPr="001C2D12" w:rsidRDefault="00680245" w:rsidP="00D73E98">
            <w:pPr>
              <w:jc w:val="center"/>
              <w:rPr>
                <w:b/>
                <w:lang w:val="it-IT"/>
              </w:rPr>
            </w:pPr>
            <w:r w:rsidRPr="001C2D12">
              <w:rPr>
                <w:b/>
                <w:lang w:val="it-IT"/>
              </w:rPr>
              <w:t>2)</w:t>
            </w:r>
          </w:p>
        </w:tc>
        <w:tc>
          <w:tcPr>
            <w:tcW w:w="851" w:type="dxa"/>
            <w:tcMar>
              <w:left w:w="108" w:type="dxa"/>
              <w:right w:w="0" w:type="dxa"/>
            </w:tcMar>
          </w:tcPr>
          <w:p w:rsidR="00680245" w:rsidRPr="001C2D12" w:rsidRDefault="00680245" w:rsidP="00D73E98">
            <w:pPr>
              <w:jc w:val="left"/>
              <w:rPr>
                <w:sz w:val="13"/>
                <w:szCs w:val="13"/>
              </w:rPr>
            </w:pPr>
            <w:r w:rsidRPr="001C2D12">
              <w:rPr>
                <w:sz w:val="13"/>
                <w:szCs w:val="13"/>
              </w:rPr>
              <w:t>OIC 16.25</w:t>
            </w:r>
          </w:p>
        </w:tc>
        <w:tc>
          <w:tcPr>
            <w:tcW w:w="7060" w:type="dxa"/>
            <w:tcMar>
              <w:left w:w="108" w:type="dxa"/>
            </w:tcMar>
          </w:tcPr>
          <w:p w:rsidR="00680245" w:rsidRPr="001C2D12" w:rsidRDefault="00680245" w:rsidP="001C2D12">
            <w:pPr>
              <w:spacing w:line="230" w:lineRule="exact"/>
              <w:rPr>
                <w:lang w:val="it-IT"/>
              </w:rPr>
            </w:pPr>
            <w:r w:rsidRPr="001C2D12">
              <w:rPr>
                <w:lang w:val="it-IT"/>
              </w:rPr>
              <w:t>Le immobilizzazioni materiali che la società ha deciso di destinare alla vendita sono classificate in un'apposita voce dell’attivo circolante se sussistono i seguenti r</w:t>
            </w:r>
            <w:r w:rsidR="001C2D12" w:rsidRPr="001C2D12">
              <w:rPr>
                <w:lang w:val="it-IT"/>
              </w:rPr>
              <w:t>equisiti:</w:t>
            </w:r>
          </w:p>
        </w:tc>
        <w:tc>
          <w:tcPr>
            <w:tcW w:w="586" w:type="dxa"/>
            <w:gridSpan w:val="2"/>
            <w:tcMar>
              <w:left w:w="85" w:type="dxa"/>
              <w:right w:w="85" w:type="dxa"/>
            </w:tcMar>
            <w:vAlign w:val="center"/>
          </w:tcPr>
          <w:p w:rsidR="00680245" w:rsidRPr="001C2D12" w:rsidRDefault="00680245" w:rsidP="00D73E98">
            <w:pPr>
              <w:jc w:val="center"/>
              <w:rPr>
                <w:lang w:val="it-IT"/>
              </w:rPr>
            </w:pPr>
          </w:p>
        </w:tc>
        <w:tc>
          <w:tcPr>
            <w:tcW w:w="573" w:type="dxa"/>
            <w:tcMar>
              <w:left w:w="108" w:type="dxa"/>
            </w:tcMar>
            <w:vAlign w:val="center"/>
          </w:tcPr>
          <w:p w:rsidR="00680245" w:rsidRPr="001C2D12" w:rsidRDefault="00680245" w:rsidP="00D73E98">
            <w:pPr>
              <w:jc w:val="center"/>
              <w:rPr>
                <w:lang w:val="it-IT"/>
              </w:rPr>
            </w:pPr>
          </w:p>
        </w:tc>
        <w:tc>
          <w:tcPr>
            <w:tcW w:w="570" w:type="dxa"/>
            <w:tcMar>
              <w:left w:w="108" w:type="dxa"/>
            </w:tcMar>
            <w:vAlign w:val="center"/>
          </w:tcPr>
          <w:p w:rsidR="00680245" w:rsidRPr="001C2D12" w:rsidRDefault="00680245" w:rsidP="00D73E98">
            <w:pPr>
              <w:jc w:val="center"/>
              <w:rPr>
                <w:lang w:val="it-IT"/>
              </w:rPr>
            </w:pPr>
          </w:p>
        </w:tc>
      </w:tr>
      <w:tr w:rsidR="001C2D12" w:rsidRPr="001C2D12" w:rsidTr="00D73E98">
        <w:trPr>
          <w:cantSplit/>
          <w:trHeight w:val="20"/>
        </w:trPr>
        <w:tc>
          <w:tcPr>
            <w:tcW w:w="680" w:type="dxa"/>
          </w:tcPr>
          <w:p w:rsidR="001C2D12" w:rsidRPr="001C2D12" w:rsidRDefault="001C2D12" w:rsidP="00D73E98">
            <w:pPr>
              <w:jc w:val="center"/>
              <w:rPr>
                <w:b/>
                <w:lang w:val="it-IT"/>
              </w:rPr>
            </w:pPr>
          </w:p>
        </w:tc>
        <w:tc>
          <w:tcPr>
            <w:tcW w:w="851" w:type="dxa"/>
            <w:tcMar>
              <w:left w:w="108" w:type="dxa"/>
              <w:right w:w="0" w:type="dxa"/>
            </w:tcMar>
          </w:tcPr>
          <w:p w:rsidR="001C2D12" w:rsidRPr="00655A70" w:rsidRDefault="001C2D12" w:rsidP="00D73E98">
            <w:pPr>
              <w:jc w:val="left"/>
              <w:rPr>
                <w:sz w:val="13"/>
                <w:szCs w:val="13"/>
                <w:lang w:val="it-IT"/>
              </w:rPr>
            </w:pPr>
          </w:p>
        </w:tc>
        <w:tc>
          <w:tcPr>
            <w:tcW w:w="7060" w:type="dxa"/>
            <w:tcMar>
              <w:left w:w="108" w:type="dxa"/>
            </w:tcMar>
          </w:tcPr>
          <w:p w:rsidR="001C2D12" w:rsidRPr="001C2D12" w:rsidRDefault="001C2D12" w:rsidP="00C942C6">
            <w:pPr>
              <w:pStyle w:val="Puntoelencosottolettere"/>
              <w:tabs>
                <w:tab w:val="clear" w:pos="704"/>
              </w:tabs>
              <w:ind w:left="460" w:hanging="278"/>
            </w:pPr>
            <w:r w:rsidRPr="001C2D12">
              <w:rPr>
                <w:rStyle w:val="rientrotrattinookCarattere"/>
              </w:rPr>
              <w:t>le immobilizzazioni sono vendibili alle loro condizioni attuali o non richiedono modifiche tali da differirne l’alienazione;</w:t>
            </w:r>
          </w:p>
        </w:tc>
        <w:tc>
          <w:tcPr>
            <w:tcW w:w="586" w:type="dxa"/>
            <w:gridSpan w:val="2"/>
            <w:tcMar>
              <w:left w:w="85" w:type="dxa"/>
              <w:right w:w="85" w:type="dxa"/>
            </w:tcMar>
            <w:vAlign w:val="center"/>
          </w:tcPr>
          <w:p w:rsidR="001C2D12" w:rsidRPr="001C2D12" w:rsidRDefault="001C2D12" w:rsidP="000D7E0A">
            <w:pPr>
              <w:jc w:val="center"/>
              <w:rPr>
                <w:lang w:val="it-IT"/>
              </w:rPr>
            </w:pPr>
            <w:r w:rsidRPr="001C2D12">
              <w:fldChar w:fldCharType="begin">
                <w:ffData>
                  <w:name w:val="Check4"/>
                  <w:enabled/>
                  <w:calcOnExit w:val="0"/>
                  <w:checkBox>
                    <w:sizeAuto/>
                    <w:default w:val="0"/>
                  </w:checkBox>
                </w:ffData>
              </w:fldChar>
            </w:r>
            <w:r w:rsidRPr="001C2D12">
              <w:instrText xml:space="preserve"> FORMCHECKBOX </w:instrText>
            </w:r>
            <w:r w:rsidR="00CA1681">
              <w:fldChar w:fldCharType="separate"/>
            </w:r>
            <w:r w:rsidRPr="001C2D12">
              <w:fldChar w:fldCharType="end"/>
            </w:r>
          </w:p>
        </w:tc>
        <w:tc>
          <w:tcPr>
            <w:tcW w:w="573" w:type="dxa"/>
            <w:tcMar>
              <w:left w:w="108" w:type="dxa"/>
            </w:tcMar>
            <w:vAlign w:val="center"/>
          </w:tcPr>
          <w:p w:rsidR="001C2D12" w:rsidRPr="001C2D12" w:rsidRDefault="001C2D12" w:rsidP="000D7E0A">
            <w:pPr>
              <w:jc w:val="center"/>
              <w:rPr>
                <w:lang w:val="it-IT"/>
              </w:rPr>
            </w:pPr>
            <w:r w:rsidRPr="001C2D12">
              <w:fldChar w:fldCharType="begin">
                <w:ffData>
                  <w:name w:val="Check4"/>
                  <w:enabled/>
                  <w:calcOnExit w:val="0"/>
                  <w:checkBox>
                    <w:sizeAuto/>
                    <w:default w:val="0"/>
                  </w:checkBox>
                </w:ffData>
              </w:fldChar>
            </w:r>
            <w:r w:rsidRPr="001C2D12">
              <w:instrText xml:space="preserve"> FORMCHECKBOX </w:instrText>
            </w:r>
            <w:r w:rsidR="00CA1681">
              <w:fldChar w:fldCharType="separate"/>
            </w:r>
            <w:r w:rsidRPr="001C2D12">
              <w:fldChar w:fldCharType="end"/>
            </w:r>
          </w:p>
        </w:tc>
        <w:tc>
          <w:tcPr>
            <w:tcW w:w="570" w:type="dxa"/>
            <w:tcMar>
              <w:left w:w="108" w:type="dxa"/>
            </w:tcMar>
            <w:vAlign w:val="center"/>
          </w:tcPr>
          <w:p w:rsidR="001C2D12" w:rsidRPr="001C2D12" w:rsidRDefault="001C2D12" w:rsidP="000D7E0A">
            <w:pPr>
              <w:jc w:val="center"/>
              <w:rPr>
                <w:lang w:val="it-IT"/>
              </w:rPr>
            </w:pPr>
            <w:r w:rsidRPr="001C2D12">
              <w:fldChar w:fldCharType="begin">
                <w:ffData>
                  <w:name w:val="Check4"/>
                  <w:enabled/>
                  <w:calcOnExit w:val="0"/>
                  <w:checkBox>
                    <w:sizeAuto/>
                    <w:default w:val="0"/>
                  </w:checkBox>
                </w:ffData>
              </w:fldChar>
            </w:r>
            <w:r w:rsidRPr="001C2D12">
              <w:instrText xml:space="preserve"> FORMCHECKBOX </w:instrText>
            </w:r>
            <w:r w:rsidR="00CA1681">
              <w:fldChar w:fldCharType="separate"/>
            </w:r>
            <w:r w:rsidRPr="001C2D12">
              <w:fldChar w:fldCharType="end"/>
            </w:r>
          </w:p>
        </w:tc>
      </w:tr>
      <w:tr w:rsidR="001C2D12" w:rsidRPr="001C2D12" w:rsidTr="00D73E98">
        <w:trPr>
          <w:cantSplit/>
          <w:trHeight w:val="20"/>
        </w:trPr>
        <w:tc>
          <w:tcPr>
            <w:tcW w:w="680" w:type="dxa"/>
          </w:tcPr>
          <w:p w:rsidR="001C2D12" w:rsidRPr="001C2D12" w:rsidRDefault="001C2D12" w:rsidP="00D73E98">
            <w:pPr>
              <w:jc w:val="center"/>
              <w:rPr>
                <w:b/>
                <w:lang w:val="it-IT"/>
              </w:rPr>
            </w:pPr>
          </w:p>
        </w:tc>
        <w:tc>
          <w:tcPr>
            <w:tcW w:w="851" w:type="dxa"/>
            <w:tcMar>
              <w:left w:w="108" w:type="dxa"/>
              <w:right w:w="0" w:type="dxa"/>
            </w:tcMar>
          </w:tcPr>
          <w:p w:rsidR="001C2D12" w:rsidRPr="001C2D12" w:rsidRDefault="001C2D12" w:rsidP="00D73E98">
            <w:pPr>
              <w:jc w:val="left"/>
              <w:rPr>
                <w:sz w:val="13"/>
                <w:szCs w:val="13"/>
                <w:lang w:val="it-IT"/>
              </w:rPr>
            </w:pPr>
          </w:p>
        </w:tc>
        <w:tc>
          <w:tcPr>
            <w:tcW w:w="7060" w:type="dxa"/>
            <w:tcMar>
              <w:left w:w="108" w:type="dxa"/>
            </w:tcMar>
          </w:tcPr>
          <w:p w:rsidR="001C2D12" w:rsidRPr="001C2D12" w:rsidRDefault="001C2D12" w:rsidP="00C942C6">
            <w:pPr>
              <w:pStyle w:val="Puntoelencosottolettere"/>
              <w:tabs>
                <w:tab w:val="clear" w:pos="704"/>
              </w:tabs>
              <w:ind w:left="460" w:hanging="278"/>
            </w:pPr>
            <w:r w:rsidRPr="001C2D12">
              <w:t>la vendita appare altamente probabile alla luce delle iniziative intraprese, del prezzo previsto e delle condizioni di mercato;</w:t>
            </w:r>
          </w:p>
        </w:tc>
        <w:tc>
          <w:tcPr>
            <w:tcW w:w="586" w:type="dxa"/>
            <w:gridSpan w:val="2"/>
            <w:tcMar>
              <w:left w:w="85" w:type="dxa"/>
              <w:right w:w="85" w:type="dxa"/>
            </w:tcMar>
            <w:vAlign w:val="center"/>
          </w:tcPr>
          <w:p w:rsidR="001C2D12" w:rsidRPr="001C2D12" w:rsidRDefault="001C2D12" w:rsidP="000D7E0A">
            <w:pPr>
              <w:jc w:val="center"/>
              <w:rPr>
                <w:lang w:val="it-IT"/>
              </w:rPr>
            </w:pPr>
            <w:r w:rsidRPr="001C2D12">
              <w:fldChar w:fldCharType="begin">
                <w:ffData>
                  <w:name w:val="Check4"/>
                  <w:enabled/>
                  <w:calcOnExit w:val="0"/>
                  <w:checkBox>
                    <w:sizeAuto/>
                    <w:default w:val="0"/>
                  </w:checkBox>
                </w:ffData>
              </w:fldChar>
            </w:r>
            <w:r w:rsidRPr="001C2D12">
              <w:instrText xml:space="preserve"> FORMCHECKBOX </w:instrText>
            </w:r>
            <w:r w:rsidR="00CA1681">
              <w:fldChar w:fldCharType="separate"/>
            </w:r>
            <w:r w:rsidRPr="001C2D12">
              <w:fldChar w:fldCharType="end"/>
            </w:r>
          </w:p>
        </w:tc>
        <w:tc>
          <w:tcPr>
            <w:tcW w:w="573" w:type="dxa"/>
            <w:tcMar>
              <w:left w:w="108" w:type="dxa"/>
            </w:tcMar>
            <w:vAlign w:val="center"/>
          </w:tcPr>
          <w:p w:rsidR="001C2D12" w:rsidRPr="001C2D12" w:rsidRDefault="001C2D12" w:rsidP="000D7E0A">
            <w:pPr>
              <w:jc w:val="center"/>
              <w:rPr>
                <w:lang w:val="it-IT"/>
              </w:rPr>
            </w:pPr>
            <w:r w:rsidRPr="001C2D12">
              <w:fldChar w:fldCharType="begin">
                <w:ffData>
                  <w:name w:val="Check4"/>
                  <w:enabled/>
                  <w:calcOnExit w:val="0"/>
                  <w:checkBox>
                    <w:sizeAuto/>
                    <w:default w:val="0"/>
                  </w:checkBox>
                </w:ffData>
              </w:fldChar>
            </w:r>
            <w:r w:rsidRPr="001C2D12">
              <w:instrText xml:space="preserve"> FORMCHECKBOX </w:instrText>
            </w:r>
            <w:r w:rsidR="00CA1681">
              <w:fldChar w:fldCharType="separate"/>
            </w:r>
            <w:r w:rsidRPr="001C2D12">
              <w:fldChar w:fldCharType="end"/>
            </w:r>
          </w:p>
        </w:tc>
        <w:tc>
          <w:tcPr>
            <w:tcW w:w="570" w:type="dxa"/>
            <w:tcMar>
              <w:left w:w="108" w:type="dxa"/>
            </w:tcMar>
            <w:vAlign w:val="center"/>
          </w:tcPr>
          <w:p w:rsidR="001C2D12" w:rsidRPr="001C2D12" w:rsidRDefault="001C2D12" w:rsidP="000D7E0A">
            <w:pPr>
              <w:jc w:val="center"/>
              <w:rPr>
                <w:lang w:val="it-IT"/>
              </w:rPr>
            </w:pPr>
            <w:r w:rsidRPr="001C2D12">
              <w:fldChar w:fldCharType="begin">
                <w:ffData>
                  <w:name w:val="Check4"/>
                  <w:enabled/>
                  <w:calcOnExit w:val="0"/>
                  <w:checkBox>
                    <w:sizeAuto/>
                    <w:default w:val="0"/>
                  </w:checkBox>
                </w:ffData>
              </w:fldChar>
            </w:r>
            <w:r w:rsidRPr="001C2D12">
              <w:instrText xml:space="preserve"> FORMCHECKBOX </w:instrText>
            </w:r>
            <w:r w:rsidR="00CA1681">
              <w:fldChar w:fldCharType="separate"/>
            </w:r>
            <w:r w:rsidRPr="001C2D12">
              <w:fldChar w:fldCharType="end"/>
            </w:r>
          </w:p>
        </w:tc>
      </w:tr>
      <w:tr w:rsidR="001C2D12" w:rsidRPr="001C2D12" w:rsidTr="00D73E98">
        <w:trPr>
          <w:cantSplit/>
          <w:trHeight w:val="20"/>
        </w:trPr>
        <w:tc>
          <w:tcPr>
            <w:tcW w:w="680" w:type="dxa"/>
          </w:tcPr>
          <w:p w:rsidR="001C2D12" w:rsidRPr="001C2D12" w:rsidRDefault="001C2D12" w:rsidP="00D73E98">
            <w:pPr>
              <w:jc w:val="center"/>
              <w:rPr>
                <w:b/>
                <w:lang w:val="it-IT"/>
              </w:rPr>
            </w:pPr>
          </w:p>
        </w:tc>
        <w:tc>
          <w:tcPr>
            <w:tcW w:w="851" w:type="dxa"/>
            <w:tcMar>
              <w:left w:w="108" w:type="dxa"/>
              <w:right w:w="0" w:type="dxa"/>
            </w:tcMar>
          </w:tcPr>
          <w:p w:rsidR="001C2D12" w:rsidRPr="001C2D12" w:rsidRDefault="001C2D12" w:rsidP="00D73E98">
            <w:pPr>
              <w:jc w:val="left"/>
              <w:rPr>
                <w:sz w:val="13"/>
                <w:szCs w:val="13"/>
                <w:lang w:val="it-IT"/>
              </w:rPr>
            </w:pPr>
          </w:p>
        </w:tc>
        <w:tc>
          <w:tcPr>
            <w:tcW w:w="7060" w:type="dxa"/>
            <w:tcMar>
              <w:left w:w="108" w:type="dxa"/>
            </w:tcMar>
          </w:tcPr>
          <w:p w:rsidR="001C2D12" w:rsidRPr="001C2D12" w:rsidRDefault="001C2D12" w:rsidP="00C942C6">
            <w:pPr>
              <w:pStyle w:val="Puntoelencosottolettere"/>
              <w:tabs>
                <w:tab w:val="clear" w:pos="704"/>
              </w:tabs>
              <w:ind w:left="460" w:hanging="278"/>
            </w:pPr>
            <w:r w:rsidRPr="001C2D12">
              <w:t>l’operazione dovrebbe concludersi nel breve termine?</w:t>
            </w:r>
          </w:p>
        </w:tc>
        <w:tc>
          <w:tcPr>
            <w:tcW w:w="586" w:type="dxa"/>
            <w:gridSpan w:val="2"/>
            <w:tcMar>
              <w:left w:w="85" w:type="dxa"/>
              <w:right w:w="85" w:type="dxa"/>
            </w:tcMar>
            <w:vAlign w:val="center"/>
          </w:tcPr>
          <w:p w:rsidR="001C2D12" w:rsidRPr="001C2D12" w:rsidRDefault="001C2D12" w:rsidP="000D7E0A">
            <w:pPr>
              <w:jc w:val="center"/>
              <w:rPr>
                <w:lang w:val="it-IT"/>
              </w:rPr>
            </w:pPr>
            <w:r w:rsidRPr="001C2D12">
              <w:fldChar w:fldCharType="begin">
                <w:ffData>
                  <w:name w:val="Check4"/>
                  <w:enabled/>
                  <w:calcOnExit w:val="0"/>
                  <w:checkBox>
                    <w:sizeAuto/>
                    <w:default w:val="0"/>
                  </w:checkBox>
                </w:ffData>
              </w:fldChar>
            </w:r>
            <w:r w:rsidRPr="001C2D12">
              <w:instrText xml:space="preserve"> FORMCHECKBOX </w:instrText>
            </w:r>
            <w:r w:rsidR="00CA1681">
              <w:fldChar w:fldCharType="separate"/>
            </w:r>
            <w:r w:rsidRPr="001C2D12">
              <w:fldChar w:fldCharType="end"/>
            </w:r>
          </w:p>
        </w:tc>
        <w:tc>
          <w:tcPr>
            <w:tcW w:w="573" w:type="dxa"/>
            <w:tcMar>
              <w:left w:w="108" w:type="dxa"/>
            </w:tcMar>
            <w:vAlign w:val="center"/>
          </w:tcPr>
          <w:p w:rsidR="001C2D12" w:rsidRPr="001C2D12" w:rsidRDefault="001C2D12" w:rsidP="000D7E0A">
            <w:pPr>
              <w:jc w:val="center"/>
              <w:rPr>
                <w:lang w:val="it-IT"/>
              </w:rPr>
            </w:pPr>
            <w:r w:rsidRPr="001C2D12">
              <w:fldChar w:fldCharType="begin">
                <w:ffData>
                  <w:name w:val="Check4"/>
                  <w:enabled/>
                  <w:calcOnExit w:val="0"/>
                  <w:checkBox>
                    <w:sizeAuto/>
                    <w:default w:val="0"/>
                  </w:checkBox>
                </w:ffData>
              </w:fldChar>
            </w:r>
            <w:r w:rsidRPr="001C2D12">
              <w:instrText xml:space="preserve"> FORMCHECKBOX </w:instrText>
            </w:r>
            <w:r w:rsidR="00CA1681">
              <w:fldChar w:fldCharType="separate"/>
            </w:r>
            <w:r w:rsidRPr="001C2D12">
              <w:fldChar w:fldCharType="end"/>
            </w:r>
          </w:p>
        </w:tc>
        <w:tc>
          <w:tcPr>
            <w:tcW w:w="570" w:type="dxa"/>
            <w:tcMar>
              <w:left w:w="108" w:type="dxa"/>
            </w:tcMar>
            <w:vAlign w:val="center"/>
          </w:tcPr>
          <w:p w:rsidR="001C2D12" w:rsidRPr="00A32A16" w:rsidRDefault="001C2D12" w:rsidP="000D7E0A">
            <w:pPr>
              <w:jc w:val="center"/>
              <w:rPr>
                <w:lang w:val="it-IT"/>
              </w:rPr>
            </w:pPr>
            <w:r w:rsidRPr="001C2D12">
              <w:fldChar w:fldCharType="begin">
                <w:ffData>
                  <w:name w:val="Check4"/>
                  <w:enabled/>
                  <w:calcOnExit w:val="0"/>
                  <w:checkBox>
                    <w:sizeAuto/>
                    <w:default w:val="0"/>
                  </w:checkBox>
                </w:ffData>
              </w:fldChar>
            </w:r>
            <w:r w:rsidRPr="001C2D12">
              <w:instrText xml:space="preserve"> FORMCHECKBOX </w:instrText>
            </w:r>
            <w:r w:rsidR="00CA1681">
              <w:fldChar w:fldCharType="separate"/>
            </w:r>
            <w:r w:rsidRPr="001C2D12">
              <w:fldChar w:fldCharType="end"/>
            </w: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3)</w:t>
            </w:r>
          </w:p>
        </w:tc>
        <w:tc>
          <w:tcPr>
            <w:tcW w:w="851" w:type="dxa"/>
            <w:tcMar>
              <w:left w:w="108" w:type="dxa"/>
              <w:right w:w="0" w:type="dxa"/>
            </w:tcMar>
          </w:tcPr>
          <w:p w:rsidR="00680245" w:rsidRPr="00741EB2" w:rsidRDefault="00680245" w:rsidP="00D73E98">
            <w:pPr>
              <w:jc w:val="left"/>
              <w:rPr>
                <w:sz w:val="13"/>
                <w:szCs w:val="13"/>
              </w:rPr>
            </w:pPr>
            <w:r>
              <w:rPr>
                <w:sz w:val="13"/>
                <w:szCs w:val="13"/>
              </w:rPr>
              <w:t>OIC 16.26</w:t>
            </w:r>
          </w:p>
        </w:tc>
        <w:tc>
          <w:tcPr>
            <w:tcW w:w="7060" w:type="dxa"/>
            <w:tcMar>
              <w:left w:w="108" w:type="dxa"/>
            </w:tcMar>
          </w:tcPr>
          <w:p w:rsidR="00680245" w:rsidRDefault="00680245" w:rsidP="00D73E98">
            <w:pPr>
              <w:spacing w:line="230" w:lineRule="exact"/>
              <w:rPr>
                <w:lang w:val="it-IT"/>
              </w:rPr>
            </w:pPr>
            <w:r w:rsidRPr="00E851DB">
              <w:rPr>
                <w:lang w:val="it-IT"/>
              </w:rPr>
              <w:t xml:space="preserve">Per ciascuna voce delle immobilizzazioni materiali </w:t>
            </w:r>
            <w:r>
              <w:rPr>
                <w:lang w:val="it-IT"/>
              </w:rPr>
              <w:t>è</w:t>
            </w:r>
            <w:r w:rsidRPr="00E851DB">
              <w:rPr>
                <w:lang w:val="it-IT"/>
              </w:rPr>
              <w:t xml:space="preserve"> indicato nell’attivo dello stato patrimoniale il valore al netto degli am</w:t>
            </w:r>
            <w:r>
              <w:rPr>
                <w:lang w:val="it-IT"/>
              </w:rPr>
              <w:t>mortamenti e delle svalutazioni?</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4)</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27</w:t>
            </w:r>
          </w:p>
        </w:tc>
        <w:tc>
          <w:tcPr>
            <w:tcW w:w="7060" w:type="dxa"/>
            <w:tcMar>
              <w:left w:w="108" w:type="dxa"/>
            </w:tcMar>
          </w:tcPr>
          <w:p w:rsidR="00680245" w:rsidRDefault="00680245" w:rsidP="00D73E98">
            <w:pPr>
              <w:spacing w:line="230" w:lineRule="exact"/>
              <w:rPr>
                <w:lang w:val="it-IT"/>
              </w:rPr>
            </w:pPr>
            <w:r w:rsidRPr="00E851DB">
              <w:rPr>
                <w:lang w:val="it-IT"/>
              </w:rPr>
              <w:t>Gli ammortamenti sono iscritti nel conto economico, tra i costi della produzione, nella voce B10b) “Ammortamento de</w:t>
            </w:r>
            <w:r>
              <w:rPr>
                <w:lang w:val="it-IT"/>
              </w:rPr>
              <w:t>lle immobilizzazioni materiali”?</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5)</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28</w:t>
            </w:r>
          </w:p>
        </w:tc>
        <w:tc>
          <w:tcPr>
            <w:tcW w:w="7060" w:type="dxa"/>
            <w:tcMar>
              <w:left w:w="108" w:type="dxa"/>
            </w:tcMar>
          </w:tcPr>
          <w:p w:rsidR="00680245" w:rsidRDefault="00680245" w:rsidP="00D73E98">
            <w:pPr>
              <w:spacing w:line="230" w:lineRule="exact"/>
              <w:rPr>
                <w:lang w:val="it-IT"/>
              </w:rPr>
            </w:pPr>
            <w:r w:rsidRPr="00CD7F6C">
              <w:rPr>
                <w:lang w:val="it-IT"/>
              </w:rPr>
              <w:t>Le plusvalenze o le minusvalenze derivanti da alienazioni di cespiti sono iscritte nel conto economico nella voce A5 “altri ricavi e proventi” o nella voce B14 “oneri diversi della gestione”</w:t>
            </w:r>
            <w:r>
              <w:rPr>
                <w:lang w:val="it-IT"/>
              </w:rPr>
              <w:t>?</w:t>
            </w:r>
            <w:r w:rsidRPr="00CD7F6C">
              <w:rPr>
                <w:lang w:val="it-IT"/>
              </w:rPr>
              <w:t xml:space="preserve"> </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6)</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29</w:t>
            </w:r>
          </w:p>
        </w:tc>
        <w:tc>
          <w:tcPr>
            <w:tcW w:w="7060" w:type="dxa"/>
            <w:tcMar>
              <w:left w:w="108" w:type="dxa"/>
            </w:tcMar>
          </w:tcPr>
          <w:p w:rsidR="00680245" w:rsidRDefault="00680245" w:rsidP="00D73E98">
            <w:pPr>
              <w:spacing w:line="230" w:lineRule="exact"/>
              <w:rPr>
                <w:lang w:val="it-IT"/>
              </w:rPr>
            </w:pPr>
            <w:r w:rsidRPr="00D40479">
              <w:rPr>
                <w:lang w:val="it-IT"/>
              </w:rPr>
              <w:t>Gli oneri finanziari sono imputati nella voce C17 “interessi e al</w:t>
            </w:r>
            <w:r>
              <w:rPr>
                <w:lang w:val="it-IT"/>
              </w:rPr>
              <w:t xml:space="preserve">tri oneri finanziari” del conto </w:t>
            </w:r>
            <w:r w:rsidRPr="00D40479">
              <w:rPr>
                <w:lang w:val="it-IT"/>
              </w:rPr>
              <w:t xml:space="preserve">economico </w:t>
            </w:r>
            <w:r>
              <w:rPr>
                <w:lang w:val="it-IT"/>
              </w:rPr>
              <w:t>dell’esercizio in cui maturano?</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7)</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29</w:t>
            </w:r>
          </w:p>
        </w:tc>
        <w:tc>
          <w:tcPr>
            <w:tcW w:w="7060" w:type="dxa"/>
            <w:tcMar>
              <w:left w:w="108" w:type="dxa"/>
            </w:tcMar>
          </w:tcPr>
          <w:p w:rsidR="00680245" w:rsidRDefault="00680245" w:rsidP="00D73E98">
            <w:pPr>
              <w:spacing w:line="230" w:lineRule="exact"/>
              <w:rPr>
                <w:lang w:val="it-IT"/>
              </w:rPr>
            </w:pPr>
            <w:r w:rsidRPr="00D40479">
              <w:rPr>
                <w:lang w:val="it-IT"/>
              </w:rPr>
              <w:t>La voce C17 comprende gli interessi capitalizzati che</w:t>
            </w:r>
            <w:r>
              <w:rPr>
                <w:lang w:val="it-IT"/>
              </w:rPr>
              <w:t xml:space="preserve"> </w:t>
            </w:r>
            <w:r w:rsidRPr="00D40479">
              <w:rPr>
                <w:lang w:val="it-IT"/>
              </w:rPr>
              <w:t>trovano per tale importo contropartita nella voce A4 “incrementi di immobilizzazioni per lavori</w:t>
            </w:r>
            <w:r>
              <w:rPr>
                <w:lang w:val="it-IT"/>
              </w:rPr>
              <w:t xml:space="preserve"> </w:t>
            </w:r>
            <w:r w:rsidRPr="00D40479">
              <w:rPr>
                <w:lang w:val="it-IT"/>
              </w:rPr>
              <w:t>interni”</w:t>
            </w:r>
            <w:r>
              <w:rPr>
                <w:lang w:val="it-IT"/>
              </w:rPr>
              <w:t>?</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0D173F" w:rsidTr="00D73E98">
        <w:trPr>
          <w:cantSplit/>
          <w:trHeight w:val="20"/>
        </w:trPr>
        <w:tc>
          <w:tcPr>
            <w:tcW w:w="680" w:type="dxa"/>
          </w:tcPr>
          <w:p w:rsidR="00680245" w:rsidRPr="00987EB8" w:rsidRDefault="00680245" w:rsidP="00D73E98">
            <w:pPr>
              <w:pageBreakBefore/>
              <w:jc w:val="center"/>
              <w:rPr>
                <w:b/>
                <w:sz w:val="22"/>
                <w:szCs w:val="22"/>
                <w:lang w:val="it-IT"/>
              </w:rPr>
            </w:pPr>
          </w:p>
        </w:tc>
        <w:tc>
          <w:tcPr>
            <w:tcW w:w="851" w:type="dxa"/>
            <w:tcMar>
              <w:left w:w="108" w:type="dxa"/>
              <w:right w:w="0" w:type="dxa"/>
            </w:tcMar>
          </w:tcPr>
          <w:p w:rsidR="00680245" w:rsidRPr="0084219A" w:rsidRDefault="00680245" w:rsidP="00D73E98">
            <w:pPr>
              <w:pStyle w:val="PrincCont"/>
              <w:pageBreakBefore/>
              <w:jc w:val="left"/>
              <w:rPr>
                <w:sz w:val="22"/>
                <w:szCs w:val="22"/>
                <w:lang w:val="it-IT"/>
              </w:rPr>
            </w:pPr>
          </w:p>
        </w:tc>
        <w:tc>
          <w:tcPr>
            <w:tcW w:w="7060" w:type="dxa"/>
            <w:tcMar>
              <w:left w:w="108" w:type="dxa"/>
            </w:tcMar>
            <w:vAlign w:val="center"/>
          </w:tcPr>
          <w:p w:rsidR="00680245" w:rsidRPr="000A5C88" w:rsidRDefault="00680245" w:rsidP="00D73E98">
            <w:pPr>
              <w:pStyle w:val="Titolo3"/>
              <w:keepNext w:val="0"/>
              <w:pageBreakBefore/>
              <w:rPr>
                <w:lang w:val="it-IT"/>
              </w:rPr>
            </w:pPr>
            <w:r w:rsidRPr="00E33140">
              <w:rPr>
                <w:lang w:val="it-IT"/>
              </w:rPr>
              <w:t>Bilancio in forma abbreviata</w:t>
            </w:r>
          </w:p>
        </w:tc>
        <w:tc>
          <w:tcPr>
            <w:tcW w:w="586" w:type="dxa"/>
            <w:gridSpan w:val="2"/>
            <w:tcMar>
              <w:left w:w="85" w:type="dxa"/>
              <w:right w:w="85" w:type="dxa"/>
            </w:tcMar>
            <w:vAlign w:val="center"/>
          </w:tcPr>
          <w:p w:rsidR="00680245" w:rsidRPr="0084219A" w:rsidRDefault="00680245" w:rsidP="00D73E98">
            <w:pPr>
              <w:pageBreakBefore/>
              <w:jc w:val="center"/>
              <w:rPr>
                <w:sz w:val="22"/>
                <w:szCs w:val="22"/>
                <w:lang w:val="it-IT"/>
              </w:rPr>
            </w:pPr>
          </w:p>
        </w:tc>
        <w:tc>
          <w:tcPr>
            <w:tcW w:w="573" w:type="dxa"/>
            <w:tcMar>
              <w:left w:w="108" w:type="dxa"/>
            </w:tcMar>
            <w:vAlign w:val="center"/>
          </w:tcPr>
          <w:p w:rsidR="00680245" w:rsidRPr="0084219A" w:rsidRDefault="00680245" w:rsidP="00D73E98">
            <w:pPr>
              <w:pageBreakBefore/>
              <w:jc w:val="center"/>
              <w:rPr>
                <w:sz w:val="22"/>
                <w:szCs w:val="22"/>
                <w:lang w:val="it-IT"/>
              </w:rPr>
            </w:pPr>
          </w:p>
        </w:tc>
        <w:tc>
          <w:tcPr>
            <w:tcW w:w="570" w:type="dxa"/>
            <w:tcMar>
              <w:left w:w="108" w:type="dxa"/>
            </w:tcMar>
            <w:vAlign w:val="center"/>
          </w:tcPr>
          <w:p w:rsidR="00680245" w:rsidRPr="0084219A" w:rsidRDefault="00680245" w:rsidP="00D73E98">
            <w:pPr>
              <w:pageBreakBefore/>
              <w:jc w:val="center"/>
              <w:rPr>
                <w:sz w:val="22"/>
                <w:szCs w:val="22"/>
                <w:lang w:val="it-IT"/>
              </w:rPr>
            </w:pPr>
          </w:p>
        </w:tc>
      </w:tr>
      <w:tr w:rsidR="00680245" w:rsidRPr="00CC242B"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Pr="00FA09A8" w:rsidRDefault="00680245" w:rsidP="00D73E98">
            <w:pPr>
              <w:pStyle w:val="PrincCont"/>
              <w:jc w:val="left"/>
              <w:rPr>
                <w:lang w:val="it-IT"/>
              </w:rPr>
            </w:pPr>
            <w:r>
              <w:t>OIC 16.30</w:t>
            </w:r>
          </w:p>
        </w:tc>
        <w:tc>
          <w:tcPr>
            <w:tcW w:w="7060" w:type="dxa"/>
            <w:tcMar>
              <w:left w:w="108" w:type="dxa"/>
            </w:tcMar>
          </w:tcPr>
          <w:p w:rsidR="00680245" w:rsidRPr="00D779F2" w:rsidRDefault="00680245" w:rsidP="00D73E98">
            <w:pPr>
              <w:pStyle w:val="Commentiriquadro"/>
            </w:pPr>
            <w:r>
              <w:t>Ai sensi dell’articolo 2435-bis del codice civile nel bilancio in forma abbreviata, “lo stato patrimoniale comprende solo le voci contrassegnate nell’art. 2424 con lettere maiuscole e con numeri romani”. Pertanto, le immobilizzazioni materiali sono esposte nell’attivo dello stato patrimoniale nel loro complesso, come unica voce. Inoltre, nel conto economico del bilancio in forma abbreviata le seguenti voci previste dall’art. 2425 del codice civile possono essere tra loro raggruppate: voci B10(a), B10(b) e B10(c).</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84219A" w:rsidTr="00D73E98">
        <w:trPr>
          <w:cantSplit/>
          <w:trHeight w:val="20"/>
        </w:trPr>
        <w:tc>
          <w:tcPr>
            <w:tcW w:w="680" w:type="dxa"/>
          </w:tcPr>
          <w:p w:rsidR="00680245" w:rsidRPr="00987EB8" w:rsidRDefault="00680245" w:rsidP="00D73E98">
            <w:pPr>
              <w:jc w:val="center"/>
              <w:rPr>
                <w:b/>
                <w:sz w:val="22"/>
                <w:szCs w:val="22"/>
                <w:lang w:val="it-IT"/>
              </w:rPr>
            </w:pPr>
          </w:p>
        </w:tc>
        <w:tc>
          <w:tcPr>
            <w:tcW w:w="851" w:type="dxa"/>
            <w:tcMar>
              <w:left w:w="108" w:type="dxa"/>
              <w:right w:w="0" w:type="dxa"/>
            </w:tcMar>
          </w:tcPr>
          <w:p w:rsidR="00680245" w:rsidRPr="0084219A" w:rsidRDefault="00680245" w:rsidP="00D73E98">
            <w:pPr>
              <w:pStyle w:val="PrincCont"/>
              <w:jc w:val="left"/>
              <w:rPr>
                <w:sz w:val="22"/>
                <w:szCs w:val="22"/>
                <w:lang w:val="it-IT"/>
              </w:rPr>
            </w:pPr>
          </w:p>
        </w:tc>
        <w:tc>
          <w:tcPr>
            <w:tcW w:w="7060" w:type="dxa"/>
            <w:tcMar>
              <w:left w:w="108" w:type="dxa"/>
            </w:tcMar>
            <w:vAlign w:val="center"/>
          </w:tcPr>
          <w:p w:rsidR="00680245" w:rsidRPr="00C6349A" w:rsidRDefault="00680245" w:rsidP="00D73E98">
            <w:pPr>
              <w:pStyle w:val="Titolo3"/>
              <w:rPr>
                <w:i w:val="0"/>
                <w:lang w:val="it-IT"/>
              </w:rPr>
            </w:pPr>
            <w:r w:rsidRPr="00C6349A">
              <w:rPr>
                <w:i w:val="0"/>
                <w:sz w:val="22"/>
                <w:lang w:val="it-IT"/>
              </w:rPr>
              <w:t>Rilevazione iniziale</w:t>
            </w:r>
          </w:p>
        </w:tc>
        <w:tc>
          <w:tcPr>
            <w:tcW w:w="586" w:type="dxa"/>
            <w:gridSpan w:val="2"/>
            <w:tcMar>
              <w:left w:w="85" w:type="dxa"/>
              <w:right w:w="85" w:type="dxa"/>
            </w:tcMar>
            <w:vAlign w:val="center"/>
          </w:tcPr>
          <w:p w:rsidR="00680245" w:rsidRPr="0084219A" w:rsidRDefault="00680245" w:rsidP="00D73E98">
            <w:pPr>
              <w:jc w:val="center"/>
              <w:rPr>
                <w:sz w:val="22"/>
                <w:szCs w:val="22"/>
                <w:lang w:val="it-IT"/>
              </w:rPr>
            </w:pPr>
          </w:p>
        </w:tc>
        <w:tc>
          <w:tcPr>
            <w:tcW w:w="573" w:type="dxa"/>
            <w:tcMar>
              <w:left w:w="108" w:type="dxa"/>
            </w:tcMar>
            <w:vAlign w:val="center"/>
          </w:tcPr>
          <w:p w:rsidR="00680245" w:rsidRPr="0084219A" w:rsidRDefault="00680245" w:rsidP="00D73E98">
            <w:pPr>
              <w:jc w:val="center"/>
              <w:rPr>
                <w:sz w:val="22"/>
                <w:szCs w:val="22"/>
                <w:lang w:val="it-IT"/>
              </w:rPr>
            </w:pPr>
          </w:p>
        </w:tc>
        <w:tc>
          <w:tcPr>
            <w:tcW w:w="570" w:type="dxa"/>
            <w:tcMar>
              <w:left w:w="108" w:type="dxa"/>
            </w:tcMar>
            <w:vAlign w:val="center"/>
          </w:tcPr>
          <w:p w:rsidR="00680245" w:rsidRPr="0084219A" w:rsidRDefault="00680245" w:rsidP="00D73E98">
            <w:pPr>
              <w:jc w:val="center"/>
              <w:rPr>
                <w:sz w:val="22"/>
                <w:szCs w:val="22"/>
                <w:lang w:val="it-IT"/>
              </w:rPr>
            </w:pPr>
          </w:p>
        </w:tc>
      </w:tr>
      <w:tr w:rsidR="00680245" w:rsidRPr="00054658" w:rsidTr="00D73E98">
        <w:trPr>
          <w:cantSplit/>
          <w:trHeight w:val="20"/>
        </w:trPr>
        <w:tc>
          <w:tcPr>
            <w:tcW w:w="680" w:type="dxa"/>
          </w:tcPr>
          <w:p w:rsidR="00680245" w:rsidRPr="00987EB8" w:rsidRDefault="00680245" w:rsidP="00D73E98">
            <w:pPr>
              <w:jc w:val="center"/>
              <w:rPr>
                <w:b/>
                <w:sz w:val="22"/>
                <w:szCs w:val="22"/>
                <w:lang w:val="it-IT"/>
              </w:rPr>
            </w:pPr>
          </w:p>
        </w:tc>
        <w:tc>
          <w:tcPr>
            <w:tcW w:w="851" w:type="dxa"/>
            <w:tcMar>
              <w:left w:w="108" w:type="dxa"/>
              <w:right w:w="0" w:type="dxa"/>
            </w:tcMar>
          </w:tcPr>
          <w:p w:rsidR="00680245" w:rsidRPr="0084219A" w:rsidRDefault="00680245" w:rsidP="00D73E98">
            <w:pPr>
              <w:pStyle w:val="PrincCont"/>
              <w:jc w:val="left"/>
              <w:rPr>
                <w:sz w:val="22"/>
                <w:szCs w:val="22"/>
                <w:lang w:val="it-IT"/>
              </w:rPr>
            </w:pPr>
          </w:p>
        </w:tc>
        <w:tc>
          <w:tcPr>
            <w:tcW w:w="7060" w:type="dxa"/>
            <w:tcMar>
              <w:left w:w="108" w:type="dxa"/>
            </w:tcMar>
            <w:vAlign w:val="center"/>
          </w:tcPr>
          <w:p w:rsidR="00680245" w:rsidRPr="000A5C88" w:rsidRDefault="00680245" w:rsidP="00D73E98">
            <w:pPr>
              <w:pStyle w:val="Titolo3"/>
              <w:rPr>
                <w:lang w:val="it-IT"/>
              </w:rPr>
            </w:pPr>
            <w:r w:rsidRPr="000A5C88">
              <w:rPr>
                <w:lang w:val="it-IT"/>
              </w:rPr>
              <w:t>Considerazioni generali</w:t>
            </w:r>
          </w:p>
        </w:tc>
        <w:tc>
          <w:tcPr>
            <w:tcW w:w="586" w:type="dxa"/>
            <w:gridSpan w:val="2"/>
            <w:tcMar>
              <w:left w:w="85" w:type="dxa"/>
              <w:right w:w="85" w:type="dxa"/>
            </w:tcMar>
            <w:vAlign w:val="center"/>
          </w:tcPr>
          <w:p w:rsidR="00680245" w:rsidRPr="0084219A" w:rsidRDefault="00680245" w:rsidP="00D73E98">
            <w:pPr>
              <w:jc w:val="center"/>
              <w:rPr>
                <w:sz w:val="22"/>
                <w:szCs w:val="22"/>
                <w:lang w:val="it-IT"/>
              </w:rPr>
            </w:pPr>
          </w:p>
        </w:tc>
        <w:tc>
          <w:tcPr>
            <w:tcW w:w="573" w:type="dxa"/>
            <w:tcMar>
              <w:left w:w="108" w:type="dxa"/>
            </w:tcMar>
            <w:vAlign w:val="center"/>
          </w:tcPr>
          <w:p w:rsidR="00680245" w:rsidRPr="0084219A" w:rsidRDefault="00680245" w:rsidP="00D73E98">
            <w:pPr>
              <w:jc w:val="center"/>
              <w:rPr>
                <w:sz w:val="22"/>
                <w:szCs w:val="22"/>
                <w:lang w:val="it-IT"/>
              </w:rPr>
            </w:pPr>
          </w:p>
        </w:tc>
        <w:tc>
          <w:tcPr>
            <w:tcW w:w="570" w:type="dxa"/>
            <w:tcMar>
              <w:left w:w="108" w:type="dxa"/>
            </w:tcMar>
            <w:vAlign w:val="center"/>
          </w:tcPr>
          <w:p w:rsidR="00680245" w:rsidRPr="0084219A" w:rsidRDefault="00680245" w:rsidP="00D73E98">
            <w:pPr>
              <w:jc w:val="center"/>
              <w:rPr>
                <w:sz w:val="22"/>
                <w:szCs w:val="22"/>
                <w:lang w:val="it-IT"/>
              </w:rPr>
            </w:pP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8)</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31</w:t>
            </w:r>
          </w:p>
        </w:tc>
        <w:tc>
          <w:tcPr>
            <w:tcW w:w="7060" w:type="dxa"/>
            <w:tcMar>
              <w:left w:w="108" w:type="dxa"/>
            </w:tcMar>
          </w:tcPr>
          <w:p w:rsidR="00680245" w:rsidRDefault="00680245" w:rsidP="00D73E98">
            <w:pPr>
              <w:spacing w:line="230" w:lineRule="exact"/>
              <w:rPr>
                <w:lang w:val="it-IT"/>
              </w:rPr>
            </w:pPr>
            <w:r w:rsidRPr="000A5C88">
              <w:rPr>
                <w:lang w:val="it-IT"/>
              </w:rPr>
              <w:t>Le immobilizzazioni materiali comprese nelle sottovoci da BII1 a BII4 sono rilevate inizialmente</w:t>
            </w:r>
            <w:r>
              <w:rPr>
                <w:lang w:val="it-IT"/>
              </w:rPr>
              <w:t xml:space="preserve"> </w:t>
            </w:r>
            <w:r w:rsidRPr="000A5C88">
              <w:rPr>
                <w:lang w:val="it-IT"/>
              </w:rPr>
              <w:t>alla data in cui avviene il trasferimento dei rischi e dei bene</w:t>
            </w:r>
            <w:r>
              <w:rPr>
                <w:lang w:val="it-IT"/>
              </w:rPr>
              <w:t>fici connessi al bene acquisito?</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C6349A"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Pr="00FA09A8" w:rsidRDefault="00680245" w:rsidP="00D73E98">
            <w:pPr>
              <w:pStyle w:val="PrincCont"/>
              <w:jc w:val="left"/>
              <w:rPr>
                <w:lang w:val="it-IT"/>
              </w:rPr>
            </w:pPr>
            <w:r>
              <w:t>OIC 16.31</w:t>
            </w:r>
          </w:p>
        </w:tc>
        <w:tc>
          <w:tcPr>
            <w:tcW w:w="7060" w:type="dxa"/>
            <w:tcMar>
              <w:left w:w="108" w:type="dxa"/>
            </w:tcMar>
          </w:tcPr>
          <w:p w:rsidR="00680245" w:rsidRPr="00D779F2" w:rsidRDefault="00680245" w:rsidP="00D73E98">
            <w:pPr>
              <w:pStyle w:val="Commentiriquadro"/>
            </w:pPr>
            <w:r>
              <w:t>Il trasferimento dei rischi e dei benefici avviene di solito quando viene trasferito il titolo di proprietà. Se, in virtù di specifiche clausole contrattuali, non vi sia coincidenza tra la data in cui avviene il trasferimento dei rischi e dei benefici e la data in cui viene trasferito il titolo di proprietà, prevale la data in cui è avvenuto il trasferimento dei rischi e dei benefici. Nell’effettuare tale analisi occorre analizzare tutte le clausole contrattuali.</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9)</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31</w:t>
            </w:r>
          </w:p>
        </w:tc>
        <w:tc>
          <w:tcPr>
            <w:tcW w:w="7060" w:type="dxa"/>
            <w:tcMar>
              <w:left w:w="108" w:type="dxa"/>
            </w:tcMar>
          </w:tcPr>
          <w:p w:rsidR="00680245" w:rsidRDefault="00680245" w:rsidP="00D73E98">
            <w:pPr>
              <w:spacing w:line="230" w:lineRule="exact"/>
              <w:rPr>
                <w:lang w:val="it-IT"/>
              </w:rPr>
            </w:pPr>
            <w:r w:rsidRPr="00051AD5">
              <w:rPr>
                <w:lang w:val="it-IT"/>
              </w:rPr>
              <w:t>Le immobilizzazioni materiali in corso di costruzione iscritte nella voce BII5 sono rilevate inizialmente alla data in cui sono sostenuti i primi costi per la costruzione del cespite</w:t>
            </w:r>
            <w:r>
              <w:rPr>
                <w:lang w:val="it-IT"/>
              </w:rPr>
              <w:t>?</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10)</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31</w:t>
            </w:r>
          </w:p>
        </w:tc>
        <w:tc>
          <w:tcPr>
            <w:tcW w:w="7060" w:type="dxa"/>
            <w:tcMar>
              <w:left w:w="108" w:type="dxa"/>
            </w:tcMar>
          </w:tcPr>
          <w:p w:rsidR="00680245" w:rsidRDefault="00680245" w:rsidP="00D73E98">
            <w:pPr>
              <w:spacing w:line="230" w:lineRule="exact"/>
              <w:rPr>
                <w:lang w:val="it-IT"/>
              </w:rPr>
            </w:pPr>
            <w:r w:rsidRPr="002A76AC">
              <w:rPr>
                <w:lang w:val="it-IT"/>
              </w:rPr>
              <w:t>Esse rimangono iscritte come tali fino</w:t>
            </w:r>
            <w:r>
              <w:rPr>
                <w:lang w:val="it-IT"/>
              </w:rPr>
              <w:t xml:space="preserve"> </w:t>
            </w:r>
            <w:r w:rsidRPr="002A76AC">
              <w:rPr>
                <w:lang w:val="it-IT"/>
              </w:rPr>
              <w:t>alla data in cui il bene è disponibile e pronto per l’uso</w:t>
            </w:r>
            <w:r>
              <w:rPr>
                <w:lang w:val="it-IT"/>
              </w:rPr>
              <w:t xml:space="preserve"> e</w:t>
            </w:r>
            <w:r w:rsidRPr="002A76AC">
              <w:rPr>
                <w:lang w:val="it-IT"/>
              </w:rPr>
              <w:t xml:space="preserve"> a tale data l’immobilizzazione materiale è</w:t>
            </w:r>
            <w:r>
              <w:rPr>
                <w:lang w:val="it-IT"/>
              </w:rPr>
              <w:t xml:space="preserve"> </w:t>
            </w:r>
            <w:r w:rsidRPr="002A76AC">
              <w:rPr>
                <w:lang w:val="it-IT"/>
              </w:rPr>
              <w:t>riclassificata n</w:t>
            </w:r>
            <w:r>
              <w:rPr>
                <w:lang w:val="it-IT"/>
              </w:rPr>
              <w:t>ella specifica voce dell’attivo?</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11)</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31</w:t>
            </w:r>
          </w:p>
        </w:tc>
        <w:tc>
          <w:tcPr>
            <w:tcW w:w="7060" w:type="dxa"/>
            <w:tcMar>
              <w:left w:w="108" w:type="dxa"/>
            </w:tcMar>
          </w:tcPr>
          <w:p w:rsidR="00680245" w:rsidRDefault="00680245" w:rsidP="00D73E98">
            <w:pPr>
              <w:spacing w:line="230" w:lineRule="exact"/>
              <w:rPr>
                <w:lang w:val="it-IT"/>
              </w:rPr>
            </w:pPr>
            <w:r w:rsidRPr="002A76AC">
              <w:rPr>
                <w:lang w:val="it-IT"/>
              </w:rPr>
              <w:t>Gli acconti ai fornitori per l’acquisto di immobilizzazioni materiali iscritti nella voce BII5 sono</w:t>
            </w:r>
            <w:r>
              <w:rPr>
                <w:lang w:val="it-IT"/>
              </w:rPr>
              <w:t xml:space="preserve"> </w:t>
            </w:r>
            <w:r w:rsidRPr="002A76AC">
              <w:rPr>
                <w:lang w:val="it-IT"/>
              </w:rPr>
              <w:t>rilevati inizialmente alla data in cui sorge l’obbligo al pagamento di tali importi</w:t>
            </w:r>
            <w:r>
              <w:rPr>
                <w:lang w:val="it-IT"/>
              </w:rPr>
              <w:t>?</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12)</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32</w:t>
            </w:r>
          </w:p>
        </w:tc>
        <w:tc>
          <w:tcPr>
            <w:tcW w:w="7060" w:type="dxa"/>
            <w:tcMar>
              <w:left w:w="108" w:type="dxa"/>
            </w:tcMar>
          </w:tcPr>
          <w:p w:rsidR="00680245" w:rsidRDefault="00680245" w:rsidP="00D73E98">
            <w:pPr>
              <w:spacing w:line="230" w:lineRule="exact"/>
              <w:rPr>
                <w:lang w:val="it-IT"/>
              </w:rPr>
            </w:pPr>
            <w:r w:rsidRPr="00482574">
              <w:rPr>
                <w:lang w:val="it-IT"/>
              </w:rPr>
              <w:t>Le immobilizzazioni materiali sono iscritte al c</w:t>
            </w:r>
            <w:r>
              <w:rPr>
                <w:lang w:val="it-IT"/>
              </w:rPr>
              <w:t>osto d’acquisto o di produzione?</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CC242B"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Pr="00FA09A8" w:rsidRDefault="00680245" w:rsidP="00D73E98">
            <w:pPr>
              <w:pStyle w:val="PrincCont"/>
              <w:jc w:val="left"/>
              <w:rPr>
                <w:lang w:val="it-IT"/>
              </w:rPr>
            </w:pPr>
            <w:r>
              <w:t>OIC 16.32</w:t>
            </w:r>
          </w:p>
        </w:tc>
        <w:tc>
          <w:tcPr>
            <w:tcW w:w="7060" w:type="dxa"/>
            <w:tcMar>
              <w:left w:w="108" w:type="dxa"/>
            </w:tcMar>
          </w:tcPr>
          <w:p w:rsidR="00680245" w:rsidRPr="00D779F2" w:rsidRDefault="00680245" w:rsidP="00D73E98">
            <w:pPr>
              <w:pStyle w:val="Commentiriquadro"/>
            </w:pPr>
            <w:r>
              <w:t>In generale, sono capitalizzabili solo i costi sostenuti per l’acquisto, anche derivanti dall’esercizio di opzioni di riscatto di beni in leasing, o la costruzione di nuovi cespiti (costi originari) e per ampliare, ammodernare, migliorare o sostituire cespiti già esistenti, purché tali costi producano un incremento significativo e misurabile di capacità, di produttività o di sicurezza dei cespiti per i quali sono sostenuti, ovvero ne prolunghino la vita utile.</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13)</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32</w:t>
            </w:r>
          </w:p>
        </w:tc>
        <w:tc>
          <w:tcPr>
            <w:tcW w:w="7060" w:type="dxa"/>
            <w:tcMar>
              <w:left w:w="108" w:type="dxa"/>
            </w:tcMar>
          </w:tcPr>
          <w:p w:rsidR="00680245" w:rsidRDefault="00680245" w:rsidP="00D73E98">
            <w:pPr>
              <w:spacing w:line="230" w:lineRule="exact"/>
              <w:rPr>
                <w:lang w:val="it-IT"/>
              </w:rPr>
            </w:pPr>
            <w:r w:rsidRPr="00482574">
              <w:rPr>
                <w:lang w:val="it-IT"/>
              </w:rPr>
              <w:t xml:space="preserve">I costi sono </w:t>
            </w:r>
            <w:r>
              <w:rPr>
                <w:lang w:val="it-IT"/>
              </w:rPr>
              <w:t>stati capitalizzat</w:t>
            </w:r>
            <w:r w:rsidRPr="00482574">
              <w:rPr>
                <w:lang w:val="it-IT"/>
              </w:rPr>
              <w:t>i nel limite d</w:t>
            </w:r>
            <w:r>
              <w:rPr>
                <w:lang w:val="it-IT"/>
              </w:rPr>
              <w:t>el valore recuperabile del bene?</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14)</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33</w:t>
            </w:r>
          </w:p>
        </w:tc>
        <w:tc>
          <w:tcPr>
            <w:tcW w:w="7060" w:type="dxa"/>
            <w:tcMar>
              <w:left w:w="108" w:type="dxa"/>
            </w:tcMar>
          </w:tcPr>
          <w:p w:rsidR="00680245" w:rsidRDefault="00680245" w:rsidP="00D73E98">
            <w:pPr>
              <w:spacing w:line="230" w:lineRule="exact"/>
              <w:rPr>
                <w:lang w:val="it-IT"/>
              </w:rPr>
            </w:pPr>
            <w:r w:rsidRPr="00950685">
              <w:rPr>
                <w:lang w:val="it-IT"/>
              </w:rPr>
              <w:t>Nel caso in cui il pagamento sia differito rispetto alle normali condizioni di mercato, per</w:t>
            </w:r>
            <w:r>
              <w:rPr>
                <w:lang w:val="it-IT"/>
              </w:rPr>
              <w:t xml:space="preserve"> </w:t>
            </w:r>
            <w:r w:rsidRPr="00950685">
              <w:rPr>
                <w:lang w:val="it-IT"/>
              </w:rPr>
              <w:t>operazioni similari o equiparabili, il cespite è iscritto in bilancio al valore corrispondente al debito</w:t>
            </w:r>
            <w:r>
              <w:rPr>
                <w:lang w:val="it-IT"/>
              </w:rPr>
              <w:t xml:space="preserve"> </w:t>
            </w:r>
            <w:r w:rsidRPr="00950685">
              <w:rPr>
                <w:lang w:val="it-IT"/>
              </w:rPr>
              <w:t>determinat</w:t>
            </w:r>
            <w:r>
              <w:rPr>
                <w:lang w:val="it-IT"/>
              </w:rPr>
              <w:t>o ai sensi dell’OIC 19 “Debiti”?</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CC242B"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Pr="00FA09A8" w:rsidRDefault="00680245" w:rsidP="00D73E98">
            <w:pPr>
              <w:pStyle w:val="PrincCont"/>
              <w:jc w:val="left"/>
              <w:rPr>
                <w:lang w:val="it-IT"/>
              </w:rPr>
            </w:pPr>
            <w:r>
              <w:t>OIC 16.34</w:t>
            </w:r>
          </w:p>
        </w:tc>
        <w:tc>
          <w:tcPr>
            <w:tcW w:w="7060" w:type="dxa"/>
            <w:tcMar>
              <w:left w:w="108" w:type="dxa"/>
            </w:tcMar>
          </w:tcPr>
          <w:p w:rsidR="00680245" w:rsidRPr="00D779F2" w:rsidRDefault="00680245" w:rsidP="00D73E98">
            <w:pPr>
              <w:pStyle w:val="Commentiriquadro"/>
            </w:pPr>
            <w:r>
              <w:t>Le attrezzature industriali e commerciali, qualora siano costantemente rinnovate e complessivamente di scarsa rilevanza in rapporto all’attivo di bilancio, possono essere iscritte nell’attivo ad un valore costante. Questa valutazione approssima il costo effettivo delle attrezzature industriali e commerciali sempreché non si abbiano variazioni sensibili nell’entità, valore e composizione di tali immobilizzazioni materiali. A seguito della rilevazione iniziale non si procede all’ammortamento sistematico di tali beni lungo la loro vita utile, e gli acquisti degli esercizi successivi vengono direttamente spesati a conto economico.</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15)</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34</w:t>
            </w:r>
          </w:p>
        </w:tc>
        <w:tc>
          <w:tcPr>
            <w:tcW w:w="7060" w:type="dxa"/>
            <w:tcMar>
              <w:left w:w="108" w:type="dxa"/>
            </w:tcMar>
          </w:tcPr>
          <w:p w:rsidR="00680245" w:rsidRDefault="00680245" w:rsidP="00D73E98">
            <w:pPr>
              <w:spacing w:line="230" w:lineRule="exact"/>
              <w:rPr>
                <w:lang w:val="it-IT"/>
              </w:rPr>
            </w:pPr>
            <w:r>
              <w:rPr>
                <w:lang w:val="it-IT"/>
              </w:rPr>
              <w:t xml:space="preserve">La società ha rilevato le attrezzature </w:t>
            </w:r>
            <w:r w:rsidRPr="00FF2617">
              <w:rPr>
                <w:lang w:val="it-IT"/>
              </w:rPr>
              <w:t xml:space="preserve">ad un valore </w:t>
            </w:r>
            <w:r>
              <w:rPr>
                <w:lang w:val="it-IT"/>
              </w:rPr>
              <w:t>c</w:t>
            </w:r>
            <w:r w:rsidRPr="00FF2617">
              <w:rPr>
                <w:lang w:val="it-IT"/>
              </w:rPr>
              <w:t>ostante in presenza delle condizioni indicate sopra</w:t>
            </w:r>
            <w:r>
              <w:rPr>
                <w:lang w:val="it-IT"/>
              </w:rPr>
              <w:t>?</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231C12"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60" w:type="dxa"/>
            <w:tcMar>
              <w:left w:w="108" w:type="dxa"/>
            </w:tcMar>
          </w:tcPr>
          <w:p w:rsidR="00680245" w:rsidRPr="00FC4CCC" w:rsidRDefault="00680245" w:rsidP="00D73E98">
            <w:pPr>
              <w:pStyle w:val="Titolo4"/>
              <w:rPr>
                <w:b/>
              </w:rPr>
            </w:pPr>
            <w:r w:rsidRPr="00FC4CCC">
              <w:rPr>
                <w:b/>
              </w:rPr>
              <w:t>Costo d’acquisto</w:t>
            </w:r>
          </w:p>
        </w:tc>
        <w:tc>
          <w:tcPr>
            <w:tcW w:w="586" w:type="dxa"/>
            <w:gridSpan w:val="2"/>
            <w:tcMar>
              <w:left w:w="85" w:type="dxa"/>
              <w:right w:w="85" w:type="dxa"/>
            </w:tcMar>
            <w:vAlign w:val="center"/>
          </w:tcPr>
          <w:p w:rsidR="00680245" w:rsidRPr="00492518" w:rsidRDefault="00680245" w:rsidP="00D73E98">
            <w:pPr>
              <w:jc w:val="center"/>
              <w:rPr>
                <w:lang w:val="it-IT"/>
              </w:rPr>
            </w:pPr>
          </w:p>
        </w:tc>
        <w:tc>
          <w:tcPr>
            <w:tcW w:w="573" w:type="dxa"/>
            <w:tcMar>
              <w:left w:w="108" w:type="dxa"/>
            </w:tcMar>
            <w:vAlign w:val="center"/>
          </w:tcPr>
          <w:p w:rsidR="00680245" w:rsidRPr="00492518" w:rsidRDefault="00680245" w:rsidP="00D73E98">
            <w:pPr>
              <w:jc w:val="center"/>
              <w:rPr>
                <w:lang w:val="it-IT"/>
              </w:rPr>
            </w:pPr>
          </w:p>
        </w:tc>
        <w:tc>
          <w:tcPr>
            <w:tcW w:w="570" w:type="dxa"/>
            <w:tcMar>
              <w:left w:w="108" w:type="dxa"/>
            </w:tcMar>
            <w:vAlign w:val="center"/>
          </w:tcPr>
          <w:p w:rsidR="00680245" w:rsidRPr="00492518" w:rsidRDefault="00680245" w:rsidP="00D73E98">
            <w:pPr>
              <w:jc w:val="center"/>
              <w:rPr>
                <w:lang w:val="it-IT"/>
              </w:rPr>
            </w:pP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16)</w:t>
            </w:r>
          </w:p>
        </w:tc>
        <w:tc>
          <w:tcPr>
            <w:tcW w:w="851" w:type="dxa"/>
            <w:tcMar>
              <w:left w:w="108" w:type="dxa"/>
              <w:right w:w="0" w:type="dxa"/>
            </w:tcMar>
          </w:tcPr>
          <w:p w:rsidR="00680245" w:rsidRDefault="00680245" w:rsidP="00D73E98">
            <w:pPr>
              <w:jc w:val="left"/>
              <w:rPr>
                <w:sz w:val="13"/>
                <w:szCs w:val="13"/>
              </w:rPr>
            </w:pPr>
            <w:r w:rsidRPr="00431E12">
              <w:rPr>
                <w:sz w:val="13"/>
                <w:szCs w:val="13"/>
              </w:rPr>
              <w:t>OIC 16.</w:t>
            </w:r>
            <w:r>
              <w:rPr>
                <w:sz w:val="13"/>
                <w:szCs w:val="13"/>
              </w:rPr>
              <w:t>35</w:t>
            </w:r>
          </w:p>
          <w:p w:rsidR="00680245" w:rsidRDefault="00680245" w:rsidP="00D73E98">
            <w:pPr>
              <w:jc w:val="left"/>
            </w:pPr>
          </w:p>
        </w:tc>
        <w:tc>
          <w:tcPr>
            <w:tcW w:w="7060" w:type="dxa"/>
            <w:tcMar>
              <w:left w:w="108" w:type="dxa"/>
            </w:tcMar>
          </w:tcPr>
          <w:p w:rsidR="00680245" w:rsidRDefault="00680245" w:rsidP="00D73E98">
            <w:pPr>
              <w:spacing w:line="230" w:lineRule="exact"/>
              <w:rPr>
                <w:lang w:val="it-IT"/>
              </w:rPr>
            </w:pPr>
            <w:r w:rsidRPr="0068694D">
              <w:rPr>
                <w:lang w:val="it-IT"/>
              </w:rPr>
              <w:t>Il valore originario delle immobilizzazioni è pari al costo effettivamente sosten</w:t>
            </w:r>
            <w:r>
              <w:rPr>
                <w:lang w:val="it-IT"/>
              </w:rPr>
              <w:t>uto per l’acquisizione del bene?</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17)</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36</w:t>
            </w:r>
          </w:p>
        </w:tc>
        <w:tc>
          <w:tcPr>
            <w:tcW w:w="7060" w:type="dxa"/>
            <w:tcMar>
              <w:left w:w="108" w:type="dxa"/>
            </w:tcMar>
          </w:tcPr>
          <w:p w:rsidR="00680245" w:rsidRDefault="00680245" w:rsidP="00D73E98">
            <w:pPr>
              <w:spacing w:line="230" w:lineRule="exact"/>
              <w:rPr>
                <w:lang w:val="it-IT"/>
              </w:rPr>
            </w:pPr>
            <w:r w:rsidRPr="0068694D">
              <w:rPr>
                <w:lang w:val="it-IT"/>
              </w:rPr>
              <w:t xml:space="preserve">Il costo effettivamente sostenuto include l’onere per l’imposta sul valore aggiunto sostenuto </w:t>
            </w:r>
            <w:r>
              <w:rPr>
                <w:lang w:val="it-IT"/>
              </w:rPr>
              <w:t xml:space="preserve">solo </w:t>
            </w:r>
            <w:r w:rsidRPr="0068694D">
              <w:rPr>
                <w:lang w:val="it-IT"/>
              </w:rPr>
              <w:t>se la società opera in regime di IVA indetraibile</w:t>
            </w:r>
            <w:r>
              <w:rPr>
                <w:lang w:val="it-IT"/>
              </w:rPr>
              <w:t>?</w:t>
            </w:r>
            <w:r w:rsidRPr="0068694D">
              <w:rPr>
                <w:lang w:val="it-IT"/>
              </w:rPr>
              <w:t xml:space="preserve"> </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18)</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36</w:t>
            </w:r>
          </w:p>
        </w:tc>
        <w:tc>
          <w:tcPr>
            <w:tcW w:w="7060" w:type="dxa"/>
            <w:tcMar>
              <w:left w:w="108" w:type="dxa"/>
            </w:tcMar>
          </w:tcPr>
          <w:p w:rsidR="00680245" w:rsidRDefault="00680245" w:rsidP="00D73E98">
            <w:pPr>
              <w:spacing w:line="230" w:lineRule="exact"/>
              <w:rPr>
                <w:lang w:val="it-IT"/>
              </w:rPr>
            </w:pPr>
            <w:r w:rsidRPr="0068694D">
              <w:rPr>
                <w:lang w:val="it-IT"/>
              </w:rPr>
              <w:t>Gli sconti incondizionati in fattura son</w:t>
            </w:r>
            <w:r>
              <w:rPr>
                <w:lang w:val="it-IT"/>
              </w:rPr>
              <w:t>o portati a riduzione del costo?</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231C12"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60" w:type="dxa"/>
            <w:tcMar>
              <w:left w:w="108" w:type="dxa"/>
            </w:tcMar>
          </w:tcPr>
          <w:p w:rsidR="00680245" w:rsidRPr="00A7376D" w:rsidRDefault="00680245" w:rsidP="00D73E98">
            <w:pPr>
              <w:pStyle w:val="Titolo3"/>
              <w:rPr>
                <w:lang w:val="it-IT"/>
              </w:rPr>
            </w:pPr>
            <w:r w:rsidRPr="00A7376D">
              <w:rPr>
                <w:lang w:val="it-IT"/>
              </w:rPr>
              <w:t>Costi accessori d’acquisto</w:t>
            </w:r>
          </w:p>
        </w:tc>
        <w:tc>
          <w:tcPr>
            <w:tcW w:w="586" w:type="dxa"/>
            <w:gridSpan w:val="2"/>
            <w:tcMar>
              <w:left w:w="85" w:type="dxa"/>
              <w:right w:w="85" w:type="dxa"/>
            </w:tcMar>
            <w:vAlign w:val="center"/>
          </w:tcPr>
          <w:p w:rsidR="00680245" w:rsidRPr="00492518" w:rsidRDefault="00680245" w:rsidP="00D73E98">
            <w:pPr>
              <w:jc w:val="center"/>
              <w:rPr>
                <w:lang w:val="it-IT"/>
              </w:rPr>
            </w:pPr>
          </w:p>
        </w:tc>
        <w:tc>
          <w:tcPr>
            <w:tcW w:w="573" w:type="dxa"/>
            <w:tcMar>
              <w:left w:w="108" w:type="dxa"/>
            </w:tcMar>
            <w:vAlign w:val="center"/>
          </w:tcPr>
          <w:p w:rsidR="00680245" w:rsidRPr="00492518" w:rsidRDefault="00680245" w:rsidP="00D73E98">
            <w:pPr>
              <w:jc w:val="center"/>
              <w:rPr>
                <w:lang w:val="it-IT"/>
              </w:rPr>
            </w:pPr>
          </w:p>
        </w:tc>
        <w:tc>
          <w:tcPr>
            <w:tcW w:w="570" w:type="dxa"/>
            <w:tcMar>
              <w:left w:w="108" w:type="dxa"/>
            </w:tcMar>
            <w:vAlign w:val="center"/>
          </w:tcPr>
          <w:p w:rsidR="00680245" w:rsidRPr="00492518" w:rsidRDefault="00680245" w:rsidP="00D73E98">
            <w:pPr>
              <w:jc w:val="center"/>
              <w:rPr>
                <w:lang w:val="it-IT"/>
              </w:rPr>
            </w:pPr>
          </w:p>
        </w:tc>
      </w:tr>
      <w:tr w:rsidR="00680245" w:rsidRPr="006B39CA" w:rsidTr="00D73E98">
        <w:trPr>
          <w:cantSplit/>
          <w:trHeight w:val="20"/>
        </w:trPr>
        <w:tc>
          <w:tcPr>
            <w:tcW w:w="680" w:type="dxa"/>
          </w:tcPr>
          <w:p w:rsidR="00680245" w:rsidRPr="00987EB8" w:rsidRDefault="00680245" w:rsidP="00D73E98">
            <w:pPr>
              <w:jc w:val="center"/>
              <w:rPr>
                <w:b/>
                <w:lang w:val="it-IT"/>
              </w:rPr>
            </w:pPr>
            <w:r w:rsidRPr="00987EB8">
              <w:rPr>
                <w:b/>
                <w:lang w:val="it-IT"/>
              </w:rPr>
              <w:t>19)</w:t>
            </w:r>
          </w:p>
        </w:tc>
        <w:tc>
          <w:tcPr>
            <w:tcW w:w="851" w:type="dxa"/>
            <w:tcMar>
              <w:left w:w="108" w:type="dxa"/>
              <w:right w:w="0" w:type="dxa"/>
            </w:tcMar>
          </w:tcPr>
          <w:p w:rsidR="00680245" w:rsidRPr="00431E12" w:rsidRDefault="00680245" w:rsidP="00D73E98">
            <w:pPr>
              <w:jc w:val="left"/>
              <w:rPr>
                <w:sz w:val="13"/>
                <w:szCs w:val="13"/>
              </w:rPr>
            </w:pPr>
            <w:r w:rsidRPr="00431E12">
              <w:rPr>
                <w:sz w:val="13"/>
                <w:szCs w:val="13"/>
              </w:rPr>
              <w:t>OIC 16.</w:t>
            </w:r>
            <w:r>
              <w:rPr>
                <w:sz w:val="13"/>
                <w:szCs w:val="13"/>
              </w:rPr>
              <w:t>37</w:t>
            </w:r>
          </w:p>
        </w:tc>
        <w:tc>
          <w:tcPr>
            <w:tcW w:w="7060" w:type="dxa"/>
            <w:tcMar>
              <w:left w:w="108" w:type="dxa"/>
            </w:tcMar>
          </w:tcPr>
          <w:p w:rsidR="00680245" w:rsidRPr="0068694D" w:rsidRDefault="00680245" w:rsidP="00D73E98">
            <w:pPr>
              <w:spacing w:line="230" w:lineRule="exact"/>
              <w:rPr>
                <w:lang w:val="it-IT"/>
              </w:rPr>
            </w:pPr>
            <w:r w:rsidRPr="001627A5">
              <w:rPr>
                <w:lang w:val="it-IT"/>
              </w:rPr>
              <w:t>Il costo d’acquisto co</w:t>
            </w:r>
            <w:r>
              <w:rPr>
                <w:lang w:val="it-IT"/>
              </w:rPr>
              <w:t>mprende anche i costi accessori?</w:t>
            </w:r>
          </w:p>
        </w:tc>
        <w:tc>
          <w:tcPr>
            <w:tcW w:w="586" w:type="dxa"/>
            <w:gridSpan w:val="2"/>
            <w:tcMar>
              <w:left w:w="85" w:type="dxa"/>
              <w:right w:w="85" w:type="dxa"/>
            </w:tcMar>
            <w:vAlign w:val="center"/>
          </w:tcPr>
          <w:p w:rsidR="00680245" w:rsidRPr="006B39CA"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6B39CA"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6B39CA"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CC242B" w:rsidTr="00D73E98">
        <w:trPr>
          <w:cantSplit/>
          <w:trHeight w:val="20"/>
        </w:trPr>
        <w:tc>
          <w:tcPr>
            <w:tcW w:w="680" w:type="dxa"/>
          </w:tcPr>
          <w:p w:rsidR="00680245" w:rsidRPr="00987EB8" w:rsidDel="00D960D7" w:rsidRDefault="00680245" w:rsidP="00D73E98">
            <w:pPr>
              <w:jc w:val="center"/>
              <w:rPr>
                <w:b/>
                <w:lang w:val="it-IT"/>
              </w:rPr>
            </w:pPr>
          </w:p>
        </w:tc>
        <w:tc>
          <w:tcPr>
            <w:tcW w:w="851" w:type="dxa"/>
            <w:tcMar>
              <w:left w:w="108" w:type="dxa"/>
              <w:right w:w="0" w:type="dxa"/>
            </w:tcMar>
          </w:tcPr>
          <w:p w:rsidR="00680245" w:rsidRDefault="00680245" w:rsidP="00D73E98">
            <w:pPr>
              <w:jc w:val="left"/>
              <w:rPr>
                <w:sz w:val="13"/>
                <w:szCs w:val="13"/>
              </w:rPr>
            </w:pPr>
            <w:r w:rsidRPr="00431E12">
              <w:rPr>
                <w:sz w:val="13"/>
                <w:szCs w:val="13"/>
              </w:rPr>
              <w:t>OIC 16.</w:t>
            </w:r>
            <w:r>
              <w:rPr>
                <w:sz w:val="13"/>
                <w:szCs w:val="13"/>
              </w:rPr>
              <w:t>38</w:t>
            </w:r>
          </w:p>
          <w:p w:rsidR="00680245" w:rsidRPr="00431E12" w:rsidRDefault="00680245" w:rsidP="00D73E98">
            <w:pPr>
              <w:jc w:val="left"/>
              <w:rPr>
                <w:sz w:val="13"/>
                <w:szCs w:val="13"/>
              </w:rPr>
            </w:pPr>
          </w:p>
        </w:tc>
        <w:tc>
          <w:tcPr>
            <w:tcW w:w="7060" w:type="dxa"/>
            <w:tcMar>
              <w:left w:w="108" w:type="dxa"/>
            </w:tcMar>
          </w:tcPr>
          <w:p w:rsidR="00680245" w:rsidRDefault="00680245" w:rsidP="00D73E98">
            <w:pPr>
              <w:pStyle w:val="Commentiriquadro"/>
            </w:pPr>
            <w:r>
              <w:t>Alcuni costi accessori d’acquisto che concorrono a formare il costo iniziale delle immobilizzazioni sono, a puro titolo esemplificativo:</w:t>
            </w:r>
          </w:p>
          <w:p w:rsidR="00680245" w:rsidRDefault="00680245" w:rsidP="00D73E98">
            <w:pPr>
              <w:pStyle w:val="Commentiriquadro"/>
              <w:ind w:left="176" w:hanging="119"/>
            </w:pPr>
            <w:r>
              <w:t xml:space="preserve">a) </w:t>
            </w:r>
            <w:r>
              <w:tab/>
              <w:t xml:space="preserve">per i fabbricati: i costi notarili per la redazione dell’atto di acquisto; le tasse per la registrazione dell’atto di </w:t>
            </w:r>
            <w:r>
              <w:tab/>
              <w:t xml:space="preserve">acquisto; i costi riferibili alla stipula dell’eventuale preliminare di acquisto; gli onorari per la progettazione </w:t>
            </w:r>
            <w:r>
              <w:tab/>
              <w:t xml:space="preserve">dell’immobile; i costi per opere di urbanizzazione primaria e secondaria poste dalla legge obbligatoriamente a </w:t>
            </w:r>
            <w:r>
              <w:tab/>
              <w:t>carico del proprietario; i compensi di mediazione;</w:t>
            </w:r>
          </w:p>
          <w:p w:rsidR="00680245" w:rsidRDefault="00680245" w:rsidP="00D73E98">
            <w:pPr>
              <w:pStyle w:val="Commentiriquadro"/>
              <w:ind w:left="176" w:hanging="119"/>
            </w:pPr>
            <w:r>
              <w:t xml:space="preserve">b) </w:t>
            </w:r>
            <w:r>
              <w:tab/>
              <w:t xml:space="preserve">per gli impianti e i macchinari: i costi di progettazione; i trasporti; i dazi su importazione; i costi di installazione; i </w:t>
            </w:r>
            <w:r>
              <w:tab/>
              <w:t>costi ed onorari di perizie e collaudi; i costi di montaggio e posa in opera; i costi di messa a punto;</w:t>
            </w:r>
          </w:p>
          <w:p w:rsidR="00680245" w:rsidRPr="00B1294D" w:rsidRDefault="00680245" w:rsidP="00D73E98">
            <w:pPr>
              <w:pStyle w:val="Commentiriquadro"/>
              <w:spacing w:before="0"/>
              <w:ind w:left="176" w:hanging="119"/>
            </w:pPr>
            <w:r>
              <w:t>c)</w:t>
            </w:r>
            <w:r>
              <w:tab/>
              <w:t xml:space="preserve"> per i mobili: il trasporto e i dazi su importazione.</w:t>
            </w:r>
          </w:p>
        </w:tc>
        <w:tc>
          <w:tcPr>
            <w:tcW w:w="586" w:type="dxa"/>
            <w:gridSpan w:val="2"/>
            <w:tcMar>
              <w:left w:w="85" w:type="dxa"/>
              <w:right w:w="85" w:type="dxa"/>
            </w:tcMar>
            <w:vAlign w:val="center"/>
          </w:tcPr>
          <w:p w:rsidR="00680245" w:rsidRPr="00D960D7" w:rsidRDefault="00680245" w:rsidP="00D73E98">
            <w:pPr>
              <w:jc w:val="center"/>
              <w:rPr>
                <w:lang w:val="it-IT"/>
              </w:rPr>
            </w:pPr>
          </w:p>
        </w:tc>
        <w:tc>
          <w:tcPr>
            <w:tcW w:w="573" w:type="dxa"/>
            <w:tcMar>
              <w:left w:w="108" w:type="dxa"/>
            </w:tcMar>
            <w:vAlign w:val="center"/>
          </w:tcPr>
          <w:p w:rsidR="00680245" w:rsidRPr="00D960D7" w:rsidRDefault="00680245" w:rsidP="00D73E98">
            <w:pPr>
              <w:jc w:val="center"/>
              <w:rPr>
                <w:lang w:val="it-IT"/>
              </w:rPr>
            </w:pPr>
          </w:p>
        </w:tc>
        <w:tc>
          <w:tcPr>
            <w:tcW w:w="570" w:type="dxa"/>
            <w:tcMar>
              <w:left w:w="108" w:type="dxa"/>
            </w:tcMar>
            <w:vAlign w:val="center"/>
          </w:tcPr>
          <w:p w:rsidR="00680245" w:rsidRPr="00D960D7" w:rsidRDefault="00680245" w:rsidP="00D73E98">
            <w:pPr>
              <w:jc w:val="center"/>
              <w:rPr>
                <w:lang w:val="it-IT"/>
              </w:rPr>
            </w:pPr>
          </w:p>
        </w:tc>
      </w:tr>
      <w:tr w:rsidR="00680245" w:rsidRPr="00231C12" w:rsidTr="00D73E98">
        <w:trPr>
          <w:cantSplit/>
          <w:trHeight w:val="20"/>
        </w:trPr>
        <w:tc>
          <w:tcPr>
            <w:tcW w:w="680" w:type="dxa"/>
          </w:tcPr>
          <w:p w:rsidR="00680245" w:rsidRPr="00987EB8" w:rsidRDefault="00680245" w:rsidP="00D73E98">
            <w:pPr>
              <w:pageBreakBefore/>
              <w:jc w:val="center"/>
              <w:rPr>
                <w:b/>
                <w:lang w:val="it-IT"/>
              </w:rPr>
            </w:pPr>
          </w:p>
        </w:tc>
        <w:tc>
          <w:tcPr>
            <w:tcW w:w="851" w:type="dxa"/>
            <w:tcMar>
              <w:left w:w="108" w:type="dxa"/>
              <w:right w:w="0" w:type="dxa"/>
            </w:tcMar>
          </w:tcPr>
          <w:p w:rsidR="00680245" w:rsidRDefault="00680245" w:rsidP="00D73E98">
            <w:pPr>
              <w:pStyle w:val="PrincCont"/>
              <w:pageBreakBefore/>
              <w:jc w:val="left"/>
              <w:rPr>
                <w:lang w:val="it-IT"/>
              </w:rPr>
            </w:pPr>
          </w:p>
        </w:tc>
        <w:tc>
          <w:tcPr>
            <w:tcW w:w="7060" w:type="dxa"/>
            <w:tcMar>
              <w:left w:w="108" w:type="dxa"/>
            </w:tcMar>
          </w:tcPr>
          <w:p w:rsidR="00680245" w:rsidRPr="00CA765A" w:rsidRDefault="00680245" w:rsidP="00D73E98">
            <w:pPr>
              <w:pStyle w:val="Titolo3"/>
              <w:keepNext w:val="0"/>
              <w:pageBreakBefore/>
              <w:rPr>
                <w:lang w:val="it-IT"/>
              </w:rPr>
            </w:pPr>
            <w:r>
              <w:rPr>
                <w:lang w:val="it-IT"/>
              </w:rPr>
              <w:t>Costo di produzione</w:t>
            </w:r>
          </w:p>
        </w:tc>
        <w:tc>
          <w:tcPr>
            <w:tcW w:w="586" w:type="dxa"/>
            <w:gridSpan w:val="2"/>
            <w:tcMar>
              <w:left w:w="85" w:type="dxa"/>
              <w:right w:w="85" w:type="dxa"/>
            </w:tcMar>
            <w:vAlign w:val="center"/>
          </w:tcPr>
          <w:p w:rsidR="00680245" w:rsidRPr="00492518" w:rsidRDefault="00680245" w:rsidP="00D73E98">
            <w:pPr>
              <w:pageBreakBefore/>
              <w:jc w:val="center"/>
              <w:rPr>
                <w:lang w:val="it-IT"/>
              </w:rPr>
            </w:pPr>
          </w:p>
        </w:tc>
        <w:tc>
          <w:tcPr>
            <w:tcW w:w="573" w:type="dxa"/>
            <w:tcMar>
              <w:left w:w="108" w:type="dxa"/>
            </w:tcMar>
            <w:vAlign w:val="center"/>
          </w:tcPr>
          <w:p w:rsidR="00680245" w:rsidRPr="00492518" w:rsidRDefault="00680245" w:rsidP="00D73E98">
            <w:pPr>
              <w:pageBreakBefore/>
              <w:jc w:val="center"/>
              <w:rPr>
                <w:lang w:val="it-IT"/>
              </w:rPr>
            </w:pPr>
          </w:p>
        </w:tc>
        <w:tc>
          <w:tcPr>
            <w:tcW w:w="570" w:type="dxa"/>
            <w:tcMar>
              <w:left w:w="108" w:type="dxa"/>
            </w:tcMar>
            <w:vAlign w:val="center"/>
          </w:tcPr>
          <w:p w:rsidR="00680245" w:rsidRPr="00492518" w:rsidRDefault="00680245" w:rsidP="00D73E98">
            <w:pPr>
              <w:pageBreakBefore/>
              <w:jc w:val="center"/>
              <w:rPr>
                <w:lang w:val="it-IT"/>
              </w:rPr>
            </w:pPr>
          </w:p>
        </w:tc>
      </w:tr>
      <w:tr w:rsidR="00680245" w:rsidRPr="006B39CA" w:rsidTr="00D73E98">
        <w:trPr>
          <w:cantSplit/>
          <w:trHeight w:val="20"/>
        </w:trPr>
        <w:tc>
          <w:tcPr>
            <w:tcW w:w="680" w:type="dxa"/>
          </w:tcPr>
          <w:p w:rsidR="00680245" w:rsidRPr="00987EB8" w:rsidRDefault="00680245" w:rsidP="00D73E98">
            <w:pPr>
              <w:jc w:val="center"/>
              <w:rPr>
                <w:b/>
                <w:lang w:val="it-IT"/>
              </w:rPr>
            </w:pPr>
            <w:r w:rsidRPr="00987EB8">
              <w:rPr>
                <w:b/>
                <w:lang w:val="it-IT"/>
              </w:rPr>
              <w:t>20)</w:t>
            </w:r>
          </w:p>
        </w:tc>
        <w:tc>
          <w:tcPr>
            <w:tcW w:w="851" w:type="dxa"/>
            <w:tcMar>
              <w:left w:w="108" w:type="dxa"/>
              <w:right w:w="0" w:type="dxa"/>
            </w:tcMar>
          </w:tcPr>
          <w:p w:rsidR="00680245" w:rsidRPr="00431E12" w:rsidRDefault="00680245" w:rsidP="00D73E98">
            <w:pPr>
              <w:jc w:val="left"/>
              <w:rPr>
                <w:sz w:val="13"/>
                <w:szCs w:val="13"/>
              </w:rPr>
            </w:pPr>
            <w:r w:rsidRPr="00431E12">
              <w:rPr>
                <w:sz w:val="13"/>
                <w:szCs w:val="13"/>
              </w:rPr>
              <w:t>OIC 16.</w:t>
            </w:r>
            <w:r>
              <w:rPr>
                <w:sz w:val="13"/>
                <w:szCs w:val="13"/>
              </w:rPr>
              <w:t>39</w:t>
            </w:r>
          </w:p>
        </w:tc>
        <w:tc>
          <w:tcPr>
            <w:tcW w:w="7060" w:type="dxa"/>
            <w:tcMar>
              <w:left w:w="108" w:type="dxa"/>
            </w:tcMar>
          </w:tcPr>
          <w:p w:rsidR="00680245" w:rsidRPr="0068694D" w:rsidRDefault="00680245" w:rsidP="00D73E98">
            <w:pPr>
              <w:spacing w:line="230" w:lineRule="exact"/>
              <w:rPr>
                <w:lang w:val="it-IT"/>
              </w:rPr>
            </w:pPr>
            <w:r w:rsidRPr="00EE5F9E">
              <w:rPr>
                <w:lang w:val="it-IT"/>
              </w:rPr>
              <w:t>Il costo di produzione comprende i costi diretti (materiale e mano d’opera diretta, costi di</w:t>
            </w:r>
            <w:r>
              <w:rPr>
                <w:lang w:val="it-IT"/>
              </w:rPr>
              <w:t xml:space="preserve"> </w:t>
            </w:r>
            <w:r w:rsidRPr="00EE5F9E">
              <w:rPr>
                <w:lang w:val="it-IT"/>
              </w:rPr>
              <w:t>progettazione, forniture esterne, ecc.) e i costi generali di produzione, per la quota</w:t>
            </w:r>
            <w:r>
              <w:rPr>
                <w:lang w:val="it-IT"/>
              </w:rPr>
              <w:t xml:space="preserve"> </w:t>
            </w:r>
            <w:r w:rsidRPr="00EE5F9E">
              <w:rPr>
                <w:lang w:val="it-IT"/>
              </w:rPr>
              <w:t>ragionevolmente imputabile al cespite per il periodo della sua fabbricazione fino al momento in</w:t>
            </w:r>
            <w:r>
              <w:rPr>
                <w:lang w:val="it-IT"/>
              </w:rPr>
              <w:t xml:space="preserve"> </w:t>
            </w:r>
            <w:r w:rsidRPr="00EE5F9E">
              <w:rPr>
                <w:lang w:val="it-IT"/>
              </w:rPr>
              <w:t>cu</w:t>
            </w:r>
            <w:r>
              <w:rPr>
                <w:lang w:val="it-IT"/>
              </w:rPr>
              <w:t>i il cespite è pronto per l’uso?</w:t>
            </w:r>
          </w:p>
        </w:tc>
        <w:tc>
          <w:tcPr>
            <w:tcW w:w="586" w:type="dxa"/>
            <w:gridSpan w:val="2"/>
            <w:tcMar>
              <w:left w:w="85" w:type="dxa"/>
              <w:right w:w="85" w:type="dxa"/>
            </w:tcMar>
            <w:vAlign w:val="center"/>
          </w:tcPr>
          <w:p w:rsidR="00680245" w:rsidRPr="006B39CA"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6B39CA"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6B39CA"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6B39CA" w:rsidTr="00D73E98">
        <w:trPr>
          <w:cantSplit/>
          <w:trHeight w:val="20"/>
        </w:trPr>
        <w:tc>
          <w:tcPr>
            <w:tcW w:w="680" w:type="dxa"/>
          </w:tcPr>
          <w:p w:rsidR="00680245" w:rsidRPr="00987EB8" w:rsidRDefault="00680245" w:rsidP="00D73E98">
            <w:pPr>
              <w:jc w:val="center"/>
              <w:rPr>
                <w:b/>
                <w:lang w:val="it-IT"/>
              </w:rPr>
            </w:pPr>
            <w:r w:rsidRPr="00987EB8">
              <w:rPr>
                <w:b/>
                <w:lang w:val="it-IT"/>
              </w:rPr>
              <w:t>21)</w:t>
            </w:r>
          </w:p>
        </w:tc>
        <w:tc>
          <w:tcPr>
            <w:tcW w:w="851" w:type="dxa"/>
            <w:tcMar>
              <w:left w:w="108" w:type="dxa"/>
              <w:right w:w="0" w:type="dxa"/>
            </w:tcMar>
          </w:tcPr>
          <w:p w:rsidR="00680245" w:rsidRPr="00431E12" w:rsidRDefault="00680245" w:rsidP="00D73E98">
            <w:pPr>
              <w:jc w:val="left"/>
              <w:rPr>
                <w:sz w:val="13"/>
                <w:szCs w:val="13"/>
              </w:rPr>
            </w:pPr>
            <w:r w:rsidRPr="00431E12">
              <w:rPr>
                <w:sz w:val="13"/>
                <w:szCs w:val="13"/>
              </w:rPr>
              <w:t>OIC 16.</w:t>
            </w:r>
            <w:r>
              <w:rPr>
                <w:sz w:val="13"/>
                <w:szCs w:val="13"/>
              </w:rPr>
              <w:t>40</w:t>
            </w:r>
          </w:p>
        </w:tc>
        <w:tc>
          <w:tcPr>
            <w:tcW w:w="7060" w:type="dxa"/>
            <w:tcMar>
              <w:left w:w="108" w:type="dxa"/>
            </w:tcMar>
          </w:tcPr>
          <w:p w:rsidR="00680245" w:rsidRPr="0068694D" w:rsidRDefault="00680245" w:rsidP="00D73E98">
            <w:pPr>
              <w:spacing w:line="230" w:lineRule="exact"/>
              <w:rPr>
                <w:lang w:val="it-IT"/>
              </w:rPr>
            </w:pPr>
            <w:r w:rsidRPr="00EE5F9E">
              <w:rPr>
                <w:lang w:val="it-IT"/>
              </w:rPr>
              <w:t xml:space="preserve">I costi legati a scioperi, inefficienze o altre cause estranee all’attività di costruzione non </w:t>
            </w:r>
            <w:r>
              <w:rPr>
                <w:lang w:val="it-IT"/>
              </w:rPr>
              <w:t>essendo capitalizzabili</w:t>
            </w:r>
            <w:r w:rsidRPr="00EE5F9E">
              <w:rPr>
                <w:lang w:val="it-IT"/>
              </w:rPr>
              <w:t xml:space="preserve"> sono </w:t>
            </w:r>
            <w:r>
              <w:rPr>
                <w:lang w:val="it-IT"/>
              </w:rPr>
              <w:t xml:space="preserve">stati </w:t>
            </w:r>
            <w:r w:rsidRPr="00EE5F9E">
              <w:rPr>
                <w:lang w:val="it-IT"/>
              </w:rPr>
              <w:t>addebitati al conto economico dell</w:t>
            </w:r>
            <w:r>
              <w:rPr>
                <w:lang w:val="it-IT"/>
              </w:rPr>
              <w:t>’esercizio in cui si sostengono?</w:t>
            </w:r>
          </w:p>
        </w:tc>
        <w:tc>
          <w:tcPr>
            <w:tcW w:w="586" w:type="dxa"/>
            <w:gridSpan w:val="2"/>
            <w:tcMar>
              <w:left w:w="85" w:type="dxa"/>
              <w:right w:w="85" w:type="dxa"/>
            </w:tcMar>
            <w:vAlign w:val="center"/>
          </w:tcPr>
          <w:p w:rsidR="00680245" w:rsidRPr="006B39CA"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6B39CA"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6B39CA"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80245" w:rsidRPr="00231C12"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60" w:type="dxa"/>
            <w:tcMar>
              <w:left w:w="108" w:type="dxa"/>
            </w:tcMar>
          </w:tcPr>
          <w:p w:rsidR="00680245" w:rsidRPr="00CA765A" w:rsidRDefault="00680245" w:rsidP="00D73E98">
            <w:pPr>
              <w:pStyle w:val="Titolo3"/>
              <w:keepNext w:val="0"/>
              <w:rPr>
                <w:lang w:val="it-IT"/>
              </w:rPr>
            </w:pPr>
            <w:r>
              <w:rPr>
                <w:lang w:val="it-IT"/>
              </w:rPr>
              <w:t>Oneri finanziari</w:t>
            </w:r>
          </w:p>
        </w:tc>
        <w:tc>
          <w:tcPr>
            <w:tcW w:w="586" w:type="dxa"/>
            <w:gridSpan w:val="2"/>
            <w:tcMar>
              <w:left w:w="85" w:type="dxa"/>
              <w:right w:w="85" w:type="dxa"/>
            </w:tcMar>
            <w:vAlign w:val="center"/>
          </w:tcPr>
          <w:p w:rsidR="00680245" w:rsidRPr="00492518" w:rsidRDefault="00680245" w:rsidP="00D73E98">
            <w:pPr>
              <w:jc w:val="center"/>
              <w:rPr>
                <w:lang w:val="it-IT"/>
              </w:rPr>
            </w:pPr>
          </w:p>
        </w:tc>
        <w:tc>
          <w:tcPr>
            <w:tcW w:w="573" w:type="dxa"/>
            <w:tcMar>
              <w:left w:w="108" w:type="dxa"/>
            </w:tcMar>
            <w:vAlign w:val="center"/>
          </w:tcPr>
          <w:p w:rsidR="00680245" w:rsidRPr="00492518" w:rsidRDefault="00680245" w:rsidP="00D73E98">
            <w:pPr>
              <w:jc w:val="center"/>
              <w:rPr>
                <w:lang w:val="it-IT"/>
              </w:rPr>
            </w:pPr>
          </w:p>
        </w:tc>
        <w:tc>
          <w:tcPr>
            <w:tcW w:w="570" w:type="dxa"/>
            <w:tcMar>
              <w:left w:w="108" w:type="dxa"/>
            </w:tcMar>
            <w:vAlign w:val="center"/>
          </w:tcPr>
          <w:p w:rsidR="00680245" w:rsidRPr="00492518" w:rsidRDefault="00680245" w:rsidP="00D73E98">
            <w:pPr>
              <w:jc w:val="center"/>
              <w:rPr>
                <w:lang w:val="it-IT"/>
              </w:rPr>
            </w:pPr>
          </w:p>
        </w:tc>
      </w:tr>
      <w:tr w:rsidR="00361E4F" w:rsidRPr="00CC242B" w:rsidTr="00D73E98">
        <w:trPr>
          <w:cantSplit/>
          <w:trHeight w:val="20"/>
        </w:trPr>
        <w:tc>
          <w:tcPr>
            <w:tcW w:w="680" w:type="dxa"/>
          </w:tcPr>
          <w:p w:rsidR="00361E4F" w:rsidRPr="00987EB8" w:rsidRDefault="00361E4F" w:rsidP="00D73E98">
            <w:pPr>
              <w:jc w:val="center"/>
              <w:rPr>
                <w:b/>
                <w:lang w:val="it-IT"/>
              </w:rPr>
            </w:pPr>
          </w:p>
        </w:tc>
        <w:tc>
          <w:tcPr>
            <w:tcW w:w="851" w:type="dxa"/>
            <w:tcMar>
              <w:left w:w="108" w:type="dxa"/>
              <w:right w:w="0" w:type="dxa"/>
            </w:tcMar>
          </w:tcPr>
          <w:p w:rsidR="00361E4F" w:rsidRDefault="00361E4F" w:rsidP="00D73E98">
            <w:pPr>
              <w:pStyle w:val="PrincCont"/>
              <w:jc w:val="left"/>
              <w:rPr>
                <w:lang w:val="it-IT"/>
              </w:rPr>
            </w:pPr>
          </w:p>
        </w:tc>
        <w:tc>
          <w:tcPr>
            <w:tcW w:w="7060" w:type="dxa"/>
            <w:tcMar>
              <w:left w:w="108" w:type="dxa"/>
            </w:tcMar>
          </w:tcPr>
          <w:p w:rsidR="00361E4F" w:rsidRDefault="00361E4F" w:rsidP="00361E4F">
            <w:pPr>
              <w:pStyle w:val="Commentiriquadro"/>
            </w:pPr>
            <w:r w:rsidRPr="0004312C">
              <w:t>Poiché le immobilizzazioni materiali costituiscono parte dell’organizzazione permanente della</w:t>
            </w:r>
            <w:r>
              <w:t xml:space="preserve"> </w:t>
            </w:r>
            <w:r w:rsidRPr="0004312C">
              <w:t>società e producono redditi solo quando sono in funzione, gli oneri finanziari sostenuti per la loro</w:t>
            </w:r>
            <w:r>
              <w:t xml:space="preserve"> </w:t>
            </w:r>
            <w:r w:rsidRPr="0004312C">
              <w:t>fabbricazione interna o presso terzi possono essere capitalizzabili come costi delle</w:t>
            </w:r>
            <w:r>
              <w:t xml:space="preserve"> </w:t>
            </w:r>
            <w:r w:rsidRPr="0004312C">
              <w:t>immobilizzazioni materiali nei termini in</w:t>
            </w:r>
            <w:r>
              <w:t>dicati nel seguito.</w:t>
            </w:r>
          </w:p>
        </w:tc>
        <w:tc>
          <w:tcPr>
            <w:tcW w:w="586" w:type="dxa"/>
            <w:gridSpan w:val="2"/>
            <w:tcMar>
              <w:left w:w="85" w:type="dxa"/>
              <w:right w:w="85" w:type="dxa"/>
            </w:tcMar>
            <w:vAlign w:val="center"/>
          </w:tcPr>
          <w:p w:rsidR="00361E4F" w:rsidRPr="00492518" w:rsidRDefault="00361E4F" w:rsidP="00D73E98">
            <w:pPr>
              <w:jc w:val="center"/>
              <w:rPr>
                <w:lang w:val="it-IT"/>
              </w:rPr>
            </w:pPr>
          </w:p>
        </w:tc>
        <w:tc>
          <w:tcPr>
            <w:tcW w:w="573" w:type="dxa"/>
            <w:tcMar>
              <w:left w:w="108" w:type="dxa"/>
            </w:tcMar>
            <w:vAlign w:val="center"/>
          </w:tcPr>
          <w:p w:rsidR="00361E4F" w:rsidRPr="00492518" w:rsidRDefault="00361E4F" w:rsidP="00D73E98">
            <w:pPr>
              <w:jc w:val="center"/>
              <w:rPr>
                <w:lang w:val="it-IT"/>
              </w:rPr>
            </w:pPr>
          </w:p>
        </w:tc>
        <w:tc>
          <w:tcPr>
            <w:tcW w:w="570" w:type="dxa"/>
            <w:tcMar>
              <w:left w:w="108" w:type="dxa"/>
            </w:tcMar>
            <w:vAlign w:val="center"/>
          </w:tcPr>
          <w:p w:rsidR="00361E4F" w:rsidRPr="00492518" w:rsidRDefault="00361E4F" w:rsidP="00D73E98">
            <w:pPr>
              <w:jc w:val="center"/>
              <w:rPr>
                <w:lang w:val="it-IT"/>
              </w:rPr>
            </w:pP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22)</w:t>
            </w:r>
          </w:p>
        </w:tc>
        <w:tc>
          <w:tcPr>
            <w:tcW w:w="851" w:type="dxa"/>
            <w:tcMar>
              <w:left w:w="108" w:type="dxa"/>
              <w:right w:w="0" w:type="dxa"/>
            </w:tcMar>
          </w:tcPr>
          <w:p w:rsidR="00680245" w:rsidRDefault="00680245" w:rsidP="00D73E98">
            <w:pPr>
              <w:jc w:val="left"/>
            </w:pPr>
            <w:r>
              <w:rPr>
                <w:sz w:val="13"/>
                <w:szCs w:val="13"/>
              </w:rPr>
              <w:t>OIC 16.41</w:t>
            </w:r>
          </w:p>
        </w:tc>
        <w:tc>
          <w:tcPr>
            <w:tcW w:w="7060" w:type="dxa"/>
            <w:tcMar>
              <w:left w:w="108" w:type="dxa"/>
            </w:tcMar>
          </w:tcPr>
          <w:p w:rsidR="00680245" w:rsidRPr="00165357" w:rsidRDefault="00680245" w:rsidP="00D73E98">
            <w:pPr>
              <w:spacing w:line="230" w:lineRule="exact"/>
              <w:rPr>
                <w:lang w:val="it-IT"/>
              </w:rPr>
            </w:pPr>
            <w:r w:rsidRPr="00B16E9E">
              <w:rPr>
                <w:lang w:val="it-IT"/>
              </w:rPr>
              <w:t xml:space="preserve">Qualora la società abbia </w:t>
            </w:r>
            <w:r>
              <w:rPr>
                <w:lang w:val="it-IT"/>
              </w:rPr>
              <w:t>o</w:t>
            </w:r>
            <w:r w:rsidRPr="00B16E9E">
              <w:rPr>
                <w:lang w:val="it-IT"/>
              </w:rPr>
              <w:t xml:space="preserve">ptato per la capitalizzazione degli oneri finanziari </w:t>
            </w:r>
            <w:r>
              <w:rPr>
                <w:lang w:val="it-IT"/>
              </w:rPr>
              <w:t>la scelta è stata fatta in presenza di</w:t>
            </w:r>
            <w:r w:rsidRPr="00B16E9E">
              <w:rPr>
                <w:lang w:val="it-IT"/>
              </w:rPr>
              <w:t xml:space="preserve"> tutte le condizioni</w:t>
            </w:r>
            <w:r>
              <w:rPr>
                <w:lang w:val="it-IT"/>
              </w:rPr>
              <w:t xml:space="preserve"> indicate nel punto seguente</w:t>
            </w:r>
            <w:r w:rsidRPr="00B16E9E">
              <w:rPr>
                <w:lang w:val="it-IT"/>
              </w:rPr>
              <w:t>, nei limiti applicabili alla specifica fattispecie</w:t>
            </w:r>
            <w:r>
              <w:rPr>
                <w:lang w:val="it-IT"/>
              </w:rPr>
              <w:t>?</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RDefault="003D6DF3" w:rsidP="00D73E98">
            <w:pPr>
              <w:jc w:val="center"/>
              <w:rPr>
                <w:b/>
                <w:lang w:val="it-IT"/>
              </w:rPr>
            </w:pPr>
            <w:r>
              <w:rPr>
                <w:b/>
                <w:lang w:val="it-IT"/>
              </w:rPr>
              <w:t>23)</w:t>
            </w:r>
          </w:p>
        </w:tc>
        <w:tc>
          <w:tcPr>
            <w:tcW w:w="851" w:type="dxa"/>
            <w:tcMar>
              <w:left w:w="108" w:type="dxa"/>
              <w:right w:w="0" w:type="dxa"/>
            </w:tcMar>
          </w:tcPr>
          <w:p w:rsidR="003D6DF3" w:rsidRDefault="003D6DF3" w:rsidP="00427B3F">
            <w:pPr>
              <w:jc w:val="left"/>
              <w:rPr>
                <w:sz w:val="13"/>
                <w:szCs w:val="13"/>
              </w:rPr>
            </w:pPr>
            <w:r>
              <w:rPr>
                <w:sz w:val="13"/>
                <w:szCs w:val="13"/>
              </w:rPr>
              <w:t>OIC 16.42</w:t>
            </w:r>
          </w:p>
        </w:tc>
        <w:tc>
          <w:tcPr>
            <w:tcW w:w="7060" w:type="dxa"/>
            <w:tcMar>
              <w:left w:w="108" w:type="dxa"/>
            </w:tcMar>
          </w:tcPr>
          <w:p w:rsidR="003D6DF3" w:rsidRPr="003D6DF3" w:rsidRDefault="003D6DF3" w:rsidP="00427B3F">
            <w:pPr>
              <w:rPr>
                <w:lang w:val="it-IT"/>
              </w:rPr>
            </w:pPr>
            <w:r w:rsidRPr="00060B89">
              <w:rPr>
                <w:lang w:val="it-IT"/>
              </w:rPr>
              <w:t xml:space="preserve">La capitalizzazione degli oneri finanziari </w:t>
            </w:r>
            <w:r>
              <w:rPr>
                <w:lang w:val="it-IT"/>
              </w:rPr>
              <w:t xml:space="preserve">è stata </w:t>
            </w:r>
            <w:r w:rsidRPr="00060B89">
              <w:rPr>
                <w:lang w:val="it-IT"/>
              </w:rPr>
              <w:t xml:space="preserve"> effettuata </w:t>
            </w:r>
            <w:r>
              <w:rPr>
                <w:lang w:val="it-IT"/>
              </w:rPr>
              <w:t xml:space="preserve">solo </w:t>
            </w:r>
            <w:r w:rsidRPr="00060B89">
              <w:rPr>
                <w:lang w:val="it-IT"/>
              </w:rPr>
              <w:t>quando ricorrono tutte le seguenti condizioni</w:t>
            </w:r>
            <w:r>
              <w:rPr>
                <w:lang w:val="it-IT"/>
              </w:rPr>
              <w:t xml:space="preserve"> )</w:t>
            </w:r>
            <w:r w:rsidRPr="00060B89">
              <w:rPr>
                <w:lang w:val="it-IT"/>
              </w:rPr>
              <w:t>nei limiti applicabili alla specifica fattispecie</w:t>
            </w:r>
            <w:r>
              <w:rPr>
                <w:lang w:val="it-IT"/>
              </w:rPr>
              <w:t>)</w:t>
            </w:r>
            <w:r w:rsidRPr="00060B89">
              <w:rPr>
                <w:lang w:val="it-IT"/>
              </w:rPr>
              <w:t>:</w:t>
            </w:r>
          </w:p>
        </w:tc>
        <w:tc>
          <w:tcPr>
            <w:tcW w:w="586" w:type="dxa"/>
            <w:gridSpan w:val="2"/>
            <w:tcMar>
              <w:left w:w="85" w:type="dxa"/>
              <w:right w:w="85" w:type="dxa"/>
            </w:tcMar>
            <w:vAlign w:val="center"/>
          </w:tcPr>
          <w:p w:rsidR="003D6DF3" w:rsidRPr="00CC2E9E" w:rsidRDefault="003D6DF3" w:rsidP="00D73E98">
            <w:pPr>
              <w:jc w:val="center"/>
              <w:rPr>
                <w:lang w:val="it-IT"/>
              </w:rPr>
            </w:pPr>
          </w:p>
        </w:tc>
        <w:tc>
          <w:tcPr>
            <w:tcW w:w="573" w:type="dxa"/>
            <w:tcMar>
              <w:left w:w="108" w:type="dxa"/>
            </w:tcMar>
            <w:vAlign w:val="center"/>
          </w:tcPr>
          <w:p w:rsidR="003D6DF3" w:rsidRPr="00CC2E9E" w:rsidRDefault="003D6DF3" w:rsidP="00D73E98">
            <w:pPr>
              <w:jc w:val="center"/>
              <w:rPr>
                <w:lang w:val="it-IT"/>
              </w:rPr>
            </w:pPr>
          </w:p>
        </w:tc>
        <w:tc>
          <w:tcPr>
            <w:tcW w:w="570" w:type="dxa"/>
            <w:tcMar>
              <w:left w:w="108" w:type="dxa"/>
            </w:tcMar>
            <w:vAlign w:val="center"/>
          </w:tcPr>
          <w:p w:rsidR="003D6DF3" w:rsidRPr="00CC2E9E" w:rsidRDefault="003D6DF3" w:rsidP="00D73E98">
            <w:pPr>
              <w:jc w:val="center"/>
              <w:rPr>
                <w:lang w:val="it-IT"/>
              </w:rPr>
            </w:pPr>
          </w:p>
        </w:tc>
      </w:tr>
      <w:tr w:rsidR="003D6DF3" w:rsidRPr="00CC242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3D6DF3" w:rsidRDefault="003D6DF3" w:rsidP="00427B3F">
            <w:pPr>
              <w:jc w:val="left"/>
              <w:rPr>
                <w:sz w:val="13"/>
                <w:szCs w:val="13"/>
                <w:lang w:val="it-IT"/>
              </w:rPr>
            </w:pPr>
          </w:p>
        </w:tc>
        <w:tc>
          <w:tcPr>
            <w:tcW w:w="7060" w:type="dxa"/>
            <w:tcMar>
              <w:left w:w="108" w:type="dxa"/>
            </w:tcMar>
          </w:tcPr>
          <w:p w:rsidR="003D6DF3" w:rsidRPr="003D6DF3" w:rsidRDefault="003D6DF3" w:rsidP="003D6DF3">
            <w:pPr>
              <w:ind w:left="318" w:hanging="283"/>
              <w:rPr>
                <w:lang w:val="it-IT"/>
              </w:rPr>
            </w:pPr>
            <w:r>
              <w:rPr>
                <w:lang w:val="it-IT"/>
              </w:rPr>
              <w:t>a)</w:t>
            </w:r>
            <w:r>
              <w:rPr>
                <w:lang w:val="it-IT"/>
              </w:rPr>
              <w:tab/>
            </w:r>
            <w:r w:rsidRPr="003D6DF3">
              <w:rPr>
                <w:lang w:val="it-IT"/>
              </w:rPr>
              <w:t xml:space="preserve">gli oneri capitalizzati  sono: </w:t>
            </w:r>
          </w:p>
        </w:tc>
        <w:tc>
          <w:tcPr>
            <w:tcW w:w="586" w:type="dxa"/>
            <w:gridSpan w:val="2"/>
            <w:tcMar>
              <w:left w:w="85" w:type="dxa"/>
              <w:right w:w="85" w:type="dxa"/>
            </w:tcMar>
            <w:vAlign w:val="center"/>
          </w:tcPr>
          <w:p w:rsidR="003D6DF3" w:rsidRPr="00CC2E9E" w:rsidRDefault="003D6DF3" w:rsidP="00D73E98">
            <w:pPr>
              <w:jc w:val="center"/>
              <w:rPr>
                <w:lang w:val="it-IT"/>
              </w:rPr>
            </w:pPr>
          </w:p>
        </w:tc>
        <w:tc>
          <w:tcPr>
            <w:tcW w:w="573" w:type="dxa"/>
            <w:tcMar>
              <w:left w:w="108" w:type="dxa"/>
            </w:tcMar>
            <w:vAlign w:val="center"/>
          </w:tcPr>
          <w:p w:rsidR="003D6DF3" w:rsidRPr="00CC2E9E" w:rsidRDefault="003D6DF3" w:rsidP="00D73E98">
            <w:pPr>
              <w:jc w:val="center"/>
              <w:rPr>
                <w:lang w:val="it-IT"/>
              </w:rPr>
            </w:pPr>
          </w:p>
        </w:tc>
        <w:tc>
          <w:tcPr>
            <w:tcW w:w="570" w:type="dxa"/>
            <w:tcMar>
              <w:left w:w="108" w:type="dxa"/>
            </w:tcMar>
            <w:vAlign w:val="center"/>
          </w:tcPr>
          <w:p w:rsidR="003D6DF3" w:rsidRPr="00CC2E9E" w:rsidRDefault="003D6DF3" w:rsidP="00D73E98">
            <w:pPr>
              <w:jc w:val="center"/>
              <w:rPr>
                <w:lang w:val="it-IT"/>
              </w:rPr>
            </w:pP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3D6DF3" w:rsidRDefault="003D6DF3" w:rsidP="00427B3F">
            <w:pPr>
              <w:jc w:val="left"/>
              <w:rPr>
                <w:sz w:val="13"/>
                <w:szCs w:val="13"/>
                <w:lang w:val="it-IT"/>
              </w:rPr>
            </w:pPr>
          </w:p>
        </w:tc>
        <w:tc>
          <w:tcPr>
            <w:tcW w:w="7060" w:type="dxa"/>
            <w:tcMar>
              <w:left w:w="108" w:type="dxa"/>
            </w:tcMar>
          </w:tcPr>
          <w:p w:rsidR="003D6DF3" w:rsidRPr="001248A0" w:rsidRDefault="003D6DF3" w:rsidP="00C942C6">
            <w:pPr>
              <w:pStyle w:val="Puntoelenco"/>
              <w:tabs>
                <w:tab w:val="clear" w:pos="704"/>
              </w:tabs>
              <w:ind w:left="602" w:hanging="284"/>
            </w:pPr>
            <w:r>
              <w:t>oneri effettivamente sostenuti</w:t>
            </w:r>
          </w:p>
        </w:tc>
        <w:tc>
          <w:tcPr>
            <w:tcW w:w="586" w:type="dxa"/>
            <w:gridSpan w:val="2"/>
            <w:tcMar>
              <w:left w:w="85" w:type="dxa"/>
              <w:right w:w="85"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3D6DF3" w:rsidRDefault="003D6DF3" w:rsidP="00427B3F">
            <w:pPr>
              <w:jc w:val="left"/>
              <w:rPr>
                <w:sz w:val="13"/>
                <w:szCs w:val="13"/>
                <w:lang w:val="it-IT"/>
              </w:rPr>
            </w:pPr>
          </w:p>
        </w:tc>
        <w:tc>
          <w:tcPr>
            <w:tcW w:w="7060" w:type="dxa"/>
            <w:tcMar>
              <w:left w:w="108" w:type="dxa"/>
            </w:tcMar>
          </w:tcPr>
          <w:p w:rsidR="003D6DF3" w:rsidRDefault="003D6DF3" w:rsidP="00C942C6">
            <w:pPr>
              <w:pStyle w:val="Puntoelenco"/>
              <w:tabs>
                <w:tab w:val="clear" w:pos="704"/>
              </w:tabs>
              <w:ind w:left="602" w:hanging="284"/>
            </w:pPr>
            <w:r>
              <w:t>oggettivamente determinabili, e</w:t>
            </w:r>
          </w:p>
        </w:tc>
        <w:tc>
          <w:tcPr>
            <w:tcW w:w="586" w:type="dxa"/>
            <w:gridSpan w:val="2"/>
            <w:tcMar>
              <w:left w:w="85" w:type="dxa"/>
              <w:right w:w="85"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3D6DF3" w:rsidRDefault="003D6DF3" w:rsidP="00427B3F">
            <w:pPr>
              <w:jc w:val="left"/>
              <w:rPr>
                <w:sz w:val="13"/>
                <w:szCs w:val="13"/>
                <w:lang w:val="it-IT"/>
              </w:rPr>
            </w:pPr>
          </w:p>
        </w:tc>
        <w:tc>
          <w:tcPr>
            <w:tcW w:w="7060" w:type="dxa"/>
            <w:tcMar>
              <w:left w:w="108" w:type="dxa"/>
            </w:tcMar>
          </w:tcPr>
          <w:p w:rsidR="003D6DF3" w:rsidRPr="001248A0" w:rsidRDefault="003D6DF3" w:rsidP="00C942C6">
            <w:pPr>
              <w:pStyle w:val="Puntoelenco"/>
              <w:tabs>
                <w:tab w:val="clear" w:pos="704"/>
              </w:tabs>
              <w:ind w:left="602" w:hanging="284"/>
            </w:pPr>
            <w:r w:rsidRPr="001248A0">
              <w:t xml:space="preserve">entro il limite </w:t>
            </w:r>
            <w:r>
              <w:t>del valore recuperabile del bene;</w:t>
            </w:r>
          </w:p>
        </w:tc>
        <w:tc>
          <w:tcPr>
            <w:tcW w:w="586" w:type="dxa"/>
            <w:gridSpan w:val="2"/>
            <w:tcMar>
              <w:left w:w="85" w:type="dxa"/>
              <w:right w:w="85"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3D6DF3" w:rsidRDefault="003D6DF3" w:rsidP="00D73E98">
            <w:pPr>
              <w:jc w:val="left"/>
              <w:rPr>
                <w:sz w:val="13"/>
                <w:szCs w:val="13"/>
                <w:lang w:val="it-IT"/>
              </w:rPr>
            </w:pPr>
          </w:p>
        </w:tc>
        <w:tc>
          <w:tcPr>
            <w:tcW w:w="7060" w:type="dxa"/>
            <w:tcMar>
              <w:left w:w="108" w:type="dxa"/>
            </w:tcMar>
          </w:tcPr>
          <w:p w:rsidR="003D6DF3" w:rsidRPr="001248A0" w:rsidRDefault="003D6DF3" w:rsidP="003D6DF3">
            <w:pPr>
              <w:pStyle w:val="Commentiriquadro"/>
            </w:pPr>
            <w:r>
              <w:t>L’ammontare degli oneri finanziari capitalizzati durante un esercizio non può quindi eccedere l’ammontare degli oneri finanziari, al netto degli eventuali proventi finanziari derivanti dall’investimento temporaneo dei fondi presi a prestito, riferibili alla realizzazione del bene e sostenuti con riferimento allo stesso esercizio. Questo nel presupposto che il fatto di acquisire il bene dall’esterno piuttosto che realizzarlo internamente, non può portare a rappresentare in bilancio medesimi beni per valori significativamente differenti;</w:t>
            </w:r>
          </w:p>
        </w:tc>
        <w:tc>
          <w:tcPr>
            <w:tcW w:w="586" w:type="dxa"/>
            <w:gridSpan w:val="2"/>
            <w:tcMar>
              <w:left w:w="85" w:type="dxa"/>
              <w:right w:w="85" w:type="dxa"/>
            </w:tcMar>
            <w:vAlign w:val="center"/>
          </w:tcPr>
          <w:p w:rsidR="003D6DF3" w:rsidRPr="00CC2E9E" w:rsidRDefault="003D6DF3" w:rsidP="00D73E98">
            <w:pPr>
              <w:jc w:val="center"/>
              <w:rPr>
                <w:lang w:val="it-IT"/>
              </w:rPr>
            </w:pPr>
          </w:p>
        </w:tc>
        <w:tc>
          <w:tcPr>
            <w:tcW w:w="573" w:type="dxa"/>
            <w:tcMar>
              <w:left w:w="108" w:type="dxa"/>
            </w:tcMar>
            <w:vAlign w:val="center"/>
          </w:tcPr>
          <w:p w:rsidR="003D6DF3" w:rsidRPr="00CC2E9E" w:rsidRDefault="003D6DF3" w:rsidP="00D73E98">
            <w:pPr>
              <w:jc w:val="center"/>
              <w:rPr>
                <w:lang w:val="it-IT"/>
              </w:rPr>
            </w:pPr>
          </w:p>
        </w:tc>
        <w:tc>
          <w:tcPr>
            <w:tcW w:w="570" w:type="dxa"/>
            <w:tcMar>
              <w:left w:w="108" w:type="dxa"/>
            </w:tcMar>
            <w:vAlign w:val="center"/>
          </w:tcPr>
          <w:p w:rsidR="003D6DF3" w:rsidRPr="00CC2E9E" w:rsidRDefault="003D6DF3" w:rsidP="00D73E98">
            <w:pPr>
              <w:jc w:val="center"/>
              <w:rPr>
                <w:lang w:val="it-IT"/>
              </w:rPr>
            </w:pP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3D6DF3" w:rsidRDefault="003D6DF3" w:rsidP="00D73E98">
            <w:pPr>
              <w:jc w:val="left"/>
              <w:rPr>
                <w:sz w:val="13"/>
                <w:szCs w:val="13"/>
                <w:lang w:val="it-IT"/>
              </w:rPr>
            </w:pPr>
          </w:p>
        </w:tc>
        <w:tc>
          <w:tcPr>
            <w:tcW w:w="7060" w:type="dxa"/>
            <w:tcMar>
              <w:left w:w="108" w:type="dxa"/>
            </w:tcMar>
          </w:tcPr>
          <w:p w:rsidR="003D6DF3" w:rsidRPr="003D6DF3" w:rsidRDefault="003D6DF3" w:rsidP="003D6DF3">
            <w:pPr>
              <w:ind w:left="318" w:hanging="318"/>
              <w:rPr>
                <w:lang w:val="it-IT"/>
              </w:rPr>
            </w:pPr>
            <w:r>
              <w:rPr>
                <w:lang w:val="it-IT"/>
              </w:rPr>
              <w:t xml:space="preserve">b) </w:t>
            </w:r>
            <w:r>
              <w:rPr>
                <w:lang w:val="it-IT"/>
              </w:rPr>
              <w:tab/>
            </w:r>
            <w:r w:rsidRPr="003D6DF3">
              <w:rPr>
                <w:lang w:val="it-IT"/>
              </w:rPr>
              <w:t>gli interessi sono maturati esclusivamente su beni che richiedono un periodo di costruzione significativo?</w:t>
            </w:r>
          </w:p>
        </w:tc>
        <w:tc>
          <w:tcPr>
            <w:tcW w:w="586" w:type="dxa"/>
            <w:gridSpan w:val="2"/>
            <w:tcMar>
              <w:left w:w="85" w:type="dxa"/>
              <w:right w:w="85"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3D6DF3" w:rsidRDefault="003D6DF3" w:rsidP="00D73E98">
            <w:pPr>
              <w:jc w:val="left"/>
              <w:rPr>
                <w:sz w:val="13"/>
                <w:szCs w:val="13"/>
                <w:lang w:val="it-IT"/>
              </w:rPr>
            </w:pPr>
          </w:p>
        </w:tc>
        <w:tc>
          <w:tcPr>
            <w:tcW w:w="7060" w:type="dxa"/>
            <w:tcMar>
              <w:left w:w="108" w:type="dxa"/>
            </w:tcMar>
          </w:tcPr>
          <w:p w:rsidR="003D6DF3" w:rsidRPr="001248A0" w:rsidRDefault="003D6DF3" w:rsidP="003D6DF3">
            <w:pPr>
              <w:pStyle w:val="Commentiriquadro"/>
            </w:pPr>
            <w:r w:rsidRPr="001248A0">
              <w:t>Per periodo di costruzione si intende il periodo che va dal pagamento ai fornitori di beni e servizi relativi all’immobilizzazione materiale fino al momento in cui essa è pronta per l’uso, incluso il normale tempo di montaggio e messa a punto. In sostanza, l’arco temporale di riferimento, ai fini della capitalizzazione degli oneri finanziari, risulta essere quello strettamente necessario alle attività tecniche volte a rendere il bene utilizzabile. Infatti, se il periodo di costruzione si prolunga a causa di scioperi, inefficienze o altre cause estranee all’attività di costruzione, gli oneri finanziari relativi al maggior tempo non sono capitalizzati, ma sono considerati come costi del periodo in cui vengono sostenuti. La capitalizzazione degli oneri finanziari è sospesa duran</w:t>
            </w:r>
            <w:r w:rsidRPr="00060B89">
              <w:t>te i periodi, non brevi, nei quali la costruzione del bene è interrotta.</w:t>
            </w:r>
          </w:p>
        </w:tc>
        <w:tc>
          <w:tcPr>
            <w:tcW w:w="586" w:type="dxa"/>
            <w:gridSpan w:val="2"/>
            <w:tcMar>
              <w:left w:w="85" w:type="dxa"/>
              <w:right w:w="85" w:type="dxa"/>
            </w:tcMar>
            <w:vAlign w:val="center"/>
          </w:tcPr>
          <w:p w:rsidR="003D6DF3" w:rsidRPr="00CC2E9E" w:rsidRDefault="003D6DF3" w:rsidP="00D73E98">
            <w:pPr>
              <w:jc w:val="center"/>
              <w:rPr>
                <w:lang w:val="it-IT"/>
              </w:rPr>
            </w:pPr>
          </w:p>
        </w:tc>
        <w:tc>
          <w:tcPr>
            <w:tcW w:w="573" w:type="dxa"/>
            <w:tcMar>
              <w:left w:w="108" w:type="dxa"/>
            </w:tcMar>
            <w:vAlign w:val="center"/>
          </w:tcPr>
          <w:p w:rsidR="003D6DF3" w:rsidRPr="00CC2E9E" w:rsidRDefault="003D6DF3" w:rsidP="00D73E98">
            <w:pPr>
              <w:jc w:val="center"/>
              <w:rPr>
                <w:lang w:val="it-IT"/>
              </w:rPr>
            </w:pPr>
          </w:p>
        </w:tc>
        <w:tc>
          <w:tcPr>
            <w:tcW w:w="570" w:type="dxa"/>
            <w:tcMar>
              <w:left w:w="108" w:type="dxa"/>
            </w:tcMar>
            <w:vAlign w:val="center"/>
          </w:tcPr>
          <w:p w:rsidR="003D6DF3" w:rsidRPr="00CC2E9E" w:rsidRDefault="003D6DF3" w:rsidP="00D73E98">
            <w:pPr>
              <w:jc w:val="center"/>
              <w:rPr>
                <w:lang w:val="it-IT"/>
              </w:rPr>
            </w:pPr>
          </w:p>
        </w:tc>
      </w:tr>
      <w:tr w:rsidR="003D6DF3" w:rsidRPr="00492518" w:rsidTr="00D73E98">
        <w:trPr>
          <w:cantSplit/>
          <w:trHeight w:val="20"/>
        </w:trPr>
        <w:tc>
          <w:tcPr>
            <w:tcW w:w="680" w:type="dxa"/>
          </w:tcPr>
          <w:p w:rsidR="003D6DF3" w:rsidRPr="003D6DF3" w:rsidRDefault="003D6DF3" w:rsidP="00D73E98">
            <w:pPr>
              <w:jc w:val="center"/>
              <w:rPr>
                <w:b/>
                <w:lang w:val="it-IT"/>
              </w:rPr>
            </w:pPr>
            <w:r w:rsidRPr="003D6DF3">
              <w:rPr>
                <w:b/>
                <w:lang w:val="it-IT"/>
              </w:rPr>
              <w:t>24)</w:t>
            </w:r>
          </w:p>
        </w:tc>
        <w:tc>
          <w:tcPr>
            <w:tcW w:w="851" w:type="dxa"/>
            <w:tcMar>
              <w:left w:w="108" w:type="dxa"/>
              <w:right w:w="0" w:type="dxa"/>
            </w:tcMar>
          </w:tcPr>
          <w:p w:rsidR="003D6DF3" w:rsidRDefault="003D6DF3" w:rsidP="00D73E98">
            <w:pPr>
              <w:jc w:val="left"/>
            </w:pPr>
            <w:r>
              <w:rPr>
                <w:sz w:val="13"/>
                <w:szCs w:val="13"/>
              </w:rPr>
              <w:t>OIC 16.43</w:t>
            </w:r>
          </w:p>
        </w:tc>
        <w:tc>
          <w:tcPr>
            <w:tcW w:w="7060" w:type="dxa"/>
            <w:tcMar>
              <w:left w:w="108" w:type="dxa"/>
            </w:tcMar>
          </w:tcPr>
          <w:p w:rsidR="003D6DF3" w:rsidRDefault="003D6DF3" w:rsidP="00D73E98">
            <w:pPr>
              <w:spacing w:line="230" w:lineRule="exact"/>
              <w:rPr>
                <w:lang w:val="it-IT"/>
              </w:rPr>
            </w:pPr>
            <w:r>
              <w:rPr>
                <w:lang w:val="it-IT"/>
              </w:rPr>
              <w:t>Qualora i fondi sia</w:t>
            </w:r>
            <w:r w:rsidRPr="00C72B46">
              <w:rPr>
                <w:lang w:val="it-IT"/>
              </w:rPr>
              <w:t xml:space="preserve">no </w:t>
            </w:r>
            <w:r>
              <w:rPr>
                <w:lang w:val="it-IT"/>
              </w:rPr>
              <w:t xml:space="preserve">stati </w:t>
            </w:r>
            <w:r w:rsidRPr="00C72B46">
              <w:rPr>
                <w:lang w:val="it-IT"/>
              </w:rPr>
              <w:t>presi a prestito specificatamente per finanziare la costruzione di</w:t>
            </w:r>
            <w:r>
              <w:rPr>
                <w:lang w:val="it-IT"/>
              </w:rPr>
              <w:t xml:space="preserve"> </w:t>
            </w:r>
            <w:r w:rsidRPr="00C72B46">
              <w:rPr>
                <w:lang w:val="it-IT"/>
              </w:rPr>
              <w:t>un bene (c.d. finanziamento di scopo), e quindi</w:t>
            </w:r>
            <w:r>
              <w:rPr>
                <w:lang w:val="it-IT"/>
              </w:rPr>
              <w:t xml:space="preserve"> costituisca</w:t>
            </w:r>
            <w:r w:rsidRPr="00C72B46">
              <w:rPr>
                <w:lang w:val="it-IT"/>
              </w:rPr>
              <w:t>no costi direttamente imputabili al</w:t>
            </w:r>
            <w:r>
              <w:rPr>
                <w:lang w:val="it-IT"/>
              </w:rPr>
              <w:t xml:space="preserve"> </w:t>
            </w:r>
            <w:r w:rsidRPr="00C72B46">
              <w:rPr>
                <w:lang w:val="it-IT"/>
              </w:rPr>
              <w:t>bene, l’ammontare degli</w:t>
            </w:r>
            <w:r>
              <w:rPr>
                <w:lang w:val="it-IT"/>
              </w:rPr>
              <w:t xml:space="preserve"> oneri finanziari capitalizzat</w:t>
            </w:r>
            <w:r w:rsidRPr="00C72B46">
              <w:rPr>
                <w:lang w:val="it-IT"/>
              </w:rPr>
              <w:t xml:space="preserve">i su quel bene </w:t>
            </w:r>
            <w:r>
              <w:rPr>
                <w:lang w:val="it-IT"/>
              </w:rPr>
              <w:t>è stato</w:t>
            </w:r>
            <w:r w:rsidRPr="00C72B46">
              <w:rPr>
                <w:lang w:val="it-IT"/>
              </w:rPr>
              <w:t xml:space="preserve"> determinato in</w:t>
            </w:r>
            <w:r>
              <w:rPr>
                <w:lang w:val="it-IT"/>
              </w:rPr>
              <w:t xml:space="preserve"> </w:t>
            </w:r>
            <w:r w:rsidRPr="00C72B46">
              <w:rPr>
                <w:lang w:val="it-IT"/>
              </w:rPr>
              <w:t>base agli effettivi oneri finanziari sostenuti per quel finanziamento durante l’esercizio, dedotto</w:t>
            </w:r>
            <w:r>
              <w:rPr>
                <w:lang w:val="it-IT"/>
              </w:rPr>
              <w:t xml:space="preserve"> </w:t>
            </w:r>
            <w:r w:rsidRPr="00C72B46">
              <w:rPr>
                <w:lang w:val="it-IT"/>
              </w:rPr>
              <w:t>ogni provento finanziario derivante dall’invest</w:t>
            </w:r>
            <w:r>
              <w:rPr>
                <w:lang w:val="it-IT"/>
              </w:rPr>
              <w:t>imento temporaneo di quei fondi e t</w:t>
            </w:r>
            <w:r w:rsidRPr="00C72B46">
              <w:rPr>
                <w:lang w:val="it-IT"/>
              </w:rPr>
              <w:t>ali oneri sono</w:t>
            </w:r>
            <w:r>
              <w:rPr>
                <w:lang w:val="it-IT"/>
              </w:rPr>
              <w:t xml:space="preserve"> stati capitalizzat</w:t>
            </w:r>
            <w:r w:rsidRPr="00C72B46">
              <w:rPr>
                <w:lang w:val="it-IT"/>
              </w:rPr>
              <w:t>i entro il limite del valore recuperabile del bene</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3D0C5A" w:rsidTr="00D73E98">
        <w:trPr>
          <w:cantSplit/>
          <w:trHeight w:val="20"/>
        </w:trPr>
        <w:tc>
          <w:tcPr>
            <w:tcW w:w="680" w:type="dxa"/>
          </w:tcPr>
          <w:p w:rsidR="003D6DF3" w:rsidRPr="00987EB8" w:rsidRDefault="003D6DF3" w:rsidP="003D6DF3">
            <w:pPr>
              <w:jc w:val="center"/>
              <w:rPr>
                <w:b/>
                <w:lang w:val="it-IT"/>
              </w:rPr>
            </w:pPr>
            <w:r w:rsidRPr="00987EB8">
              <w:rPr>
                <w:b/>
                <w:lang w:val="it-IT"/>
              </w:rPr>
              <w:t>2</w:t>
            </w:r>
            <w:r>
              <w:rPr>
                <w:b/>
                <w:lang w:val="it-IT"/>
              </w:rPr>
              <w:t>5</w:t>
            </w:r>
            <w:r w:rsidRPr="00987EB8">
              <w:rPr>
                <w:b/>
                <w:lang w:val="it-IT"/>
              </w:rPr>
              <w:t>)</w:t>
            </w:r>
          </w:p>
        </w:tc>
        <w:tc>
          <w:tcPr>
            <w:tcW w:w="851" w:type="dxa"/>
            <w:tcMar>
              <w:left w:w="108" w:type="dxa"/>
              <w:right w:w="0" w:type="dxa"/>
            </w:tcMar>
          </w:tcPr>
          <w:p w:rsidR="003D6DF3" w:rsidRPr="005521C0" w:rsidRDefault="003D6DF3" w:rsidP="00D73E98">
            <w:pPr>
              <w:jc w:val="left"/>
              <w:rPr>
                <w:sz w:val="13"/>
                <w:szCs w:val="13"/>
              </w:rPr>
            </w:pPr>
            <w:r>
              <w:rPr>
                <w:sz w:val="13"/>
                <w:szCs w:val="13"/>
              </w:rPr>
              <w:t>OIC 16.43</w:t>
            </w:r>
          </w:p>
        </w:tc>
        <w:tc>
          <w:tcPr>
            <w:tcW w:w="7060" w:type="dxa"/>
            <w:tcMar>
              <w:left w:w="108" w:type="dxa"/>
            </w:tcMar>
          </w:tcPr>
          <w:p w:rsidR="003D6DF3" w:rsidRPr="00C7682E" w:rsidRDefault="003D6DF3" w:rsidP="00D73E98">
            <w:pPr>
              <w:spacing w:line="230" w:lineRule="exact"/>
              <w:rPr>
                <w:lang w:val="it-IT"/>
              </w:rPr>
            </w:pPr>
            <w:r w:rsidRPr="00D43875">
              <w:rPr>
                <w:lang w:val="it-IT"/>
              </w:rPr>
              <w:t xml:space="preserve">Nella misura in cui si </w:t>
            </w:r>
            <w:r>
              <w:rPr>
                <w:lang w:val="it-IT"/>
              </w:rPr>
              <w:t>sia reso</w:t>
            </w:r>
            <w:r w:rsidRPr="00D43875">
              <w:rPr>
                <w:lang w:val="it-IT"/>
              </w:rPr>
              <w:t xml:space="preserve"> necessario utilizzare fondi presi a prestito genericamente,</w:t>
            </w:r>
            <w:r>
              <w:rPr>
                <w:lang w:val="it-IT"/>
              </w:rPr>
              <w:t xml:space="preserve"> </w:t>
            </w:r>
            <w:r w:rsidRPr="00D43875">
              <w:rPr>
                <w:lang w:val="it-IT"/>
              </w:rPr>
              <w:t>l’ammontare degli oneri finanziari maturati su tali fondi è</w:t>
            </w:r>
            <w:r>
              <w:rPr>
                <w:lang w:val="it-IT"/>
              </w:rPr>
              <w:t xml:space="preserve"> stato capitalizzato</w:t>
            </w:r>
            <w:r w:rsidRPr="00D43875">
              <w:rPr>
                <w:lang w:val="it-IT"/>
              </w:rPr>
              <w:t xml:space="preserve"> nei limiti della quota</w:t>
            </w:r>
            <w:r>
              <w:rPr>
                <w:lang w:val="it-IT"/>
              </w:rPr>
              <w:t xml:space="preserve"> </w:t>
            </w:r>
            <w:r w:rsidRPr="00D43875">
              <w:rPr>
                <w:lang w:val="it-IT"/>
              </w:rPr>
              <w:t>attribuibile alle immobiliz</w:t>
            </w:r>
            <w:r>
              <w:rPr>
                <w:lang w:val="it-IT"/>
              </w:rPr>
              <w:t>zazioni in corso di costruzione e t</w:t>
            </w:r>
            <w:r w:rsidRPr="00D43875">
              <w:rPr>
                <w:lang w:val="it-IT"/>
              </w:rPr>
              <w:t xml:space="preserve">ale ammontare è </w:t>
            </w:r>
            <w:r>
              <w:rPr>
                <w:lang w:val="it-IT"/>
              </w:rPr>
              <w:t xml:space="preserve">stato </w:t>
            </w:r>
            <w:r w:rsidRPr="00D43875">
              <w:rPr>
                <w:lang w:val="it-IT"/>
              </w:rPr>
              <w:t>determinato</w:t>
            </w:r>
            <w:r>
              <w:rPr>
                <w:lang w:val="it-IT"/>
              </w:rPr>
              <w:t xml:space="preserve"> </w:t>
            </w:r>
            <w:r w:rsidRPr="00D43875">
              <w:rPr>
                <w:lang w:val="it-IT"/>
              </w:rPr>
              <w:t>applicando ai costi sostenuti un tasso di capitalizzazione corrispondente alla media ponderata</w:t>
            </w:r>
            <w:r>
              <w:rPr>
                <w:lang w:val="it-IT"/>
              </w:rPr>
              <w:t xml:space="preserve"> </w:t>
            </w:r>
            <w:r w:rsidRPr="00D43875">
              <w:rPr>
                <w:lang w:val="it-IT"/>
              </w:rPr>
              <w:t>degli oneri finanziari relativi ai finanziamenti in essere durante l’esercizio, diversi dai</w:t>
            </w:r>
            <w:r>
              <w:rPr>
                <w:lang w:val="it-IT"/>
              </w:rPr>
              <w:t xml:space="preserve"> </w:t>
            </w:r>
            <w:r w:rsidRPr="00D43875">
              <w:rPr>
                <w:lang w:val="it-IT"/>
              </w:rPr>
              <w:t xml:space="preserve">finanziamenti </w:t>
            </w:r>
            <w:r>
              <w:rPr>
                <w:lang w:val="it-IT"/>
              </w:rPr>
              <w:t>di</w:t>
            </w:r>
            <w:r w:rsidRPr="00D43875">
              <w:rPr>
                <w:lang w:val="it-IT"/>
              </w:rPr>
              <w:t xml:space="preserve"> scopo</w:t>
            </w:r>
            <w:r>
              <w:rPr>
                <w:lang w:val="it-IT"/>
              </w:rPr>
              <w:t>?</w:t>
            </w:r>
          </w:p>
        </w:tc>
        <w:tc>
          <w:tcPr>
            <w:tcW w:w="586" w:type="dxa"/>
            <w:gridSpan w:val="2"/>
            <w:tcMar>
              <w:left w:w="85" w:type="dxa"/>
              <w:right w:w="85" w:type="dxa"/>
            </w:tcMar>
            <w:vAlign w:val="center"/>
          </w:tcPr>
          <w:p w:rsidR="003D6DF3" w:rsidRPr="003D0C5A"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3D0C5A"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3D0C5A"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3D0C5A" w:rsidTr="00D73E98">
        <w:trPr>
          <w:cantSplit/>
          <w:trHeight w:val="20"/>
        </w:trPr>
        <w:tc>
          <w:tcPr>
            <w:tcW w:w="680" w:type="dxa"/>
          </w:tcPr>
          <w:p w:rsidR="003D6DF3" w:rsidRPr="00987EB8" w:rsidRDefault="003D6DF3" w:rsidP="00D73E98">
            <w:pPr>
              <w:jc w:val="center"/>
              <w:rPr>
                <w:b/>
                <w:lang w:val="it-IT"/>
              </w:rPr>
            </w:pPr>
            <w:r>
              <w:rPr>
                <w:b/>
                <w:lang w:val="it-IT"/>
              </w:rPr>
              <w:t>26</w:t>
            </w:r>
            <w:r w:rsidRPr="00987EB8">
              <w:rPr>
                <w:b/>
                <w:lang w:val="it-IT"/>
              </w:rPr>
              <w:t>)</w:t>
            </w:r>
          </w:p>
        </w:tc>
        <w:tc>
          <w:tcPr>
            <w:tcW w:w="851" w:type="dxa"/>
            <w:tcMar>
              <w:left w:w="108" w:type="dxa"/>
              <w:right w:w="0" w:type="dxa"/>
            </w:tcMar>
          </w:tcPr>
          <w:p w:rsidR="003D6DF3" w:rsidRPr="005521C0" w:rsidRDefault="003D6DF3" w:rsidP="00D73E98">
            <w:pPr>
              <w:jc w:val="left"/>
              <w:rPr>
                <w:sz w:val="13"/>
                <w:szCs w:val="13"/>
              </w:rPr>
            </w:pPr>
            <w:r>
              <w:rPr>
                <w:sz w:val="13"/>
                <w:szCs w:val="13"/>
              </w:rPr>
              <w:t>OIC 16.44</w:t>
            </w:r>
          </w:p>
        </w:tc>
        <w:tc>
          <w:tcPr>
            <w:tcW w:w="7060" w:type="dxa"/>
            <w:tcMar>
              <w:left w:w="108" w:type="dxa"/>
            </w:tcMar>
          </w:tcPr>
          <w:p w:rsidR="003D6DF3" w:rsidRPr="00C7682E" w:rsidRDefault="003D6DF3" w:rsidP="00D73E98">
            <w:pPr>
              <w:spacing w:line="230" w:lineRule="exact"/>
              <w:rPr>
                <w:lang w:val="it-IT"/>
              </w:rPr>
            </w:pPr>
            <w:r w:rsidRPr="00DA7F66">
              <w:rPr>
                <w:lang w:val="it-IT"/>
              </w:rPr>
              <w:t>Il passaggio dalla capitalizzazione degli oneri finanziari all’imputazione direttamente a conto</w:t>
            </w:r>
            <w:r>
              <w:rPr>
                <w:lang w:val="it-IT"/>
              </w:rPr>
              <w:t xml:space="preserve"> </w:t>
            </w:r>
            <w:r w:rsidRPr="00DA7F66">
              <w:rPr>
                <w:lang w:val="it-IT"/>
              </w:rPr>
              <w:t xml:space="preserve">economico di tali oneri (o viceversa) costituisce un cambiamento di principio contabile. </w:t>
            </w:r>
            <w:r>
              <w:rPr>
                <w:lang w:val="it-IT"/>
              </w:rPr>
              <w:t>In tal caso è stato trattato in conformità a quanto previsto dall’</w:t>
            </w:r>
            <w:r w:rsidRPr="00DA7F66">
              <w:rPr>
                <w:lang w:val="it-IT"/>
              </w:rPr>
              <w:t>OIC</w:t>
            </w:r>
            <w:r>
              <w:rPr>
                <w:lang w:val="it-IT"/>
              </w:rPr>
              <w:t xml:space="preserve"> </w:t>
            </w:r>
            <w:r w:rsidRPr="00DA7F66">
              <w:rPr>
                <w:lang w:val="it-IT"/>
              </w:rPr>
              <w:t>29 “Cambiamenti di principi contabili, cambiamenti di stime contabili, correzione di errori, fatti</w:t>
            </w:r>
            <w:r>
              <w:rPr>
                <w:lang w:val="it-IT"/>
              </w:rPr>
              <w:t xml:space="preserve"> </w:t>
            </w:r>
            <w:r w:rsidRPr="00DA7F66">
              <w:rPr>
                <w:lang w:val="it-IT"/>
              </w:rPr>
              <w:t>intervenuti do</w:t>
            </w:r>
            <w:r>
              <w:rPr>
                <w:lang w:val="it-IT"/>
              </w:rPr>
              <w:t>po la chiusura dell’esercizio”?</w:t>
            </w:r>
          </w:p>
        </w:tc>
        <w:tc>
          <w:tcPr>
            <w:tcW w:w="586" w:type="dxa"/>
            <w:gridSpan w:val="2"/>
            <w:tcMar>
              <w:left w:w="85" w:type="dxa"/>
              <w:right w:w="85" w:type="dxa"/>
            </w:tcMar>
            <w:vAlign w:val="center"/>
          </w:tcPr>
          <w:p w:rsidR="003D6DF3" w:rsidRPr="003D0C5A"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3D0C5A"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3D0C5A"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B47575" w:rsidRDefault="003D6DF3" w:rsidP="00D73E98">
            <w:pPr>
              <w:pStyle w:val="PrincCont"/>
              <w:jc w:val="left"/>
              <w:rPr>
                <w:lang w:val="it-IT"/>
              </w:rPr>
            </w:pPr>
          </w:p>
        </w:tc>
        <w:tc>
          <w:tcPr>
            <w:tcW w:w="7060" w:type="dxa"/>
            <w:tcMar>
              <w:left w:w="108" w:type="dxa"/>
            </w:tcMar>
          </w:tcPr>
          <w:p w:rsidR="003D6DF3" w:rsidRPr="00B47575" w:rsidRDefault="003D6DF3" w:rsidP="00D73E98">
            <w:pPr>
              <w:pStyle w:val="Titolo3"/>
              <w:rPr>
                <w:lang w:val="it-IT"/>
              </w:rPr>
            </w:pPr>
            <w:r w:rsidRPr="00B47575">
              <w:rPr>
                <w:lang w:val="it-IT"/>
              </w:rPr>
              <w:t>Immobilizzazioni che costituiscono una unità economico-tecnica</w:t>
            </w:r>
          </w:p>
        </w:tc>
        <w:tc>
          <w:tcPr>
            <w:tcW w:w="586" w:type="dxa"/>
            <w:gridSpan w:val="2"/>
            <w:tcMar>
              <w:left w:w="85" w:type="dxa"/>
              <w:right w:w="85" w:type="dxa"/>
            </w:tcMar>
            <w:vAlign w:val="center"/>
          </w:tcPr>
          <w:p w:rsidR="003D6DF3" w:rsidRPr="00B47575" w:rsidRDefault="003D6DF3" w:rsidP="00D73E98">
            <w:pPr>
              <w:jc w:val="center"/>
              <w:rPr>
                <w:lang w:val="it-IT"/>
              </w:rPr>
            </w:pPr>
          </w:p>
        </w:tc>
        <w:tc>
          <w:tcPr>
            <w:tcW w:w="573" w:type="dxa"/>
            <w:tcMar>
              <w:left w:w="108" w:type="dxa"/>
            </w:tcMar>
            <w:vAlign w:val="center"/>
          </w:tcPr>
          <w:p w:rsidR="003D6DF3" w:rsidRPr="00B47575" w:rsidRDefault="003D6DF3" w:rsidP="00D73E98">
            <w:pPr>
              <w:jc w:val="center"/>
              <w:rPr>
                <w:lang w:val="it-IT"/>
              </w:rPr>
            </w:pPr>
          </w:p>
        </w:tc>
        <w:tc>
          <w:tcPr>
            <w:tcW w:w="570" w:type="dxa"/>
            <w:tcMar>
              <w:left w:w="108" w:type="dxa"/>
            </w:tcMar>
            <w:vAlign w:val="center"/>
          </w:tcPr>
          <w:p w:rsidR="003D6DF3" w:rsidRPr="00B47575" w:rsidRDefault="003D6DF3" w:rsidP="00D73E98">
            <w:pPr>
              <w:jc w:val="center"/>
              <w:rPr>
                <w:lang w:val="it-IT"/>
              </w:rPr>
            </w:pPr>
          </w:p>
        </w:tc>
      </w:tr>
      <w:tr w:rsidR="003D6DF3" w:rsidRPr="00CC242B" w:rsidTr="00D73E98">
        <w:trPr>
          <w:cantSplit/>
          <w:trHeight w:val="20"/>
        </w:trPr>
        <w:tc>
          <w:tcPr>
            <w:tcW w:w="680" w:type="dxa"/>
          </w:tcPr>
          <w:p w:rsidR="003D6DF3" w:rsidRPr="00987EB8" w:rsidRDefault="003D6DF3" w:rsidP="00D73E98">
            <w:pPr>
              <w:jc w:val="center"/>
              <w:rPr>
                <w:b/>
                <w:lang w:val="it-IT"/>
              </w:rPr>
            </w:pPr>
            <w:r>
              <w:rPr>
                <w:b/>
                <w:lang w:val="it-IT"/>
              </w:rPr>
              <w:t>27</w:t>
            </w:r>
            <w:r w:rsidRPr="00987EB8">
              <w:rPr>
                <w:b/>
                <w:lang w:val="it-IT"/>
              </w:rPr>
              <w:t>)</w:t>
            </w:r>
          </w:p>
        </w:tc>
        <w:tc>
          <w:tcPr>
            <w:tcW w:w="851" w:type="dxa"/>
            <w:tcMar>
              <w:left w:w="108" w:type="dxa"/>
              <w:right w:w="0" w:type="dxa"/>
            </w:tcMar>
          </w:tcPr>
          <w:p w:rsidR="003D6DF3" w:rsidRDefault="003D6DF3" w:rsidP="00D73E98">
            <w:pPr>
              <w:jc w:val="left"/>
            </w:pPr>
            <w:r>
              <w:rPr>
                <w:sz w:val="13"/>
                <w:szCs w:val="13"/>
              </w:rPr>
              <w:t>OIC 16.45</w:t>
            </w:r>
          </w:p>
        </w:tc>
        <w:tc>
          <w:tcPr>
            <w:tcW w:w="7060" w:type="dxa"/>
            <w:tcMar>
              <w:left w:w="108" w:type="dxa"/>
            </w:tcMar>
          </w:tcPr>
          <w:p w:rsidR="003D6DF3" w:rsidRPr="00B021A4" w:rsidRDefault="003D6DF3" w:rsidP="00B021A4">
            <w:pPr>
              <w:spacing w:line="230" w:lineRule="exact"/>
              <w:rPr>
                <w:lang w:val="it-IT"/>
              </w:rPr>
            </w:pPr>
            <w:r>
              <w:rPr>
                <w:lang w:val="it-IT"/>
              </w:rPr>
              <w:t>Nel caso in cui</w:t>
            </w:r>
            <w:r w:rsidRPr="00B47575">
              <w:rPr>
                <w:lang w:val="it-IT"/>
              </w:rPr>
              <w:t xml:space="preserve"> l’immobilizzazione materiale </w:t>
            </w:r>
            <w:r>
              <w:rPr>
                <w:lang w:val="it-IT"/>
              </w:rPr>
              <w:t>costituisca</w:t>
            </w:r>
            <w:r w:rsidRPr="00B47575">
              <w:rPr>
                <w:lang w:val="it-IT"/>
              </w:rPr>
              <w:t xml:space="preserve"> una unità economico-tecnica, cioè un assieme di beni tra loro coordinati in una logica tecnico-produttiva (ad esempio, una linea di</w:t>
            </w:r>
            <w:r>
              <w:rPr>
                <w:lang w:val="it-IT"/>
              </w:rPr>
              <w:t xml:space="preserve"> produzione o uno stabilimento) e</w:t>
            </w:r>
            <w:r w:rsidRPr="00B47575">
              <w:rPr>
                <w:lang w:val="it-IT"/>
              </w:rPr>
              <w:t xml:space="preserve"> il suo costo di acquisto o di produzione si riferisc</w:t>
            </w:r>
            <w:r>
              <w:rPr>
                <w:lang w:val="it-IT"/>
              </w:rPr>
              <w:t>a</w:t>
            </w:r>
            <w:r w:rsidRPr="00B47575">
              <w:rPr>
                <w:lang w:val="it-IT"/>
              </w:rPr>
              <w:t xml:space="preserve"> all’intera unità nel suo complesso</w:t>
            </w:r>
            <w:r>
              <w:rPr>
                <w:lang w:val="it-IT"/>
              </w:rPr>
              <w:t>, sono stati</w:t>
            </w:r>
            <w:r w:rsidRPr="00B47575">
              <w:rPr>
                <w:lang w:val="it-IT"/>
              </w:rPr>
              <w:t xml:space="preserve"> determina</w:t>
            </w:r>
            <w:r>
              <w:rPr>
                <w:lang w:val="it-IT"/>
              </w:rPr>
              <w:t>ti</w:t>
            </w:r>
            <w:r w:rsidRPr="00B47575">
              <w:rPr>
                <w:lang w:val="it-IT"/>
              </w:rPr>
              <w:t xml:space="preserve"> i valori dei singoli cespiti che la compongono per: </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jc w:val="center"/>
              <w:rPr>
                <w:lang w:val="it-IT"/>
              </w:rPr>
            </w:pPr>
          </w:p>
        </w:tc>
        <w:tc>
          <w:tcPr>
            <w:tcW w:w="570" w:type="dxa"/>
            <w:tcMar>
              <w:left w:w="108" w:type="dxa"/>
            </w:tcMar>
            <w:vAlign w:val="center"/>
          </w:tcPr>
          <w:p w:rsidR="003D6DF3" w:rsidRPr="00A32A16" w:rsidRDefault="003D6DF3" w:rsidP="00D73E98">
            <w:pPr>
              <w:jc w:val="center"/>
              <w:rPr>
                <w:lang w:val="it-IT"/>
              </w:rPr>
            </w:pPr>
          </w:p>
        </w:tc>
      </w:tr>
      <w:tr w:rsidR="003D6DF3" w:rsidRPr="00B021A4"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7617D2" w:rsidRDefault="003D6DF3" w:rsidP="00D73E98">
            <w:pPr>
              <w:jc w:val="left"/>
              <w:rPr>
                <w:sz w:val="13"/>
                <w:szCs w:val="13"/>
                <w:lang w:val="it-IT"/>
              </w:rPr>
            </w:pPr>
          </w:p>
        </w:tc>
        <w:tc>
          <w:tcPr>
            <w:tcW w:w="7060" w:type="dxa"/>
            <w:tcMar>
              <w:left w:w="108" w:type="dxa"/>
            </w:tcMar>
          </w:tcPr>
          <w:p w:rsidR="003D6DF3" w:rsidRPr="00B021A4" w:rsidRDefault="00A707D4" w:rsidP="00A707D4">
            <w:pPr>
              <w:pStyle w:val="rientrotrattinook"/>
              <w:numPr>
                <w:ilvl w:val="0"/>
                <w:numId w:val="0"/>
              </w:numPr>
              <w:ind w:left="460" w:hanging="284"/>
            </w:pPr>
            <w:r>
              <w:t>-</w:t>
            </w:r>
            <w:r>
              <w:tab/>
            </w:r>
            <w:r w:rsidR="003D6DF3" w:rsidRPr="00B47575">
              <w:t xml:space="preserve">distinguere i cespiti soggetti ad ammortamento da quelli che non lo sono, e </w:t>
            </w:r>
          </w:p>
        </w:tc>
        <w:tc>
          <w:tcPr>
            <w:tcW w:w="586" w:type="dxa"/>
            <w:gridSpan w:val="2"/>
            <w:tcMar>
              <w:left w:w="85" w:type="dxa"/>
              <w:right w:w="85"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B021A4"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B021A4" w:rsidRDefault="003D6DF3" w:rsidP="00D73E98">
            <w:pPr>
              <w:jc w:val="left"/>
              <w:rPr>
                <w:sz w:val="13"/>
                <w:szCs w:val="13"/>
                <w:lang w:val="it-IT"/>
              </w:rPr>
            </w:pPr>
          </w:p>
        </w:tc>
        <w:tc>
          <w:tcPr>
            <w:tcW w:w="7060" w:type="dxa"/>
            <w:tcMar>
              <w:left w:w="108" w:type="dxa"/>
            </w:tcMar>
          </w:tcPr>
          <w:p w:rsidR="003D6DF3" w:rsidRDefault="00A707D4" w:rsidP="00A707D4">
            <w:pPr>
              <w:pStyle w:val="rientrotrattinook"/>
              <w:numPr>
                <w:ilvl w:val="0"/>
                <w:numId w:val="0"/>
              </w:numPr>
              <w:ind w:left="460" w:hanging="284"/>
            </w:pPr>
            <w:r>
              <w:t>-</w:t>
            </w:r>
            <w:r>
              <w:tab/>
            </w:r>
            <w:r w:rsidR="003D6DF3" w:rsidRPr="00B021A4">
              <w:t>individuare la diversa durata della loro vita utile?</w:t>
            </w:r>
          </w:p>
        </w:tc>
        <w:tc>
          <w:tcPr>
            <w:tcW w:w="586" w:type="dxa"/>
            <w:gridSpan w:val="2"/>
            <w:tcMar>
              <w:left w:w="85" w:type="dxa"/>
              <w:right w:w="85"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28</w:t>
            </w:r>
            <w:r w:rsidRPr="00987EB8">
              <w:rPr>
                <w:b/>
                <w:lang w:val="it-IT"/>
              </w:rPr>
              <w:t>)</w:t>
            </w:r>
          </w:p>
        </w:tc>
        <w:tc>
          <w:tcPr>
            <w:tcW w:w="851" w:type="dxa"/>
            <w:tcMar>
              <w:left w:w="108" w:type="dxa"/>
              <w:right w:w="0" w:type="dxa"/>
            </w:tcMar>
          </w:tcPr>
          <w:p w:rsidR="003D6DF3" w:rsidRDefault="003D6DF3" w:rsidP="00D73E98">
            <w:pPr>
              <w:jc w:val="left"/>
            </w:pPr>
            <w:r>
              <w:rPr>
                <w:sz w:val="13"/>
                <w:szCs w:val="13"/>
              </w:rPr>
              <w:t>OIC 16.45</w:t>
            </w:r>
          </w:p>
        </w:tc>
        <w:tc>
          <w:tcPr>
            <w:tcW w:w="7060" w:type="dxa"/>
            <w:tcMar>
              <w:left w:w="108" w:type="dxa"/>
            </w:tcMar>
          </w:tcPr>
          <w:p w:rsidR="003D6DF3" w:rsidRDefault="003D6DF3" w:rsidP="00D73E98">
            <w:pPr>
              <w:spacing w:line="230" w:lineRule="exact"/>
              <w:rPr>
                <w:lang w:val="it-IT"/>
              </w:rPr>
            </w:pPr>
            <w:r w:rsidRPr="00B47575">
              <w:rPr>
                <w:lang w:val="it-IT"/>
              </w:rPr>
              <w:t>Il valore dei singoli cespiti è determinato in base ai prezzi di mercat</w:t>
            </w:r>
            <w:r>
              <w:rPr>
                <w:lang w:val="it-IT"/>
              </w:rPr>
              <w:t>o, tenendo conto del loro stato?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29</w:t>
            </w:r>
            <w:r w:rsidRPr="00987EB8">
              <w:rPr>
                <w:b/>
                <w:lang w:val="it-IT"/>
              </w:rPr>
              <w:t>)</w:t>
            </w:r>
          </w:p>
        </w:tc>
        <w:tc>
          <w:tcPr>
            <w:tcW w:w="851" w:type="dxa"/>
            <w:tcMar>
              <w:left w:w="108" w:type="dxa"/>
              <w:right w:w="0" w:type="dxa"/>
            </w:tcMar>
          </w:tcPr>
          <w:p w:rsidR="003D6DF3" w:rsidRDefault="003D6DF3" w:rsidP="00D73E98">
            <w:pPr>
              <w:jc w:val="left"/>
            </w:pPr>
            <w:r>
              <w:rPr>
                <w:sz w:val="13"/>
                <w:szCs w:val="13"/>
              </w:rPr>
              <w:t>OIC 16.46</w:t>
            </w:r>
          </w:p>
        </w:tc>
        <w:tc>
          <w:tcPr>
            <w:tcW w:w="7060" w:type="dxa"/>
            <w:tcMar>
              <w:left w:w="108" w:type="dxa"/>
            </w:tcMar>
          </w:tcPr>
          <w:p w:rsidR="003D6DF3" w:rsidRDefault="003D6DF3" w:rsidP="00D73E98">
            <w:pPr>
              <w:spacing w:line="230" w:lineRule="exact"/>
              <w:rPr>
                <w:lang w:val="it-IT"/>
              </w:rPr>
            </w:pPr>
            <w:r w:rsidRPr="0003027D">
              <w:rPr>
                <w:lang w:val="it-IT"/>
              </w:rPr>
              <w:t>Se la somma dei valori attribuiti ai singoli cespiti eccede il costo dell’intera unità economico-tecnica, i singoli valori attribuiti sono proporzionalmente ridotti per ragguagliarne l’ammontare complessivo al costo dell’intera unità</w:t>
            </w:r>
            <w:r>
              <w:rPr>
                <w:lang w:val="it-IT"/>
              </w:rPr>
              <w:t>?</w:t>
            </w:r>
            <w:r w:rsidRPr="0003027D">
              <w:rPr>
                <w:lang w:val="it-IT"/>
              </w:rPr>
              <w:t xml:space="preserve"> </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30</w:t>
            </w:r>
            <w:r w:rsidRPr="00987EB8">
              <w:rPr>
                <w:b/>
                <w:lang w:val="it-IT"/>
              </w:rPr>
              <w:t>)</w:t>
            </w:r>
          </w:p>
        </w:tc>
        <w:tc>
          <w:tcPr>
            <w:tcW w:w="851" w:type="dxa"/>
            <w:tcMar>
              <w:left w:w="108" w:type="dxa"/>
              <w:right w:w="0" w:type="dxa"/>
            </w:tcMar>
          </w:tcPr>
          <w:p w:rsidR="003D6DF3" w:rsidRDefault="003D6DF3" w:rsidP="00D73E98">
            <w:pPr>
              <w:jc w:val="left"/>
            </w:pPr>
            <w:r>
              <w:rPr>
                <w:sz w:val="13"/>
                <w:szCs w:val="13"/>
              </w:rPr>
              <w:t>OIC 16.46</w:t>
            </w:r>
          </w:p>
        </w:tc>
        <w:tc>
          <w:tcPr>
            <w:tcW w:w="7060" w:type="dxa"/>
            <w:tcMar>
              <w:left w:w="108" w:type="dxa"/>
            </w:tcMar>
          </w:tcPr>
          <w:p w:rsidR="003D6DF3" w:rsidRDefault="003D6DF3" w:rsidP="00D73E98">
            <w:pPr>
              <w:spacing w:line="230" w:lineRule="exact"/>
              <w:rPr>
                <w:lang w:val="it-IT"/>
              </w:rPr>
            </w:pPr>
            <w:r w:rsidRPr="0003027D">
              <w:rPr>
                <w:lang w:val="it-IT"/>
              </w:rPr>
              <w:t>Se invece la somma dei valori attribuiti ai singoli cespiti è inferiore al costo dell’intera unità, la differenza è portata proporzionalmente in aumento dei valori di mercato dei singoli cespiti sempreché il valore c</w:t>
            </w:r>
            <w:r>
              <w:rPr>
                <w:lang w:val="it-IT"/>
              </w:rPr>
              <w:t>osì risultante sia recuperabile?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p>
        </w:tc>
        <w:tc>
          <w:tcPr>
            <w:tcW w:w="7060" w:type="dxa"/>
            <w:tcMar>
              <w:left w:w="108" w:type="dxa"/>
            </w:tcMar>
          </w:tcPr>
          <w:p w:rsidR="003D6DF3" w:rsidRPr="00E77155" w:rsidRDefault="003D6DF3" w:rsidP="00D73E98">
            <w:pPr>
              <w:pStyle w:val="Titolo3"/>
              <w:keepNext w:val="0"/>
              <w:rPr>
                <w:lang w:val="it-IT"/>
              </w:rPr>
            </w:pPr>
            <w:r>
              <w:rPr>
                <w:lang w:val="it-IT"/>
              </w:rPr>
              <w:t>I</w:t>
            </w:r>
            <w:r w:rsidRPr="00E77155">
              <w:rPr>
                <w:lang w:val="it-IT"/>
              </w:rPr>
              <w:t>mmobilizzazioni acquisite a titolo gratuito</w:t>
            </w:r>
          </w:p>
        </w:tc>
        <w:tc>
          <w:tcPr>
            <w:tcW w:w="586" w:type="dxa"/>
            <w:gridSpan w:val="2"/>
            <w:tcMar>
              <w:left w:w="85" w:type="dxa"/>
              <w:right w:w="85" w:type="dxa"/>
            </w:tcMar>
            <w:vAlign w:val="center"/>
          </w:tcPr>
          <w:p w:rsidR="003D6DF3" w:rsidRPr="00492518" w:rsidRDefault="003D6DF3" w:rsidP="00D73E98">
            <w:pPr>
              <w:jc w:val="center"/>
              <w:rPr>
                <w:lang w:val="it-IT"/>
              </w:rPr>
            </w:pPr>
          </w:p>
        </w:tc>
        <w:tc>
          <w:tcPr>
            <w:tcW w:w="573" w:type="dxa"/>
            <w:tcMar>
              <w:left w:w="108" w:type="dxa"/>
            </w:tcMar>
            <w:vAlign w:val="center"/>
          </w:tcPr>
          <w:p w:rsidR="003D6DF3" w:rsidRPr="00492518" w:rsidRDefault="003D6DF3" w:rsidP="00D73E98">
            <w:pPr>
              <w:jc w:val="center"/>
              <w:rPr>
                <w:lang w:val="it-IT"/>
              </w:rPr>
            </w:pPr>
          </w:p>
        </w:tc>
        <w:tc>
          <w:tcPr>
            <w:tcW w:w="570" w:type="dxa"/>
            <w:tcMar>
              <w:left w:w="108" w:type="dxa"/>
            </w:tcMar>
            <w:vAlign w:val="center"/>
          </w:tcPr>
          <w:p w:rsidR="003D6DF3" w:rsidRPr="00492518"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31</w:t>
            </w:r>
            <w:r w:rsidRPr="00987EB8">
              <w:rPr>
                <w:b/>
                <w:lang w:val="it-IT"/>
              </w:rPr>
              <w:t>)</w:t>
            </w:r>
          </w:p>
        </w:tc>
        <w:tc>
          <w:tcPr>
            <w:tcW w:w="851" w:type="dxa"/>
            <w:tcMar>
              <w:left w:w="108" w:type="dxa"/>
              <w:right w:w="0" w:type="dxa"/>
            </w:tcMar>
          </w:tcPr>
          <w:p w:rsidR="003D6DF3" w:rsidRDefault="003D6DF3" w:rsidP="00D73E98">
            <w:pPr>
              <w:jc w:val="left"/>
            </w:pPr>
            <w:r>
              <w:rPr>
                <w:sz w:val="13"/>
                <w:szCs w:val="13"/>
              </w:rPr>
              <w:t>OIC 16.47</w:t>
            </w:r>
          </w:p>
        </w:tc>
        <w:tc>
          <w:tcPr>
            <w:tcW w:w="7060" w:type="dxa"/>
            <w:tcMar>
              <w:left w:w="108" w:type="dxa"/>
            </w:tcMar>
          </w:tcPr>
          <w:p w:rsidR="003D6DF3" w:rsidRDefault="003D6DF3" w:rsidP="00D73E98">
            <w:pPr>
              <w:spacing w:line="230" w:lineRule="exact"/>
              <w:rPr>
                <w:lang w:val="it-IT"/>
              </w:rPr>
            </w:pPr>
            <w:r w:rsidRPr="00E77155">
              <w:rPr>
                <w:lang w:val="it-IT"/>
              </w:rPr>
              <w:t xml:space="preserve">Le immobilizzazioni materiali acquisite a titolo gratuito sono iscritte nell’attivo dello stato patrimoniale in base al presumibile valore di mercato attribuibile alle stesse alla data di acquisizione, </w:t>
            </w:r>
            <w:r>
              <w:rPr>
                <w:lang w:val="it-IT"/>
              </w:rPr>
              <w:t>incrementato dei</w:t>
            </w:r>
            <w:r w:rsidRPr="00E77155">
              <w:rPr>
                <w:lang w:val="it-IT"/>
              </w:rPr>
              <w:t xml:space="preserve"> costi sostenuti e/o da sostenere affinché le stesse possano essere durevolmente ed utilmente inserite nel processo produttivo</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32</w:t>
            </w:r>
            <w:r w:rsidRPr="00987EB8">
              <w:rPr>
                <w:b/>
                <w:lang w:val="it-IT"/>
              </w:rPr>
              <w:t>)</w:t>
            </w:r>
          </w:p>
        </w:tc>
        <w:tc>
          <w:tcPr>
            <w:tcW w:w="851" w:type="dxa"/>
            <w:tcMar>
              <w:left w:w="108" w:type="dxa"/>
              <w:right w:w="0" w:type="dxa"/>
            </w:tcMar>
          </w:tcPr>
          <w:p w:rsidR="003D6DF3" w:rsidRDefault="003D6DF3" w:rsidP="00D73E98">
            <w:pPr>
              <w:jc w:val="left"/>
            </w:pPr>
            <w:r>
              <w:rPr>
                <w:sz w:val="13"/>
                <w:szCs w:val="13"/>
              </w:rPr>
              <w:t>OIC 16.47</w:t>
            </w:r>
          </w:p>
        </w:tc>
        <w:tc>
          <w:tcPr>
            <w:tcW w:w="7060" w:type="dxa"/>
            <w:tcMar>
              <w:left w:w="108" w:type="dxa"/>
            </w:tcMar>
          </w:tcPr>
          <w:p w:rsidR="003D6DF3" w:rsidRDefault="003D6DF3" w:rsidP="00D73E98">
            <w:pPr>
              <w:spacing w:line="230" w:lineRule="exact"/>
              <w:rPr>
                <w:lang w:val="it-IT"/>
              </w:rPr>
            </w:pPr>
            <w:r w:rsidRPr="00E77155">
              <w:rPr>
                <w:lang w:val="it-IT"/>
              </w:rPr>
              <w:t>In ogni caso,</w:t>
            </w:r>
            <w:r>
              <w:rPr>
                <w:lang w:val="it-IT"/>
              </w:rPr>
              <w:t xml:space="preserve"> si è verificato che</w:t>
            </w:r>
            <w:r w:rsidRPr="00E77155">
              <w:rPr>
                <w:lang w:val="it-IT"/>
              </w:rPr>
              <w:t xml:space="preserve"> il valore contabile dell’immobilizzazione non super</w:t>
            </w:r>
            <w:r>
              <w:rPr>
                <w:lang w:val="it-IT"/>
              </w:rPr>
              <w:t>i il valore recuperabile?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33</w:t>
            </w:r>
            <w:r w:rsidRPr="00987EB8">
              <w:rPr>
                <w:b/>
                <w:lang w:val="it-IT"/>
              </w:rPr>
              <w:t>)</w:t>
            </w:r>
          </w:p>
        </w:tc>
        <w:tc>
          <w:tcPr>
            <w:tcW w:w="851" w:type="dxa"/>
            <w:tcMar>
              <w:left w:w="108" w:type="dxa"/>
              <w:right w:w="0" w:type="dxa"/>
            </w:tcMar>
          </w:tcPr>
          <w:p w:rsidR="003D6DF3" w:rsidRDefault="003D6DF3" w:rsidP="00D73E98">
            <w:pPr>
              <w:jc w:val="left"/>
            </w:pPr>
            <w:r>
              <w:rPr>
                <w:sz w:val="13"/>
                <w:szCs w:val="13"/>
              </w:rPr>
              <w:t>OIC 16.47</w:t>
            </w:r>
          </w:p>
        </w:tc>
        <w:tc>
          <w:tcPr>
            <w:tcW w:w="7060" w:type="dxa"/>
            <w:tcMar>
              <w:left w:w="108" w:type="dxa"/>
            </w:tcMar>
          </w:tcPr>
          <w:p w:rsidR="003D6DF3" w:rsidRDefault="003D6DF3" w:rsidP="00D73E98">
            <w:pPr>
              <w:spacing w:line="230" w:lineRule="exact"/>
              <w:rPr>
                <w:lang w:val="it-IT"/>
              </w:rPr>
            </w:pPr>
            <w:r w:rsidRPr="00261056">
              <w:rPr>
                <w:lang w:val="it-IT"/>
              </w:rPr>
              <w:t>Il valore così</w:t>
            </w:r>
            <w:r>
              <w:rPr>
                <w:lang w:val="it-IT"/>
              </w:rPr>
              <w:t xml:space="preserve"> </w:t>
            </w:r>
            <w:r w:rsidRPr="00261056">
              <w:rPr>
                <w:lang w:val="it-IT"/>
              </w:rPr>
              <w:t>determinato è rilevato a conto economico in contropartita alla vo</w:t>
            </w:r>
            <w:r>
              <w:rPr>
                <w:lang w:val="it-IT"/>
              </w:rPr>
              <w:t>ce A5 “Altri ricavi e proventi”?</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34</w:t>
            </w:r>
            <w:r w:rsidRPr="00987EB8">
              <w:rPr>
                <w:b/>
                <w:lang w:val="it-IT"/>
              </w:rPr>
              <w:t>)</w:t>
            </w:r>
          </w:p>
        </w:tc>
        <w:tc>
          <w:tcPr>
            <w:tcW w:w="851" w:type="dxa"/>
            <w:tcMar>
              <w:left w:w="108" w:type="dxa"/>
              <w:right w:w="0" w:type="dxa"/>
            </w:tcMar>
          </w:tcPr>
          <w:p w:rsidR="003D6DF3" w:rsidRDefault="003D6DF3" w:rsidP="00D73E98">
            <w:pPr>
              <w:jc w:val="left"/>
            </w:pPr>
            <w:r w:rsidRPr="005521C0">
              <w:rPr>
                <w:sz w:val="13"/>
                <w:szCs w:val="13"/>
              </w:rPr>
              <w:t>OIC 16.</w:t>
            </w:r>
            <w:r>
              <w:rPr>
                <w:sz w:val="13"/>
                <w:szCs w:val="13"/>
              </w:rPr>
              <w:t>48</w:t>
            </w:r>
          </w:p>
        </w:tc>
        <w:tc>
          <w:tcPr>
            <w:tcW w:w="7060" w:type="dxa"/>
            <w:tcMar>
              <w:left w:w="108" w:type="dxa"/>
            </w:tcMar>
          </w:tcPr>
          <w:p w:rsidR="003D6DF3" w:rsidRDefault="003D6DF3" w:rsidP="00D73E98">
            <w:pPr>
              <w:spacing w:line="230" w:lineRule="exact"/>
              <w:rPr>
                <w:lang w:val="it-IT"/>
              </w:rPr>
            </w:pPr>
            <w:r w:rsidRPr="00625891">
              <w:rPr>
                <w:lang w:val="it-IT"/>
              </w:rPr>
              <w:t>Le immobilizzazioni materiali acquisite a titolo gratuito sono ammortizzate con gli stessi criteri di quelle acq</w:t>
            </w:r>
            <w:r>
              <w:rPr>
                <w:lang w:val="it-IT"/>
              </w:rPr>
              <w:t>uisite a titolo oneroso?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p>
        </w:tc>
        <w:tc>
          <w:tcPr>
            <w:tcW w:w="7060" w:type="dxa"/>
            <w:tcMar>
              <w:left w:w="108" w:type="dxa"/>
            </w:tcMar>
          </w:tcPr>
          <w:p w:rsidR="003D6DF3" w:rsidRPr="00E77155" w:rsidRDefault="003D6DF3" w:rsidP="00D73E98">
            <w:pPr>
              <w:pStyle w:val="Titolo3"/>
              <w:rPr>
                <w:lang w:val="it-IT"/>
              </w:rPr>
            </w:pPr>
            <w:r w:rsidRPr="00BC26DA">
              <w:rPr>
                <w:lang w:val="it-IT"/>
              </w:rPr>
              <w:t>Manutenzione ordinaria e manutenzione straordinaria</w:t>
            </w:r>
          </w:p>
        </w:tc>
        <w:tc>
          <w:tcPr>
            <w:tcW w:w="586" w:type="dxa"/>
            <w:gridSpan w:val="2"/>
            <w:tcMar>
              <w:left w:w="85" w:type="dxa"/>
              <w:right w:w="85" w:type="dxa"/>
            </w:tcMar>
            <w:vAlign w:val="center"/>
          </w:tcPr>
          <w:p w:rsidR="003D6DF3" w:rsidRPr="00492518" w:rsidRDefault="003D6DF3" w:rsidP="00D73E98">
            <w:pPr>
              <w:jc w:val="center"/>
              <w:rPr>
                <w:lang w:val="it-IT"/>
              </w:rPr>
            </w:pPr>
          </w:p>
        </w:tc>
        <w:tc>
          <w:tcPr>
            <w:tcW w:w="573" w:type="dxa"/>
            <w:tcMar>
              <w:left w:w="108" w:type="dxa"/>
            </w:tcMar>
            <w:vAlign w:val="center"/>
          </w:tcPr>
          <w:p w:rsidR="003D6DF3" w:rsidRPr="00492518" w:rsidRDefault="003D6DF3" w:rsidP="00D73E98">
            <w:pPr>
              <w:jc w:val="center"/>
              <w:rPr>
                <w:lang w:val="it-IT"/>
              </w:rPr>
            </w:pPr>
          </w:p>
        </w:tc>
        <w:tc>
          <w:tcPr>
            <w:tcW w:w="570" w:type="dxa"/>
            <w:tcMar>
              <w:left w:w="108" w:type="dxa"/>
            </w:tcMar>
            <w:vAlign w:val="center"/>
          </w:tcPr>
          <w:p w:rsidR="003D6DF3" w:rsidRPr="00492518"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35</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49</w:t>
            </w:r>
          </w:p>
        </w:tc>
        <w:tc>
          <w:tcPr>
            <w:tcW w:w="7060" w:type="dxa"/>
            <w:tcMar>
              <w:left w:w="108" w:type="dxa"/>
            </w:tcMar>
          </w:tcPr>
          <w:p w:rsidR="003D6DF3" w:rsidRDefault="003D6DF3" w:rsidP="00D73E98">
            <w:pPr>
              <w:spacing w:line="230" w:lineRule="exact"/>
              <w:rPr>
                <w:lang w:val="it-IT"/>
              </w:rPr>
            </w:pPr>
            <w:r w:rsidRPr="002730EE">
              <w:rPr>
                <w:lang w:val="it-IT"/>
              </w:rPr>
              <w:t>I costi di manutenzione ordinaria sono rilevati a conto economico nell’esercizio in cui sono</w:t>
            </w:r>
            <w:r>
              <w:rPr>
                <w:lang w:val="it-IT"/>
              </w:rPr>
              <w:t xml:space="preserve"> </w:t>
            </w:r>
            <w:r w:rsidRPr="002730EE">
              <w:rPr>
                <w:lang w:val="it-IT"/>
              </w:rPr>
              <w:t>sostenuti</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Del="00D960D7" w:rsidRDefault="003D6DF3" w:rsidP="00D73E98">
            <w:pPr>
              <w:jc w:val="center"/>
              <w:rPr>
                <w:b/>
                <w:lang w:val="it-IT"/>
              </w:rPr>
            </w:pPr>
          </w:p>
        </w:tc>
        <w:tc>
          <w:tcPr>
            <w:tcW w:w="851" w:type="dxa"/>
            <w:tcMar>
              <w:left w:w="108" w:type="dxa"/>
              <w:right w:w="0" w:type="dxa"/>
            </w:tcMar>
          </w:tcPr>
          <w:p w:rsidR="003D6DF3" w:rsidRDefault="003D6DF3" w:rsidP="00D73E98">
            <w:pPr>
              <w:jc w:val="left"/>
              <w:rPr>
                <w:sz w:val="13"/>
                <w:szCs w:val="13"/>
              </w:rPr>
            </w:pPr>
            <w:r w:rsidRPr="00431E12">
              <w:rPr>
                <w:sz w:val="13"/>
                <w:szCs w:val="13"/>
              </w:rPr>
              <w:t>OIC 16.</w:t>
            </w:r>
            <w:r>
              <w:rPr>
                <w:sz w:val="13"/>
                <w:szCs w:val="13"/>
              </w:rPr>
              <w:t>52</w:t>
            </w:r>
          </w:p>
          <w:p w:rsidR="003D6DF3" w:rsidRPr="00431E12" w:rsidRDefault="003D6DF3" w:rsidP="00D73E98">
            <w:pPr>
              <w:jc w:val="left"/>
              <w:rPr>
                <w:sz w:val="13"/>
                <w:szCs w:val="13"/>
              </w:rPr>
            </w:pPr>
          </w:p>
        </w:tc>
        <w:tc>
          <w:tcPr>
            <w:tcW w:w="7060" w:type="dxa"/>
            <w:tcMar>
              <w:left w:w="108" w:type="dxa"/>
            </w:tcMar>
          </w:tcPr>
          <w:p w:rsidR="003D6DF3" w:rsidRPr="00B1294D" w:rsidRDefault="003D6DF3" w:rsidP="00D73E98">
            <w:pPr>
              <w:pStyle w:val="Commentiriquadro"/>
            </w:pPr>
            <w:r>
              <w:t>Le manutenzioni ordinarie possono essere oggetto di pianificazione in funzione dei programmi di utilizzazione delle immobilizzazioni. Le riparazioni non possono essere pianificate, ma entro certi limiti possono essere ragionevolmente previste. Manutenzioni e riparazioni costituiscono un’unica classe di costi inerenti le immobilizzazioni materiali, identificata con il termine manutenzioni, che, unitamente alle quote di ammortamento, concorrono a esprimere il contributo che le immobilizzazioni producono sui risultati economici.</w:t>
            </w:r>
          </w:p>
        </w:tc>
        <w:tc>
          <w:tcPr>
            <w:tcW w:w="586" w:type="dxa"/>
            <w:gridSpan w:val="2"/>
            <w:tcMar>
              <w:left w:w="85" w:type="dxa"/>
              <w:right w:w="85" w:type="dxa"/>
            </w:tcMar>
            <w:vAlign w:val="center"/>
          </w:tcPr>
          <w:p w:rsidR="003D6DF3" w:rsidRPr="00D960D7" w:rsidRDefault="003D6DF3" w:rsidP="00D73E98">
            <w:pPr>
              <w:jc w:val="center"/>
              <w:rPr>
                <w:lang w:val="it-IT"/>
              </w:rPr>
            </w:pPr>
          </w:p>
        </w:tc>
        <w:tc>
          <w:tcPr>
            <w:tcW w:w="573" w:type="dxa"/>
            <w:tcMar>
              <w:left w:w="108" w:type="dxa"/>
            </w:tcMar>
            <w:vAlign w:val="center"/>
          </w:tcPr>
          <w:p w:rsidR="003D6DF3" w:rsidRPr="00D960D7" w:rsidRDefault="003D6DF3" w:rsidP="00D73E98">
            <w:pPr>
              <w:jc w:val="center"/>
              <w:rPr>
                <w:lang w:val="it-IT"/>
              </w:rPr>
            </w:pPr>
          </w:p>
        </w:tc>
        <w:tc>
          <w:tcPr>
            <w:tcW w:w="570" w:type="dxa"/>
            <w:tcMar>
              <w:left w:w="108" w:type="dxa"/>
            </w:tcMar>
            <w:vAlign w:val="center"/>
          </w:tcPr>
          <w:p w:rsidR="003D6DF3" w:rsidRPr="00D960D7"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36</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49</w:t>
            </w:r>
          </w:p>
        </w:tc>
        <w:tc>
          <w:tcPr>
            <w:tcW w:w="7060" w:type="dxa"/>
            <w:tcMar>
              <w:left w:w="108" w:type="dxa"/>
            </w:tcMar>
          </w:tcPr>
          <w:p w:rsidR="003D6DF3" w:rsidRDefault="003D6DF3" w:rsidP="00D73E98">
            <w:pPr>
              <w:spacing w:line="230" w:lineRule="exact"/>
              <w:rPr>
                <w:lang w:val="it-IT"/>
              </w:rPr>
            </w:pPr>
            <w:r w:rsidRPr="002730EE">
              <w:rPr>
                <w:lang w:val="it-IT"/>
              </w:rPr>
              <w:t xml:space="preserve">I costi di manutenzione straordinaria </w:t>
            </w:r>
            <w:r>
              <w:rPr>
                <w:lang w:val="it-IT"/>
              </w:rPr>
              <w:t>sono stati</w:t>
            </w:r>
            <w:r w:rsidRPr="002730EE">
              <w:rPr>
                <w:lang w:val="it-IT"/>
              </w:rPr>
              <w:t xml:space="preserve"> capitalizza</w:t>
            </w:r>
            <w:r>
              <w:rPr>
                <w:lang w:val="it-IT"/>
              </w:rPr>
              <w:t>t</w:t>
            </w:r>
            <w:r w:rsidRPr="002730EE">
              <w:rPr>
                <w:lang w:val="it-IT"/>
              </w:rPr>
              <w:t>i nei limiti del valore</w:t>
            </w:r>
            <w:r>
              <w:rPr>
                <w:lang w:val="it-IT"/>
              </w:rPr>
              <w:t xml:space="preserve"> </w:t>
            </w:r>
            <w:r w:rsidRPr="002730EE">
              <w:rPr>
                <w:lang w:val="it-IT"/>
              </w:rPr>
              <w:t>recuperabile del bene</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Del="00D960D7" w:rsidRDefault="003D6DF3" w:rsidP="00D73E98">
            <w:pPr>
              <w:jc w:val="center"/>
              <w:rPr>
                <w:b/>
                <w:lang w:val="it-IT"/>
              </w:rPr>
            </w:pPr>
          </w:p>
        </w:tc>
        <w:tc>
          <w:tcPr>
            <w:tcW w:w="851" w:type="dxa"/>
            <w:tcMar>
              <w:left w:w="108" w:type="dxa"/>
              <w:right w:w="0" w:type="dxa"/>
            </w:tcMar>
          </w:tcPr>
          <w:p w:rsidR="003D6DF3" w:rsidRDefault="003D6DF3" w:rsidP="00D73E98">
            <w:pPr>
              <w:jc w:val="left"/>
              <w:rPr>
                <w:sz w:val="13"/>
                <w:szCs w:val="13"/>
              </w:rPr>
            </w:pPr>
            <w:r w:rsidRPr="00431E12">
              <w:rPr>
                <w:sz w:val="13"/>
                <w:szCs w:val="13"/>
              </w:rPr>
              <w:t>OIC 16.</w:t>
            </w:r>
            <w:r>
              <w:rPr>
                <w:sz w:val="13"/>
                <w:szCs w:val="13"/>
              </w:rPr>
              <w:t>50</w:t>
            </w:r>
          </w:p>
          <w:p w:rsidR="003D6DF3" w:rsidRPr="00431E12" w:rsidRDefault="003D6DF3" w:rsidP="00D73E98">
            <w:pPr>
              <w:jc w:val="left"/>
              <w:rPr>
                <w:sz w:val="13"/>
                <w:szCs w:val="13"/>
              </w:rPr>
            </w:pPr>
          </w:p>
        </w:tc>
        <w:tc>
          <w:tcPr>
            <w:tcW w:w="7060" w:type="dxa"/>
            <w:tcMar>
              <w:left w:w="108" w:type="dxa"/>
            </w:tcMar>
          </w:tcPr>
          <w:p w:rsidR="003D6DF3" w:rsidRPr="00B1294D" w:rsidRDefault="003D6DF3" w:rsidP="00D73E98">
            <w:pPr>
              <w:pStyle w:val="Commentiriquadro"/>
            </w:pPr>
            <w:r>
              <w:t>Variazioni rilevanti apportate a cespiti già esistenti a seguito delle predette operazioni comportano un’attenta valutazione dei costi sostenuti per determinarne la parte che è capitalizzabile e quella che è invece da considerarsi manutenzione ordinaria. In alcuni casi, tali valutazioni possono essere complesse e richiedere adeguata documentazione a supporto delle scelte effettuate.</w:t>
            </w:r>
          </w:p>
        </w:tc>
        <w:tc>
          <w:tcPr>
            <w:tcW w:w="586" w:type="dxa"/>
            <w:gridSpan w:val="2"/>
            <w:tcMar>
              <w:left w:w="85" w:type="dxa"/>
              <w:right w:w="85" w:type="dxa"/>
            </w:tcMar>
            <w:vAlign w:val="center"/>
          </w:tcPr>
          <w:p w:rsidR="003D6DF3" w:rsidRPr="00D960D7" w:rsidRDefault="003D6DF3" w:rsidP="00D73E98">
            <w:pPr>
              <w:jc w:val="center"/>
              <w:rPr>
                <w:lang w:val="it-IT"/>
              </w:rPr>
            </w:pPr>
          </w:p>
        </w:tc>
        <w:tc>
          <w:tcPr>
            <w:tcW w:w="573" w:type="dxa"/>
            <w:tcMar>
              <w:left w:w="108" w:type="dxa"/>
            </w:tcMar>
            <w:vAlign w:val="center"/>
          </w:tcPr>
          <w:p w:rsidR="003D6DF3" w:rsidRPr="00D960D7" w:rsidRDefault="003D6DF3" w:rsidP="00D73E98">
            <w:pPr>
              <w:jc w:val="center"/>
              <w:rPr>
                <w:lang w:val="it-IT"/>
              </w:rPr>
            </w:pPr>
          </w:p>
        </w:tc>
        <w:tc>
          <w:tcPr>
            <w:tcW w:w="570" w:type="dxa"/>
            <w:tcMar>
              <w:left w:w="108" w:type="dxa"/>
            </w:tcMar>
            <w:vAlign w:val="center"/>
          </w:tcPr>
          <w:p w:rsidR="003D6DF3" w:rsidRPr="00D960D7"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37</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50</w:t>
            </w:r>
          </w:p>
        </w:tc>
        <w:tc>
          <w:tcPr>
            <w:tcW w:w="7060" w:type="dxa"/>
            <w:tcMar>
              <w:left w:w="108" w:type="dxa"/>
            </w:tcMar>
          </w:tcPr>
          <w:p w:rsidR="003D6DF3" w:rsidRDefault="003D6DF3" w:rsidP="00D73E98">
            <w:pPr>
              <w:spacing w:line="230" w:lineRule="exact"/>
              <w:rPr>
                <w:lang w:val="it-IT"/>
              </w:rPr>
            </w:pPr>
            <w:r w:rsidRPr="00F9713C">
              <w:rPr>
                <w:lang w:val="it-IT"/>
              </w:rPr>
              <w:t xml:space="preserve">Dopo la capitalizzazione dei costi l’ammortamento </w:t>
            </w:r>
            <w:r>
              <w:rPr>
                <w:lang w:val="it-IT"/>
              </w:rPr>
              <w:t>è stato</w:t>
            </w:r>
            <w:r w:rsidRPr="00F9713C">
              <w:rPr>
                <w:lang w:val="it-IT"/>
              </w:rPr>
              <w:t xml:space="preserve"> applica</w:t>
            </w:r>
            <w:r>
              <w:rPr>
                <w:lang w:val="it-IT"/>
              </w:rPr>
              <w:t>to</w:t>
            </w:r>
            <w:r w:rsidRPr="00F9713C">
              <w:rPr>
                <w:lang w:val="it-IT"/>
              </w:rPr>
              <w:t xml:space="preserve"> in modo unitario avendo riguardo al nuovo valore contabile del cespite tenuto con</w:t>
            </w:r>
            <w:r>
              <w:rPr>
                <w:lang w:val="it-IT"/>
              </w:rPr>
              <w:t>to della sua residua vita utile?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38</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51</w:t>
            </w:r>
          </w:p>
        </w:tc>
        <w:tc>
          <w:tcPr>
            <w:tcW w:w="7060" w:type="dxa"/>
            <w:tcMar>
              <w:left w:w="108" w:type="dxa"/>
            </w:tcMar>
          </w:tcPr>
          <w:p w:rsidR="003D6DF3" w:rsidRDefault="003D6DF3" w:rsidP="00D73E98">
            <w:pPr>
              <w:spacing w:line="230" w:lineRule="exact"/>
              <w:rPr>
                <w:lang w:val="it-IT"/>
              </w:rPr>
            </w:pPr>
            <w:r w:rsidRPr="00F9713C">
              <w:rPr>
                <w:lang w:val="it-IT"/>
              </w:rPr>
              <w:t xml:space="preserve">In caso di rinnovo </w:t>
            </w:r>
            <w:r>
              <w:rPr>
                <w:lang w:val="it-IT"/>
              </w:rPr>
              <w:t xml:space="preserve">con </w:t>
            </w:r>
            <w:r w:rsidRPr="00F9713C">
              <w:rPr>
                <w:lang w:val="it-IT"/>
              </w:rPr>
              <w:t xml:space="preserve">sostituzione </w:t>
            </w:r>
            <w:r>
              <w:rPr>
                <w:lang w:val="it-IT"/>
              </w:rPr>
              <w:t>di</w:t>
            </w:r>
            <w:r w:rsidRPr="00F9713C">
              <w:rPr>
                <w:lang w:val="it-IT"/>
              </w:rPr>
              <w:t xml:space="preserve"> uno specifico cespite, ovvero </w:t>
            </w:r>
            <w:r>
              <w:rPr>
                <w:lang w:val="it-IT"/>
              </w:rPr>
              <w:t xml:space="preserve">di </w:t>
            </w:r>
            <w:r w:rsidRPr="00F9713C">
              <w:rPr>
                <w:lang w:val="it-IT"/>
              </w:rPr>
              <w:t>un’immobilizzazione materiale che costituisce un’unità tecnico-contabile</w:t>
            </w:r>
            <w:r>
              <w:rPr>
                <w:lang w:val="it-IT"/>
              </w:rPr>
              <w:t>, si è capitalizzato il</w:t>
            </w:r>
            <w:r w:rsidRPr="00F9713C">
              <w:rPr>
                <w:lang w:val="it-IT"/>
              </w:rPr>
              <w:t xml:space="preserve"> costo di acquisizione della nuova unità, </w:t>
            </w:r>
            <w:r>
              <w:rPr>
                <w:lang w:val="it-IT"/>
              </w:rPr>
              <w:t>stornando</w:t>
            </w:r>
            <w:r w:rsidRPr="00F9713C">
              <w:rPr>
                <w:lang w:val="it-IT"/>
              </w:rPr>
              <w:t xml:space="preserve"> il valore netto contabile dell’unità sostituita </w:t>
            </w:r>
            <w:r>
              <w:rPr>
                <w:lang w:val="it-IT"/>
              </w:rPr>
              <w:t>e</w:t>
            </w:r>
            <w:r w:rsidRPr="00F9713C">
              <w:rPr>
                <w:lang w:val="it-IT"/>
              </w:rPr>
              <w:t xml:space="preserve"> imputando l’eventuale minusvalenza alla voce B14 “oneri diversi d</w:t>
            </w:r>
            <w:r>
              <w:rPr>
                <w:lang w:val="it-IT"/>
              </w:rPr>
              <w:t>i gestione” del conto economico?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39</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51</w:t>
            </w:r>
          </w:p>
        </w:tc>
        <w:tc>
          <w:tcPr>
            <w:tcW w:w="7060" w:type="dxa"/>
            <w:tcMar>
              <w:left w:w="108" w:type="dxa"/>
            </w:tcMar>
          </w:tcPr>
          <w:p w:rsidR="003D6DF3" w:rsidRDefault="003D6DF3" w:rsidP="00D73E98">
            <w:pPr>
              <w:spacing w:line="230" w:lineRule="exact"/>
              <w:rPr>
                <w:lang w:val="it-IT"/>
              </w:rPr>
            </w:pPr>
            <w:r w:rsidRPr="00F66179">
              <w:rPr>
                <w:lang w:val="it-IT"/>
              </w:rPr>
              <w:t xml:space="preserve">Nel caso in cui il rinnovo </w:t>
            </w:r>
            <w:r>
              <w:rPr>
                <w:lang w:val="it-IT"/>
              </w:rPr>
              <w:t>abbia</w:t>
            </w:r>
            <w:r w:rsidRPr="00F66179">
              <w:rPr>
                <w:lang w:val="it-IT"/>
              </w:rPr>
              <w:t xml:space="preserve"> riguarda</w:t>
            </w:r>
            <w:r>
              <w:rPr>
                <w:lang w:val="it-IT"/>
              </w:rPr>
              <w:t>to</w:t>
            </w:r>
            <w:r w:rsidRPr="00F66179">
              <w:rPr>
                <w:lang w:val="it-IT"/>
              </w:rPr>
              <w:t xml:space="preserve"> solo parte di un’immobilizzazione materiale per mantenerne l’integrità originaria</w:t>
            </w:r>
            <w:r>
              <w:rPr>
                <w:lang w:val="it-IT"/>
              </w:rPr>
              <w:t>,</w:t>
            </w:r>
            <w:r w:rsidRPr="00F66179">
              <w:rPr>
                <w:lang w:val="it-IT"/>
              </w:rPr>
              <w:t xml:space="preserve"> i costi sostenuti a tale scopo sono</w:t>
            </w:r>
            <w:r>
              <w:rPr>
                <w:lang w:val="it-IT"/>
              </w:rPr>
              <w:t xml:space="preserve"> stati considerati</w:t>
            </w:r>
            <w:r w:rsidRPr="00F66179">
              <w:rPr>
                <w:lang w:val="it-IT"/>
              </w:rPr>
              <w:t xml:space="preserve"> </w:t>
            </w:r>
            <w:r>
              <w:rPr>
                <w:lang w:val="it-IT"/>
              </w:rPr>
              <w:t>costi di manutenzione ordinaria?</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40</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52</w:t>
            </w:r>
          </w:p>
        </w:tc>
        <w:tc>
          <w:tcPr>
            <w:tcW w:w="7060" w:type="dxa"/>
            <w:tcMar>
              <w:left w:w="108" w:type="dxa"/>
            </w:tcMar>
          </w:tcPr>
          <w:p w:rsidR="003D6DF3" w:rsidRDefault="003D6DF3" w:rsidP="00D73E98">
            <w:pPr>
              <w:spacing w:line="230" w:lineRule="exact"/>
              <w:rPr>
                <w:lang w:val="it-IT"/>
              </w:rPr>
            </w:pPr>
            <w:r w:rsidRPr="00D262B4">
              <w:rPr>
                <w:lang w:val="it-IT"/>
              </w:rPr>
              <w:t xml:space="preserve">I materiali per manutenzione, esclusi i pezzi di ricambio </w:t>
            </w:r>
            <w:r>
              <w:rPr>
                <w:lang w:val="it-IT"/>
              </w:rPr>
              <w:t xml:space="preserve">(che </w:t>
            </w:r>
            <w:r w:rsidRPr="00D262B4">
              <w:rPr>
                <w:lang w:val="it-IT"/>
              </w:rPr>
              <w:t>includono spesso elementi di basso</w:t>
            </w:r>
            <w:r>
              <w:rPr>
                <w:lang w:val="it-IT"/>
              </w:rPr>
              <w:t xml:space="preserve"> </w:t>
            </w:r>
            <w:r w:rsidRPr="00D262B4">
              <w:rPr>
                <w:lang w:val="it-IT"/>
              </w:rPr>
              <w:t>costo unitario e di uso ricorrente</w:t>
            </w:r>
            <w:r>
              <w:rPr>
                <w:lang w:val="it-IT"/>
              </w:rPr>
              <w:t>)</w:t>
            </w:r>
            <w:r w:rsidRPr="00D262B4">
              <w:rPr>
                <w:lang w:val="it-IT"/>
              </w:rPr>
              <w:t xml:space="preserve"> sono rilevati come costi al momento del loro acquisto, in</w:t>
            </w:r>
            <w:r>
              <w:rPr>
                <w:lang w:val="it-IT"/>
              </w:rPr>
              <w:t xml:space="preserve"> </w:t>
            </w:r>
            <w:r w:rsidRPr="00D262B4">
              <w:rPr>
                <w:lang w:val="it-IT"/>
              </w:rPr>
              <w:t>quanto hanno un carico a conto economico similare nel tempo ed il costo della loro gestione</w:t>
            </w:r>
            <w:r>
              <w:rPr>
                <w:lang w:val="it-IT"/>
              </w:rPr>
              <w:t xml:space="preserve"> </w:t>
            </w:r>
            <w:r w:rsidRPr="00D262B4">
              <w:rPr>
                <w:lang w:val="it-IT"/>
              </w:rPr>
              <w:t>amministrativa sarebbe antieconomico rispetto</w:t>
            </w:r>
            <w:r>
              <w:rPr>
                <w:lang w:val="it-IT"/>
              </w:rPr>
              <w:t xml:space="preserve"> al valore del materiale stesso?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41</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52</w:t>
            </w:r>
          </w:p>
        </w:tc>
        <w:tc>
          <w:tcPr>
            <w:tcW w:w="7060" w:type="dxa"/>
            <w:tcMar>
              <w:left w:w="108" w:type="dxa"/>
            </w:tcMar>
          </w:tcPr>
          <w:p w:rsidR="003D6DF3" w:rsidRDefault="003D6DF3" w:rsidP="00D73E98">
            <w:pPr>
              <w:spacing w:line="230" w:lineRule="exact"/>
              <w:rPr>
                <w:lang w:val="it-IT"/>
              </w:rPr>
            </w:pPr>
            <w:r w:rsidRPr="00D262B4">
              <w:rPr>
                <w:lang w:val="it-IT"/>
              </w:rPr>
              <w:t>I materiali di</w:t>
            </w:r>
            <w:r>
              <w:rPr>
                <w:lang w:val="it-IT"/>
              </w:rPr>
              <w:t xml:space="preserve"> </w:t>
            </w:r>
            <w:r w:rsidRPr="00D262B4">
              <w:rPr>
                <w:lang w:val="it-IT"/>
              </w:rPr>
              <w:t xml:space="preserve">consumo di maggior costo sono </w:t>
            </w:r>
            <w:r>
              <w:rPr>
                <w:lang w:val="it-IT"/>
              </w:rPr>
              <w:t>stati</w:t>
            </w:r>
            <w:r w:rsidRPr="00D262B4">
              <w:rPr>
                <w:lang w:val="it-IT"/>
              </w:rPr>
              <w:t xml:space="preserve"> inclusi tra le rimanenze di magazzino, a cui si</w:t>
            </w:r>
            <w:r>
              <w:rPr>
                <w:lang w:val="it-IT"/>
              </w:rPr>
              <w:t xml:space="preserve"> </w:t>
            </w:r>
            <w:r w:rsidRPr="00D262B4">
              <w:rPr>
                <w:lang w:val="it-IT"/>
              </w:rPr>
              <w:t>applica il relativo prin</w:t>
            </w:r>
            <w:r>
              <w:rPr>
                <w:lang w:val="it-IT"/>
              </w:rPr>
              <w:t>cipio OIC 13 “Rimanenze”?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42</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53</w:t>
            </w:r>
          </w:p>
        </w:tc>
        <w:tc>
          <w:tcPr>
            <w:tcW w:w="7060" w:type="dxa"/>
            <w:tcMar>
              <w:left w:w="108" w:type="dxa"/>
            </w:tcMar>
          </w:tcPr>
          <w:p w:rsidR="003D6DF3" w:rsidRDefault="003D6DF3" w:rsidP="00D73E98">
            <w:pPr>
              <w:spacing w:line="230" w:lineRule="exact"/>
              <w:rPr>
                <w:lang w:val="it-IT"/>
              </w:rPr>
            </w:pPr>
            <w:r>
              <w:rPr>
                <w:lang w:val="it-IT"/>
              </w:rPr>
              <w:t>In caso di</w:t>
            </w:r>
            <w:r w:rsidRPr="002D0A22">
              <w:rPr>
                <w:lang w:val="it-IT"/>
              </w:rPr>
              <w:t xml:space="preserve"> manutenzione ciclica, </w:t>
            </w:r>
            <w:r>
              <w:rPr>
                <w:lang w:val="it-IT"/>
              </w:rPr>
              <w:t xml:space="preserve">è stato applicato </w:t>
            </w:r>
            <w:r w:rsidRPr="002D0A22">
              <w:rPr>
                <w:lang w:val="it-IT"/>
              </w:rPr>
              <w:t xml:space="preserve">il trattamento contabile </w:t>
            </w:r>
            <w:r>
              <w:rPr>
                <w:lang w:val="it-IT"/>
              </w:rPr>
              <w:t>previsto d</w:t>
            </w:r>
            <w:r w:rsidRPr="002D0A22">
              <w:rPr>
                <w:lang w:val="it-IT"/>
              </w:rPr>
              <w:t>all’OIC 31 “</w:t>
            </w:r>
            <w:r>
              <w:rPr>
                <w:lang w:val="it-IT"/>
              </w:rPr>
              <w:t>Fondi per rischi e oneri e TFR”?</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p>
        </w:tc>
        <w:tc>
          <w:tcPr>
            <w:tcW w:w="7060" w:type="dxa"/>
            <w:tcMar>
              <w:left w:w="108" w:type="dxa"/>
            </w:tcMar>
          </w:tcPr>
          <w:p w:rsidR="003D6DF3" w:rsidRPr="00E77155" w:rsidRDefault="003D6DF3" w:rsidP="00D73E98">
            <w:pPr>
              <w:pStyle w:val="Titolo3"/>
              <w:rPr>
                <w:lang w:val="it-IT"/>
              </w:rPr>
            </w:pPr>
            <w:r>
              <w:rPr>
                <w:lang w:val="it-IT"/>
              </w:rPr>
              <w:t>Ricambi e imballaggi da riutilizzarsi</w:t>
            </w:r>
          </w:p>
        </w:tc>
        <w:tc>
          <w:tcPr>
            <w:tcW w:w="586" w:type="dxa"/>
            <w:gridSpan w:val="2"/>
            <w:tcMar>
              <w:left w:w="85" w:type="dxa"/>
              <w:right w:w="85" w:type="dxa"/>
            </w:tcMar>
            <w:vAlign w:val="center"/>
          </w:tcPr>
          <w:p w:rsidR="003D6DF3" w:rsidRPr="00492518" w:rsidRDefault="003D6DF3" w:rsidP="00D73E98">
            <w:pPr>
              <w:jc w:val="center"/>
              <w:rPr>
                <w:lang w:val="it-IT"/>
              </w:rPr>
            </w:pPr>
          </w:p>
        </w:tc>
        <w:tc>
          <w:tcPr>
            <w:tcW w:w="573" w:type="dxa"/>
            <w:tcMar>
              <w:left w:w="108" w:type="dxa"/>
            </w:tcMar>
            <w:vAlign w:val="center"/>
          </w:tcPr>
          <w:p w:rsidR="003D6DF3" w:rsidRPr="00492518" w:rsidRDefault="003D6DF3" w:rsidP="00D73E98">
            <w:pPr>
              <w:jc w:val="center"/>
              <w:rPr>
                <w:lang w:val="it-IT"/>
              </w:rPr>
            </w:pPr>
          </w:p>
        </w:tc>
        <w:tc>
          <w:tcPr>
            <w:tcW w:w="570" w:type="dxa"/>
            <w:tcMar>
              <w:left w:w="108" w:type="dxa"/>
            </w:tcMar>
            <w:vAlign w:val="center"/>
          </w:tcPr>
          <w:p w:rsidR="003D6DF3" w:rsidRPr="00492518" w:rsidRDefault="003D6DF3" w:rsidP="00D73E98">
            <w:pPr>
              <w:jc w:val="center"/>
              <w:rPr>
                <w:lang w:val="it-IT"/>
              </w:rPr>
            </w:pPr>
          </w:p>
        </w:tc>
      </w:tr>
      <w:tr w:rsidR="003D6DF3" w:rsidRPr="00CC242B" w:rsidTr="00D73E98">
        <w:trPr>
          <w:cantSplit/>
          <w:trHeight w:val="34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A0F36" w:rsidRDefault="003D6DF3" w:rsidP="00D73E98">
            <w:pPr>
              <w:pStyle w:val="PrincCont"/>
              <w:jc w:val="left"/>
              <w:rPr>
                <w:lang w:val="it-IT"/>
              </w:rPr>
            </w:pPr>
            <w:r w:rsidRPr="006A2F99">
              <w:t>OIC 16.</w:t>
            </w:r>
            <w:r>
              <w:t>54</w:t>
            </w:r>
          </w:p>
        </w:tc>
        <w:tc>
          <w:tcPr>
            <w:tcW w:w="7060" w:type="dxa"/>
            <w:tcMar>
              <w:left w:w="108" w:type="dxa"/>
            </w:tcMar>
          </w:tcPr>
          <w:p w:rsidR="003D6DF3" w:rsidRPr="004A750E" w:rsidRDefault="003D6DF3" w:rsidP="00D73E98">
            <w:pPr>
              <w:pStyle w:val="Commentiriquadro"/>
              <w:rPr>
                <w:highlight w:val="green"/>
              </w:rPr>
            </w:pPr>
            <w:r w:rsidRPr="00916716">
              <w:t>Il criterio di rilevazione dei pezzi di ricambio dipende dalla rilevanza degli ammontari, dalle quantità giacenti, dalla loro velocità di rotazione, dai programmi di approvvigionamento, dagli utilizzi per i vari cespiti, ecc. I pezzi di ricambio sono trattati diversamente a seconda delle caratteristiche che li contraddistinguono.</w:t>
            </w:r>
          </w:p>
        </w:tc>
        <w:tc>
          <w:tcPr>
            <w:tcW w:w="586" w:type="dxa"/>
            <w:gridSpan w:val="2"/>
            <w:tcMar>
              <w:left w:w="85" w:type="dxa"/>
              <w:right w:w="85" w:type="dxa"/>
            </w:tcMar>
            <w:vAlign w:val="center"/>
          </w:tcPr>
          <w:p w:rsidR="003D6DF3" w:rsidRPr="00FF19F7" w:rsidRDefault="003D6DF3" w:rsidP="00D73E98">
            <w:pPr>
              <w:jc w:val="center"/>
              <w:rPr>
                <w:lang w:val="it-IT"/>
              </w:rPr>
            </w:pPr>
          </w:p>
        </w:tc>
        <w:tc>
          <w:tcPr>
            <w:tcW w:w="573" w:type="dxa"/>
            <w:tcMar>
              <w:left w:w="108" w:type="dxa"/>
            </w:tcMar>
            <w:vAlign w:val="center"/>
          </w:tcPr>
          <w:p w:rsidR="003D6DF3" w:rsidRDefault="003D6DF3" w:rsidP="00D73E98">
            <w:pPr>
              <w:jc w:val="center"/>
              <w:rPr>
                <w:lang w:val="it-IT"/>
              </w:rPr>
            </w:pPr>
          </w:p>
          <w:p w:rsidR="003D6DF3" w:rsidRDefault="003D6DF3" w:rsidP="00D73E98">
            <w:pPr>
              <w:rPr>
                <w:lang w:val="it-IT"/>
              </w:rPr>
            </w:pPr>
          </w:p>
          <w:p w:rsidR="003D6DF3" w:rsidRPr="002F1F5A" w:rsidRDefault="003D6DF3" w:rsidP="00D73E98">
            <w:pPr>
              <w:rPr>
                <w:lang w:val="it-IT"/>
              </w:rPr>
            </w:pPr>
          </w:p>
        </w:tc>
        <w:tc>
          <w:tcPr>
            <w:tcW w:w="570" w:type="dxa"/>
            <w:tcMar>
              <w:left w:w="108" w:type="dxa"/>
            </w:tcMar>
            <w:vAlign w:val="center"/>
          </w:tcPr>
          <w:p w:rsidR="003D6DF3" w:rsidRPr="00FF19F7"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3D6DF3">
            <w:pPr>
              <w:jc w:val="center"/>
              <w:rPr>
                <w:b/>
                <w:lang w:val="it-IT"/>
              </w:rPr>
            </w:pPr>
            <w:r w:rsidRPr="00987EB8">
              <w:rPr>
                <w:b/>
                <w:lang w:val="it-IT"/>
              </w:rPr>
              <w:t>4</w:t>
            </w:r>
            <w:r>
              <w:rPr>
                <w:b/>
                <w:lang w:val="it-IT"/>
              </w:rPr>
              <w:t>3</w:t>
            </w:r>
            <w:r w:rsidRPr="00987EB8">
              <w:rPr>
                <w:b/>
                <w:lang w:val="it-IT"/>
              </w:rPr>
              <w:t>)</w:t>
            </w:r>
          </w:p>
        </w:tc>
        <w:tc>
          <w:tcPr>
            <w:tcW w:w="851" w:type="dxa"/>
            <w:tcMar>
              <w:left w:w="108" w:type="dxa"/>
              <w:right w:w="0" w:type="dxa"/>
            </w:tcMar>
          </w:tcPr>
          <w:p w:rsidR="003D6DF3" w:rsidRPr="00A72989" w:rsidRDefault="003D6DF3" w:rsidP="00D73E98">
            <w:pPr>
              <w:pStyle w:val="PrincCont"/>
              <w:jc w:val="left"/>
            </w:pPr>
            <w:r w:rsidRPr="006A2F99">
              <w:t>OIC 16.</w:t>
            </w:r>
            <w:r>
              <w:t>54</w:t>
            </w:r>
          </w:p>
        </w:tc>
        <w:tc>
          <w:tcPr>
            <w:tcW w:w="7060" w:type="dxa"/>
            <w:tcMar>
              <w:left w:w="108" w:type="dxa"/>
            </w:tcMar>
          </w:tcPr>
          <w:p w:rsidR="003D6DF3" w:rsidRDefault="003D6DF3" w:rsidP="00D73E98">
            <w:pPr>
              <w:spacing w:line="230" w:lineRule="exact"/>
              <w:rPr>
                <w:lang w:val="it-IT"/>
              </w:rPr>
            </w:pPr>
            <w:r>
              <w:rPr>
                <w:lang w:val="it-IT"/>
              </w:rPr>
              <w:t>I p</w:t>
            </w:r>
            <w:r w:rsidRPr="001D31F5">
              <w:rPr>
                <w:lang w:val="it-IT"/>
              </w:rPr>
              <w:t>ezzi di basso costo unitario, basso valore totale e di uso ricorrente</w:t>
            </w:r>
            <w:r>
              <w:rPr>
                <w:lang w:val="it-IT"/>
              </w:rPr>
              <w:t xml:space="preserve"> </w:t>
            </w:r>
            <w:r w:rsidRPr="001D31F5">
              <w:rPr>
                <w:lang w:val="it-IT"/>
              </w:rPr>
              <w:t xml:space="preserve">sono </w:t>
            </w:r>
            <w:r>
              <w:rPr>
                <w:lang w:val="it-IT"/>
              </w:rPr>
              <w:t>stati</w:t>
            </w:r>
            <w:r w:rsidRPr="001D31F5">
              <w:rPr>
                <w:lang w:val="it-IT"/>
              </w:rPr>
              <w:t xml:space="preserve"> rilevati come </w:t>
            </w:r>
            <w:r>
              <w:rPr>
                <w:lang w:val="it-IT"/>
              </w:rPr>
              <w:t>costi al momento dell’acquisto?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34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A0F36" w:rsidRDefault="003D6DF3" w:rsidP="00D73E98">
            <w:pPr>
              <w:pStyle w:val="PrincCont"/>
              <w:jc w:val="left"/>
              <w:rPr>
                <w:lang w:val="it-IT"/>
              </w:rPr>
            </w:pPr>
            <w:r w:rsidRPr="006A2F99">
              <w:t>OIC 16.</w:t>
            </w:r>
            <w:r>
              <w:t>54</w:t>
            </w:r>
          </w:p>
        </w:tc>
        <w:tc>
          <w:tcPr>
            <w:tcW w:w="7060" w:type="dxa"/>
            <w:tcMar>
              <w:left w:w="108" w:type="dxa"/>
            </w:tcMar>
          </w:tcPr>
          <w:p w:rsidR="003D6DF3" w:rsidRPr="004A750E" w:rsidRDefault="003D6DF3" w:rsidP="00D73E98">
            <w:pPr>
              <w:pStyle w:val="Commentiriquadro"/>
              <w:rPr>
                <w:highlight w:val="green"/>
              </w:rPr>
            </w:pPr>
            <w:r>
              <w:t>Tali pezzi assumono le caratteristiche di veri e propri beni di consumo essendo elementi che generano un carico pressochè costante al conto economico, il cui valore non è significativo e per i quali il costo del controllo amministrativo analitico sarebbe antieconomico rispetto al valore complessivo del materiale stesso</w:t>
            </w:r>
            <w:r w:rsidRPr="00231C12">
              <w:t>.</w:t>
            </w:r>
          </w:p>
        </w:tc>
        <w:tc>
          <w:tcPr>
            <w:tcW w:w="586" w:type="dxa"/>
            <w:gridSpan w:val="2"/>
            <w:tcMar>
              <w:left w:w="85" w:type="dxa"/>
              <w:right w:w="85" w:type="dxa"/>
            </w:tcMar>
            <w:vAlign w:val="center"/>
          </w:tcPr>
          <w:p w:rsidR="003D6DF3" w:rsidRPr="00FF19F7" w:rsidRDefault="003D6DF3" w:rsidP="00D73E98">
            <w:pPr>
              <w:jc w:val="center"/>
              <w:rPr>
                <w:lang w:val="it-IT"/>
              </w:rPr>
            </w:pPr>
          </w:p>
        </w:tc>
        <w:tc>
          <w:tcPr>
            <w:tcW w:w="573" w:type="dxa"/>
            <w:tcMar>
              <w:left w:w="108" w:type="dxa"/>
            </w:tcMar>
            <w:vAlign w:val="center"/>
          </w:tcPr>
          <w:p w:rsidR="003D6DF3" w:rsidRPr="002F1F5A" w:rsidRDefault="003D6DF3" w:rsidP="00D73E98">
            <w:pPr>
              <w:rPr>
                <w:lang w:val="it-IT"/>
              </w:rPr>
            </w:pPr>
          </w:p>
        </w:tc>
        <w:tc>
          <w:tcPr>
            <w:tcW w:w="570" w:type="dxa"/>
            <w:tcMar>
              <w:left w:w="108" w:type="dxa"/>
            </w:tcMar>
            <w:vAlign w:val="center"/>
          </w:tcPr>
          <w:p w:rsidR="003D6DF3" w:rsidRPr="00FF19F7"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3D6DF3">
            <w:pPr>
              <w:jc w:val="center"/>
              <w:rPr>
                <w:b/>
                <w:lang w:val="it-IT"/>
              </w:rPr>
            </w:pPr>
            <w:r w:rsidRPr="00987EB8">
              <w:rPr>
                <w:b/>
                <w:lang w:val="it-IT"/>
              </w:rPr>
              <w:t>4</w:t>
            </w:r>
            <w:r>
              <w:rPr>
                <w:b/>
                <w:lang w:val="it-IT"/>
              </w:rPr>
              <w:t>4</w:t>
            </w:r>
            <w:r w:rsidRPr="00987EB8">
              <w:rPr>
                <w:b/>
                <w:lang w:val="it-IT"/>
              </w:rPr>
              <w:t>)</w:t>
            </w:r>
          </w:p>
        </w:tc>
        <w:tc>
          <w:tcPr>
            <w:tcW w:w="851" w:type="dxa"/>
            <w:tcMar>
              <w:left w:w="108" w:type="dxa"/>
              <w:right w:w="0" w:type="dxa"/>
            </w:tcMar>
          </w:tcPr>
          <w:p w:rsidR="003D6DF3" w:rsidRDefault="003D6DF3" w:rsidP="00D73E98">
            <w:pPr>
              <w:pStyle w:val="PrincCont"/>
              <w:jc w:val="left"/>
            </w:pPr>
            <w:r w:rsidRPr="006A2F99">
              <w:t>OIC 16.</w:t>
            </w:r>
            <w:r>
              <w:t>54</w:t>
            </w:r>
          </w:p>
        </w:tc>
        <w:tc>
          <w:tcPr>
            <w:tcW w:w="7060" w:type="dxa"/>
            <w:tcMar>
              <w:left w:w="108" w:type="dxa"/>
            </w:tcMar>
          </w:tcPr>
          <w:p w:rsidR="003D6DF3" w:rsidRDefault="003D6DF3" w:rsidP="00A707D4">
            <w:pPr>
              <w:spacing w:line="230" w:lineRule="exact"/>
              <w:rPr>
                <w:lang w:val="it-IT"/>
              </w:rPr>
            </w:pPr>
            <w:r>
              <w:rPr>
                <w:lang w:val="it-IT"/>
              </w:rPr>
              <w:t>I p</w:t>
            </w:r>
            <w:r w:rsidRPr="001D31F5">
              <w:rPr>
                <w:lang w:val="it-IT"/>
              </w:rPr>
              <w:t>ezzi di ricambio di rilevante costo unitario e uso non ricorrente</w:t>
            </w:r>
            <w:r>
              <w:rPr>
                <w:lang w:val="it-IT"/>
              </w:rPr>
              <w:t xml:space="preserve"> son</w:t>
            </w:r>
            <w:r w:rsidRPr="001D31F5">
              <w:rPr>
                <w:lang w:val="it-IT"/>
              </w:rPr>
              <w:t xml:space="preserve">o </w:t>
            </w:r>
            <w:r>
              <w:rPr>
                <w:lang w:val="it-IT"/>
              </w:rPr>
              <w:t xml:space="preserve">stati </w:t>
            </w:r>
            <w:r w:rsidRPr="001D31F5">
              <w:rPr>
                <w:lang w:val="it-IT"/>
              </w:rPr>
              <w:t xml:space="preserve">classificati tra le immobilizzazioni materiali e ammortizzati lungo il periodo che appare più breve dal confronto tra la vita utile residua del bene a cui si riferiscono e la loro vita utile calcolata mediante </w:t>
            </w:r>
            <w:r>
              <w:rPr>
                <w:lang w:val="it-IT"/>
              </w:rPr>
              <w:t>una stima dei tempi di utilizzo?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34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A0F36" w:rsidRDefault="003D6DF3" w:rsidP="00D73E98">
            <w:pPr>
              <w:pStyle w:val="PrincCont"/>
              <w:jc w:val="left"/>
              <w:rPr>
                <w:lang w:val="it-IT"/>
              </w:rPr>
            </w:pPr>
            <w:r w:rsidRPr="006A2F99">
              <w:t>OIC 16.</w:t>
            </w:r>
            <w:r>
              <w:t>54</w:t>
            </w:r>
          </w:p>
        </w:tc>
        <w:tc>
          <w:tcPr>
            <w:tcW w:w="7060" w:type="dxa"/>
            <w:tcMar>
              <w:left w:w="108" w:type="dxa"/>
            </w:tcMar>
          </w:tcPr>
          <w:p w:rsidR="003D6DF3" w:rsidRPr="00A72989" w:rsidRDefault="003D6DF3" w:rsidP="00D73E98">
            <w:pPr>
              <w:pStyle w:val="Commentiriquadro"/>
            </w:pPr>
            <w:r>
              <w:t>Tali pezzi costituiscono dotazione necessaria dell’impianto e sono elementi solitamente non usati per lungo tempo, e talvolta mai usati, ma che occorrono a garantire la continuità di funzionamento del cespite.</w:t>
            </w:r>
          </w:p>
        </w:tc>
        <w:tc>
          <w:tcPr>
            <w:tcW w:w="586" w:type="dxa"/>
            <w:gridSpan w:val="2"/>
            <w:tcMar>
              <w:left w:w="85" w:type="dxa"/>
              <w:right w:w="85" w:type="dxa"/>
            </w:tcMar>
            <w:vAlign w:val="center"/>
          </w:tcPr>
          <w:p w:rsidR="003D6DF3" w:rsidRPr="00FF19F7" w:rsidRDefault="003D6DF3" w:rsidP="00D73E98">
            <w:pPr>
              <w:jc w:val="center"/>
              <w:rPr>
                <w:lang w:val="it-IT"/>
              </w:rPr>
            </w:pPr>
          </w:p>
        </w:tc>
        <w:tc>
          <w:tcPr>
            <w:tcW w:w="573" w:type="dxa"/>
            <w:tcMar>
              <w:left w:w="108" w:type="dxa"/>
            </w:tcMar>
            <w:vAlign w:val="center"/>
          </w:tcPr>
          <w:p w:rsidR="003D6DF3" w:rsidRPr="002F1F5A" w:rsidRDefault="003D6DF3" w:rsidP="00D73E98">
            <w:pPr>
              <w:rPr>
                <w:lang w:val="it-IT"/>
              </w:rPr>
            </w:pPr>
          </w:p>
        </w:tc>
        <w:tc>
          <w:tcPr>
            <w:tcW w:w="570" w:type="dxa"/>
            <w:tcMar>
              <w:left w:w="108" w:type="dxa"/>
            </w:tcMar>
            <w:vAlign w:val="center"/>
          </w:tcPr>
          <w:p w:rsidR="003D6DF3" w:rsidRPr="00FF19F7"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45</w:t>
            </w:r>
            <w:r w:rsidRPr="00987EB8">
              <w:rPr>
                <w:b/>
                <w:lang w:val="it-IT"/>
              </w:rPr>
              <w:t>)</w:t>
            </w:r>
          </w:p>
        </w:tc>
        <w:tc>
          <w:tcPr>
            <w:tcW w:w="851" w:type="dxa"/>
            <w:tcMar>
              <w:left w:w="108" w:type="dxa"/>
              <w:right w:w="0" w:type="dxa"/>
            </w:tcMar>
          </w:tcPr>
          <w:p w:rsidR="003D6DF3" w:rsidRDefault="003D6DF3" w:rsidP="00D73E98">
            <w:pPr>
              <w:pStyle w:val="PrincCont"/>
              <w:jc w:val="left"/>
            </w:pPr>
            <w:r w:rsidRPr="006A2F99">
              <w:t>OIC 16.</w:t>
            </w:r>
            <w:r>
              <w:t>54</w:t>
            </w:r>
          </w:p>
        </w:tc>
        <w:tc>
          <w:tcPr>
            <w:tcW w:w="7060" w:type="dxa"/>
            <w:tcMar>
              <w:left w:w="108" w:type="dxa"/>
            </w:tcMar>
          </w:tcPr>
          <w:p w:rsidR="003D6DF3" w:rsidRDefault="003D6DF3" w:rsidP="00D73E98">
            <w:pPr>
              <w:spacing w:line="230" w:lineRule="exact"/>
              <w:rPr>
                <w:lang w:val="it-IT"/>
              </w:rPr>
            </w:pPr>
            <w:r>
              <w:rPr>
                <w:lang w:val="it-IT"/>
              </w:rPr>
              <w:t>I p</w:t>
            </w:r>
            <w:r w:rsidRPr="001D31F5">
              <w:rPr>
                <w:lang w:val="it-IT"/>
              </w:rPr>
              <w:t>ezzi di rilevante costo unitario e di uso molto ricorrente</w:t>
            </w:r>
            <w:r>
              <w:rPr>
                <w:lang w:val="it-IT"/>
              </w:rPr>
              <w:t xml:space="preserve"> </w:t>
            </w:r>
            <w:r w:rsidRPr="001D31F5">
              <w:rPr>
                <w:lang w:val="it-IT"/>
              </w:rPr>
              <w:t xml:space="preserve">sono inclusi tra le rimanenze di magazzino e scaricati in base al consumo </w:t>
            </w:r>
            <w:r>
              <w:rPr>
                <w:lang w:val="it-IT"/>
              </w:rPr>
              <w:t>in applicazione del</w:t>
            </w:r>
            <w:r w:rsidRPr="001D31F5">
              <w:rPr>
                <w:lang w:val="it-IT"/>
              </w:rPr>
              <w:t xml:space="preserve">la disciplina delle </w:t>
            </w:r>
            <w:r>
              <w:rPr>
                <w:lang w:val="it-IT"/>
              </w:rPr>
              <w:t>rimanenze di magazzino (OIC 13)?</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34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A0F36" w:rsidRDefault="003D6DF3" w:rsidP="00D73E98">
            <w:pPr>
              <w:pStyle w:val="PrincCont"/>
              <w:jc w:val="left"/>
              <w:rPr>
                <w:lang w:val="it-IT"/>
              </w:rPr>
            </w:pPr>
            <w:r w:rsidRPr="006A2F99">
              <w:t>OIC 16.</w:t>
            </w:r>
            <w:r>
              <w:t>54</w:t>
            </w:r>
          </w:p>
        </w:tc>
        <w:tc>
          <w:tcPr>
            <w:tcW w:w="7060" w:type="dxa"/>
            <w:tcMar>
              <w:left w:w="108" w:type="dxa"/>
            </w:tcMar>
          </w:tcPr>
          <w:p w:rsidR="003D6DF3" w:rsidRPr="00A72989" w:rsidRDefault="003D6DF3" w:rsidP="00D73E98">
            <w:pPr>
              <w:pStyle w:val="Commentiriquadro"/>
            </w:pPr>
            <w:r>
              <w:t>Tali pezzi sono utilizzati in breve tempo e hanno normalmente un valore globale significativo alla chiusura dell’esercizio.</w:t>
            </w:r>
          </w:p>
        </w:tc>
        <w:tc>
          <w:tcPr>
            <w:tcW w:w="586" w:type="dxa"/>
            <w:gridSpan w:val="2"/>
            <w:tcMar>
              <w:left w:w="85" w:type="dxa"/>
              <w:right w:w="85" w:type="dxa"/>
            </w:tcMar>
            <w:vAlign w:val="center"/>
          </w:tcPr>
          <w:p w:rsidR="003D6DF3" w:rsidRPr="00FF19F7" w:rsidRDefault="003D6DF3" w:rsidP="00D73E98">
            <w:pPr>
              <w:jc w:val="center"/>
              <w:rPr>
                <w:lang w:val="it-IT"/>
              </w:rPr>
            </w:pPr>
          </w:p>
        </w:tc>
        <w:tc>
          <w:tcPr>
            <w:tcW w:w="573" w:type="dxa"/>
            <w:tcMar>
              <w:left w:w="108" w:type="dxa"/>
            </w:tcMar>
            <w:vAlign w:val="center"/>
          </w:tcPr>
          <w:p w:rsidR="003D6DF3" w:rsidRDefault="003D6DF3" w:rsidP="00D73E98">
            <w:pPr>
              <w:rPr>
                <w:lang w:val="it-IT"/>
              </w:rPr>
            </w:pPr>
          </w:p>
          <w:p w:rsidR="003D6DF3" w:rsidRPr="002F1F5A" w:rsidRDefault="003D6DF3" w:rsidP="00D73E98">
            <w:pPr>
              <w:rPr>
                <w:lang w:val="it-IT"/>
              </w:rPr>
            </w:pPr>
          </w:p>
        </w:tc>
        <w:tc>
          <w:tcPr>
            <w:tcW w:w="570" w:type="dxa"/>
            <w:tcMar>
              <w:left w:w="108" w:type="dxa"/>
            </w:tcMar>
            <w:vAlign w:val="center"/>
          </w:tcPr>
          <w:p w:rsidR="003D6DF3" w:rsidRPr="00FF19F7"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46</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55</w:t>
            </w:r>
          </w:p>
        </w:tc>
        <w:tc>
          <w:tcPr>
            <w:tcW w:w="7060" w:type="dxa"/>
            <w:tcMar>
              <w:left w:w="108" w:type="dxa"/>
            </w:tcMar>
          </w:tcPr>
          <w:p w:rsidR="003D6DF3" w:rsidRDefault="003D6DF3" w:rsidP="00D73E98">
            <w:pPr>
              <w:spacing w:line="230" w:lineRule="exact"/>
              <w:rPr>
                <w:lang w:val="it-IT"/>
              </w:rPr>
            </w:pPr>
            <w:r w:rsidRPr="00862F9B">
              <w:rPr>
                <w:lang w:val="it-IT"/>
              </w:rPr>
              <w:t>Gli imballaggi da riutilizzarsi, se di ammontare rilevante, sono capitalizzati ed ammortizzati in bas</w:t>
            </w:r>
            <w:r>
              <w:rPr>
                <w:lang w:val="it-IT"/>
              </w:rPr>
              <w:t>e alla loro stimata vita utile?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47</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55</w:t>
            </w:r>
          </w:p>
        </w:tc>
        <w:tc>
          <w:tcPr>
            <w:tcW w:w="7060" w:type="dxa"/>
            <w:tcMar>
              <w:left w:w="108" w:type="dxa"/>
            </w:tcMar>
          </w:tcPr>
          <w:p w:rsidR="003D6DF3" w:rsidRDefault="003D6DF3" w:rsidP="00D73E98">
            <w:pPr>
              <w:spacing w:line="230" w:lineRule="exact"/>
              <w:rPr>
                <w:lang w:val="it-IT"/>
              </w:rPr>
            </w:pPr>
            <w:r w:rsidRPr="00862F9B">
              <w:rPr>
                <w:lang w:val="it-IT"/>
              </w:rPr>
              <w:t xml:space="preserve">Nel calcolo del valore recuperabile degli imballaggi iscritti nell’attivo dello stato patrimoniale si </w:t>
            </w:r>
            <w:r>
              <w:rPr>
                <w:lang w:val="it-IT"/>
              </w:rPr>
              <w:t>è tenuto</w:t>
            </w:r>
            <w:r w:rsidRPr="00862F9B">
              <w:rPr>
                <w:lang w:val="it-IT"/>
              </w:rPr>
              <w:t xml:space="preserve"> conto anche delle situazioni in cui si prevede di non recu</w:t>
            </w:r>
            <w:r>
              <w:rPr>
                <w:lang w:val="it-IT"/>
              </w:rPr>
              <w:t>perare il costo dalla clientela?</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84219A" w:rsidTr="00D73E98">
        <w:trPr>
          <w:cantSplit/>
          <w:trHeight w:val="20"/>
        </w:trPr>
        <w:tc>
          <w:tcPr>
            <w:tcW w:w="680" w:type="dxa"/>
          </w:tcPr>
          <w:p w:rsidR="003D6DF3" w:rsidRPr="00987EB8" w:rsidRDefault="003D6DF3" w:rsidP="00D73E98">
            <w:pPr>
              <w:jc w:val="center"/>
              <w:rPr>
                <w:b/>
                <w:sz w:val="22"/>
                <w:szCs w:val="22"/>
                <w:lang w:val="it-IT"/>
              </w:rPr>
            </w:pPr>
          </w:p>
        </w:tc>
        <w:tc>
          <w:tcPr>
            <w:tcW w:w="851" w:type="dxa"/>
            <w:tcMar>
              <w:left w:w="108" w:type="dxa"/>
              <w:right w:w="0" w:type="dxa"/>
            </w:tcMar>
          </w:tcPr>
          <w:p w:rsidR="003D6DF3" w:rsidRPr="0084219A" w:rsidRDefault="003D6DF3" w:rsidP="00D73E98">
            <w:pPr>
              <w:pStyle w:val="PrincCont"/>
              <w:jc w:val="left"/>
              <w:rPr>
                <w:sz w:val="22"/>
                <w:szCs w:val="22"/>
                <w:lang w:val="it-IT"/>
              </w:rPr>
            </w:pPr>
          </w:p>
        </w:tc>
        <w:tc>
          <w:tcPr>
            <w:tcW w:w="7060" w:type="dxa"/>
            <w:tcMar>
              <w:left w:w="108" w:type="dxa"/>
            </w:tcMar>
            <w:vAlign w:val="center"/>
          </w:tcPr>
          <w:p w:rsidR="003D6DF3" w:rsidRPr="00C25C25" w:rsidRDefault="003D6DF3" w:rsidP="00D73E98">
            <w:pPr>
              <w:pStyle w:val="Titolo3"/>
              <w:jc w:val="left"/>
              <w:rPr>
                <w:i w:val="0"/>
                <w:lang w:val="it-IT"/>
              </w:rPr>
            </w:pPr>
            <w:r w:rsidRPr="00C25C25">
              <w:rPr>
                <w:i w:val="0"/>
                <w:sz w:val="22"/>
                <w:lang w:val="it-IT"/>
              </w:rPr>
              <w:t>Valutazione e rilevazioni successive</w:t>
            </w:r>
          </w:p>
        </w:tc>
        <w:tc>
          <w:tcPr>
            <w:tcW w:w="586" w:type="dxa"/>
            <w:gridSpan w:val="2"/>
            <w:tcMar>
              <w:left w:w="85" w:type="dxa"/>
              <w:right w:w="85" w:type="dxa"/>
            </w:tcMar>
            <w:vAlign w:val="center"/>
          </w:tcPr>
          <w:p w:rsidR="003D6DF3" w:rsidRPr="0084219A" w:rsidRDefault="003D6DF3" w:rsidP="00D73E98">
            <w:pPr>
              <w:jc w:val="center"/>
              <w:rPr>
                <w:sz w:val="22"/>
                <w:szCs w:val="22"/>
                <w:lang w:val="it-IT"/>
              </w:rPr>
            </w:pPr>
          </w:p>
        </w:tc>
        <w:tc>
          <w:tcPr>
            <w:tcW w:w="573" w:type="dxa"/>
            <w:tcMar>
              <w:left w:w="108" w:type="dxa"/>
            </w:tcMar>
            <w:vAlign w:val="center"/>
          </w:tcPr>
          <w:p w:rsidR="003D6DF3" w:rsidRPr="0084219A" w:rsidRDefault="003D6DF3" w:rsidP="00D73E98">
            <w:pPr>
              <w:jc w:val="center"/>
              <w:rPr>
                <w:sz w:val="22"/>
                <w:szCs w:val="22"/>
                <w:lang w:val="it-IT"/>
              </w:rPr>
            </w:pPr>
          </w:p>
        </w:tc>
        <w:tc>
          <w:tcPr>
            <w:tcW w:w="570" w:type="dxa"/>
            <w:tcMar>
              <w:left w:w="108" w:type="dxa"/>
            </w:tcMar>
            <w:vAlign w:val="center"/>
          </w:tcPr>
          <w:p w:rsidR="003D6DF3" w:rsidRPr="0084219A" w:rsidRDefault="003D6DF3" w:rsidP="00D73E98">
            <w:pPr>
              <w:jc w:val="center"/>
              <w:rPr>
                <w:sz w:val="22"/>
                <w:szCs w:val="22"/>
                <w:lang w:val="it-IT"/>
              </w:rPr>
            </w:pPr>
          </w:p>
        </w:tc>
      </w:tr>
      <w:tr w:rsidR="003D6DF3" w:rsidRPr="00263B21" w:rsidTr="00D73E98">
        <w:trPr>
          <w:cantSplit/>
          <w:trHeight w:val="20"/>
        </w:trPr>
        <w:tc>
          <w:tcPr>
            <w:tcW w:w="680" w:type="dxa"/>
          </w:tcPr>
          <w:p w:rsidR="003D6DF3" w:rsidRPr="00987EB8" w:rsidRDefault="003D6DF3" w:rsidP="00D73E98">
            <w:pPr>
              <w:jc w:val="center"/>
              <w:rPr>
                <w:b/>
                <w:i/>
                <w:lang w:val="it-IT"/>
              </w:rPr>
            </w:pPr>
          </w:p>
        </w:tc>
        <w:tc>
          <w:tcPr>
            <w:tcW w:w="851" w:type="dxa"/>
            <w:tcMar>
              <w:left w:w="108" w:type="dxa"/>
              <w:right w:w="0" w:type="dxa"/>
            </w:tcMar>
          </w:tcPr>
          <w:p w:rsidR="003D6DF3" w:rsidRPr="00263B21" w:rsidRDefault="003D6DF3" w:rsidP="00D73E98">
            <w:pPr>
              <w:pStyle w:val="PrincCont"/>
              <w:jc w:val="left"/>
              <w:rPr>
                <w:i/>
                <w:sz w:val="20"/>
                <w:szCs w:val="20"/>
                <w:lang w:val="it-IT"/>
              </w:rPr>
            </w:pPr>
          </w:p>
        </w:tc>
        <w:tc>
          <w:tcPr>
            <w:tcW w:w="7060" w:type="dxa"/>
            <w:tcMar>
              <w:left w:w="108" w:type="dxa"/>
            </w:tcMar>
          </w:tcPr>
          <w:p w:rsidR="003D6DF3" w:rsidRPr="00263B21" w:rsidRDefault="003D6DF3" w:rsidP="00D73E98">
            <w:pPr>
              <w:pStyle w:val="Titolo3"/>
              <w:rPr>
                <w:lang w:val="it-IT"/>
              </w:rPr>
            </w:pPr>
            <w:r>
              <w:rPr>
                <w:lang w:val="it-IT"/>
              </w:rPr>
              <w:t>Ammortamento</w:t>
            </w:r>
          </w:p>
        </w:tc>
        <w:tc>
          <w:tcPr>
            <w:tcW w:w="586" w:type="dxa"/>
            <w:gridSpan w:val="2"/>
            <w:tcMar>
              <w:left w:w="85" w:type="dxa"/>
              <w:right w:w="85" w:type="dxa"/>
            </w:tcMar>
            <w:vAlign w:val="center"/>
          </w:tcPr>
          <w:p w:rsidR="003D6DF3" w:rsidRPr="00263B21" w:rsidRDefault="003D6DF3" w:rsidP="00D73E98">
            <w:pPr>
              <w:jc w:val="center"/>
              <w:rPr>
                <w:i/>
                <w:lang w:val="it-IT"/>
              </w:rPr>
            </w:pPr>
          </w:p>
        </w:tc>
        <w:tc>
          <w:tcPr>
            <w:tcW w:w="573" w:type="dxa"/>
            <w:tcMar>
              <w:left w:w="108" w:type="dxa"/>
            </w:tcMar>
            <w:vAlign w:val="center"/>
          </w:tcPr>
          <w:p w:rsidR="003D6DF3" w:rsidRPr="00263B21" w:rsidRDefault="003D6DF3" w:rsidP="00D73E98">
            <w:pPr>
              <w:jc w:val="center"/>
              <w:rPr>
                <w:i/>
                <w:lang w:val="it-IT"/>
              </w:rPr>
            </w:pPr>
          </w:p>
        </w:tc>
        <w:tc>
          <w:tcPr>
            <w:tcW w:w="570" w:type="dxa"/>
            <w:tcMar>
              <w:left w:w="108" w:type="dxa"/>
            </w:tcMar>
            <w:vAlign w:val="center"/>
          </w:tcPr>
          <w:p w:rsidR="003D6DF3" w:rsidRPr="00263B21" w:rsidRDefault="003D6DF3" w:rsidP="00D73E98">
            <w:pPr>
              <w:jc w:val="center"/>
              <w:rPr>
                <w:i/>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48</w:t>
            </w:r>
            <w:r w:rsidRPr="00987EB8">
              <w:rPr>
                <w:b/>
                <w:lang w:val="it-IT"/>
              </w:rPr>
              <w:t>)</w:t>
            </w:r>
          </w:p>
        </w:tc>
        <w:tc>
          <w:tcPr>
            <w:tcW w:w="851" w:type="dxa"/>
            <w:tcMar>
              <w:left w:w="108" w:type="dxa"/>
              <w:right w:w="0" w:type="dxa"/>
            </w:tcMar>
          </w:tcPr>
          <w:p w:rsidR="003D6DF3" w:rsidRPr="009A2F48" w:rsidRDefault="003D6DF3" w:rsidP="00D73E98">
            <w:pPr>
              <w:jc w:val="left"/>
              <w:rPr>
                <w:sz w:val="13"/>
                <w:szCs w:val="13"/>
                <w:lang w:val="en-US"/>
              </w:rPr>
            </w:pPr>
            <w:r w:rsidRPr="009A2F48">
              <w:rPr>
                <w:sz w:val="13"/>
                <w:szCs w:val="13"/>
                <w:lang w:val="en-US"/>
              </w:rPr>
              <w:t>O</w:t>
            </w:r>
            <w:r>
              <w:rPr>
                <w:sz w:val="13"/>
                <w:szCs w:val="13"/>
                <w:lang w:val="en-US"/>
              </w:rPr>
              <w:t>IC 16.56</w:t>
            </w:r>
          </w:p>
        </w:tc>
        <w:tc>
          <w:tcPr>
            <w:tcW w:w="7060" w:type="dxa"/>
            <w:tcMar>
              <w:left w:w="108" w:type="dxa"/>
            </w:tcMar>
          </w:tcPr>
          <w:p w:rsidR="003D6DF3" w:rsidRDefault="003D6DF3" w:rsidP="00D73E98">
            <w:pPr>
              <w:spacing w:line="230" w:lineRule="exact"/>
              <w:rPr>
                <w:lang w:val="it-IT"/>
              </w:rPr>
            </w:pPr>
            <w:r>
              <w:rPr>
                <w:lang w:val="it-IT"/>
              </w:rPr>
              <w:t>I</w:t>
            </w:r>
            <w:r w:rsidRPr="00E82788">
              <w:rPr>
                <w:lang w:val="it-IT"/>
              </w:rPr>
              <w:t xml:space="preserve">l costo delle immobilizzazioni la cui utilizzazione è limitata nel tempo </w:t>
            </w:r>
            <w:r>
              <w:rPr>
                <w:lang w:val="it-IT"/>
              </w:rPr>
              <w:t xml:space="preserve">è stato </w:t>
            </w:r>
            <w:r w:rsidRPr="00E82788">
              <w:rPr>
                <w:lang w:val="it-IT"/>
              </w:rPr>
              <w:t>sistematicamente ammortizzato in ogni esercizio in relazione con la loro residua possibilità di utilizzazione</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49</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57</w:t>
            </w:r>
          </w:p>
        </w:tc>
        <w:tc>
          <w:tcPr>
            <w:tcW w:w="7060" w:type="dxa"/>
            <w:tcMar>
              <w:left w:w="108" w:type="dxa"/>
            </w:tcMar>
          </w:tcPr>
          <w:p w:rsidR="003D6DF3" w:rsidRDefault="003D6DF3" w:rsidP="00D73E98">
            <w:pPr>
              <w:rPr>
                <w:lang w:val="it-IT"/>
              </w:rPr>
            </w:pPr>
            <w:r w:rsidRPr="00E82788">
              <w:rPr>
                <w:lang w:val="it-IT"/>
              </w:rPr>
              <w:t>L’ammortamento è calcolato anche sui cespiti temporaneamente non utilizzati</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34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A0F36" w:rsidRDefault="003D6DF3" w:rsidP="00D73E98">
            <w:pPr>
              <w:pStyle w:val="PrincCont"/>
              <w:jc w:val="left"/>
              <w:rPr>
                <w:lang w:val="it-IT"/>
              </w:rPr>
            </w:pPr>
            <w:r w:rsidRPr="009A2F48">
              <w:rPr>
                <w:lang w:val="it-IT"/>
              </w:rPr>
              <w:t>OIC 16.5</w:t>
            </w:r>
            <w:r>
              <w:rPr>
                <w:lang w:val="it-IT"/>
              </w:rPr>
              <w:t>8, OIC 16.59</w:t>
            </w:r>
          </w:p>
        </w:tc>
        <w:tc>
          <w:tcPr>
            <w:tcW w:w="7060" w:type="dxa"/>
            <w:tcMar>
              <w:left w:w="108" w:type="dxa"/>
            </w:tcMar>
          </w:tcPr>
          <w:p w:rsidR="003D6DF3" w:rsidRDefault="003D6DF3" w:rsidP="00D73E98">
            <w:pPr>
              <w:pStyle w:val="Commentiriquadro"/>
            </w:pPr>
            <w:r w:rsidRPr="007A571C">
              <w:t>Tutti i cespiti sono ammortizzati tranne i cespiti la cui utilità non si esaurisce, c</w:t>
            </w:r>
            <w:r>
              <w:t>ome i terreni e le opere d’arte.</w:t>
            </w:r>
          </w:p>
          <w:p w:rsidR="003D6DF3" w:rsidRPr="004A750E" w:rsidRDefault="003D6DF3" w:rsidP="00D73E98">
            <w:pPr>
              <w:pStyle w:val="Commentiriquadro"/>
              <w:rPr>
                <w:highlight w:val="green"/>
              </w:rPr>
            </w:pPr>
            <w:r>
              <w:t>I fabbricati che rappresentano una forma di investimento di mezzi finanziari, effettuato da parte della società in base a libere determinazioni degli organi aziendali competenti, non sono ammortizzati se il valore residuo è pari o superiore al valore netto contabile; se sono ammortizzati, il loro piano di ammortamento risponde alle medesime caratteristiche delle altre immobilizzazioni materiali.</w:t>
            </w:r>
          </w:p>
        </w:tc>
        <w:tc>
          <w:tcPr>
            <w:tcW w:w="586" w:type="dxa"/>
            <w:gridSpan w:val="2"/>
            <w:tcMar>
              <w:left w:w="85" w:type="dxa"/>
              <w:right w:w="85" w:type="dxa"/>
            </w:tcMar>
            <w:vAlign w:val="center"/>
          </w:tcPr>
          <w:p w:rsidR="003D6DF3" w:rsidRPr="00FF19F7" w:rsidRDefault="003D6DF3" w:rsidP="00D73E98">
            <w:pPr>
              <w:jc w:val="center"/>
              <w:rPr>
                <w:lang w:val="it-IT"/>
              </w:rPr>
            </w:pPr>
          </w:p>
        </w:tc>
        <w:tc>
          <w:tcPr>
            <w:tcW w:w="573" w:type="dxa"/>
            <w:tcMar>
              <w:left w:w="108" w:type="dxa"/>
            </w:tcMar>
            <w:vAlign w:val="center"/>
          </w:tcPr>
          <w:p w:rsidR="003D6DF3" w:rsidRDefault="003D6DF3" w:rsidP="00D73E98">
            <w:pPr>
              <w:rPr>
                <w:lang w:val="it-IT"/>
              </w:rPr>
            </w:pPr>
          </w:p>
          <w:p w:rsidR="003D6DF3" w:rsidRPr="002F1F5A" w:rsidRDefault="003D6DF3" w:rsidP="00D73E98">
            <w:pPr>
              <w:rPr>
                <w:lang w:val="it-IT"/>
              </w:rPr>
            </w:pPr>
          </w:p>
        </w:tc>
        <w:tc>
          <w:tcPr>
            <w:tcW w:w="570" w:type="dxa"/>
            <w:tcMar>
              <w:left w:w="108" w:type="dxa"/>
            </w:tcMar>
            <w:vAlign w:val="center"/>
          </w:tcPr>
          <w:p w:rsidR="003D6DF3" w:rsidRPr="00FF19F7"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50</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60</w:t>
            </w:r>
          </w:p>
        </w:tc>
        <w:tc>
          <w:tcPr>
            <w:tcW w:w="7060" w:type="dxa"/>
            <w:tcMar>
              <w:left w:w="108" w:type="dxa"/>
            </w:tcMar>
          </w:tcPr>
          <w:p w:rsidR="003D6DF3" w:rsidRDefault="003D6DF3" w:rsidP="00D73E98">
            <w:pPr>
              <w:spacing w:line="230" w:lineRule="exact"/>
              <w:rPr>
                <w:lang w:val="it-IT"/>
              </w:rPr>
            </w:pPr>
            <w:r w:rsidRPr="009D1C73">
              <w:rPr>
                <w:lang w:val="it-IT"/>
              </w:rPr>
              <w:t xml:space="preserve">Se il valore dei fabbricati incorpora anche quello dei terreni sui quali insistono, il valore del fabbricato </w:t>
            </w:r>
            <w:r>
              <w:rPr>
                <w:lang w:val="it-IT"/>
              </w:rPr>
              <w:t>è stato</w:t>
            </w:r>
            <w:r w:rsidRPr="009D1C73">
              <w:rPr>
                <w:lang w:val="it-IT"/>
              </w:rPr>
              <w:t xml:space="preserve"> scorporato, anche in base a</w:t>
            </w:r>
            <w:r>
              <w:rPr>
                <w:lang w:val="it-IT"/>
              </w:rPr>
              <w:t xml:space="preserve"> stime, per essere ammortizzato?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51</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60</w:t>
            </w:r>
          </w:p>
        </w:tc>
        <w:tc>
          <w:tcPr>
            <w:tcW w:w="7060" w:type="dxa"/>
            <w:tcMar>
              <w:left w:w="108" w:type="dxa"/>
            </w:tcMar>
          </w:tcPr>
          <w:p w:rsidR="003D6DF3" w:rsidRDefault="003D6DF3" w:rsidP="00D73E98">
            <w:pPr>
              <w:spacing w:line="230" w:lineRule="exact"/>
              <w:rPr>
                <w:lang w:val="it-IT"/>
              </w:rPr>
            </w:pPr>
            <w:r w:rsidRPr="00ED3E25">
              <w:rPr>
                <w:lang w:val="it-IT"/>
              </w:rPr>
              <w:t xml:space="preserve">I terreni non sono </w:t>
            </w:r>
            <w:r>
              <w:rPr>
                <w:lang w:val="it-IT"/>
              </w:rPr>
              <w:t>stati assoggettati ad</w:t>
            </w:r>
            <w:r w:rsidRPr="00ED3E25">
              <w:rPr>
                <w:lang w:val="it-IT"/>
              </w:rPr>
              <w:t xml:space="preserve"> ammortamento salvo nei casi in cui essi abbiano un’utilità destinata ad esaurirsi nel tempo come nel caso delle cave e dei si</w:t>
            </w:r>
            <w:r>
              <w:rPr>
                <w:lang w:val="it-IT"/>
              </w:rPr>
              <w:t>ti utilizzati per le discariche?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52</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61</w:t>
            </w:r>
          </w:p>
        </w:tc>
        <w:tc>
          <w:tcPr>
            <w:tcW w:w="7060" w:type="dxa"/>
            <w:tcMar>
              <w:left w:w="108" w:type="dxa"/>
            </w:tcMar>
          </w:tcPr>
          <w:p w:rsidR="003D6DF3" w:rsidRDefault="003D6DF3" w:rsidP="00D73E98">
            <w:pPr>
              <w:spacing w:line="230" w:lineRule="exact"/>
              <w:rPr>
                <w:lang w:val="it-IT"/>
              </w:rPr>
            </w:pPr>
            <w:r w:rsidRPr="00A5561E">
              <w:rPr>
                <w:lang w:val="it-IT"/>
              </w:rPr>
              <w:t>L’ammortamento</w:t>
            </w:r>
            <w:r>
              <w:rPr>
                <w:lang w:val="it-IT"/>
              </w:rPr>
              <w:t xml:space="preserve"> è </w:t>
            </w:r>
            <w:r w:rsidRPr="00A5561E">
              <w:rPr>
                <w:lang w:val="it-IT"/>
              </w:rPr>
              <w:t>inizia</w:t>
            </w:r>
            <w:r>
              <w:rPr>
                <w:lang w:val="it-IT"/>
              </w:rPr>
              <w:t>to</w:t>
            </w:r>
            <w:r w:rsidRPr="00A5561E">
              <w:rPr>
                <w:lang w:val="it-IT"/>
              </w:rPr>
              <w:t xml:space="preserve"> dal momento in cui il cespite è</w:t>
            </w:r>
            <w:r>
              <w:rPr>
                <w:lang w:val="it-IT"/>
              </w:rPr>
              <w:t xml:space="preserve"> disponibile e pronto per l’uso?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314"/>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r w:rsidRPr="006A2F99">
              <w:t>OIC 16.</w:t>
            </w:r>
            <w:r>
              <w:t>61</w:t>
            </w:r>
          </w:p>
        </w:tc>
        <w:tc>
          <w:tcPr>
            <w:tcW w:w="7060" w:type="dxa"/>
            <w:tcMar>
              <w:left w:w="108" w:type="dxa"/>
            </w:tcMar>
          </w:tcPr>
          <w:p w:rsidR="003D6DF3" w:rsidRPr="00216D43" w:rsidRDefault="003D6DF3" w:rsidP="00D73E98">
            <w:pPr>
              <w:pStyle w:val="Commentiriquadro"/>
              <w:rPr>
                <w:lang w:eastAsia="it-IT"/>
              </w:rPr>
            </w:pPr>
            <w:r>
              <w:rPr>
                <w:lang w:eastAsia="it-IT"/>
              </w:rPr>
              <w:t>La regola di utilizzare la metà dell’aliquota normale d’ammortamento per i cespiti acquistati nell’anno è accettabile se la quota d’ammortamento ottenuta non si discosta significativamente dalla quota calcolata a partire dal momento iin cui il cespite è disponibile e pronto per l’uso.</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rPr>
                <w:lang w:val="it-IT"/>
              </w:rPr>
            </w:pPr>
          </w:p>
        </w:tc>
        <w:tc>
          <w:tcPr>
            <w:tcW w:w="570" w:type="dxa"/>
            <w:tcMar>
              <w:left w:w="108" w:type="dxa"/>
            </w:tcMar>
            <w:vAlign w:val="center"/>
          </w:tcPr>
          <w:p w:rsidR="003D6DF3" w:rsidRPr="00A32A16" w:rsidRDefault="003D6DF3" w:rsidP="00D73E98">
            <w:pPr>
              <w:rPr>
                <w:lang w:val="it-IT"/>
              </w:rPr>
            </w:pPr>
          </w:p>
        </w:tc>
      </w:tr>
      <w:tr w:rsidR="003D6DF3" w:rsidRPr="00865B51"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65B51" w:rsidRDefault="003D6DF3" w:rsidP="00D73E98">
            <w:pPr>
              <w:pStyle w:val="PrincCont"/>
              <w:jc w:val="left"/>
              <w:rPr>
                <w:lang w:val="it-IT"/>
              </w:rPr>
            </w:pPr>
          </w:p>
        </w:tc>
        <w:tc>
          <w:tcPr>
            <w:tcW w:w="7060" w:type="dxa"/>
            <w:tcMar>
              <w:left w:w="108" w:type="dxa"/>
            </w:tcMar>
          </w:tcPr>
          <w:p w:rsidR="003D6DF3" w:rsidRPr="006C6CD2" w:rsidRDefault="003D6DF3" w:rsidP="00D73E98">
            <w:pPr>
              <w:pStyle w:val="Titolo4"/>
            </w:pPr>
            <w:r w:rsidRPr="006C6CD2">
              <w:t>Piano di ammortamento</w:t>
            </w:r>
          </w:p>
        </w:tc>
        <w:tc>
          <w:tcPr>
            <w:tcW w:w="586" w:type="dxa"/>
            <w:gridSpan w:val="2"/>
            <w:tcMar>
              <w:left w:w="85" w:type="dxa"/>
              <w:right w:w="85" w:type="dxa"/>
            </w:tcMar>
            <w:vAlign w:val="center"/>
          </w:tcPr>
          <w:p w:rsidR="003D6DF3" w:rsidRPr="00865B51" w:rsidRDefault="003D6DF3" w:rsidP="00D73E98">
            <w:pPr>
              <w:jc w:val="center"/>
              <w:rPr>
                <w:lang w:val="it-IT"/>
              </w:rPr>
            </w:pPr>
          </w:p>
        </w:tc>
        <w:tc>
          <w:tcPr>
            <w:tcW w:w="573" w:type="dxa"/>
            <w:tcMar>
              <w:left w:w="108" w:type="dxa"/>
            </w:tcMar>
            <w:vAlign w:val="center"/>
          </w:tcPr>
          <w:p w:rsidR="003D6DF3" w:rsidRPr="00865B51" w:rsidRDefault="003D6DF3" w:rsidP="00D73E98">
            <w:pPr>
              <w:jc w:val="center"/>
              <w:rPr>
                <w:lang w:val="it-IT"/>
              </w:rPr>
            </w:pPr>
          </w:p>
        </w:tc>
        <w:tc>
          <w:tcPr>
            <w:tcW w:w="570" w:type="dxa"/>
            <w:tcMar>
              <w:left w:w="108" w:type="dxa"/>
            </w:tcMar>
            <w:vAlign w:val="center"/>
          </w:tcPr>
          <w:p w:rsidR="003D6DF3" w:rsidRPr="00865B51" w:rsidRDefault="003D6DF3" w:rsidP="00D73E98">
            <w:pPr>
              <w:jc w:val="center"/>
              <w:rPr>
                <w:lang w:val="it-IT"/>
              </w:rPr>
            </w:pPr>
          </w:p>
        </w:tc>
      </w:tr>
      <w:tr w:rsidR="003D6DF3" w:rsidRPr="00CC242B" w:rsidTr="00D73E98">
        <w:trPr>
          <w:cantSplit/>
          <w:trHeight w:val="314"/>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r w:rsidRPr="006A2F99">
              <w:t>OIC 16.</w:t>
            </w:r>
            <w:r>
              <w:t>62</w:t>
            </w:r>
          </w:p>
        </w:tc>
        <w:tc>
          <w:tcPr>
            <w:tcW w:w="7060" w:type="dxa"/>
            <w:tcMar>
              <w:left w:w="108" w:type="dxa"/>
            </w:tcMar>
          </w:tcPr>
          <w:p w:rsidR="003D6DF3" w:rsidRPr="00216D43" w:rsidRDefault="003D6DF3" w:rsidP="00D73E98">
            <w:pPr>
              <w:pStyle w:val="Commentiriquadro"/>
              <w:rPr>
                <w:lang w:eastAsia="it-IT"/>
              </w:rPr>
            </w:pPr>
            <w:r>
              <w:rPr>
                <w:lang w:eastAsia="it-IT"/>
              </w:rPr>
              <w:t>Le immobilizzazioni materiali sono ammortizzate sistematicamente. La sistematicità dell’ammortamento è definita nel piano di ammortamento, che deve essere funzionale alla residua possibilità di utilizzazione dell’immobilizzazione. La determinazione del piano di ammortamento presuppone la conoscenza dei seguenti elementi: (a) valore da ammortizzare, (b) residua possibilità di utilizzazione, (c) metodi di ammortamento.</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rPr>
                <w:lang w:val="it-IT"/>
              </w:rPr>
            </w:pPr>
          </w:p>
        </w:tc>
        <w:tc>
          <w:tcPr>
            <w:tcW w:w="570" w:type="dxa"/>
            <w:tcMar>
              <w:left w:w="108" w:type="dxa"/>
            </w:tcMar>
            <w:vAlign w:val="center"/>
          </w:tcPr>
          <w:p w:rsidR="003D6DF3" w:rsidRPr="00A32A16" w:rsidRDefault="003D6DF3" w:rsidP="00D73E98">
            <w:pP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53</w:t>
            </w:r>
            <w:r w:rsidRPr="00987EB8">
              <w:rPr>
                <w:b/>
                <w:lang w:val="it-IT"/>
              </w:rPr>
              <w:t>)</w:t>
            </w:r>
          </w:p>
        </w:tc>
        <w:tc>
          <w:tcPr>
            <w:tcW w:w="851" w:type="dxa"/>
            <w:tcMar>
              <w:left w:w="108" w:type="dxa"/>
              <w:right w:w="0" w:type="dxa"/>
            </w:tcMar>
          </w:tcPr>
          <w:p w:rsidR="003D6DF3" w:rsidRPr="0062255D" w:rsidRDefault="003D6DF3" w:rsidP="00D73E98">
            <w:pPr>
              <w:jc w:val="left"/>
              <w:rPr>
                <w:lang w:val="it-IT"/>
              </w:rPr>
            </w:pPr>
            <w:r w:rsidRPr="008B53F2">
              <w:rPr>
                <w:sz w:val="13"/>
                <w:szCs w:val="13"/>
              </w:rPr>
              <w:t>OIC 16.</w:t>
            </w:r>
            <w:r>
              <w:rPr>
                <w:sz w:val="13"/>
                <w:szCs w:val="13"/>
              </w:rPr>
              <w:t>62</w:t>
            </w:r>
          </w:p>
        </w:tc>
        <w:tc>
          <w:tcPr>
            <w:tcW w:w="7060" w:type="dxa"/>
            <w:tcMar>
              <w:left w:w="108" w:type="dxa"/>
            </w:tcMar>
          </w:tcPr>
          <w:p w:rsidR="003D6DF3" w:rsidRDefault="003D6DF3" w:rsidP="00D73E98">
            <w:pPr>
              <w:spacing w:line="230" w:lineRule="exact"/>
              <w:rPr>
                <w:lang w:val="it-IT"/>
              </w:rPr>
            </w:pPr>
            <w:r>
              <w:rPr>
                <w:lang w:val="it-IT"/>
              </w:rPr>
              <w:t>La società ha determinato i</w:t>
            </w:r>
            <w:r w:rsidRPr="008B53F2">
              <w:rPr>
                <w:lang w:val="it-IT"/>
              </w:rPr>
              <w:t xml:space="preserve">l valore da ammortizzare </w:t>
            </w:r>
            <w:r>
              <w:rPr>
                <w:lang w:val="it-IT"/>
              </w:rPr>
              <w:t xml:space="preserve">come </w:t>
            </w:r>
            <w:r w:rsidRPr="008B53F2">
              <w:rPr>
                <w:lang w:val="it-IT"/>
              </w:rPr>
              <w:t xml:space="preserve">differenza tra il costo dell’immobilizzazione, determinato secondo i criteri enunciati nel </w:t>
            </w:r>
            <w:r>
              <w:rPr>
                <w:lang w:val="it-IT"/>
              </w:rPr>
              <w:t>P</w:t>
            </w:r>
            <w:r w:rsidRPr="008B53F2">
              <w:rPr>
                <w:lang w:val="it-IT"/>
              </w:rPr>
              <w:t>rincipio, e il suo valore residuo al te</w:t>
            </w:r>
            <w:r>
              <w:rPr>
                <w:lang w:val="it-IT"/>
              </w:rPr>
              <w:t>rmine del periodo di vita utile?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314"/>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914FE4" w:rsidRDefault="003D6DF3" w:rsidP="00D73E98">
            <w:pPr>
              <w:pStyle w:val="PrincCont"/>
              <w:jc w:val="left"/>
              <w:rPr>
                <w:lang w:val="it-IT"/>
              </w:rPr>
            </w:pPr>
            <w:r w:rsidRPr="006A2F99">
              <w:t>OIC 16.</w:t>
            </w:r>
            <w:r>
              <w:t>62</w:t>
            </w:r>
          </w:p>
        </w:tc>
        <w:tc>
          <w:tcPr>
            <w:tcW w:w="7060" w:type="dxa"/>
            <w:tcMar>
              <w:left w:w="108" w:type="dxa"/>
            </w:tcMar>
          </w:tcPr>
          <w:p w:rsidR="003D6DF3" w:rsidRDefault="003D6DF3" w:rsidP="00D73E98">
            <w:pPr>
              <w:pStyle w:val="Commentiriquadro"/>
              <w:rPr>
                <w:lang w:eastAsia="it-IT"/>
              </w:rPr>
            </w:pPr>
            <w:r w:rsidRPr="00FC52E1">
              <w:rPr>
                <w:lang w:eastAsia="it-IT"/>
              </w:rPr>
              <w:t xml:space="preserve">Il valore residuo </w:t>
            </w:r>
            <w:r>
              <w:rPr>
                <w:lang w:eastAsia="it-IT"/>
              </w:rPr>
              <w:t>è spesso così esiguo rispetto al valore da ammortizzare che di esso non si tiene conto.</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rPr>
                <w:lang w:val="it-IT"/>
              </w:rPr>
            </w:pPr>
          </w:p>
        </w:tc>
        <w:tc>
          <w:tcPr>
            <w:tcW w:w="570" w:type="dxa"/>
            <w:tcMar>
              <w:left w:w="108" w:type="dxa"/>
            </w:tcMar>
            <w:vAlign w:val="center"/>
          </w:tcPr>
          <w:p w:rsidR="003D6DF3" w:rsidRPr="00A32A16" w:rsidRDefault="003D6DF3" w:rsidP="00D73E98">
            <w:pP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54</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62</w:t>
            </w:r>
          </w:p>
        </w:tc>
        <w:tc>
          <w:tcPr>
            <w:tcW w:w="7060" w:type="dxa"/>
            <w:tcMar>
              <w:left w:w="108" w:type="dxa"/>
            </w:tcMar>
          </w:tcPr>
          <w:p w:rsidR="003D6DF3" w:rsidRDefault="003D6DF3" w:rsidP="00D73E98">
            <w:pPr>
              <w:spacing w:line="230" w:lineRule="exact"/>
              <w:rPr>
                <w:lang w:val="it-IT"/>
              </w:rPr>
            </w:pPr>
            <w:r w:rsidRPr="00B3520B">
              <w:rPr>
                <w:lang w:val="it-IT"/>
              </w:rPr>
              <w:t>Il valor</w:t>
            </w:r>
            <w:r>
              <w:rPr>
                <w:lang w:val="it-IT"/>
              </w:rPr>
              <w:t xml:space="preserve">e residuo dell’immobilizzazione è </w:t>
            </w:r>
            <w:r w:rsidRPr="00B3520B">
              <w:rPr>
                <w:lang w:val="it-IT"/>
              </w:rPr>
              <w:t>inizialmente stimato nel momento della redazione del</w:t>
            </w:r>
            <w:r>
              <w:rPr>
                <w:lang w:val="it-IT"/>
              </w:rPr>
              <w:t xml:space="preserve"> </w:t>
            </w:r>
            <w:r w:rsidRPr="00B3520B">
              <w:rPr>
                <w:lang w:val="it-IT"/>
              </w:rPr>
              <w:t>piano di ammortamento in base ai prezzi realizzabili sul mercato attraverso la cessione di</w:t>
            </w:r>
            <w:r>
              <w:rPr>
                <w:lang w:val="it-IT"/>
              </w:rPr>
              <w:t xml:space="preserve"> </w:t>
            </w:r>
            <w:r w:rsidRPr="00B3520B">
              <w:rPr>
                <w:lang w:val="it-IT"/>
              </w:rPr>
              <w:t xml:space="preserve">immobilizzazioni simili </w:t>
            </w:r>
            <w:r>
              <w:rPr>
                <w:lang w:val="it-IT"/>
              </w:rPr>
              <w:t xml:space="preserve">ed è </w:t>
            </w:r>
            <w:r w:rsidRPr="00B3520B">
              <w:rPr>
                <w:lang w:val="it-IT"/>
              </w:rPr>
              <w:t xml:space="preserve">considerato al netto dei presumibili </w:t>
            </w:r>
            <w:r>
              <w:rPr>
                <w:lang w:val="it-IT"/>
              </w:rPr>
              <w:t>costi di rimozione?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55</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62</w:t>
            </w:r>
          </w:p>
        </w:tc>
        <w:tc>
          <w:tcPr>
            <w:tcW w:w="7060" w:type="dxa"/>
            <w:tcMar>
              <w:left w:w="108" w:type="dxa"/>
            </w:tcMar>
          </w:tcPr>
          <w:p w:rsidR="003D6DF3" w:rsidRDefault="003D6DF3" w:rsidP="00D73E98">
            <w:pPr>
              <w:spacing w:line="230" w:lineRule="exact"/>
              <w:rPr>
                <w:lang w:val="it-IT"/>
              </w:rPr>
            </w:pPr>
            <w:r w:rsidRPr="00B3520B">
              <w:rPr>
                <w:lang w:val="it-IT"/>
              </w:rPr>
              <w:t>Il valor</w:t>
            </w:r>
            <w:r>
              <w:rPr>
                <w:lang w:val="it-IT"/>
              </w:rPr>
              <w:t xml:space="preserve">e residuo dell’immobilizzazione è </w:t>
            </w:r>
            <w:r w:rsidRPr="00B3520B">
              <w:rPr>
                <w:lang w:val="it-IT"/>
              </w:rPr>
              <w:t>rivisto periodicamente al fine di verificare che la stima iniziale sia</w:t>
            </w:r>
            <w:r>
              <w:rPr>
                <w:lang w:val="it-IT"/>
              </w:rPr>
              <w:t xml:space="preserve"> </w:t>
            </w:r>
            <w:r w:rsidRPr="00B3520B">
              <w:rPr>
                <w:lang w:val="it-IT"/>
              </w:rPr>
              <w:t>ancora valida</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56</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62</w:t>
            </w:r>
          </w:p>
        </w:tc>
        <w:tc>
          <w:tcPr>
            <w:tcW w:w="7060" w:type="dxa"/>
            <w:tcMar>
              <w:left w:w="108" w:type="dxa"/>
            </w:tcMar>
          </w:tcPr>
          <w:p w:rsidR="003D6DF3" w:rsidRDefault="003D6DF3" w:rsidP="00D73E98">
            <w:pPr>
              <w:spacing w:line="230" w:lineRule="exact"/>
              <w:rPr>
                <w:lang w:val="it-IT"/>
              </w:rPr>
            </w:pPr>
            <w:r w:rsidRPr="001A216C">
              <w:rPr>
                <w:lang w:val="it-IT"/>
              </w:rPr>
              <w:t xml:space="preserve">L’ammortamento </w:t>
            </w:r>
            <w:r>
              <w:rPr>
                <w:lang w:val="it-IT"/>
              </w:rPr>
              <w:t>è stato</w:t>
            </w:r>
            <w:r w:rsidRPr="001A216C">
              <w:rPr>
                <w:lang w:val="it-IT"/>
              </w:rPr>
              <w:t xml:space="preserve"> interrotto se, in seguito all’aggiornamento della stima, il presumibile valore</w:t>
            </w:r>
            <w:r>
              <w:rPr>
                <w:lang w:val="it-IT"/>
              </w:rPr>
              <w:t xml:space="preserve"> </w:t>
            </w:r>
            <w:r w:rsidRPr="001A216C">
              <w:rPr>
                <w:lang w:val="it-IT"/>
              </w:rPr>
              <w:t xml:space="preserve">residuo </w:t>
            </w:r>
            <w:r>
              <w:rPr>
                <w:lang w:val="it-IT"/>
              </w:rPr>
              <w:t xml:space="preserve">è </w:t>
            </w:r>
            <w:r w:rsidRPr="001A216C">
              <w:rPr>
                <w:lang w:val="it-IT"/>
              </w:rPr>
              <w:t>risulta</w:t>
            </w:r>
            <w:r>
              <w:rPr>
                <w:lang w:val="it-IT"/>
              </w:rPr>
              <w:t>to</w:t>
            </w:r>
            <w:r w:rsidRPr="001A216C">
              <w:rPr>
                <w:lang w:val="it-IT"/>
              </w:rPr>
              <w:t xml:space="preserve"> pari o superiore al valore netto contabile</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57</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62</w:t>
            </w:r>
          </w:p>
        </w:tc>
        <w:tc>
          <w:tcPr>
            <w:tcW w:w="7060" w:type="dxa"/>
            <w:tcMar>
              <w:left w:w="108" w:type="dxa"/>
            </w:tcMar>
          </w:tcPr>
          <w:p w:rsidR="003D6DF3" w:rsidRDefault="003D6DF3" w:rsidP="00D73E98">
            <w:pPr>
              <w:spacing w:line="230" w:lineRule="exact"/>
              <w:rPr>
                <w:lang w:val="it-IT"/>
              </w:rPr>
            </w:pPr>
            <w:r w:rsidRPr="00445982">
              <w:rPr>
                <w:lang w:val="it-IT"/>
              </w:rPr>
              <w:t>Se il costo di rimozione eccede il prezzo di realizzo, l’eccedenza è accantonata lungo la vita utile del cespite iscrivendo, pro quota, un fondo di ripristino e bonifica o altro fondo analogo</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314"/>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E84807" w:rsidRDefault="003D6DF3" w:rsidP="00D73E98">
            <w:pPr>
              <w:pStyle w:val="PrincCont"/>
              <w:jc w:val="left"/>
              <w:rPr>
                <w:lang w:val="it-IT"/>
              </w:rPr>
            </w:pPr>
            <w:r>
              <w:rPr>
                <w:lang w:val="it-IT"/>
              </w:rPr>
              <w:t>OIC 16.63</w:t>
            </w:r>
          </w:p>
        </w:tc>
        <w:tc>
          <w:tcPr>
            <w:tcW w:w="7060" w:type="dxa"/>
            <w:tcMar>
              <w:left w:w="108" w:type="dxa"/>
            </w:tcMar>
          </w:tcPr>
          <w:p w:rsidR="003D6DF3" w:rsidRDefault="003D6DF3" w:rsidP="00D73E98">
            <w:pPr>
              <w:pStyle w:val="Commentiriquadro"/>
              <w:rPr>
                <w:lang w:eastAsia="it-IT"/>
              </w:rPr>
            </w:pPr>
            <w:r>
              <w:rPr>
                <w:lang w:eastAsia="it-IT"/>
              </w:rPr>
              <w:t>La residua possibilità di utilizzazione non è legata alla “durata fisica” dell’immobilizzazione, bensì alla sua “durata economica”, cioè al periodo in cui si prevede che il cespite sarà utile alla società. Tale periodo è normalmente inferiore alla durata fisica ed è ragionevolmente stimato sulla base dei seguenti fattori:</w:t>
            </w:r>
          </w:p>
          <w:p w:rsidR="003D6DF3" w:rsidRDefault="003D6DF3" w:rsidP="00D73E98">
            <w:pPr>
              <w:pStyle w:val="Commentiriquadro"/>
              <w:ind w:left="176" w:hanging="119"/>
              <w:rPr>
                <w:lang w:eastAsia="it-IT"/>
              </w:rPr>
            </w:pPr>
            <w:r>
              <w:rPr>
                <w:lang w:eastAsia="it-IT"/>
              </w:rPr>
              <w:t xml:space="preserve">- </w:t>
            </w:r>
            <w:r>
              <w:rPr>
                <w:lang w:eastAsia="it-IT"/>
              </w:rPr>
              <w:tab/>
              <w:t>deterioramento fisico legato al trascorrere del tempo;</w:t>
            </w:r>
          </w:p>
          <w:p w:rsidR="003D6DF3" w:rsidRDefault="003D6DF3" w:rsidP="00D73E98">
            <w:pPr>
              <w:pStyle w:val="Commentiriquadro"/>
              <w:ind w:left="176" w:hanging="119"/>
              <w:rPr>
                <w:lang w:eastAsia="it-IT"/>
              </w:rPr>
            </w:pPr>
            <w:r>
              <w:rPr>
                <w:lang w:eastAsia="it-IT"/>
              </w:rPr>
              <w:t xml:space="preserve">- </w:t>
            </w:r>
            <w:r>
              <w:rPr>
                <w:lang w:eastAsia="it-IT"/>
              </w:rPr>
              <w:tab/>
              <w:t>grado di utilizzo;</w:t>
            </w:r>
          </w:p>
          <w:p w:rsidR="003D6DF3" w:rsidRDefault="003D6DF3" w:rsidP="00D73E98">
            <w:pPr>
              <w:pStyle w:val="Commentiriquadro"/>
              <w:ind w:left="176" w:hanging="119"/>
              <w:rPr>
                <w:lang w:eastAsia="it-IT"/>
              </w:rPr>
            </w:pPr>
            <w:r>
              <w:rPr>
                <w:lang w:eastAsia="it-IT"/>
              </w:rPr>
              <w:t xml:space="preserve">- </w:t>
            </w:r>
            <w:r>
              <w:rPr>
                <w:lang w:eastAsia="it-IT"/>
              </w:rPr>
              <w:tab/>
              <w:t>esperienza relativa alla durata economica dei cespiti dell’impresa e del settore in cui questa opera;</w:t>
            </w:r>
          </w:p>
          <w:p w:rsidR="003D6DF3" w:rsidRDefault="003D6DF3" w:rsidP="00D73E98">
            <w:pPr>
              <w:pStyle w:val="Commentiriquadro"/>
              <w:ind w:left="176" w:hanging="119"/>
              <w:rPr>
                <w:lang w:eastAsia="it-IT"/>
              </w:rPr>
            </w:pPr>
            <w:r>
              <w:rPr>
                <w:lang w:eastAsia="it-IT"/>
              </w:rPr>
              <w:t xml:space="preserve">- </w:t>
            </w:r>
            <w:r>
              <w:rPr>
                <w:lang w:eastAsia="it-IT"/>
              </w:rPr>
              <w:tab/>
              <w:t>stime dei produttori del cespite;</w:t>
            </w:r>
          </w:p>
          <w:p w:rsidR="003D6DF3" w:rsidRDefault="003D6DF3" w:rsidP="00D73E98">
            <w:pPr>
              <w:pStyle w:val="Commentiriquadro"/>
              <w:ind w:left="176" w:hanging="119"/>
              <w:rPr>
                <w:lang w:eastAsia="it-IT"/>
              </w:rPr>
            </w:pPr>
            <w:r>
              <w:rPr>
                <w:lang w:eastAsia="it-IT"/>
              </w:rPr>
              <w:t xml:space="preserve">- </w:t>
            </w:r>
            <w:r>
              <w:rPr>
                <w:lang w:eastAsia="it-IT"/>
              </w:rPr>
              <w:tab/>
              <w:t>perizie;</w:t>
            </w:r>
          </w:p>
          <w:p w:rsidR="003D6DF3" w:rsidRDefault="003D6DF3" w:rsidP="00D73E98">
            <w:pPr>
              <w:pStyle w:val="Commentiriquadro"/>
              <w:ind w:left="176" w:hanging="119"/>
              <w:rPr>
                <w:lang w:eastAsia="it-IT"/>
              </w:rPr>
            </w:pPr>
            <w:r>
              <w:rPr>
                <w:lang w:eastAsia="it-IT"/>
              </w:rPr>
              <w:t xml:space="preserve">- </w:t>
            </w:r>
            <w:r>
              <w:rPr>
                <w:lang w:eastAsia="it-IT"/>
              </w:rPr>
              <w:tab/>
              <w:t>obsolescenza del cespite (ricorrenza dei cambiamenti tecnologici, nuove tecnologie prevedibili al momento della stima, ecc.) e del prodotto per cui viene usato;</w:t>
            </w:r>
          </w:p>
          <w:p w:rsidR="003D6DF3" w:rsidRDefault="003D6DF3" w:rsidP="00D73E98">
            <w:pPr>
              <w:pStyle w:val="Commentiriquadro"/>
              <w:ind w:left="176" w:hanging="119"/>
              <w:rPr>
                <w:lang w:eastAsia="it-IT"/>
              </w:rPr>
            </w:pPr>
            <w:r>
              <w:rPr>
                <w:lang w:eastAsia="it-IT"/>
              </w:rPr>
              <w:t xml:space="preserve">- </w:t>
            </w:r>
            <w:r>
              <w:rPr>
                <w:lang w:eastAsia="it-IT"/>
              </w:rPr>
              <w:tab/>
              <w:t>correlazione con altri cespiti: se un cespite è acquisito per migliorare la funzionalità di un altro cespite originario, ma non ne prolunga in modo apprezzabile la vita, il nuovo cespite deve essere ammortizzato sulla residua possibilità di utilizzazione del cespite originario;</w:t>
            </w:r>
          </w:p>
          <w:p w:rsidR="003D6DF3" w:rsidRDefault="003D6DF3" w:rsidP="00D73E98">
            <w:pPr>
              <w:pStyle w:val="Commentiriquadro"/>
              <w:ind w:left="176" w:hanging="119"/>
              <w:rPr>
                <w:lang w:eastAsia="it-IT"/>
              </w:rPr>
            </w:pPr>
            <w:r>
              <w:rPr>
                <w:lang w:eastAsia="it-IT"/>
              </w:rPr>
              <w:t xml:space="preserve">- </w:t>
            </w:r>
            <w:r>
              <w:rPr>
                <w:lang w:eastAsia="it-IT"/>
              </w:rPr>
              <w:tab/>
              <w:t>piani aziendali per la sostituzione dei cespiti;</w:t>
            </w:r>
          </w:p>
          <w:p w:rsidR="003D6DF3" w:rsidRDefault="003D6DF3" w:rsidP="00D73E98">
            <w:pPr>
              <w:pStyle w:val="Commentiriquadro"/>
              <w:ind w:left="176" w:hanging="119"/>
              <w:rPr>
                <w:lang w:eastAsia="it-IT"/>
              </w:rPr>
            </w:pPr>
            <w:r>
              <w:rPr>
                <w:lang w:eastAsia="it-IT"/>
              </w:rPr>
              <w:t xml:space="preserve">- </w:t>
            </w:r>
            <w:r>
              <w:rPr>
                <w:lang w:eastAsia="it-IT"/>
              </w:rPr>
              <w:tab/>
              <w:t>fattori ambientali;</w:t>
            </w:r>
          </w:p>
          <w:p w:rsidR="003D6DF3" w:rsidRDefault="003D6DF3" w:rsidP="00D73E98">
            <w:pPr>
              <w:pStyle w:val="Commentiriquadro"/>
              <w:ind w:left="176" w:hanging="119"/>
              <w:rPr>
                <w:lang w:eastAsia="it-IT"/>
              </w:rPr>
            </w:pPr>
            <w:r>
              <w:rPr>
                <w:lang w:eastAsia="it-IT"/>
              </w:rPr>
              <w:t xml:space="preserve">- </w:t>
            </w:r>
            <w:r>
              <w:rPr>
                <w:lang w:eastAsia="it-IT"/>
              </w:rPr>
              <w:tab/>
              <w:t>condizioni di utilizzo, quali i turni di produzione, il corretto utilizzo, il livello tecnico del personale addetto, i luoghi di utilizzo (aperti o chiusi, umidi o asciutti) ecc.;</w:t>
            </w:r>
          </w:p>
          <w:p w:rsidR="003D6DF3" w:rsidRDefault="003D6DF3" w:rsidP="00D73E98">
            <w:pPr>
              <w:pStyle w:val="Commentiriquadro"/>
              <w:ind w:left="176" w:hanging="119"/>
              <w:rPr>
                <w:lang w:eastAsia="it-IT"/>
              </w:rPr>
            </w:pPr>
            <w:r>
              <w:rPr>
                <w:lang w:eastAsia="it-IT"/>
              </w:rPr>
              <w:t xml:space="preserve">- </w:t>
            </w:r>
            <w:r>
              <w:rPr>
                <w:lang w:eastAsia="it-IT"/>
              </w:rPr>
              <w:tab/>
              <w:t>politiche di manutenzione e riparazione: un’inadeguata manutenzione può ridurre la durata economica del cespite, una manutenzione diligente può prolungarla, ma non indefinitamente;</w:t>
            </w:r>
          </w:p>
          <w:p w:rsidR="003D6DF3" w:rsidRPr="00216D43" w:rsidRDefault="003D6DF3" w:rsidP="00D73E98">
            <w:pPr>
              <w:pStyle w:val="Commentiriquadro"/>
              <w:ind w:left="176" w:hanging="119"/>
              <w:rPr>
                <w:lang w:eastAsia="it-IT"/>
              </w:rPr>
            </w:pPr>
            <w:r>
              <w:rPr>
                <w:lang w:eastAsia="it-IT"/>
              </w:rPr>
              <w:t xml:space="preserve">- </w:t>
            </w:r>
            <w:r>
              <w:rPr>
                <w:lang w:eastAsia="it-IT"/>
              </w:rPr>
              <w:tab/>
              <w:t>fattori economici o legali che impongono limiti all’uso del cespite.</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rPr>
                <w:lang w:val="it-IT"/>
              </w:rPr>
            </w:pPr>
          </w:p>
        </w:tc>
        <w:tc>
          <w:tcPr>
            <w:tcW w:w="570" w:type="dxa"/>
            <w:tcMar>
              <w:left w:w="108" w:type="dxa"/>
            </w:tcMar>
            <w:vAlign w:val="center"/>
          </w:tcPr>
          <w:p w:rsidR="003D6DF3" w:rsidRPr="00A32A16" w:rsidRDefault="003D6DF3" w:rsidP="00D73E98">
            <w:pPr>
              <w:rPr>
                <w:lang w:val="it-IT"/>
              </w:rPr>
            </w:pPr>
          </w:p>
        </w:tc>
      </w:tr>
      <w:tr w:rsidR="003D6DF3" w:rsidRPr="00865B51"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65B51" w:rsidRDefault="003D6DF3" w:rsidP="00D73E98">
            <w:pPr>
              <w:pStyle w:val="PrincCont"/>
              <w:jc w:val="left"/>
              <w:rPr>
                <w:lang w:val="it-IT"/>
              </w:rPr>
            </w:pPr>
          </w:p>
        </w:tc>
        <w:tc>
          <w:tcPr>
            <w:tcW w:w="7060" w:type="dxa"/>
            <w:tcMar>
              <w:left w:w="108" w:type="dxa"/>
            </w:tcMar>
          </w:tcPr>
          <w:p w:rsidR="003D6DF3" w:rsidRPr="00865B51" w:rsidRDefault="003D6DF3" w:rsidP="00D73E98">
            <w:pPr>
              <w:pStyle w:val="Titolo4"/>
            </w:pPr>
            <w:r>
              <w:t>Metodi di ammortamento</w:t>
            </w:r>
          </w:p>
        </w:tc>
        <w:tc>
          <w:tcPr>
            <w:tcW w:w="586" w:type="dxa"/>
            <w:gridSpan w:val="2"/>
            <w:tcMar>
              <w:left w:w="85" w:type="dxa"/>
              <w:right w:w="85" w:type="dxa"/>
            </w:tcMar>
            <w:vAlign w:val="center"/>
          </w:tcPr>
          <w:p w:rsidR="003D6DF3" w:rsidRPr="00865B51" w:rsidRDefault="003D6DF3" w:rsidP="00D73E98">
            <w:pPr>
              <w:jc w:val="center"/>
              <w:rPr>
                <w:lang w:val="it-IT"/>
              </w:rPr>
            </w:pPr>
          </w:p>
        </w:tc>
        <w:tc>
          <w:tcPr>
            <w:tcW w:w="573" w:type="dxa"/>
            <w:tcMar>
              <w:left w:w="108" w:type="dxa"/>
            </w:tcMar>
            <w:vAlign w:val="center"/>
          </w:tcPr>
          <w:p w:rsidR="003D6DF3" w:rsidRPr="00865B51" w:rsidRDefault="003D6DF3" w:rsidP="00D73E98">
            <w:pPr>
              <w:jc w:val="center"/>
              <w:rPr>
                <w:lang w:val="it-IT"/>
              </w:rPr>
            </w:pPr>
          </w:p>
        </w:tc>
        <w:tc>
          <w:tcPr>
            <w:tcW w:w="570" w:type="dxa"/>
            <w:tcMar>
              <w:left w:w="108" w:type="dxa"/>
            </w:tcMar>
            <w:vAlign w:val="center"/>
          </w:tcPr>
          <w:p w:rsidR="003D6DF3" w:rsidRPr="00865B51" w:rsidRDefault="003D6DF3" w:rsidP="00D73E98">
            <w:pPr>
              <w:jc w:val="center"/>
              <w:rPr>
                <w:lang w:val="it-IT"/>
              </w:rPr>
            </w:pPr>
          </w:p>
        </w:tc>
      </w:tr>
      <w:tr w:rsidR="003D6DF3" w:rsidRPr="00CC242B" w:rsidTr="00D73E98">
        <w:trPr>
          <w:cantSplit/>
          <w:trHeight w:val="314"/>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r w:rsidRPr="006A2F99">
              <w:t>OIC 16.</w:t>
            </w:r>
            <w:r>
              <w:t>64</w:t>
            </w:r>
          </w:p>
        </w:tc>
        <w:tc>
          <w:tcPr>
            <w:tcW w:w="7060" w:type="dxa"/>
            <w:tcMar>
              <w:left w:w="108" w:type="dxa"/>
            </w:tcMar>
          </w:tcPr>
          <w:p w:rsidR="003D6DF3" w:rsidRPr="00216D43" w:rsidRDefault="003D6DF3" w:rsidP="00D73E98">
            <w:pPr>
              <w:pStyle w:val="Commentiriquadro"/>
              <w:rPr>
                <w:lang w:eastAsia="it-IT"/>
              </w:rPr>
            </w:pPr>
            <w:r>
              <w:rPr>
                <w:lang w:eastAsia="it-IT"/>
              </w:rPr>
              <w:t>I metodi di ammortamento devono assicurare una razionale e sistematica imputazione del valore dei cespiti durante la stimata vita utile dei medesimi.</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rPr>
                <w:lang w:val="it-IT"/>
              </w:rPr>
            </w:pPr>
          </w:p>
        </w:tc>
        <w:tc>
          <w:tcPr>
            <w:tcW w:w="570" w:type="dxa"/>
            <w:tcMar>
              <w:left w:w="108" w:type="dxa"/>
            </w:tcMar>
            <w:vAlign w:val="center"/>
          </w:tcPr>
          <w:p w:rsidR="003D6DF3" w:rsidRPr="00A32A16" w:rsidRDefault="003D6DF3" w:rsidP="00D73E98">
            <w:pP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58</w:t>
            </w:r>
            <w:r w:rsidRPr="00987EB8">
              <w:rPr>
                <w:b/>
                <w:lang w:val="it-IT"/>
              </w:rPr>
              <w:t>)</w:t>
            </w:r>
          </w:p>
        </w:tc>
        <w:tc>
          <w:tcPr>
            <w:tcW w:w="851" w:type="dxa"/>
            <w:tcMar>
              <w:left w:w="108" w:type="dxa"/>
              <w:right w:w="0" w:type="dxa"/>
            </w:tcMar>
          </w:tcPr>
          <w:p w:rsidR="003D6DF3" w:rsidRDefault="003D6DF3" w:rsidP="00D73E98">
            <w:pPr>
              <w:jc w:val="left"/>
            </w:pPr>
            <w:r w:rsidRPr="00C70C5B">
              <w:rPr>
                <w:sz w:val="13"/>
                <w:szCs w:val="13"/>
              </w:rPr>
              <w:t>OIC 16.</w:t>
            </w:r>
            <w:r>
              <w:rPr>
                <w:sz w:val="13"/>
                <w:szCs w:val="13"/>
              </w:rPr>
              <w:t>65</w:t>
            </w:r>
          </w:p>
        </w:tc>
        <w:tc>
          <w:tcPr>
            <w:tcW w:w="7060" w:type="dxa"/>
            <w:tcMar>
              <w:left w:w="108" w:type="dxa"/>
            </w:tcMar>
          </w:tcPr>
          <w:p w:rsidR="003D6DF3" w:rsidRDefault="003D6DF3" w:rsidP="00D73E98">
            <w:pPr>
              <w:spacing w:line="230" w:lineRule="exact"/>
              <w:rPr>
                <w:lang w:val="it-IT"/>
              </w:rPr>
            </w:pPr>
            <w:r w:rsidRPr="002166E4">
              <w:rPr>
                <w:lang w:val="it-IT"/>
              </w:rPr>
              <w:t xml:space="preserve">La società ha </w:t>
            </w:r>
            <w:r>
              <w:rPr>
                <w:lang w:val="it-IT"/>
              </w:rPr>
              <w:t>applicato</w:t>
            </w:r>
            <w:r w:rsidRPr="002166E4">
              <w:rPr>
                <w:lang w:val="it-IT"/>
              </w:rPr>
              <w:t xml:space="preserve"> un metodo di ammortamento a quote costanti</w:t>
            </w:r>
            <w:r w:rsidRPr="008722C8">
              <w:rPr>
                <w:lang w:val="it-IT"/>
              </w:rPr>
              <w:t xml:space="preserve"> ripartendo il valore da ammortizzare per il numero degli anni di vita utile</w:t>
            </w:r>
            <w:r>
              <w:rPr>
                <w:lang w:val="it-IT"/>
              </w:rPr>
              <w:t>,</w:t>
            </w:r>
            <w:r w:rsidRPr="008722C8">
              <w:rPr>
                <w:lang w:val="it-IT"/>
              </w:rPr>
              <w:t xml:space="preserve"> </w:t>
            </w:r>
            <w:r w:rsidRPr="002166E4">
              <w:rPr>
                <w:lang w:val="it-IT"/>
              </w:rPr>
              <w:t xml:space="preserve">o a quote decrescenti </w:t>
            </w:r>
            <w:r w:rsidRPr="003140E9">
              <w:rPr>
                <w:lang w:val="it-IT"/>
              </w:rPr>
              <w:t>quando l’immobilizzazione è maggiormente sfruttata</w:t>
            </w:r>
            <w:r>
              <w:rPr>
                <w:lang w:val="it-IT"/>
              </w:rPr>
              <w:t xml:space="preserve"> </w:t>
            </w:r>
            <w:r w:rsidRPr="003140E9">
              <w:rPr>
                <w:lang w:val="it-IT"/>
              </w:rPr>
              <w:t>nel</w:t>
            </w:r>
            <w:r>
              <w:rPr>
                <w:lang w:val="it-IT"/>
              </w:rPr>
              <w:t>la prima parte della vita utile?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314"/>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r w:rsidRPr="006A2F99">
              <w:t>OIC 16.</w:t>
            </w:r>
            <w:r>
              <w:t>65</w:t>
            </w:r>
          </w:p>
        </w:tc>
        <w:tc>
          <w:tcPr>
            <w:tcW w:w="7060" w:type="dxa"/>
            <w:tcMar>
              <w:left w:w="108" w:type="dxa"/>
            </w:tcMar>
          </w:tcPr>
          <w:p w:rsidR="003D6DF3" w:rsidRPr="00216D43" w:rsidRDefault="003D6DF3" w:rsidP="00D73E98">
            <w:pPr>
              <w:pStyle w:val="Commentiriquadro"/>
              <w:rPr>
                <w:lang w:eastAsia="it-IT"/>
              </w:rPr>
            </w:pPr>
            <w:r w:rsidRPr="007C0FDD">
              <w:rPr>
                <w:lang w:eastAsia="it-IT"/>
              </w:rPr>
              <w:t xml:space="preserve">Non è ammesso l’utilizzo di metodi di ammortamento a quote crescenti, in quanto tale metodo tende a porsi in contrasto con il principio della prudenza. Non è altresì ammesso l’utilizzo di metodi dove le quote di ammortamento sono commisurate </w:t>
            </w:r>
            <w:r>
              <w:rPr>
                <w:lang w:eastAsia="it-IT"/>
              </w:rPr>
              <w:t xml:space="preserve">ai ricavi o </w:t>
            </w:r>
            <w:r w:rsidRPr="007C0FDD">
              <w:rPr>
                <w:lang w:eastAsia="it-IT"/>
              </w:rPr>
              <w:t>ai risultati d'esercizio della società o di un suo ramo o divisione</w:t>
            </w:r>
            <w:r>
              <w:rPr>
                <w:lang w:eastAsia="it-IT"/>
              </w:rPr>
              <w:t>.</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rPr>
                <w:lang w:val="it-IT"/>
              </w:rPr>
            </w:pPr>
          </w:p>
        </w:tc>
        <w:tc>
          <w:tcPr>
            <w:tcW w:w="570" w:type="dxa"/>
            <w:tcMar>
              <w:left w:w="108" w:type="dxa"/>
            </w:tcMar>
            <w:vAlign w:val="center"/>
          </w:tcPr>
          <w:p w:rsidR="003D6DF3" w:rsidRPr="00A32A16" w:rsidRDefault="003D6DF3" w:rsidP="00D73E98">
            <w:pPr>
              <w:rPr>
                <w:lang w:val="it-IT"/>
              </w:rPr>
            </w:pPr>
          </w:p>
        </w:tc>
      </w:tr>
      <w:tr w:rsidR="003D6DF3" w:rsidRPr="005937BA" w:rsidTr="00D73E98">
        <w:trPr>
          <w:cantSplit/>
          <w:trHeight w:val="20"/>
        </w:trPr>
        <w:tc>
          <w:tcPr>
            <w:tcW w:w="680" w:type="dxa"/>
          </w:tcPr>
          <w:p w:rsidR="003D6DF3" w:rsidRPr="00987EB8" w:rsidRDefault="003D6DF3" w:rsidP="00D73E98">
            <w:pPr>
              <w:jc w:val="center"/>
              <w:rPr>
                <w:b/>
                <w:lang w:val="it-IT"/>
              </w:rPr>
            </w:pPr>
            <w:r>
              <w:rPr>
                <w:b/>
                <w:lang w:val="it-IT"/>
              </w:rPr>
              <w:t>59</w:t>
            </w:r>
            <w:r w:rsidRPr="00987EB8">
              <w:rPr>
                <w:b/>
                <w:lang w:val="it-IT"/>
              </w:rPr>
              <w:t>)</w:t>
            </w:r>
          </w:p>
        </w:tc>
        <w:tc>
          <w:tcPr>
            <w:tcW w:w="851" w:type="dxa"/>
            <w:tcMar>
              <w:left w:w="108" w:type="dxa"/>
              <w:right w:w="0" w:type="dxa"/>
            </w:tcMar>
          </w:tcPr>
          <w:p w:rsidR="003D6DF3" w:rsidRDefault="003D6DF3" w:rsidP="00D73E98">
            <w:pPr>
              <w:jc w:val="left"/>
            </w:pPr>
            <w:r w:rsidRPr="00C70C5B">
              <w:rPr>
                <w:sz w:val="13"/>
                <w:szCs w:val="13"/>
              </w:rPr>
              <w:t>OIC 16.</w:t>
            </w:r>
            <w:r>
              <w:rPr>
                <w:sz w:val="13"/>
                <w:szCs w:val="13"/>
              </w:rPr>
              <w:t>66</w:t>
            </w:r>
          </w:p>
        </w:tc>
        <w:tc>
          <w:tcPr>
            <w:tcW w:w="7060" w:type="dxa"/>
            <w:tcMar>
              <w:left w:w="108" w:type="dxa"/>
            </w:tcMar>
          </w:tcPr>
          <w:p w:rsidR="003D6DF3" w:rsidRDefault="003D6DF3" w:rsidP="00D73E98">
            <w:pPr>
              <w:spacing w:line="230" w:lineRule="exact"/>
              <w:rPr>
                <w:lang w:val="it-IT"/>
              </w:rPr>
            </w:pPr>
            <w:r>
              <w:rPr>
                <w:lang w:val="it-IT"/>
              </w:rPr>
              <w:t xml:space="preserve">La società, al fine di </w:t>
            </w:r>
            <w:r w:rsidRPr="003140E9">
              <w:rPr>
                <w:lang w:val="it-IT"/>
              </w:rPr>
              <w:t>fornisce una migliore rappresentazione della</w:t>
            </w:r>
            <w:r>
              <w:rPr>
                <w:lang w:val="it-IT"/>
              </w:rPr>
              <w:t xml:space="preserve"> </w:t>
            </w:r>
            <w:r w:rsidRPr="003140E9">
              <w:rPr>
                <w:lang w:val="it-IT"/>
              </w:rPr>
              <w:t>ripartizione dell’utilità ritraibile d</w:t>
            </w:r>
            <w:r>
              <w:rPr>
                <w:lang w:val="it-IT"/>
              </w:rPr>
              <w:t xml:space="preserve">al bene lungo la sua vita utile, ha ritenuto di </w:t>
            </w:r>
            <w:r w:rsidRPr="003140E9">
              <w:rPr>
                <w:lang w:val="it-IT"/>
              </w:rPr>
              <w:t xml:space="preserve">ammortizzare </w:t>
            </w:r>
            <w:r>
              <w:rPr>
                <w:lang w:val="it-IT"/>
              </w:rPr>
              <w:t>talune immobilizzazioni materiali</w:t>
            </w:r>
            <w:r w:rsidRPr="003140E9">
              <w:rPr>
                <w:lang w:val="it-IT"/>
              </w:rPr>
              <w:t xml:space="preserve"> secondo il metodo per unità di</w:t>
            </w:r>
            <w:r>
              <w:rPr>
                <w:lang w:val="it-IT"/>
              </w:rPr>
              <w:t xml:space="preserve"> prodotto?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5937BA">
              <w:rPr>
                <w:lang w:val="it-IT"/>
              </w:rP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5937BA">
              <w:rPr>
                <w:lang w:val="it-IT"/>
              </w:rP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5937BA">
              <w:rPr>
                <w:lang w:val="it-IT"/>
              </w:rP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65B51" w:rsidRDefault="003D6DF3" w:rsidP="00D73E98">
            <w:pPr>
              <w:pStyle w:val="PrincCont"/>
              <w:jc w:val="left"/>
              <w:rPr>
                <w:lang w:val="it-IT"/>
              </w:rPr>
            </w:pPr>
          </w:p>
        </w:tc>
        <w:tc>
          <w:tcPr>
            <w:tcW w:w="7060" w:type="dxa"/>
            <w:tcMar>
              <w:left w:w="108" w:type="dxa"/>
            </w:tcMar>
          </w:tcPr>
          <w:p w:rsidR="003D6DF3" w:rsidRPr="00206D03" w:rsidRDefault="003D6DF3" w:rsidP="00D73E98">
            <w:pPr>
              <w:spacing w:line="240" w:lineRule="exact"/>
              <w:rPr>
                <w:lang w:val="it-IT"/>
              </w:rPr>
            </w:pPr>
            <w:r w:rsidRPr="00206D03">
              <w:rPr>
                <w:rFonts w:cs="Arial"/>
                <w:i/>
                <w:lang w:val="it-IT"/>
              </w:rPr>
              <w:t>Componenti aventi vite utili diverse dal cespite</w:t>
            </w:r>
            <w:r>
              <w:rPr>
                <w:rFonts w:cs="Arial"/>
                <w:i/>
                <w:lang w:val="it-IT"/>
              </w:rPr>
              <w:t xml:space="preserve"> </w:t>
            </w:r>
            <w:r w:rsidRPr="00206D03">
              <w:rPr>
                <w:rFonts w:cs="Arial"/>
                <w:i/>
                <w:lang w:val="it-IT"/>
              </w:rPr>
              <w:t>principale</w:t>
            </w:r>
          </w:p>
        </w:tc>
        <w:tc>
          <w:tcPr>
            <w:tcW w:w="586" w:type="dxa"/>
            <w:gridSpan w:val="2"/>
            <w:tcMar>
              <w:left w:w="85" w:type="dxa"/>
              <w:right w:w="85" w:type="dxa"/>
            </w:tcMar>
            <w:vAlign w:val="center"/>
          </w:tcPr>
          <w:p w:rsidR="003D6DF3" w:rsidRPr="00865B51" w:rsidRDefault="003D6DF3" w:rsidP="00D73E98">
            <w:pPr>
              <w:jc w:val="center"/>
              <w:rPr>
                <w:lang w:val="it-IT"/>
              </w:rPr>
            </w:pPr>
          </w:p>
        </w:tc>
        <w:tc>
          <w:tcPr>
            <w:tcW w:w="573" w:type="dxa"/>
            <w:tcMar>
              <w:left w:w="108" w:type="dxa"/>
            </w:tcMar>
            <w:vAlign w:val="center"/>
          </w:tcPr>
          <w:p w:rsidR="003D6DF3" w:rsidRPr="00865B51" w:rsidRDefault="003D6DF3" w:rsidP="00D73E98">
            <w:pPr>
              <w:jc w:val="center"/>
              <w:rPr>
                <w:lang w:val="it-IT"/>
              </w:rPr>
            </w:pPr>
          </w:p>
        </w:tc>
        <w:tc>
          <w:tcPr>
            <w:tcW w:w="570" w:type="dxa"/>
            <w:tcMar>
              <w:left w:w="108" w:type="dxa"/>
            </w:tcMar>
            <w:vAlign w:val="center"/>
          </w:tcPr>
          <w:p w:rsidR="003D6DF3" w:rsidRPr="00865B51" w:rsidRDefault="003D6DF3" w:rsidP="00D73E98">
            <w:pPr>
              <w:jc w:val="center"/>
              <w:rPr>
                <w:lang w:val="it-IT"/>
              </w:rPr>
            </w:pPr>
          </w:p>
        </w:tc>
      </w:tr>
      <w:tr w:rsidR="003D6DF3" w:rsidRPr="005937BA" w:rsidTr="00D73E98">
        <w:trPr>
          <w:cantSplit/>
          <w:trHeight w:val="20"/>
        </w:trPr>
        <w:tc>
          <w:tcPr>
            <w:tcW w:w="680" w:type="dxa"/>
          </w:tcPr>
          <w:p w:rsidR="003D6DF3" w:rsidRPr="00987EB8" w:rsidRDefault="003D6DF3" w:rsidP="00D73E98">
            <w:pPr>
              <w:jc w:val="center"/>
              <w:rPr>
                <w:b/>
                <w:lang w:val="it-IT"/>
              </w:rPr>
            </w:pPr>
            <w:r>
              <w:rPr>
                <w:b/>
                <w:lang w:val="it-IT"/>
              </w:rPr>
              <w:t>60</w:t>
            </w:r>
            <w:r w:rsidRPr="00987EB8">
              <w:rPr>
                <w:b/>
                <w:lang w:val="it-IT"/>
              </w:rPr>
              <w:t>)</w:t>
            </w:r>
          </w:p>
        </w:tc>
        <w:tc>
          <w:tcPr>
            <w:tcW w:w="851" w:type="dxa"/>
            <w:tcMar>
              <w:left w:w="108" w:type="dxa"/>
              <w:right w:w="0" w:type="dxa"/>
            </w:tcMar>
          </w:tcPr>
          <w:p w:rsidR="003D6DF3" w:rsidRPr="005937BA" w:rsidRDefault="003D6DF3" w:rsidP="00D73E98">
            <w:pPr>
              <w:jc w:val="left"/>
              <w:rPr>
                <w:lang w:val="it-IT"/>
              </w:rPr>
            </w:pPr>
            <w:r w:rsidRPr="005937BA">
              <w:rPr>
                <w:sz w:val="13"/>
                <w:szCs w:val="13"/>
                <w:lang w:val="it-IT"/>
              </w:rPr>
              <w:t>OIC 16.</w:t>
            </w:r>
            <w:r>
              <w:rPr>
                <w:sz w:val="13"/>
                <w:szCs w:val="13"/>
                <w:lang w:val="it-IT"/>
              </w:rPr>
              <w:t>69</w:t>
            </w:r>
          </w:p>
        </w:tc>
        <w:tc>
          <w:tcPr>
            <w:tcW w:w="7060" w:type="dxa"/>
            <w:tcMar>
              <w:left w:w="108" w:type="dxa"/>
            </w:tcMar>
          </w:tcPr>
          <w:p w:rsidR="003D6DF3" w:rsidRDefault="003D6DF3" w:rsidP="00D73E98">
            <w:pPr>
              <w:spacing w:line="230" w:lineRule="exact"/>
              <w:rPr>
                <w:lang w:val="it-IT"/>
              </w:rPr>
            </w:pPr>
            <w:r w:rsidRPr="00206D03">
              <w:rPr>
                <w:lang w:val="it-IT"/>
              </w:rPr>
              <w:t xml:space="preserve">Se l’immobilizzazione materiale comprende componenti, pertinenze o accessori, aventi vite utili di durata diversa dal cespite principale, l’ammortamento di tali componenti </w:t>
            </w:r>
            <w:r>
              <w:rPr>
                <w:lang w:val="it-IT"/>
              </w:rPr>
              <w:t>è stato</w:t>
            </w:r>
            <w:r w:rsidRPr="00206D03">
              <w:rPr>
                <w:lang w:val="it-IT"/>
              </w:rPr>
              <w:t xml:space="preserve"> calcola</w:t>
            </w:r>
            <w:r>
              <w:rPr>
                <w:lang w:val="it-IT"/>
              </w:rPr>
              <w:t>to</w:t>
            </w:r>
            <w:r w:rsidRPr="00206D03">
              <w:rPr>
                <w:lang w:val="it-IT"/>
              </w:rPr>
              <w:t xml:space="preserve"> separatamente dal cespite principale, salvo il caso in cui ciò non sia </w:t>
            </w:r>
            <w:r>
              <w:rPr>
                <w:lang w:val="it-IT"/>
              </w:rPr>
              <w:t>praticabile o significativo?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5937BA">
              <w:rPr>
                <w:lang w:val="it-IT"/>
              </w:rP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5937BA">
              <w:rPr>
                <w:lang w:val="it-IT"/>
              </w:rP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5937BA">
              <w:rPr>
                <w:lang w:val="it-IT"/>
              </w:rP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65B51" w:rsidRDefault="003D6DF3" w:rsidP="00D73E98">
            <w:pPr>
              <w:pStyle w:val="PrincCont"/>
              <w:jc w:val="left"/>
              <w:rPr>
                <w:lang w:val="it-IT"/>
              </w:rPr>
            </w:pPr>
          </w:p>
        </w:tc>
        <w:tc>
          <w:tcPr>
            <w:tcW w:w="7060" w:type="dxa"/>
            <w:tcMar>
              <w:left w:w="108" w:type="dxa"/>
            </w:tcMar>
          </w:tcPr>
          <w:p w:rsidR="003D6DF3" w:rsidRPr="00206D03" w:rsidRDefault="003D6DF3" w:rsidP="00D73E98">
            <w:pPr>
              <w:spacing w:line="240" w:lineRule="exact"/>
              <w:rPr>
                <w:lang w:val="it-IT"/>
              </w:rPr>
            </w:pPr>
            <w:r w:rsidRPr="00206D03">
              <w:rPr>
                <w:rFonts w:cs="Arial"/>
                <w:i/>
                <w:lang w:val="it-IT"/>
              </w:rPr>
              <w:t>Modifica del piano di ammortamento</w:t>
            </w:r>
          </w:p>
        </w:tc>
        <w:tc>
          <w:tcPr>
            <w:tcW w:w="586" w:type="dxa"/>
            <w:gridSpan w:val="2"/>
            <w:tcMar>
              <w:left w:w="85" w:type="dxa"/>
              <w:right w:w="85" w:type="dxa"/>
            </w:tcMar>
            <w:vAlign w:val="center"/>
          </w:tcPr>
          <w:p w:rsidR="003D6DF3" w:rsidRPr="00865B51" w:rsidRDefault="003D6DF3" w:rsidP="00D73E98">
            <w:pPr>
              <w:jc w:val="center"/>
              <w:rPr>
                <w:lang w:val="it-IT"/>
              </w:rPr>
            </w:pPr>
          </w:p>
        </w:tc>
        <w:tc>
          <w:tcPr>
            <w:tcW w:w="573" w:type="dxa"/>
            <w:tcMar>
              <w:left w:w="108" w:type="dxa"/>
            </w:tcMar>
            <w:vAlign w:val="center"/>
          </w:tcPr>
          <w:p w:rsidR="003D6DF3" w:rsidRPr="00865B51" w:rsidRDefault="003D6DF3" w:rsidP="00D73E98">
            <w:pPr>
              <w:jc w:val="center"/>
              <w:rPr>
                <w:lang w:val="it-IT"/>
              </w:rPr>
            </w:pPr>
          </w:p>
        </w:tc>
        <w:tc>
          <w:tcPr>
            <w:tcW w:w="570" w:type="dxa"/>
            <w:tcMar>
              <w:left w:w="108" w:type="dxa"/>
            </w:tcMar>
            <w:vAlign w:val="center"/>
          </w:tcPr>
          <w:p w:rsidR="003D6DF3" w:rsidRPr="00865B51"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61</w:t>
            </w:r>
            <w:r w:rsidRPr="00987EB8">
              <w:rPr>
                <w:b/>
                <w:lang w:val="it-IT"/>
              </w:rPr>
              <w:t>)</w:t>
            </w:r>
          </w:p>
        </w:tc>
        <w:tc>
          <w:tcPr>
            <w:tcW w:w="851" w:type="dxa"/>
            <w:tcMar>
              <w:left w:w="108" w:type="dxa"/>
              <w:right w:w="0" w:type="dxa"/>
            </w:tcMar>
          </w:tcPr>
          <w:p w:rsidR="003D6DF3" w:rsidRDefault="003D6DF3" w:rsidP="00D73E98">
            <w:pPr>
              <w:jc w:val="left"/>
            </w:pPr>
            <w:r w:rsidRPr="00C70C5B">
              <w:rPr>
                <w:sz w:val="13"/>
                <w:szCs w:val="13"/>
              </w:rPr>
              <w:t>OIC 16.</w:t>
            </w:r>
            <w:r>
              <w:rPr>
                <w:sz w:val="13"/>
                <w:szCs w:val="13"/>
              </w:rPr>
              <w:t>70</w:t>
            </w:r>
          </w:p>
        </w:tc>
        <w:tc>
          <w:tcPr>
            <w:tcW w:w="7060" w:type="dxa"/>
            <w:tcMar>
              <w:left w:w="108" w:type="dxa"/>
            </w:tcMar>
          </w:tcPr>
          <w:p w:rsidR="003D6DF3" w:rsidRDefault="003D6DF3" w:rsidP="00D73E98">
            <w:pPr>
              <w:spacing w:line="230" w:lineRule="exact"/>
              <w:rPr>
                <w:lang w:val="it-IT"/>
              </w:rPr>
            </w:pPr>
            <w:r w:rsidRPr="00206D03">
              <w:rPr>
                <w:lang w:val="it-IT"/>
              </w:rPr>
              <w:t xml:space="preserve">Il piano d’ammortamento </w:t>
            </w:r>
            <w:r>
              <w:rPr>
                <w:lang w:val="it-IT"/>
              </w:rPr>
              <w:t>è</w:t>
            </w:r>
            <w:r w:rsidRPr="00206D03">
              <w:rPr>
                <w:lang w:val="it-IT"/>
              </w:rPr>
              <w:t xml:space="preserve"> periodicamente rivisto per verificare se sono intervenuti cambiamenti tali da richiedere una modifica delle stime effettuate nella determinazione della residua</w:t>
            </w:r>
            <w:r>
              <w:rPr>
                <w:lang w:val="it-IT"/>
              </w:rPr>
              <w:t xml:space="preserve"> possibilità di utilizzazione </w:t>
            </w:r>
            <w:r w:rsidRPr="00206D03">
              <w:rPr>
                <w:lang w:val="it-IT"/>
              </w:rPr>
              <w:t>e</w:t>
            </w:r>
            <w:r>
              <w:rPr>
                <w:lang w:val="it-IT"/>
              </w:rPr>
              <w:t>, se</w:t>
            </w:r>
            <w:r w:rsidRPr="00206D03">
              <w:rPr>
                <w:lang w:val="it-IT"/>
              </w:rPr>
              <w:t xml:space="preserve"> quest’ultima è modificata, il valore contabile dell’immobilizzazione (valore originario al netto degli ammortamenti fino a quel momento effettuati) al tempo di tale cambiamento è ripartito sulla nuova vita utile residua del cespite</w:t>
            </w:r>
            <w:r>
              <w:rPr>
                <w:lang w:val="it-IT"/>
              </w:rPr>
              <w:t>?</w:t>
            </w:r>
            <w:r w:rsidRPr="00206D03">
              <w:rPr>
                <w:lang w:val="it-IT"/>
              </w:rPr>
              <w:t xml:space="preserve"> </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62</w:t>
            </w:r>
            <w:r w:rsidRPr="00987EB8">
              <w:rPr>
                <w:b/>
                <w:lang w:val="it-IT"/>
              </w:rPr>
              <w:t>)</w:t>
            </w:r>
          </w:p>
        </w:tc>
        <w:tc>
          <w:tcPr>
            <w:tcW w:w="851" w:type="dxa"/>
            <w:tcMar>
              <w:left w:w="108" w:type="dxa"/>
              <w:right w:w="0" w:type="dxa"/>
            </w:tcMar>
          </w:tcPr>
          <w:p w:rsidR="003D6DF3" w:rsidRDefault="003D6DF3" w:rsidP="00D73E98">
            <w:pPr>
              <w:jc w:val="left"/>
            </w:pPr>
            <w:r w:rsidRPr="00C70C5B">
              <w:rPr>
                <w:sz w:val="13"/>
                <w:szCs w:val="13"/>
              </w:rPr>
              <w:t>OIC 16.</w:t>
            </w:r>
            <w:r>
              <w:rPr>
                <w:sz w:val="13"/>
                <w:szCs w:val="13"/>
              </w:rPr>
              <w:t>67</w:t>
            </w:r>
          </w:p>
        </w:tc>
        <w:tc>
          <w:tcPr>
            <w:tcW w:w="7060" w:type="dxa"/>
            <w:tcMar>
              <w:left w:w="108" w:type="dxa"/>
            </w:tcMar>
          </w:tcPr>
          <w:p w:rsidR="003D6DF3" w:rsidRDefault="003D6DF3" w:rsidP="00D73E98">
            <w:pPr>
              <w:spacing w:line="230" w:lineRule="exact"/>
              <w:rPr>
                <w:lang w:val="it-IT"/>
              </w:rPr>
            </w:pPr>
            <w:r w:rsidRPr="00206D03">
              <w:rPr>
                <w:lang w:val="it-IT"/>
              </w:rPr>
              <w:t>Anche il criterio di ammortamento prescelto è riesaminato qualora non più rispondente alle condizioni originarie pre</w:t>
            </w:r>
            <w:r>
              <w:rPr>
                <w:lang w:val="it-IT"/>
              </w:rPr>
              <w:t>viste nel piano di ammortamento?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5937BA" w:rsidTr="00D73E98">
        <w:trPr>
          <w:cantSplit/>
          <w:trHeight w:val="20"/>
        </w:trPr>
        <w:tc>
          <w:tcPr>
            <w:tcW w:w="680" w:type="dxa"/>
          </w:tcPr>
          <w:p w:rsidR="003D6DF3" w:rsidRPr="00987EB8" w:rsidRDefault="003D6DF3" w:rsidP="00D73E98">
            <w:pPr>
              <w:jc w:val="center"/>
              <w:rPr>
                <w:b/>
                <w:lang w:val="it-IT"/>
              </w:rPr>
            </w:pPr>
            <w:r>
              <w:rPr>
                <w:b/>
                <w:lang w:val="it-IT"/>
              </w:rPr>
              <w:t>63</w:t>
            </w:r>
            <w:r w:rsidRPr="00987EB8">
              <w:rPr>
                <w:b/>
                <w:lang w:val="it-IT"/>
              </w:rPr>
              <w:t>)</w:t>
            </w:r>
          </w:p>
        </w:tc>
        <w:tc>
          <w:tcPr>
            <w:tcW w:w="851" w:type="dxa"/>
            <w:tcMar>
              <w:left w:w="108" w:type="dxa"/>
              <w:right w:w="0" w:type="dxa"/>
            </w:tcMar>
          </w:tcPr>
          <w:p w:rsidR="003D6DF3" w:rsidRDefault="003D6DF3" w:rsidP="00D73E98">
            <w:pPr>
              <w:jc w:val="left"/>
            </w:pPr>
            <w:r w:rsidRPr="00C70C5B">
              <w:rPr>
                <w:sz w:val="13"/>
                <w:szCs w:val="13"/>
              </w:rPr>
              <w:t>OIC 16.</w:t>
            </w:r>
            <w:r>
              <w:rPr>
                <w:sz w:val="13"/>
                <w:szCs w:val="13"/>
              </w:rPr>
              <w:t>68</w:t>
            </w:r>
          </w:p>
        </w:tc>
        <w:tc>
          <w:tcPr>
            <w:tcW w:w="7060" w:type="dxa"/>
            <w:tcMar>
              <w:left w:w="108" w:type="dxa"/>
            </w:tcMar>
          </w:tcPr>
          <w:p w:rsidR="003D6DF3" w:rsidRDefault="003D6DF3" w:rsidP="00D73E98">
            <w:pPr>
              <w:spacing w:line="230" w:lineRule="exact"/>
              <w:rPr>
                <w:lang w:val="it-IT"/>
              </w:rPr>
            </w:pPr>
            <w:r w:rsidRPr="00426806">
              <w:rPr>
                <w:lang w:val="it-IT"/>
              </w:rPr>
              <w:t>La modifica del piano di ammortamento per avvenuti mutamenti nelle condizioni originarie</w:t>
            </w:r>
            <w:r>
              <w:rPr>
                <w:lang w:val="it-IT"/>
              </w:rPr>
              <w:t xml:space="preserve"> </w:t>
            </w:r>
            <w:r w:rsidRPr="00426806">
              <w:rPr>
                <w:lang w:val="it-IT"/>
              </w:rPr>
              <w:t xml:space="preserve">costituisce un cambiamento di stime contabili </w:t>
            </w:r>
            <w:r>
              <w:rPr>
                <w:lang w:val="it-IT"/>
              </w:rPr>
              <w:t>in tal caso si è applicato quanto previsto dall’OIC 29?</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5937BA">
              <w:rPr>
                <w:lang w:val="it-IT"/>
              </w:rP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5937BA">
              <w:rPr>
                <w:lang w:val="it-IT"/>
              </w:rP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5937BA">
              <w:rPr>
                <w:lang w:val="it-IT"/>
              </w:rPr>
              <w:instrText xml:space="preserve"> FORMCHECKBOX </w:instrText>
            </w:r>
            <w:r w:rsidR="00CA1681">
              <w:fldChar w:fldCharType="separate"/>
            </w:r>
            <w:r>
              <w:fldChar w:fldCharType="end"/>
            </w:r>
          </w:p>
        </w:tc>
      </w:tr>
      <w:tr w:rsidR="003D6DF3" w:rsidRPr="00865B51"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65B51" w:rsidRDefault="003D6DF3" w:rsidP="00D73E98">
            <w:pPr>
              <w:pStyle w:val="PrincCont"/>
              <w:jc w:val="left"/>
              <w:rPr>
                <w:lang w:val="it-IT"/>
              </w:rPr>
            </w:pPr>
          </w:p>
        </w:tc>
        <w:tc>
          <w:tcPr>
            <w:tcW w:w="7060" w:type="dxa"/>
            <w:tcMar>
              <w:left w:w="108" w:type="dxa"/>
            </w:tcMar>
          </w:tcPr>
          <w:p w:rsidR="003D6DF3" w:rsidRPr="00865B51" w:rsidRDefault="003D6DF3" w:rsidP="00D73E98">
            <w:pPr>
              <w:rPr>
                <w:lang w:val="it-IT"/>
              </w:rPr>
            </w:pPr>
            <w:r>
              <w:rPr>
                <w:rFonts w:cs="Arial"/>
                <w:i/>
              </w:rPr>
              <w:t>Vita utile</w:t>
            </w:r>
          </w:p>
        </w:tc>
        <w:tc>
          <w:tcPr>
            <w:tcW w:w="586" w:type="dxa"/>
            <w:gridSpan w:val="2"/>
            <w:tcMar>
              <w:left w:w="85" w:type="dxa"/>
              <w:right w:w="85" w:type="dxa"/>
            </w:tcMar>
            <w:vAlign w:val="center"/>
          </w:tcPr>
          <w:p w:rsidR="003D6DF3" w:rsidRPr="00865B51" w:rsidRDefault="003D6DF3" w:rsidP="00D73E98">
            <w:pPr>
              <w:jc w:val="center"/>
              <w:rPr>
                <w:lang w:val="it-IT"/>
              </w:rPr>
            </w:pPr>
          </w:p>
        </w:tc>
        <w:tc>
          <w:tcPr>
            <w:tcW w:w="573" w:type="dxa"/>
            <w:tcMar>
              <w:left w:w="108" w:type="dxa"/>
            </w:tcMar>
            <w:vAlign w:val="center"/>
          </w:tcPr>
          <w:p w:rsidR="003D6DF3" w:rsidRPr="00865B51" w:rsidRDefault="003D6DF3" w:rsidP="00D73E98">
            <w:pPr>
              <w:jc w:val="center"/>
              <w:rPr>
                <w:lang w:val="it-IT"/>
              </w:rPr>
            </w:pPr>
          </w:p>
        </w:tc>
        <w:tc>
          <w:tcPr>
            <w:tcW w:w="570" w:type="dxa"/>
            <w:tcMar>
              <w:left w:w="108" w:type="dxa"/>
            </w:tcMar>
            <w:vAlign w:val="center"/>
          </w:tcPr>
          <w:p w:rsidR="003D6DF3" w:rsidRPr="00865B51" w:rsidRDefault="003D6DF3" w:rsidP="00D73E98">
            <w:pPr>
              <w:jc w:val="center"/>
              <w:rPr>
                <w:lang w:val="it-IT"/>
              </w:rPr>
            </w:pPr>
          </w:p>
        </w:tc>
      </w:tr>
      <w:tr w:rsidR="003D6DF3" w:rsidRPr="00CC242B" w:rsidTr="00D73E98">
        <w:trPr>
          <w:cantSplit/>
          <w:trHeight w:val="314"/>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E84807" w:rsidRDefault="003D6DF3" w:rsidP="00D73E98">
            <w:pPr>
              <w:pStyle w:val="PrincCont"/>
              <w:jc w:val="left"/>
              <w:rPr>
                <w:lang w:val="it-IT"/>
              </w:rPr>
            </w:pPr>
            <w:r>
              <w:rPr>
                <w:lang w:val="it-IT"/>
              </w:rPr>
              <w:t>OIC 16.71</w:t>
            </w:r>
          </w:p>
        </w:tc>
        <w:tc>
          <w:tcPr>
            <w:tcW w:w="7060" w:type="dxa"/>
            <w:tcMar>
              <w:left w:w="108" w:type="dxa"/>
            </w:tcMar>
          </w:tcPr>
          <w:p w:rsidR="003D6DF3" w:rsidRPr="00216D43" w:rsidRDefault="003D6DF3" w:rsidP="00D73E98">
            <w:pPr>
              <w:pStyle w:val="Commentiriquadro"/>
              <w:rPr>
                <w:lang w:eastAsia="it-IT"/>
              </w:rPr>
            </w:pPr>
            <w:r>
              <w:rPr>
                <w:lang w:eastAsia="it-IT"/>
              </w:rPr>
              <w:t>La circostanza che la vita utile di un’immobilizzazione materiale sia indefinita, non impedisce che l’immobilizzazione venga assoggettata ad un processo di ammortamento tenendo conto di tutti gli elementi a disposizione (i.e. fino a quando si prevede di utilizzare il bene, o il numero di prodotti che si prevede verranno prodotti con l’immobilizzazione).</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rPr>
                <w:lang w:val="it-IT"/>
              </w:rPr>
            </w:pPr>
          </w:p>
        </w:tc>
        <w:tc>
          <w:tcPr>
            <w:tcW w:w="570" w:type="dxa"/>
            <w:tcMar>
              <w:left w:w="108" w:type="dxa"/>
            </w:tcMar>
            <w:vAlign w:val="center"/>
          </w:tcPr>
          <w:p w:rsidR="003D6DF3" w:rsidRPr="00A32A16" w:rsidRDefault="003D6DF3" w:rsidP="00D73E98">
            <w:pP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64</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72</w:t>
            </w:r>
          </w:p>
        </w:tc>
        <w:tc>
          <w:tcPr>
            <w:tcW w:w="7060" w:type="dxa"/>
            <w:tcMar>
              <w:left w:w="108" w:type="dxa"/>
            </w:tcMar>
          </w:tcPr>
          <w:p w:rsidR="003D6DF3" w:rsidRPr="00DD0684" w:rsidRDefault="003D6DF3" w:rsidP="00D73E98">
            <w:pPr>
              <w:spacing w:line="240" w:lineRule="exact"/>
              <w:rPr>
                <w:lang w:val="it-IT"/>
              </w:rPr>
            </w:pPr>
            <w:r w:rsidRPr="00DD0684">
              <w:rPr>
                <w:lang w:val="it-IT"/>
              </w:rPr>
              <w:t>Il cambiamento della vita utile dei cespiti per avvenuti mutamenti nelle condizioni originarie di</w:t>
            </w:r>
          </w:p>
          <w:p w:rsidR="003D6DF3" w:rsidRDefault="003D6DF3" w:rsidP="00D73E98">
            <w:pPr>
              <w:spacing w:line="230" w:lineRule="exact"/>
              <w:rPr>
                <w:lang w:val="it-IT"/>
              </w:rPr>
            </w:pPr>
            <w:r w:rsidRPr="00DD0684">
              <w:rPr>
                <w:lang w:val="it-IT"/>
              </w:rPr>
              <w:t xml:space="preserve">stima è </w:t>
            </w:r>
            <w:r>
              <w:rPr>
                <w:lang w:val="it-IT"/>
              </w:rPr>
              <w:t xml:space="preserve">stato trattato come </w:t>
            </w:r>
            <w:r w:rsidRPr="00DD0684">
              <w:rPr>
                <w:lang w:val="it-IT"/>
              </w:rPr>
              <w:t>un cambi</w:t>
            </w:r>
            <w:r>
              <w:rPr>
                <w:lang w:val="it-IT"/>
              </w:rPr>
              <w:t>amento di stime contabili in conformità all’</w:t>
            </w:r>
            <w:r w:rsidRPr="00DD0684">
              <w:rPr>
                <w:lang w:val="it-IT"/>
              </w:rPr>
              <w:t>OIC 2</w:t>
            </w:r>
            <w:r>
              <w:rPr>
                <w:lang w:val="it-IT"/>
              </w:rPr>
              <w:t>9?</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263B21" w:rsidTr="00D73E98">
        <w:trPr>
          <w:cantSplit/>
          <w:trHeight w:val="20"/>
        </w:trPr>
        <w:tc>
          <w:tcPr>
            <w:tcW w:w="680" w:type="dxa"/>
          </w:tcPr>
          <w:p w:rsidR="003D6DF3" w:rsidRPr="00987EB8" w:rsidRDefault="003D6DF3" w:rsidP="00D73E98">
            <w:pPr>
              <w:jc w:val="center"/>
              <w:rPr>
                <w:b/>
                <w:i/>
                <w:lang w:val="it-IT"/>
              </w:rPr>
            </w:pPr>
          </w:p>
        </w:tc>
        <w:tc>
          <w:tcPr>
            <w:tcW w:w="851" w:type="dxa"/>
            <w:tcMar>
              <w:left w:w="108" w:type="dxa"/>
              <w:right w:w="0" w:type="dxa"/>
            </w:tcMar>
          </w:tcPr>
          <w:p w:rsidR="003D6DF3" w:rsidRPr="00263B21" w:rsidRDefault="003D6DF3" w:rsidP="00D73E98">
            <w:pPr>
              <w:pStyle w:val="PrincCont"/>
              <w:jc w:val="left"/>
              <w:rPr>
                <w:i/>
                <w:sz w:val="20"/>
                <w:szCs w:val="20"/>
                <w:lang w:val="it-IT"/>
              </w:rPr>
            </w:pPr>
          </w:p>
        </w:tc>
        <w:tc>
          <w:tcPr>
            <w:tcW w:w="7060" w:type="dxa"/>
            <w:tcMar>
              <w:left w:w="108" w:type="dxa"/>
            </w:tcMar>
          </w:tcPr>
          <w:p w:rsidR="003D6DF3" w:rsidRPr="00263B21" w:rsidRDefault="003D6DF3" w:rsidP="00D73E98">
            <w:pPr>
              <w:pStyle w:val="Titolo3"/>
              <w:rPr>
                <w:lang w:val="it-IT"/>
              </w:rPr>
            </w:pPr>
            <w:r>
              <w:rPr>
                <w:lang w:val="it-IT"/>
              </w:rPr>
              <w:t>Svalutazione</w:t>
            </w:r>
          </w:p>
        </w:tc>
        <w:tc>
          <w:tcPr>
            <w:tcW w:w="586" w:type="dxa"/>
            <w:gridSpan w:val="2"/>
            <w:tcMar>
              <w:left w:w="85" w:type="dxa"/>
              <w:right w:w="85" w:type="dxa"/>
            </w:tcMar>
            <w:vAlign w:val="center"/>
          </w:tcPr>
          <w:p w:rsidR="003D6DF3" w:rsidRPr="00263B21" w:rsidRDefault="003D6DF3" w:rsidP="00D73E98">
            <w:pPr>
              <w:jc w:val="center"/>
              <w:rPr>
                <w:i/>
                <w:lang w:val="it-IT"/>
              </w:rPr>
            </w:pPr>
          </w:p>
        </w:tc>
        <w:tc>
          <w:tcPr>
            <w:tcW w:w="573" w:type="dxa"/>
            <w:tcMar>
              <w:left w:w="108" w:type="dxa"/>
            </w:tcMar>
            <w:vAlign w:val="center"/>
          </w:tcPr>
          <w:p w:rsidR="003D6DF3" w:rsidRPr="00263B21" w:rsidRDefault="003D6DF3" w:rsidP="00D73E98">
            <w:pPr>
              <w:jc w:val="center"/>
              <w:rPr>
                <w:i/>
                <w:lang w:val="it-IT"/>
              </w:rPr>
            </w:pPr>
          </w:p>
        </w:tc>
        <w:tc>
          <w:tcPr>
            <w:tcW w:w="570" w:type="dxa"/>
            <w:tcMar>
              <w:left w:w="108" w:type="dxa"/>
            </w:tcMar>
            <w:vAlign w:val="center"/>
          </w:tcPr>
          <w:p w:rsidR="003D6DF3" w:rsidRPr="00263B21" w:rsidRDefault="003D6DF3" w:rsidP="00D73E98">
            <w:pPr>
              <w:jc w:val="center"/>
              <w:rPr>
                <w:i/>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65</w:t>
            </w:r>
            <w:r w:rsidRPr="00987EB8">
              <w:rPr>
                <w:b/>
                <w:lang w:val="it-IT"/>
              </w:rPr>
              <w:t>)</w:t>
            </w:r>
          </w:p>
        </w:tc>
        <w:tc>
          <w:tcPr>
            <w:tcW w:w="851" w:type="dxa"/>
            <w:tcMar>
              <w:left w:w="108" w:type="dxa"/>
              <w:right w:w="0" w:type="dxa"/>
            </w:tcMar>
          </w:tcPr>
          <w:p w:rsidR="003D6DF3" w:rsidRDefault="003D6DF3" w:rsidP="00D73E98">
            <w:pPr>
              <w:jc w:val="left"/>
            </w:pPr>
            <w:r w:rsidRPr="00C70C5B">
              <w:rPr>
                <w:sz w:val="13"/>
                <w:szCs w:val="13"/>
              </w:rPr>
              <w:t>OIC 16.</w:t>
            </w:r>
            <w:r>
              <w:rPr>
                <w:sz w:val="13"/>
                <w:szCs w:val="13"/>
              </w:rPr>
              <w:t>73</w:t>
            </w:r>
          </w:p>
        </w:tc>
        <w:tc>
          <w:tcPr>
            <w:tcW w:w="7060" w:type="dxa"/>
            <w:tcMar>
              <w:left w:w="108" w:type="dxa"/>
            </w:tcMar>
          </w:tcPr>
          <w:p w:rsidR="003D6DF3" w:rsidRDefault="003D6DF3" w:rsidP="00D73E98">
            <w:pPr>
              <w:spacing w:line="230" w:lineRule="exact"/>
              <w:rPr>
                <w:lang w:val="it-IT"/>
              </w:rPr>
            </w:pPr>
            <w:r w:rsidRPr="00DD0684">
              <w:rPr>
                <w:lang w:val="it-IT"/>
              </w:rPr>
              <w:t>La società valuta a ogni data di riferimento del bilancio la presenza di indicatori di perdite</w:t>
            </w:r>
            <w:r>
              <w:rPr>
                <w:lang w:val="it-IT"/>
              </w:rPr>
              <w:t xml:space="preserve"> </w:t>
            </w:r>
            <w:r w:rsidRPr="00DD0684">
              <w:rPr>
                <w:lang w:val="it-IT"/>
              </w:rPr>
              <w:t>durevoli di valore per quanto concerne le immobilizzazioni materiali</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66</w:t>
            </w:r>
            <w:r w:rsidRPr="00987EB8">
              <w:rPr>
                <w:b/>
                <w:lang w:val="it-IT"/>
              </w:rPr>
              <w:t>)</w:t>
            </w:r>
          </w:p>
        </w:tc>
        <w:tc>
          <w:tcPr>
            <w:tcW w:w="851" w:type="dxa"/>
            <w:tcMar>
              <w:left w:w="108" w:type="dxa"/>
              <w:right w:w="0" w:type="dxa"/>
            </w:tcMar>
          </w:tcPr>
          <w:p w:rsidR="003D6DF3" w:rsidRDefault="003D6DF3" w:rsidP="00D73E98">
            <w:pPr>
              <w:jc w:val="left"/>
            </w:pPr>
            <w:r w:rsidRPr="00C70C5B">
              <w:rPr>
                <w:sz w:val="13"/>
                <w:szCs w:val="13"/>
              </w:rPr>
              <w:t>OIC 16.</w:t>
            </w:r>
            <w:r>
              <w:rPr>
                <w:sz w:val="13"/>
                <w:szCs w:val="13"/>
              </w:rPr>
              <w:t>73</w:t>
            </w:r>
          </w:p>
        </w:tc>
        <w:tc>
          <w:tcPr>
            <w:tcW w:w="7060" w:type="dxa"/>
            <w:tcMar>
              <w:left w:w="108" w:type="dxa"/>
            </w:tcMar>
          </w:tcPr>
          <w:p w:rsidR="003D6DF3" w:rsidRDefault="003D6DF3" w:rsidP="00D73E98">
            <w:pPr>
              <w:spacing w:line="230" w:lineRule="exact"/>
              <w:rPr>
                <w:lang w:val="it-IT"/>
              </w:rPr>
            </w:pPr>
            <w:r w:rsidRPr="00EC18FA">
              <w:rPr>
                <w:lang w:val="it-IT"/>
              </w:rPr>
              <w:t>Se tali indicatori dovessero</w:t>
            </w:r>
            <w:r>
              <w:rPr>
                <w:lang w:val="it-IT"/>
              </w:rPr>
              <w:t xml:space="preserve"> </w:t>
            </w:r>
            <w:r w:rsidRPr="00EC18FA">
              <w:rPr>
                <w:lang w:val="it-IT"/>
              </w:rPr>
              <w:t>sussistere, la società procede alla stima del valore recuperabile dell’immobilizzazione ed effettua</w:t>
            </w:r>
            <w:r>
              <w:rPr>
                <w:lang w:val="it-IT"/>
              </w:rPr>
              <w:t xml:space="preserve"> </w:t>
            </w:r>
            <w:r w:rsidRPr="00EC18FA">
              <w:rPr>
                <w:lang w:val="it-IT"/>
              </w:rPr>
              <w:t>una svalutazione, ai sensi dell’articolo 2426 comma 1, numero 3, qualora l’immobilizzazione</w:t>
            </w:r>
            <w:r>
              <w:rPr>
                <w:lang w:val="it-IT"/>
              </w:rPr>
              <w:t xml:space="preserve"> </w:t>
            </w:r>
            <w:r w:rsidRPr="00EC18FA">
              <w:rPr>
                <w:lang w:val="it-IT"/>
              </w:rPr>
              <w:t>risulti durevolmente di valore inferiore al valore netto contabile</w:t>
            </w:r>
            <w:r>
              <w:rPr>
                <w:lang w:val="it-IT"/>
              </w:rPr>
              <w:t xml:space="preserve"> in conformità all’</w:t>
            </w:r>
            <w:r w:rsidRPr="00EC18FA">
              <w:rPr>
                <w:lang w:val="it-IT"/>
              </w:rPr>
              <w:t>OIC 9</w:t>
            </w:r>
            <w:r>
              <w:rPr>
                <w:lang w:val="it-IT"/>
              </w:rPr>
              <w:t xml:space="preserve"> </w:t>
            </w:r>
            <w:r w:rsidRPr="00EC18FA">
              <w:rPr>
                <w:lang w:val="it-IT"/>
              </w:rPr>
              <w:t>“Svalutazioni per perdite durevoli di valore delle immobilizz</w:t>
            </w:r>
            <w:r>
              <w:rPr>
                <w:lang w:val="it-IT"/>
              </w:rPr>
              <w:t>azioni materiali e immateriali”?</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263B21" w:rsidTr="00D73E98">
        <w:trPr>
          <w:cantSplit/>
          <w:trHeight w:val="20"/>
        </w:trPr>
        <w:tc>
          <w:tcPr>
            <w:tcW w:w="680" w:type="dxa"/>
          </w:tcPr>
          <w:p w:rsidR="003D6DF3" w:rsidRPr="00987EB8" w:rsidRDefault="003D6DF3" w:rsidP="00D73E98">
            <w:pPr>
              <w:jc w:val="center"/>
              <w:rPr>
                <w:b/>
                <w:i/>
                <w:lang w:val="it-IT"/>
              </w:rPr>
            </w:pPr>
          </w:p>
        </w:tc>
        <w:tc>
          <w:tcPr>
            <w:tcW w:w="851" w:type="dxa"/>
            <w:tcMar>
              <w:left w:w="108" w:type="dxa"/>
              <w:right w:w="0" w:type="dxa"/>
            </w:tcMar>
          </w:tcPr>
          <w:p w:rsidR="003D6DF3" w:rsidRPr="00263B21" w:rsidRDefault="003D6DF3" w:rsidP="00D73E98">
            <w:pPr>
              <w:pStyle w:val="PrincCont"/>
              <w:jc w:val="left"/>
              <w:rPr>
                <w:i/>
                <w:sz w:val="20"/>
                <w:szCs w:val="20"/>
                <w:lang w:val="it-IT"/>
              </w:rPr>
            </w:pPr>
          </w:p>
        </w:tc>
        <w:tc>
          <w:tcPr>
            <w:tcW w:w="7060" w:type="dxa"/>
            <w:tcMar>
              <w:left w:w="108" w:type="dxa"/>
            </w:tcMar>
            <w:vAlign w:val="center"/>
          </w:tcPr>
          <w:p w:rsidR="003D6DF3" w:rsidRPr="00263B21" w:rsidRDefault="003D6DF3" w:rsidP="00D73E98">
            <w:pPr>
              <w:pStyle w:val="Titolo3"/>
              <w:jc w:val="left"/>
              <w:rPr>
                <w:lang w:val="it-IT"/>
              </w:rPr>
            </w:pPr>
            <w:r>
              <w:rPr>
                <w:lang w:val="it-IT"/>
              </w:rPr>
              <w:t>Rivalutazione</w:t>
            </w:r>
          </w:p>
        </w:tc>
        <w:tc>
          <w:tcPr>
            <w:tcW w:w="586" w:type="dxa"/>
            <w:gridSpan w:val="2"/>
            <w:tcMar>
              <w:left w:w="85" w:type="dxa"/>
              <w:right w:w="85" w:type="dxa"/>
            </w:tcMar>
            <w:vAlign w:val="center"/>
          </w:tcPr>
          <w:p w:rsidR="003D6DF3" w:rsidRPr="00263B21" w:rsidRDefault="003D6DF3" w:rsidP="00D73E98">
            <w:pPr>
              <w:jc w:val="center"/>
              <w:rPr>
                <w:i/>
                <w:lang w:val="it-IT"/>
              </w:rPr>
            </w:pPr>
          </w:p>
        </w:tc>
        <w:tc>
          <w:tcPr>
            <w:tcW w:w="573" w:type="dxa"/>
            <w:tcMar>
              <w:left w:w="108" w:type="dxa"/>
            </w:tcMar>
            <w:vAlign w:val="center"/>
          </w:tcPr>
          <w:p w:rsidR="003D6DF3" w:rsidRPr="00263B21" w:rsidRDefault="003D6DF3" w:rsidP="00D73E98">
            <w:pPr>
              <w:jc w:val="center"/>
              <w:rPr>
                <w:i/>
                <w:lang w:val="it-IT"/>
              </w:rPr>
            </w:pPr>
          </w:p>
        </w:tc>
        <w:tc>
          <w:tcPr>
            <w:tcW w:w="570" w:type="dxa"/>
            <w:tcMar>
              <w:left w:w="108" w:type="dxa"/>
            </w:tcMar>
            <w:vAlign w:val="center"/>
          </w:tcPr>
          <w:p w:rsidR="003D6DF3" w:rsidRPr="00263B21" w:rsidRDefault="003D6DF3" w:rsidP="00D73E98">
            <w:pPr>
              <w:jc w:val="center"/>
              <w:rPr>
                <w:i/>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67</w:t>
            </w:r>
            <w:r w:rsidRPr="00987EB8">
              <w:rPr>
                <w:b/>
                <w:lang w:val="it-IT"/>
              </w:rPr>
              <w:t>)</w:t>
            </w:r>
          </w:p>
        </w:tc>
        <w:tc>
          <w:tcPr>
            <w:tcW w:w="851" w:type="dxa"/>
            <w:tcMar>
              <w:left w:w="108" w:type="dxa"/>
              <w:right w:w="0" w:type="dxa"/>
            </w:tcMar>
          </w:tcPr>
          <w:p w:rsidR="003D6DF3" w:rsidRDefault="003D6DF3" w:rsidP="00D73E98">
            <w:pPr>
              <w:jc w:val="left"/>
            </w:pPr>
            <w:r w:rsidRPr="00C70C5B">
              <w:rPr>
                <w:sz w:val="13"/>
                <w:szCs w:val="13"/>
              </w:rPr>
              <w:t>OIC 16.</w:t>
            </w:r>
            <w:r>
              <w:rPr>
                <w:sz w:val="13"/>
                <w:szCs w:val="13"/>
              </w:rPr>
              <w:t>74</w:t>
            </w:r>
          </w:p>
        </w:tc>
        <w:tc>
          <w:tcPr>
            <w:tcW w:w="7060" w:type="dxa"/>
            <w:tcMar>
              <w:left w:w="108" w:type="dxa"/>
            </w:tcMar>
          </w:tcPr>
          <w:p w:rsidR="003D6DF3" w:rsidRDefault="003D6DF3" w:rsidP="00D73E98">
            <w:pPr>
              <w:spacing w:line="230" w:lineRule="exact"/>
              <w:rPr>
                <w:lang w:val="it-IT"/>
              </w:rPr>
            </w:pPr>
            <w:r w:rsidRPr="002D7AB9">
              <w:rPr>
                <w:lang w:val="it-IT"/>
              </w:rPr>
              <w:t xml:space="preserve">Le immobilizzazioni materiali </w:t>
            </w:r>
            <w:r>
              <w:rPr>
                <w:lang w:val="it-IT"/>
              </w:rPr>
              <w:t>sono</w:t>
            </w:r>
            <w:r w:rsidRPr="002D7AB9">
              <w:rPr>
                <w:lang w:val="it-IT"/>
              </w:rPr>
              <w:t xml:space="preserve"> rivalutate solo nei casi in cui la legge lo preveda o</w:t>
            </w:r>
            <w:r>
              <w:rPr>
                <w:lang w:val="it-IT"/>
              </w:rPr>
              <w:t xml:space="preserve"> </w:t>
            </w:r>
            <w:r w:rsidRPr="002D7AB9">
              <w:rPr>
                <w:lang w:val="it-IT"/>
              </w:rPr>
              <w:t>lo consenta</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314"/>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E84807" w:rsidRDefault="003D6DF3" w:rsidP="00D73E98">
            <w:pPr>
              <w:pStyle w:val="PrincCont"/>
              <w:jc w:val="left"/>
              <w:rPr>
                <w:lang w:val="it-IT"/>
              </w:rPr>
            </w:pPr>
            <w:r>
              <w:rPr>
                <w:lang w:val="it-IT"/>
              </w:rPr>
              <w:t>OIC 16.74</w:t>
            </w:r>
          </w:p>
        </w:tc>
        <w:tc>
          <w:tcPr>
            <w:tcW w:w="7060" w:type="dxa"/>
            <w:tcMar>
              <w:left w:w="108" w:type="dxa"/>
            </w:tcMar>
          </w:tcPr>
          <w:p w:rsidR="003D6DF3" w:rsidRPr="00216D43" w:rsidRDefault="003D6DF3" w:rsidP="00D73E98">
            <w:pPr>
              <w:pStyle w:val="Commentiriquadro"/>
              <w:rPr>
                <w:lang w:eastAsia="it-IT"/>
              </w:rPr>
            </w:pPr>
            <w:r>
              <w:rPr>
                <w:lang w:eastAsia="it-IT"/>
              </w:rPr>
              <w:t>Non sono ammesse rivalutazioni discrezionali o volontarie delle immobilizzazioni materiali ovvero rivalutazioni che non derivino dall’applicazione della legge. L’accresciuto valore di un bene derivante dal processo inflattivo non può essere considerato di per sé ragione sufficiente per la sua rivalutazione, né può costituire un “caso eccezionale” di deroga al divieto di rivalutazione.</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rPr>
                <w:lang w:val="it-IT"/>
              </w:rPr>
            </w:pPr>
          </w:p>
        </w:tc>
        <w:tc>
          <w:tcPr>
            <w:tcW w:w="570" w:type="dxa"/>
            <w:tcMar>
              <w:left w:w="108" w:type="dxa"/>
            </w:tcMar>
            <w:vAlign w:val="center"/>
          </w:tcPr>
          <w:p w:rsidR="003D6DF3" w:rsidRPr="00A32A16" w:rsidRDefault="003D6DF3" w:rsidP="00D73E98">
            <w:pP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68</w:t>
            </w:r>
            <w:r w:rsidRPr="00987EB8">
              <w:rPr>
                <w:b/>
                <w:lang w:val="it-IT"/>
              </w:rPr>
              <w:t>)</w:t>
            </w:r>
          </w:p>
        </w:tc>
        <w:tc>
          <w:tcPr>
            <w:tcW w:w="851" w:type="dxa"/>
            <w:tcMar>
              <w:left w:w="108" w:type="dxa"/>
              <w:right w:w="0" w:type="dxa"/>
            </w:tcMar>
          </w:tcPr>
          <w:p w:rsidR="003D6DF3" w:rsidRPr="002D7AB9" w:rsidRDefault="003D6DF3" w:rsidP="00D73E98">
            <w:pPr>
              <w:jc w:val="left"/>
              <w:rPr>
                <w:lang w:val="it-IT"/>
              </w:rPr>
            </w:pPr>
            <w:r w:rsidRPr="002D7AB9">
              <w:rPr>
                <w:sz w:val="13"/>
                <w:szCs w:val="13"/>
                <w:lang w:val="it-IT"/>
              </w:rPr>
              <w:t>OIC 16.</w:t>
            </w:r>
            <w:r>
              <w:rPr>
                <w:sz w:val="13"/>
                <w:szCs w:val="13"/>
                <w:lang w:val="it-IT"/>
              </w:rPr>
              <w:t>74</w:t>
            </w:r>
          </w:p>
        </w:tc>
        <w:tc>
          <w:tcPr>
            <w:tcW w:w="7060" w:type="dxa"/>
            <w:tcMar>
              <w:left w:w="108" w:type="dxa"/>
            </w:tcMar>
          </w:tcPr>
          <w:p w:rsidR="003D6DF3" w:rsidRDefault="003D6DF3" w:rsidP="00D73E98">
            <w:pPr>
              <w:spacing w:line="230" w:lineRule="exact"/>
              <w:rPr>
                <w:lang w:val="it-IT"/>
              </w:rPr>
            </w:pPr>
            <w:r w:rsidRPr="000A04D8">
              <w:rPr>
                <w:lang w:val="it-IT"/>
              </w:rPr>
              <w:t xml:space="preserve">I criteri seguiti per procedere alla rivalutazione, le metodologie adottate per la sua applicazione e i limiti entro cui la rivalutazione viene effettuata </w:t>
            </w:r>
            <w:r>
              <w:rPr>
                <w:lang w:val="it-IT"/>
              </w:rPr>
              <w:t>sono</w:t>
            </w:r>
            <w:r w:rsidRPr="000A04D8">
              <w:rPr>
                <w:lang w:val="it-IT"/>
              </w:rPr>
              <w:t xml:space="preserve"> conformi a quanto stabilito dalla legge in base alla qual</w:t>
            </w:r>
            <w:r>
              <w:rPr>
                <w:lang w:val="it-IT"/>
              </w:rPr>
              <w:t>e la rivalutazione è effettuata?</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69</w:t>
            </w:r>
            <w:r w:rsidRPr="00987EB8">
              <w:rPr>
                <w:b/>
                <w:lang w:val="it-IT"/>
              </w:rPr>
              <w:t>)</w:t>
            </w:r>
          </w:p>
        </w:tc>
        <w:tc>
          <w:tcPr>
            <w:tcW w:w="851" w:type="dxa"/>
            <w:tcMar>
              <w:left w:w="108" w:type="dxa"/>
              <w:right w:w="0" w:type="dxa"/>
            </w:tcMar>
          </w:tcPr>
          <w:p w:rsidR="003D6DF3" w:rsidRDefault="003D6DF3" w:rsidP="00D73E98">
            <w:pPr>
              <w:jc w:val="left"/>
            </w:pPr>
            <w:r w:rsidRPr="00C70C5B">
              <w:rPr>
                <w:sz w:val="13"/>
                <w:szCs w:val="13"/>
              </w:rPr>
              <w:t>OIC 16.</w:t>
            </w:r>
            <w:r>
              <w:rPr>
                <w:sz w:val="13"/>
                <w:szCs w:val="13"/>
              </w:rPr>
              <w:t>75</w:t>
            </w:r>
          </w:p>
        </w:tc>
        <w:tc>
          <w:tcPr>
            <w:tcW w:w="7060" w:type="dxa"/>
            <w:tcMar>
              <w:left w:w="108" w:type="dxa"/>
            </w:tcMar>
          </w:tcPr>
          <w:p w:rsidR="003D6DF3" w:rsidRDefault="003D6DF3" w:rsidP="00D73E98">
            <w:pPr>
              <w:spacing w:line="230" w:lineRule="exact"/>
              <w:rPr>
                <w:lang w:val="it-IT"/>
              </w:rPr>
            </w:pPr>
            <w:r w:rsidRPr="00C81E3E">
              <w:rPr>
                <w:lang w:val="it-IT"/>
              </w:rPr>
              <w:t xml:space="preserve">Si è tenuto conto che il limite massimo della rivalutazione di un’immobilizzazione materiale è il valore recuperabile dell’immobilizzazione stessa </w:t>
            </w:r>
            <w:r>
              <w:rPr>
                <w:lang w:val="it-IT"/>
              </w:rPr>
              <w:t xml:space="preserve">e </w:t>
            </w:r>
            <w:r w:rsidRPr="00C81E3E">
              <w:rPr>
                <w:lang w:val="it-IT"/>
              </w:rPr>
              <w:t xml:space="preserve">che in </w:t>
            </w:r>
            <w:r>
              <w:rPr>
                <w:lang w:val="it-IT"/>
              </w:rPr>
              <w:t>nessun caso può essere superato?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70</w:t>
            </w:r>
            <w:r w:rsidRPr="00987EB8">
              <w:rPr>
                <w:b/>
                <w:lang w:val="it-IT"/>
              </w:rPr>
              <w:t>)</w:t>
            </w:r>
          </w:p>
        </w:tc>
        <w:tc>
          <w:tcPr>
            <w:tcW w:w="851" w:type="dxa"/>
            <w:tcMar>
              <w:left w:w="108" w:type="dxa"/>
              <w:right w:w="0" w:type="dxa"/>
            </w:tcMar>
          </w:tcPr>
          <w:p w:rsidR="003D6DF3" w:rsidRDefault="003D6DF3" w:rsidP="00D73E98">
            <w:pPr>
              <w:jc w:val="left"/>
            </w:pPr>
            <w:r w:rsidRPr="00C70C5B">
              <w:rPr>
                <w:sz w:val="13"/>
                <w:szCs w:val="13"/>
              </w:rPr>
              <w:t>OIC 16.</w:t>
            </w:r>
            <w:r>
              <w:rPr>
                <w:sz w:val="13"/>
                <w:szCs w:val="13"/>
              </w:rPr>
              <w:t>76</w:t>
            </w:r>
          </w:p>
        </w:tc>
        <w:tc>
          <w:tcPr>
            <w:tcW w:w="7060" w:type="dxa"/>
            <w:tcMar>
              <w:left w:w="108" w:type="dxa"/>
            </w:tcMar>
          </w:tcPr>
          <w:p w:rsidR="003D6DF3" w:rsidRDefault="003D6DF3" w:rsidP="00D73E98">
            <w:pPr>
              <w:spacing w:line="230" w:lineRule="exact"/>
              <w:rPr>
                <w:lang w:val="it-IT"/>
              </w:rPr>
            </w:pPr>
            <w:r>
              <w:rPr>
                <w:lang w:val="it-IT"/>
              </w:rPr>
              <w:t xml:space="preserve">Qualora </w:t>
            </w:r>
            <w:r w:rsidRPr="002841CD">
              <w:rPr>
                <w:lang w:val="it-IT"/>
              </w:rPr>
              <w:t xml:space="preserve">negli esercizi successivi </w:t>
            </w:r>
            <w:r>
              <w:rPr>
                <w:lang w:val="it-IT"/>
              </w:rPr>
              <w:t xml:space="preserve">il valore rivalutato </w:t>
            </w:r>
            <w:r w:rsidRPr="002841CD">
              <w:rPr>
                <w:lang w:val="it-IT"/>
              </w:rPr>
              <w:t>risult</w:t>
            </w:r>
            <w:r>
              <w:rPr>
                <w:lang w:val="it-IT"/>
              </w:rPr>
              <w:t>i</w:t>
            </w:r>
            <w:r w:rsidRPr="002841CD">
              <w:rPr>
                <w:lang w:val="it-IT"/>
              </w:rPr>
              <w:t xml:space="preserve"> eccedente il valore recuperabile, </w:t>
            </w:r>
            <w:r>
              <w:rPr>
                <w:lang w:val="it-IT"/>
              </w:rPr>
              <w:t>esso è stato</w:t>
            </w:r>
            <w:r w:rsidRPr="002841CD">
              <w:rPr>
                <w:lang w:val="it-IT"/>
              </w:rPr>
              <w:t xml:space="preserve"> conseguentemente svalutato con rilevazione della perdita durevole a conto economico (cfr. OIC 9) se non di</w:t>
            </w:r>
            <w:r>
              <w:rPr>
                <w:lang w:val="it-IT"/>
              </w:rPr>
              <w:t>sposto diversamente dalla legge?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71</w:t>
            </w:r>
            <w:r w:rsidRPr="00987EB8">
              <w:rPr>
                <w:b/>
                <w:lang w:val="it-IT"/>
              </w:rPr>
              <w:t>)</w:t>
            </w:r>
          </w:p>
        </w:tc>
        <w:tc>
          <w:tcPr>
            <w:tcW w:w="851" w:type="dxa"/>
            <w:tcMar>
              <w:left w:w="108" w:type="dxa"/>
              <w:right w:w="0" w:type="dxa"/>
            </w:tcMar>
          </w:tcPr>
          <w:p w:rsidR="003D6DF3" w:rsidRDefault="003D6DF3" w:rsidP="00D73E98">
            <w:pPr>
              <w:jc w:val="left"/>
            </w:pPr>
            <w:r w:rsidRPr="00C70C5B">
              <w:rPr>
                <w:sz w:val="13"/>
                <w:szCs w:val="13"/>
              </w:rPr>
              <w:t>OIC 16.</w:t>
            </w:r>
            <w:r>
              <w:rPr>
                <w:sz w:val="13"/>
                <w:szCs w:val="13"/>
              </w:rPr>
              <w:t>77</w:t>
            </w:r>
          </w:p>
        </w:tc>
        <w:tc>
          <w:tcPr>
            <w:tcW w:w="7060" w:type="dxa"/>
            <w:tcMar>
              <w:left w:w="108" w:type="dxa"/>
            </w:tcMar>
          </w:tcPr>
          <w:p w:rsidR="003D6DF3" w:rsidRDefault="003D6DF3" w:rsidP="00D73E98">
            <w:pPr>
              <w:spacing w:line="230" w:lineRule="exact"/>
              <w:rPr>
                <w:lang w:val="it-IT"/>
              </w:rPr>
            </w:pPr>
            <w:r>
              <w:rPr>
                <w:lang w:val="it-IT"/>
              </w:rPr>
              <w:t>Poiché l</w:t>
            </w:r>
            <w:r w:rsidRPr="00CD2FA4">
              <w:rPr>
                <w:lang w:val="it-IT"/>
              </w:rPr>
              <w:t xml:space="preserve">a rivalutazione non modifica la stimata residua vita utile del bene, che prescinde dal </w:t>
            </w:r>
            <w:r>
              <w:rPr>
                <w:lang w:val="it-IT"/>
              </w:rPr>
              <w:t xml:space="preserve">suo </w:t>
            </w:r>
            <w:r w:rsidRPr="00CD2FA4">
              <w:rPr>
                <w:lang w:val="it-IT"/>
              </w:rPr>
              <w:t>valore economico</w:t>
            </w:r>
            <w:r>
              <w:rPr>
                <w:lang w:val="it-IT"/>
              </w:rPr>
              <w:t>, l</w:t>
            </w:r>
            <w:r w:rsidRPr="00CD2FA4">
              <w:rPr>
                <w:lang w:val="it-IT"/>
              </w:rPr>
              <w:t xml:space="preserve">’ammortamento dell’immobilizzazione materiale rivalutata </w:t>
            </w:r>
            <w:r>
              <w:rPr>
                <w:lang w:val="it-IT"/>
              </w:rPr>
              <w:t xml:space="preserve">ha </w:t>
            </w:r>
            <w:r w:rsidRPr="00CD2FA4">
              <w:rPr>
                <w:lang w:val="it-IT"/>
              </w:rPr>
              <w:t>continua</w:t>
            </w:r>
            <w:r>
              <w:rPr>
                <w:lang w:val="it-IT"/>
              </w:rPr>
              <w:t>to</w:t>
            </w:r>
            <w:r w:rsidRPr="00CD2FA4">
              <w:rPr>
                <w:lang w:val="it-IT"/>
              </w:rPr>
              <w:t xml:space="preserve"> ad essere determinato coerentemente con i criteri applicati precedentemente, senza m</w:t>
            </w:r>
            <w:r>
              <w:rPr>
                <w:lang w:val="it-IT"/>
              </w:rPr>
              <w:t>odificare la vita utile residua?</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sidRPr="00987EB8">
              <w:rPr>
                <w:b/>
                <w:lang w:val="it-IT"/>
              </w:rPr>
              <w:t>7</w:t>
            </w:r>
            <w:r>
              <w:rPr>
                <w:b/>
                <w:lang w:val="it-IT"/>
              </w:rPr>
              <w:t>2</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78</w:t>
            </w:r>
          </w:p>
        </w:tc>
        <w:tc>
          <w:tcPr>
            <w:tcW w:w="7060" w:type="dxa"/>
            <w:tcMar>
              <w:left w:w="108" w:type="dxa"/>
            </w:tcMar>
          </w:tcPr>
          <w:p w:rsidR="003D6DF3" w:rsidRDefault="003D6DF3" w:rsidP="00D73E98">
            <w:pPr>
              <w:spacing w:line="230" w:lineRule="exact"/>
              <w:rPr>
                <w:lang w:val="it-IT"/>
              </w:rPr>
            </w:pPr>
            <w:r w:rsidRPr="00DA7A72">
              <w:rPr>
                <w:lang w:val="it-IT"/>
              </w:rPr>
              <w:t xml:space="preserve">L’effetto netto della rivalutazione è </w:t>
            </w:r>
            <w:r>
              <w:rPr>
                <w:lang w:val="it-IT"/>
              </w:rPr>
              <w:t xml:space="preserve">stato </w:t>
            </w:r>
            <w:r w:rsidRPr="00DA7A72">
              <w:rPr>
                <w:lang w:val="it-IT"/>
              </w:rPr>
              <w:t>accreditato tra le riserve di patrimonio netto, alla voce AIII "Riserve di rivalutazione" (</w:t>
            </w:r>
            <w:r>
              <w:rPr>
                <w:lang w:val="it-IT"/>
              </w:rPr>
              <w:t xml:space="preserve">cfr. OIC 28 “Patrimonio netto”), </w:t>
            </w:r>
            <w:r w:rsidRPr="00EB4B66">
              <w:rPr>
                <w:lang w:val="it-IT"/>
              </w:rPr>
              <w:t>salvo</w:t>
            </w:r>
            <w:r>
              <w:rPr>
                <w:lang w:val="it-IT"/>
              </w:rPr>
              <w:t xml:space="preserve"> </w:t>
            </w:r>
            <w:r w:rsidRPr="00EB4B66">
              <w:rPr>
                <w:lang w:val="it-IT"/>
              </w:rPr>
              <w:t>diversa disposizione di legge</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RDefault="003D6DF3" w:rsidP="00D73E98">
            <w:pPr>
              <w:jc w:val="center"/>
              <w:rPr>
                <w:b/>
                <w:i/>
                <w:lang w:val="it-IT"/>
              </w:rPr>
            </w:pPr>
          </w:p>
        </w:tc>
        <w:tc>
          <w:tcPr>
            <w:tcW w:w="851" w:type="dxa"/>
            <w:tcMar>
              <w:left w:w="108" w:type="dxa"/>
              <w:right w:w="0" w:type="dxa"/>
            </w:tcMar>
          </w:tcPr>
          <w:p w:rsidR="003D6DF3" w:rsidRPr="00263B21" w:rsidRDefault="003D6DF3" w:rsidP="00D73E98">
            <w:pPr>
              <w:pStyle w:val="PrincCont"/>
              <w:jc w:val="left"/>
              <w:rPr>
                <w:i/>
                <w:sz w:val="20"/>
                <w:szCs w:val="20"/>
                <w:lang w:val="it-IT"/>
              </w:rPr>
            </w:pPr>
          </w:p>
        </w:tc>
        <w:tc>
          <w:tcPr>
            <w:tcW w:w="7060" w:type="dxa"/>
            <w:tcMar>
              <w:left w:w="108" w:type="dxa"/>
            </w:tcMar>
            <w:vAlign w:val="center"/>
          </w:tcPr>
          <w:p w:rsidR="003D6DF3" w:rsidRPr="00263B21" w:rsidRDefault="003D6DF3" w:rsidP="00D73E98">
            <w:pPr>
              <w:pStyle w:val="Titolo3"/>
              <w:jc w:val="left"/>
              <w:rPr>
                <w:lang w:val="it-IT"/>
              </w:rPr>
            </w:pPr>
            <w:r>
              <w:rPr>
                <w:lang w:val="it-IT"/>
              </w:rPr>
              <w:t xml:space="preserve">Cespiti destinati alla vendita e </w:t>
            </w:r>
            <w:r w:rsidRPr="00E94D0C">
              <w:rPr>
                <w:lang w:val="it-IT"/>
              </w:rPr>
              <w:t>e beni non più utilizzabili</w:t>
            </w:r>
          </w:p>
        </w:tc>
        <w:tc>
          <w:tcPr>
            <w:tcW w:w="586" w:type="dxa"/>
            <w:gridSpan w:val="2"/>
            <w:tcMar>
              <w:left w:w="85" w:type="dxa"/>
              <w:right w:w="85" w:type="dxa"/>
            </w:tcMar>
            <w:vAlign w:val="center"/>
          </w:tcPr>
          <w:p w:rsidR="003D6DF3" w:rsidRPr="00263B21" w:rsidRDefault="003D6DF3" w:rsidP="00D73E98">
            <w:pPr>
              <w:jc w:val="center"/>
              <w:rPr>
                <w:i/>
                <w:lang w:val="it-IT"/>
              </w:rPr>
            </w:pPr>
          </w:p>
        </w:tc>
        <w:tc>
          <w:tcPr>
            <w:tcW w:w="573" w:type="dxa"/>
            <w:tcMar>
              <w:left w:w="108" w:type="dxa"/>
            </w:tcMar>
            <w:vAlign w:val="center"/>
          </w:tcPr>
          <w:p w:rsidR="003D6DF3" w:rsidRPr="00263B21" w:rsidRDefault="003D6DF3" w:rsidP="00D73E98">
            <w:pPr>
              <w:jc w:val="center"/>
              <w:rPr>
                <w:i/>
                <w:lang w:val="it-IT"/>
              </w:rPr>
            </w:pPr>
          </w:p>
        </w:tc>
        <w:tc>
          <w:tcPr>
            <w:tcW w:w="570" w:type="dxa"/>
            <w:tcMar>
              <w:left w:w="108" w:type="dxa"/>
            </w:tcMar>
            <w:vAlign w:val="center"/>
          </w:tcPr>
          <w:p w:rsidR="003D6DF3" w:rsidRPr="00263B21" w:rsidRDefault="003D6DF3" w:rsidP="00D73E98">
            <w:pPr>
              <w:jc w:val="center"/>
              <w:rPr>
                <w:i/>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73</w:t>
            </w:r>
            <w:r w:rsidRPr="00987EB8">
              <w:rPr>
                <w:b/>
                <w:lang w:val="it-IT"/>
              </w:rPr>
              <w:t>)</w:t>
            </w:r>
          </w:p>
        </w:tc>
        <w:tc>
          <w:tcPr>
            <w:tcW w:w="851" w:type="dxa"/>
            <w:tcMar>
              <w:left w:w="108" w:type="dxa"/>
              <w:right w:w="0" w:type="dxa"/>
            </w:tcMar>
          </w:tcPr>
          <w:p w:rsidR="003D6DF3" w:rsidRDefault="003D6DF3" w:rsidP="00D73E98">
            <w:pPr>
              <w:jc w:val="left"/>
            </w:pPr>
            <w:r w:rsidRPr="00632198">
              <w:rPr>
                <w:sz w:val="13"/>
                <w:szCs w:val="13"/>
              </w:rPr>
              <w:t>OIC 16.</w:t>
            </w:r>
            <w:r>
              <w:rPr>
                <w:sz w:val="13"/>
                <w:szCs w:val="13"/>
              </w:rPr>
              <w:t>79</w:t>
            </w:r>
          </w:p>
        </w:tc>
        <w:tc>
          <w:tcPr>
            <w:tcW w:w="7060" w:type="dxa"/>
            <w:tcMar>
              <w:left w:w="108" w:type="dxa"/>
            </w:tcMar>
          </w:tcPr>
          <w:p w:rsidR="003D6DF3" w:rsidRDefault="003D6DF3" w:rsidP="00D73E98">
            <w:pPr>
              <w:spacing w:line="230" w:lineRule="exact"/>
              <w:rPr>
                <w:lang w:val="it-IT"/>
              </w:rPr>
            </w:pPr>
            <w:r w:rsidRPr="00F35EAE">
              <w:rPr>
                <w:lang w:val="it-IT"/>
              </w:rPr>
              <w:t>Le immobilizzazioni materiali</w:t>
            </w:r>
            <w:r>
              <w:rPr>
                <w:lang w:val="it-IT"/>
              </w:rPr>
              <w:t>,</w:t>
            </w:r>
            <w:r w:rsidRPr="00F35EAE">
              <w:rPr>
                <w:lang w:val="it-IT"/>
              </w:rPr>
              <w:t xml:space="preserve"> nel momento in cui sono destinate all’alienazione</w:t>
            </w:r>
            <w:r>
              <w:rPr>
                <w:lang w:val="it-IT"/>
              </w:rPr>
              <w:t>,</w:t>
            </w:r>
            <w:r w:rsidRPr="00F35EAE">
              <w:rPr>
                <w:lang w:val="it-IT"/>
              </w:rPr>
              <w:t xml:space="preserve"> sono riclassificate </w:t>
            </w:r>
            <w:r w:rsidRPr="006D0B2B">
              <w:rPr>
                <w:lang w:val="it-IT"/>
              </w:rPr>
              <w:t>in un’apposita voce preceduta da numero romano da iscrivere</w:t>
            </w:r>
            <w:r>
              <w:rPr>
                <w:lang w:val="it-IT"/>
              </w:rPr>
              <w:t xml:space="preserve"> </w:t>
            </w:r>
            <w:r w:rsidRPr="00F35EAE">
              <w:rPr>
                <w:lang w:val="it-IT"/>
              </w:rPr>
              <w:t>nell’attivo circolante</w:t>
            </w:r>
            <w:r>
              <w:rPr>
                <w:lang w:val="it-IT"/>
              </w:rPr>
              <w:t>,</w:t>
            </w:r>
            <w:r w:rsidRPr="00F35EAE">
              <w:rPr>
                <w:lang w:val="it-IT"/>
              </w:rPr>
              <w:t xml:space="preserve"> e quindi valutate al minore tra il valore netto contabile e il valore di realizzazione desumibile dall’andamento del mercato</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74</w:t>
            </w:r>
            <w:r w:rsidRPr="00987EB8">
              <w:rPr>
                <w:b/>
                <w:lang w:val="it-IT"/>
              </w:rPr>
              <w:t>)</w:t>
            </w:r>
          </w:p>
        </w:tc>
        <w:tc>
          <w:tcPr>
            <w:tcW w:w="851" w:type="dxa"/>
            <w:tcMar>
              <w:left w:w="108" w:type="dxa"/>
              <w:right w:w="0" w:type="dxa"/>
            </w:tcMar>
          </w:tcPr>
          <w:p w:rsidR="003D6DF3" w:rsidRDefault="003D6DF3" w:rsidP="00D73E98">
            <w:pPr>
              <w:jc w:val="left"/>
            </w:pPr>
            <w:r w:rsidRPr="00632198">
              <w:rPr>
                <w:sz w:val="13"/>
                <w:szCs w:val="13"/>
              </w:rPr>
              <w:t>OIC 16.</w:t>
            </w:r>
            <w:r>
              <w:rPr>
                <w:sz w:val="13"/>
                <w:szCs w:val="13"/>
              </w:rPr>
              <w:t>79</w:t>
            </w:r>
          </w:p>
        </w:tc>
        <w:tc>
          <w:tcPr>
            <w:tcW w:w="7060" w:type="dxa"/>
            <w:tcMar>
              <w:left w:w="108" w:type="dxa"/>
            </w:tcMar>
          </w:tcPr>
          <w:p w:rsidR="003D6DF3" w:rsidRDefault="003D6DF3" w:rsidP="00D73E98">
            <w:pPr>
              <w:spacing w:line="230" w:lineRule="exact"/>
              <w:rPr>
                <w:lang w:val="it-IT"/>
              </w:rPr>
            </w:pPr>
            <w:r w:rsidRPr="00F35EAE">
              <w:rPr>
                <w:lang w:val="it-IT"/>
              </w:rPr>
              <w:t xml:space="preserve">Per i beni destinati alla vendita </w:t>
            </w:r>
            <w:r>
              <w:rPr>
                <w:lang w:val="it-IT"/>
              </w:rPr>
              <w:t>è stato interrotto il processo di ammortamento?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75</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80</w:t>
            </w:r>
          </w:p>
        </w:tc>
        <w:tc>
          <w:tcPr>
            <w:tcW w:w="7060" w:type="dxa"/>
            <w:tcMar>
              <w:left w:w="108" w:type="dxa"/>
            </w:tcMar>
          </w:tcPr>
          <w:p w:rsidR="003D6DF3" w:rsidRDefault="003D6DF3" w:rsidP="00D73E98">
            <w:pPr>
              <w:spacing w:line="230" w:lineRule="exact"/>
              <w:rPr>
                <w:lang w:val="it-IT"/>
              </w:rPr>
            </w:pPr>
            <w:r w:rsidRPr="000D4061">
              <w:rPr>
                <w:lang w:val="it-IT"/>
              </w:rPr>
              <w:t xml:space="preserve">La disciplina in tema di valutazione dal bilancio dei cespiti destinati alla vendita </w:t>
            </w:r>
            <w:r>
              <w:rPr>
                <w:lang w:val="it-IT"/>
              </w:rPr>
              <w:t>è stata</w:t>
            </w:r>
            <w:r w:rsidRPr="000D4061">
              <w:rPr>
                <w:lang w:val="it-IT"/>
              </w:rPr>
              <w:t xml:space="preserve"> applica</w:t>
            </w:r>
            <w:r>
              <w:rPr>
                <w:lang w:val="it-IT"/>
              </w:rPr>
              <w:t>ta</w:t>
            </w:r>
            <w:r w:rsidRPr="000D4061">
              <w:rPr>
                <w:lang w:val="it-IT"/>
              </w:rPr>
              <w:t xml:space="preserve"> anche ai cespiti obsoleti e </w:t>
            </w:r>
            <w:r>
              <w:rPr>
                <w:lang w:val="it-IT"/>
              </w:rPr>
              <w:t xml:space="preserve">in </w:t>
            </w:r>
            <w:r w:rsidRPr="006D0B2B">
              <w:rPr>
                <w:lang w:val="it-IT"/>
              </w:rPr>
              <w:t>generale ai cespiti che non saranno più utilizzati o utilizzabili nel ciclo produttivo in modo</w:t>
            </w:r>
            <w:r>
              <w:rPr>
                <w:lang w:val="it-IT"/>
              </w:rPr>
              <w:t xml:space="preserve"> permanente?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9865E4" w:rsidTr="00D73E98">
        <w:trPr>
          <w:cantSplit/>
          <w:trHeight w:val="20"/>
        </w:trPr>
        <w:tc>
          <w:tcPr>
            <w:tcW w:w="680" w:type="dxa"/>
          </w:tcPr>
          <w:p w:rsidR="003D6DF3" w:rsidRPr="00987EB8" w:rsidRDefault="003D6DF3" w:rsidP="00D73E98">
            <w:pPr>
              <w:jc w:val="center"/>
              <w:rPr>
                <w:b/>
                <w:i/>
                <w:lang w:val="it-IT"/>
              </w:rPr>
            </w:pPr>
          </w:p>
        </w:tc>
        <w:tc>
          <w:tcPr>
            <w:tcW w:w="851" w:type="dxa"/>
            <w:tcMar>
              <w:left w:w="108" w:type="dxa"/>
              <w:right w:w="0" w:type="dxa"/>
            </w:tcMar>
          </w:tcPr>
          <w:p w:rsidR="003D6DF3" w:rsidRPr="00263B21" w:rsidRDefault="003D6DF3" w:rsidP="00D73E98">
            <w:pPr>
              <w:pStyle w:val="PrincCont"/>
              <w:jc w:val="left"/>
              <w:rPr>
                <w:i/>
                <w:sz w:val="20"/>
                <w:szCs w:val="20"/>
                <w:lang w:val="it-IT"/>
              </w:rPr>
            </w:pPr>
          </w:p>
        </w:tc>
        <w:tc>
          <w:tcPr>
            <w:tcW w:w="7060" w:type="dxa"/>
            <w:tcMar>
              <w:left w:w="108" w:type="dxa"/>
            </w:tcMar>
            <w:vAlign w:val="center"/>
          </w:tcPr>
          <w:p w:rsidR="003D6DF3" w:rsidRPr="00263B21" w:rsidRDefault="003D6DF3" w:rsidP="00D73E98">
            <w:pPr>
              <w:pStyle w:val="Titolo3"/>
              <w:jc w:val="left"/>
              <w:rPr>
                <w:lang w:val="it-IT"/>
              </w:rPr>
            </w:pPr>
            <w:r>
              <w:rPr>
                <w:lang w:val="it-IT"/>
              </w:rPr>
              <w:t>Alienazioni</w:t>
            </w:r>
          </w:p>
        </w:tc>
        <w:tc>
          <w:tcPr>
            <w:tcW w:w="586" w:type="dxa"/>
            <w:gridSpan w:val="2"/>
            <w:tcMar>
              <w:left w:w="85" w:type="dxa"/>
              <w:right w:w="85" w:type="dxa"/>
            </w:tcMar>
            <w:vAlign w:val="center"/>
          </w:tcPr>
          <w:p w:rsidR="003D6DF3" w:rsidRPr="00263B21" w:rsidRDefault="003D6DF3" w:rsidP="00D73E98">
            <w:pPr>
              <w:jc w:val="center"/>
              <w:rPr>
                <w:i/>
                <w:lang w:val="it-IT"/>
              </w:rPr>
            </w:pPr>
          </w:p>
        </w:tc>
        <w:tc>
          <w:tcPr>
            <w:tcW w:w="573" w:type="dxa"/>
            <w:tcMar>
              <w:left w:w="108" w:type="dxa"/>
            </w:tcMar>
            <w:vAlign w:val="center"/>
          </w:tcPr>
          <w:p w:rsidR="003D6DF3" w:rsidRPr="00263B21" w:rsidRDefault="003D6DF3" w:rsidP="00D73E98">
            <w:pPr>
              <w:jc w:val="center"/>
              <w:rPr>
                <w:i/>
                <w:lang w:val="it-IT"/>
              </w:rPr>
            </w:pPr>
          </w:p>
        </w:tc>
        <w:tc>
          <w:tcPr>
            <w:tcW w:w="570" w:type="dxa"/>
            <w:tcMar>
              <w:left w:w="108" w:type="dxa"/>
            </w:tcMar>
            <w:vAlign w:val="center"/>
          </w:tcPr>
          <w:p w:rsidR="003D6DF3" w:rsidRPr="00263B21" w:rsidRDefault="003D6DF3" w:rsidP="00D73E98">
            <w:pPr>
              <w:jc w:val="center"/>
              <w:rPr>
                <w:i/>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76</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81</w:t>
            </w:r>
          </w:p>
        </w:tc>
        <w:tc>
          <w:tcPr>
            <w:tcW w:w="7060" w:type="dxa"/>
            <w:tcMar>
              <w:left w:w="108" w:type="dxa"/>
            </w:tcMar>
          </w:tcPr>
          <w:p w:rsidR="003D6DF3" w:rsidRDefault="003D6DF3" w:rsidP="00D73E98">
            <w:pPr>
              <w:spacing w:line="230" w:lineRule="exact"/>
              <w:rPr>
                <w:lang w:val="it-IT"/>
              </w:rPr>
            </w:pPr>
            <w:r w:rsidRPr="00B92C9F">
              <w:rPr>
                <w:lang w:val="it-IT"/>
              </w:rPr>
              <w:t>Per l</w:t>
            </w:r>
            <w:r>
              <w:rPr>
                <w:lang w:val="it-IT"/>
              </w:rPr>
              <w:t>e</w:t>
            </w:r>
            <w:r w:rsidRPr="00B92C9F">
              <w:rPr>
                <w:lang w:val="it-IT"/>
              </w:rPr>
              <w:t xml:space="preserve"> immobilizzazion</w:t>
            </w:r>
            <w:r>
              <w:rPr>
                <w:lang w:val="it-IT"/>
              </w:rPr>
              <w:t>i</w:t>
            </w:r>
            <w:r w:rsidRPr="00B92C9F">
              <w:rPr>
                <w:lang w:val="it-IT"/>
              </w:rPr>
              <w:t xml:space="preserve"> material</w:t>
            </w:r>
            <w:r>
              <w:rPr>
                <w:lang w:val="it-IT"/>
              </w:rPr>
              <w:t>i</w:t>
            </w:r>
            <w:r w:rsidRPr="00B92C9F">
              <w:rPr>
                <w:lang w:val="it-IT"/>
              </w:rPr>
              <w:t xml:space="preserve"> vendut</w:t>
            </w:r>
            <w:r>
              <w:rPr>
                <w:lang w:val="it-IT"/>
              </w:rPr>
              <w:t>e</w:t>
            </w:r>
            <w:r w:rsidRPr="00B92C9F">
              <w:rPr>
                <w:lang w:val="it-IT"/>
              </w:rPr>
              <w:t xml:space="preserve"> </w:t>
            </w:r>
            <w:r>
              <w:rPr>
                <w:lang w:val="it-IT"/>
              </w:rPr>
              <w:t>è stata</w:t>
            </w:r>
            <w:r w:rsidRPr="00B92C9F">
              <w:rPr>
                <w:lang w:val="it-IT"/>
              </w:rPr>
              <w:t xml:space="preserve"> elimina</w:t>
            </w:r>
            <w:r>
              <w:rPr>
                <w:lang w:val="it-IT"/>
              </w:rPr>
              <w:t>ta</w:t>
            </w:r>
            <w:r w:rsidRPr="00B92C9F">
              <w:rPr>
                <w:lang w:val="it-IT"/>
              </w:rPr>
              <w:t xml:space="preserve"> contabilmente, in contropartita al corrispettivo ricevuto, la voce delle immobilizzazioni al netto degli ammortamenti accumulati fino alla data di alienazione comprendendo anche </w:t>
            </w:r>
            <w:r>
              <w:rPr>
                <w:lang w:val="it-IT"/>
              </w:rPr>
              <w:t xml:space="preserve">la </w:t>
            </w:r>
            <w:r w:rsidRPr="00B92C9F">
              <w:rPr>
                <w:lang w:val="it-IT"/>
              </w:rPr>
              <w:t xml:space="preserve">quota di ammortamento relativo alla frazione dell’ultimo esercizio in cui </w:t>
            </w:r>
            <w:r>
              <w:rPr>
                <w:lang w:val="it-IT"/>
              </w:rPr>
              <w:t>sono</w:t>
            </w:r>
            <w:r w:rsidRPr="00B92C9F">
              <w:rPr>
                <w:lang w:val="it-IT"/>
              </w:rPr>
              <w:t xml:space="preserve"> stat</w:t>
            </w:r>
            <w:r>
              <w:rPr>
                <w:lang w:val="it-IT"/>
              </w:rPr>
              <w:t>e</w:t>
            </w:r>
            <w:r w:rsidRPr="00B92C9F">
              <w:rPr>
                <w:lang w:val="it-IT"/>
              </w:rPr>
              <w:t xml:space="preserve"> utilizzat</w:t>
            </w:r>
            <w:r>
              <w:rPr>
                <w:lang w:val="it-IT"/>
              </w:rPr>
              <w:t>e?</w:t>
            </w:r>
            <w:r w:rsidRPr="00B92C9F">
              <w:rPr>
                <w:lang w:val="it-IT"/>
              </w:rPr>
              <w:t xml:space="preserve"> </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B94B6C"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p>
        </w:tc>
        <w:tc>
          <w:tcPr>
            <w:tcW w:w="7060" w:type="dxa"/>
            <w:tcMar>
              <w:left w:w="108" w:type="dxa"/>
            </w:tcMar>
          </w:tcPr>
          <w:p w:rsidR="003D6DF3" w:rsidRPr="00B94B6C" w:rsidRDefault="003D6DF3" w:rsidP="00D73E98">
            <w:pPr>
              <w:pStyle w:val="Titolo2"/>
              <w:rPr>
                <w:lang w:val="it-IT"/>
              </w:rPr>
            </w:pPr>
            <w:r>
              <w:rPr>
                <w:lang w:val="it-IT"/>
              </w:rPr>
              <w:t>Casi</w:t>
            </w:r>
            <w:r w:rsidRPr="009208CA">
              <w:rPr>
                <w:lang w:val="it-IT"/>
              </w:rPr>
              <w:t xml:space="preserve"> particolari</w:t>
            </w:r>
          </w:p>
        </w:tc>
        <w:tc>
          <w:tcPr>
            <w:tcW w:w="586" w:type="dxa"/>
            <w:gridSpan w:val="2"/>
            <w:tcMar>
              <w:left w:w="85" w:type="dxa"/>
              <w:right w:w="85" w:type="dxa"/>
            </w:tcMar>
            <w:vAlign w:val="center"/>
          </w:tcPr>
          <w:p w:rsidR="003D6DF3" w:rsidRPr="00B94B6C" w:rsidRDefault="003D6DF3" w:rsidP="00D73E98">
            <w:pPr>
              <w:jc w:val="center"/>
              <w:rPr>
                <w:lang w:val="it-IT"/>
              </w:rPr>
            </w:pPr>
          </w:p>
        </w:tc>
        <w:tc>
          <w:tcPr>
            <w:tcW w:w="573" w:type="dxa"/>
            <w:tcMar>
              <w:left w:w="108" w:type="dxa"/>
            </w:tcMar>
            <w:vAlign w:val="center"/>
          </w:tcPr>
          <w:p w:rsidR="003D6DF3" w:rsidRPr="00B94B6C" w:rsidRDefault="003D6DF3" w:rsidP="00D73E98">
            <w:pPr>
              <w:jc w:val="center"/>
              <w:rPr>
                <w:lang w:val="it-IT"/>
              </w:rPr>
            </w:pPr>
          </w:p>
        </w:tc>
        <w:tc>
          <w:tcPr>
            <w:tcW w:w="570" w:type="dxa"/>
            <w:tcMar>
              <w:left w:w="108" w:type="dxa"/>
            </w:tcMar>
            <w:vAlign w:val="center"/>
          </w:tcPr>
          <w:p w:rsidR="003D6DF3" w:rsidRPr="00B94B6C" w:rsidRDefault="003D6DF3" w:rsidP="00D73E98">
            <w:pPr>
              <w:jc w:val="center"/>
              <w:rPr>
                <w:lang w:val="it-IT"/>
              </w:rPr>
            </w:pPr>
          </w:p>
        </w:tc>
      </w:tr>
      <w:tr w:rsidR="003D6DF3" w:rsidRPr="00CC242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p>
        </w:tc>
        <w:tc>
          <w:tcPr>
            <w:tcW w:w="7060" w:type="dxa"/>
            <w:tcMar>
              <w:left w:w="108" w:type="dxa"/>
            </w:tcMar>
          </w:tcPr>
          <w:p w:rsidR="003D6DF3" w:rsidRPr="00C75C4C" w:rsidRDefault="003D6DF3" w:rsidP="00D73E98">
            <w:pPr>
              <w:pStyle w:val="Titolo2"/>
              <w:rPr>
                <w:i/>
                <w:sz w:val="20"/>
                <w:lang w:val="it-IT"/>
              </w:rPr>
            </w:pPr>
            <w:r w:rsidRPr="00C75C4C">
              <w:rPr>
                <w:i/>
                <w:sz w:val="20"/>
                <w:lang w:val="it-IT"/>
              </w:rPr>
              <w:t>Permuta o pagamento con altra immobilizzazione</w:t>
            </w:r>
          </w:p>
        </w:tc>
        <w:tc>
          <w:tcPr>
            <w:tcW w:w="586" w:type="dxa"/>
            <w:gridSpan w:val="2"/>
            <w:tcMar>
              <w:left w:w="85" w:type="dxa"/>
              <w:right w:w="85" w:type="dxa"/>
            </w:tcMar>
            <w:vAlign w:val="center"/>
          </w:tcPr>
          <w:p w:rsidR="003D6DF3" w:rsidRPr="00B94B6C" w:rsidRDefault="003D6DF3" w:rsidP="00D73E98">
            <w:pPr>
              <w:jc w:val="center"/>
              <w:rPr>
                <w:lang w:val="it-IT"/>
              </w:rPr>
            </w:pPr>
          </w:p>
        </w:tc>
        <w:tc>
          <w:tcPr>
            <w:tcW w:w="573" w:type="dxa"/>
            <w:tcMar>
              <w:left w:w="108" w:type="dxa"/>
            </w:tcMar>
            <w:vAlign w:val="center"/>
          </w:tcPr>
          <w:p w:rsidR="003D6DF3" w:rsidRPr="00B94B6C" w:rsidRDefault="003D6DF3" w:rsidP="00D73E98">
            <w:pPr>
              <w:jc w:val="center"/>
              <w:rPr>
                <w:lang w:val="it-IT"/>
              </w:rPr>
            </w:pPr>
          </w:p>
        </w:tc>
        <w:tc>
          <w:tcPr>
            <w:tcW w:w="570" w:type="dxa"/>
            <w:tcMar>
              <w:left w:w="108" w:type="dxa"/>
            </w:tcMar>
            <w:vAlign w:val="center"/>
          </w:tcPr>
          <w:p w:rsidR="003D6DF3" w:rsidRPr="00B94B6C" w:rsidRDefault="003D6DF3" w:rsidP="00D73E98">
            <w:pPr>
              <w:jc w:val="center"/>
              <w:rPr>
                <w:lang w:val="it-IT"/>
              </w:rPr>
            </w:pPr>
          </w:p>
        </w:tc>
      </w:tr>
      <w:tr w:rsidR="003D6DF3" w:rsidRPr="00BD640B" w:rsidTr="00D73E98">
        <w:trPr>
          <w:cantSplit/>
          <w:trHeight w:val="20"/>
        </w:trPr>
        <w:tc>
          <w:tcPr>
            <w:tcW w:w="680" w:type="dxa"/>
          </w:tcPr>
          <w:p w:rsidR="003D6DF3" w:rsidRPr="00987EB8" w:rsidRDefault="003D6DF3" w:rsidP="00D73E98">
            <w:pPr>
              <w:jc w:val="center"/>
              <w:rPr>
                <w:b/>
                <w:lang w:val="it-IT"/>
              </w:rPr>
            </w:pPr>
            <w:r>
              <w:rPr>
                <w:b/>
                <w:lang w:val="it-IT"/>
              </w:rPr>
              <w:t>77</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82</w:t>
            </w:r>
          </w:p>
        </w:tc>
        <w:tc>
          <w:tcPr>
            <w:tcW w:w="7060" w:type="dxa"/>
            <w:tcMar>
              <w:left w:w="108" w:type="dxa"/>
            </w:tcMar>
          </w:tcPr>
          <w:p w:rsidR="003D6DF3" w:rsidRDefault="003D6DF3" w:rsidP="00D73E98">
            <w:pPr>
              <w:spacing w:line="230" w:lineRule="exact"/>
              <w:rPr>
                <w:lang w:val="it-IT"/>
              </w:rPr>
            </w:pPr>
            <w:r w:rsidRPr="00BD640B">
              <w:rPr>
                <w:lang w:val="it-IT"/>
              </w:rPr>
              <w:t>S</w:t>
            </w:r>
            <w:r w:rsidRPr="004C4D52">
              <w:rPr>
                <w:lang w:val="it-IT"/>
              </w:rPr>
              <w:t xml:space="preserve">e </w:t>
            </w:r>
            <w:r>
              <w:rPr>
                <w:lang w:val="it-IT"/>
              </w:rPr>
              <w:t>l</w:t>
            </w:r>
            <w:r w:rsidRPr="004C4D52">
              <w:rPr>
                <w:lang w:val="it-IT"/>
              </w:rPr>
              <w:t>a permuta di un bene con un altro, nella sostanza</w:t>
            </w:r>
            <w:r>
              <w:rPr>
                <w:lang w:val="it-IT"/>
              </w:rPr>
              <w:t>,</w:t>
            </w:r>
            <w:r w:rsidRPr="004C4D52">
              <w:rPr>
                <w:lang w:val="it-IT"/>
              </w:rPr>
              <w:t xml:space="preserve"> realizza un’operazione di acquisto e vendita, </w:t>
            </w:r>
            <w:r>
              <w:rPr>
                <w:lang w:val="it-IT"/>
              </w:rPr>
              <w:t xml:space="preserve">essa </w:t>
            </w:r>
            <w:r w:rsidRPr="004C4D52">
              <w:rPr>
                <w:lang w:val="it-IT"/>
              </w:rPr>
              <w:t>è rilevata in base al presumibile valore di mercato attribuibile al bene ricevuto alla data di acquisizione</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BD640B">
              <w:rPr>
                <w:lang w:val="it-IT"/>
              </w:rP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BD640B">
              <w:rPr>
                <w:lang w:val="it-IT"/>
              </w:rP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BD640B">
              <w:rPr>
                <w:lang w:val="it-IT"/>
              </w:rPr>
              <w:instrText xml:space="preserve"> FORMCHECKBOX </w:instrText>
            </w:r>
            <w:r w:rsidR="00CA1681">
              <w:fldChar w:fldCharType="separate"/>
            </w:r>
            <w:r>
              <w:fldChar w:fldCharType="end"/>
            </w:r>
          </w:p>
        </w:tc>
      </w:tr>
      <w:tr w:rsidR="003D6DF3" w:rsidRPr="00CC242B" w:rsidTr="00D73E98">
        <w:trPr>
          <w:cantSplit/>
          <w:trHeight w:val="314"/>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r w:rsidRPr="006A2F99">
              <w:t>OIC 16.</w:t>
            </w:r>
            <w:r>
              <w:t>82</w:t>
            </w:r>
          </w:p>
        </w:tc>
        <w:tc>
          <w:tcPr>
            <w:tcW w:w="7060" w:type="dxa"/>
            <w:tcMar>
              <w:left w:w="108" w:type="dxa"/>
            </w:tcMar>
          </w:tcPr>
          <w:p w:rsidR="003D6DF3" w:rsidRPr="00216D43" w:rsidRDefault="003D6DF3" w:rsidP="00D73E98">
            <w:pPr>
              <w:pStyle w:val="Commentiriquadro"/>
              <w:rPr>
                <w:lang w:eastAsia="it-IT"/>
              </w:rPr>
            </w:pPr>
            <w:r w:rsidRPr="001D0060">
              <w:rPr>
                <w:lang w:eastAsia="it-IT"/>
              </w:rPr>
              <w:t>Il valore di mercato del bene ricevuto misura la plusvalenza o minusvalenza realizzata rispetto al valore netto contabile del bene dato in permuta.</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rPr>
                <w:lang w:val="it-IT"/>
              </w:rPr>
            </w:pPr>
          </w:p>
        </w:tc>
        <w:tc>
          <w:tcPr>
            <w:tcW w:w="570" w:type="dxa"/>
            <w:tcMar>
              <w:left w:w="108" w:type="dxa"/>
            </w:tcMar>
            <w:vAlign w:val="center"/>
          </w:tcPr>
          <w:p w:rsidR="003D6DF3" w:rsidRPr="00A32A16" w:rsidRDefault="003D6DF3" w:rsidP="00D73E98">
            <w:pP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78</w:t>
            </w:r>
            <w:r w:rsidRPr="00987EB8">
              <w:rPr>
                <w:b/>
                <w:lang w:val="it-IT"/>
              </w:rPr>
              <w:t>)</w:t>
            </w:r>
          </w:p>
        </w:tc>
        <w:tc>
          <w:tcPr>
            <w:tcW w:w="851" w:type="dxa"/>
            <w:tcMar>
              <w:left w:w="108" w:type="dxa"/>
              <w:right w:w="0" w:type="dxa"/>
            </w:tcMar>
          </w:tcPr>
          <w:p w:rsidR="003D6DF3" w:rsidRPr="00BD640B" w:rsidRDefault="003D6DF3" w:rsidP="00D73E98">
            <w:pPr>
              <w:jc w:val="left"/>
              <w:rPr>
                <w:sz w:val="13"/>
                <w:szCs w:val="13"/>
                <w:lang w:val="it-IT"/>
              </w:rPr>
            </w:pPr>
            <w:r>
              <w:rPr>
                <w:sz w:val="13"/>
                <w:szCs w:val="13"/>
                <w:lang w:val="it-IT"/>
              </w:rPr>
              <w:t>OIC 16.83</w:t>
            </w:r>
          </w:p>
        </w:tc>
        <w:tc>
          <w:tcPr>
            <w:tcW w:w="7060" w:type="dxa"/>
            <w:tcMar>
              <w:left w:w="108" w:type="dxa"/>
            </w:tcMar>
          </w:tcPr>
          <w:p w:rsidR="003D6DF3" w:rsidRDefault="003D6DF3" w:rsidP="00D73E98">
            <w:pPr>
              <w:spacing w:line="230" w:lineRule="exact"/>
              <w:rPr>
                <w:lang w:val="it-IT"/>
              </w:rPr>
            </w:pPr>
            <w:r w:rsidRPr="00BD640B">
              <w:rPr>
                <w:lang w:val="it-IT"/>
              </w:rPr>
              <w:t>Se la permuta nella sostanza non realizza una compravendita, ma è effettuata per procurare la disponibilità di un cespite di analoghe caratteristiche funzionali senza l’obiettivo di conseguire un</w:t>
            </w:r>
            <w:r>
              <w:rPr>
                <w:lang w:val="it-IT"/>
              </w:rPr>
              <w:t xml:space="preserve"> </w:t>
            </w:r>
            <w:r w:rsidRPr="00BD640B">
              <w:rPr>
                <w:lang w:val="it-IT"/>
              </w:rPr>
              <w:t>componente positivo di reddito, il valore d’iscrizione dell’immobilizzazione acquisita è riconosciuto pari al valore contabile nett</w:t>
            </w:r>
            <w:r>
              <w:rPr>
                <w:lang w:val="it-IT"/>
              </w:rPr>
              <w:t>o dell’immobilizzazione ceduta?</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AA7FEA" w:rsidTr="00D73E98">
        <w:trPr>
          <w:cantSplit/>
          <w:trHeight w:val="20"/>
        </w:trPr>
        <w:tc>
          <w:tcPr>
            <w:tcW w:w="680" w:type="dxa"/>
          </w:tcPr>
          <w:p w:rsidR="003D6DF3" w:rsidRPr="00987EB8" w:rsidRDefault="003D6DF3" w:rsidP="00D73E98">
            <w:pPr>
              <w:jc w:val="center"/>
              <w:rPr>
                <w:b/>
                <w:lang w:val="it-IT"/>
              </w:rPr>
            </w:pPr>
            <w:r>
              <w:rPr>
                <w:b/>
                <w:lang w:val="it-IT"/>
              </w:rPr>
              <w:t>79</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84</w:t>
            </w:r>
          </w:p>
        </w:tc>
        <w:tc>
          <w:tcPr>
            <w:tcW w:w="7060" w:type="dxa"/>
            <w:tcMar>
              <w:left w:w="108" w:type="dxa"/>
            </w:tcMar>
          </w:tcPr>
          <w:p w:rsidR="003D6DF3" w:rsidRDefault="003D6DF3" w:rsidP="00D73E98">
            <w:pPr>
              <w:spacing w:line="230" w:lineRule="exact"/>
              <w:rPr>
                <w:lang w:val="it-IT"/>
              </w:rPr>
            </w:pPr>
            <w:r w:rsidRPr="00AA7FEA">
              <w:rPr>
                <w:lang w:val="it-IT"/>
              </w:rPr>
              <w:t xml:space="preserve">I costi accessori relativi alla permuta di un bene con un altro, </w:t>
            </w:r>
            <w:r>
              <w:rPr>
                <w:lang w:val="it-IT"/>
              </w:rPr>
              <w:t>che</w:t>
            </w:r>
            <w:r w:rsidRPr="00AA7FEA">
              <w:rPr>
                <w:lang w:val="it-IT"/>
              </w:rPr>
              <w:t xml:space="preserve"> nella sostanza </w:t>
            </w:r>
            <w:r>
              <w:rPr>
                <w:lang w:val="it-IT"/>
              </w:rPr>
              <w:t>rappresenta</w:t>
            </w:r>
            <w:r w:rsidRPr="00AA7FEA">
              <w:rPr>
                <w:lang w:val="it-IT"/>
              </w:rPr>
              <w:t xml:space="preserve"> una co</w:t>
            </w:r>
            <w:r>
              <w:rPr>
                <w:lang w:val="it-IT"/>
              </w:rPr>
              <w:t>mpravendita, sono capitalizzat</w:t>
            </w:r>
            <w:r w:rsidRPr="00AA7FEA">
              <w:rPr>
                <w:lang w:val="it-IT"/>
              </w:rPr>
              <w:t>i per la quota attendibilmente riferibile all’o</w:t>
            </w:r>
            <w:r>
              <w:rPr>
                <w:lang w:val="it-IT"/>
              </w:rPr>
              <w:t xml:space="preserve">perazione di acquisto del bene? </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AA7FEA">
              <w:rPr>
                <w:lang w:val="it-IT"/>
              </w:rP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AA7FEA">
              <w:rPr>
                <w:lang w:val="it-IT"/>
              </w:rP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AA7FEA">
              <w:rPr>
                <w:lang w:val="it-IT"/>
              </w:rPr>
              <w:instrText xml:space="preserve"> FORMCHECKBOX </w:instrText>
            </w:r>
            <w:r w:rsidR="00CA1681">
              <w:fldChar w:fldCharType="separate"/>
            </w:r>
            <w:r>
              <w:fldChar w:fldCharType="end"/>
            </w:r>
          </w:p>
        </w:tc>
      </w:tr>
      <w:tr w:rsidR="003D6DF3" w:rsidRPr="00AA7FEA" w:rsidTr="00D73E98">
        <w:trPr>
          <w:cantSplit/>
          <w:trHeight w:val="20"/>
        </w:trPr>
        <w:tc>
          <w:tcPr>
            <w:tcW w:w="680" w:type="dxa"/>
          </w:tcPr>
          <w:p w:rsidR="003D6DF3" w:rsidRPr="00987EB8" w:rsidRDefault="003D6DF3" w:rsidP="00D73E98">
            <w:pPr>
              <w:jc w:val="center"/>
              <w:rPr>
                <w:b/>
                <w:lang w:val="it-IT"/>
              </w:rPr>
            </w:pPr>
            <w:r>
              <w:rPr>
                <w:b/>
                <w:lang w:val="it-IT"/>
              </w:rPr>
              <w:t>80</w:t>
            </w:r>
            <w:r w:rsidRPr="00987EB8">
              <w:rPr>
                <w:b/>
                <w:lang w:val="it-IT"/>
              </w:rPr>
              <w:t>)</w:t>
            </w:r>
          </w:p>
        </w:tc>
        <w:tc>
          <w:tcPr>
            <w:tcW w:w="851" w:type="dxa"/>
            <w:tcMar>
              <w:left w:w="108" w:type="dxa"/>
              <w:right w:w="0" w:type="dxa"/>
            </w:tcMar>
          </w:tcPr>
          <w:p w:rsidR="003D6DF3" w:rsidRPr="00AA7FEA" w:rsidRDefault="003D6DF3" w:rsidP="00D73E98">
            <w:pPr>
              <w:jc w:val="left"/>
              <w:rPr>
                <w:sz w:val="13"/>
                <w:szCs w:val="13"/>
                <w:lang w:val="it-IT"/>
              </w:rPr>
            </w:pPr>
            <w:r>
              <w:rPr>
                <w:sz w:val="13"/>
                <w:szCs w:val="13"/>
                <w:lang w:val="it-IT"/>
              </w:rPr>
              <w:t>OIC 16.84</w:t>
            </w:r>
          </w:p>
        </w:tc>
        <w:tc>
          <w:tcPr>
            <w:tcW w:w="7060" w:type="dxa"/>
            <w:tcMar>
              <w:left w:w="108" w:type="dxa"/>
            </w:tcMar>
          </w:tcPr>
          <w:p w:rsidR="003D6DF3" w:rsidRDefault="003D6DF3" w:rsidP="00D73E98">
            <w:pPr>
              <w:spacing w:line="230" w:lineRule="exact"/>
              <w:rPr>
                <w:lang w:val="it-IT"/>
              </w:rPr>
            </w:pPr>
            <w:r>
              <w:rPr>
                <w:lang w:val="it-IT"/>
              </w:rPr>
              <w:t>I</w:t>
            </w:r>
            <w:r w:rsidRPr="00AA7FEA">
              <w:rPr>
                <w:lang w:val="it-IT"/>
              </w:rPr>
              <w:t xml:space="preserve"> costi accessori relativi ad operazioni che non realizzano nella sostanza una compravendita sono imputati</w:t>
            </w:r>
            <w:r>
              <w:rPr>
                <w:lang w:val="it-IT"/>
              </w:rPr>
              <w:t xml:space="preserve"> direttamente a conto economico?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AA7FEA">
              <w:rPr>
                <w:lang w:val="it-IT"/>
              </w:rP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AA7FEA">
              <w:rPr>
                <w:lang w:val="it-IT"/>
              </w:rP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AA7FEA">
              <w:rPr>
                <w:lang w:val="it-IT"/>
              </w:rP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RDefault="003D6DF3" w:rsidP="00D73E98">
            <w:pPr>
              <w:pageBreakBefore/>
              <w:jc w:val="center"/>
              <w:rPr>
                <w:b/>
                <w:lang w:val="it-IT"/>
              </w:rPr>
            </w:pPr>
          </w:p>
        </w:tc>
        <w:tc>
          <w:tcPr>
            <w:tcW w:w="851" w:type="dxa"/>
            <w:tcMar>
              <w:left w:w="108" w:type="dxa"/>
              <w:right w:w="0" w:type="dxa"/>
            </w:tcMar>
          </w:tcPr>
          <w:p w:rsidR="003D6DF3" w:rsidRDefault="003D6DF3" w:rsidP="00D73E98">
            <w:pPr>
              <w:pStyle w:val="PrincCont"/>
              <w:pageBreakBefore/>
              <w:jc w:val="left"/>
              <w:rPr>
                <w:lang w:val="it-IT"/>
              </w:rPr>
            </w:pPr>
          </w:p>
        </w:tc>
        <w:tc>
          <w:tcPr>
            <w:tcW w:w="7060" w:type="dxa"/>
            <w:tcMar>
              <w:left w:w="108" w:type="dxa"/>
            </w:tcMar>
          </w:tcPr>
          <w:p w:rsidR="003D6DF3" w:rsidRPr="00C75C4C" w:rsidRDefault="003D6DF3" w:rsidP="00D73E98">
            <w:pPr>
              <w:pStyle w:val="Titolo2"/>
              <w:pageBreakBefore/>
              <w:jc w:val="both"/>
              <w:rPr>
                <w:i/>
                <w:sz w:val="20"/>
                <w:lang w:val="it-IT"/>
              </w:rPr>
            </w:pPr>
            <w:r w:rsidRPr="00C75C4C">
              <w:rPr>
                <w:i/>
                <w:sz w:val="20"/>
                <w:lang w:val="it-IT"/>
              </w:rPr>
              <w:t>Perdite e danni per eventi estranei all’attività imprenditoriale e relativi rimborsi</w:t>
            </w:r>
          </w:p>
        </w:tc>
        <w:tc>
          <w:tcPr>
            <w:tcW w:w="586" w:type="dxa"/>
            <w:gridSpan w:val="2"/>
            <w:tcMar>
              <w:left w:w="85" w:type="dxa"/>
              <w:right w:w="85" w:type="dxa"/>
            </w:tcMar>
            <w:vAlign w:val="center"/>
          </w:tcPr>
          <w:p w:rsidR="003D6DF3" w:rsidRPr="00B94B6C" w:rsidRDefault="003D6DF3" w:rsidP="00D73E98">
            <w:pPr>
              <w:pageBreakBefore/>
              <w:jc w:val="center"/>
              <w:rPr>
                <w:lang w:val="it-IT"/>
              </w:rPr>
            </w:pPr>
          </w:p>
        </w:tc>
        <w:tc>
          <w:tcPr>
            <w:tcW w:w="573" w:type="dxa"/>
            <w:tcMar>
              <w:left w:w="108" w:type="dxa"/>
            </w:tcMar>
            <w:vAlign w:val="center"/>
          </w:tcPr>
          <w:p w:rsidR="003D6DF3" w:rsidRPr="00B94B6C" w:rsidRDefault="003D6DF3" w:rsidP="00D73E98">
            <w:pPr>
              <w:pageBreakBefore/>
              <w:jc w:val="center"/>
              <w:rPr>
                <w:lang w:val="it-IT"/>
              </w:rPr>
            </w:pPr>
          </w:p>
        </w:tc>
        <w:tc>
          <w:tcPr>
            <w:tcW w:w="570" w:type="dxa"/>
            <w:tcMar>
              <w:left w:w="108" w:type="dxa"/>
            </w:tcMar>
            <w:vAlign w:val="center"/>
          </w:tcPr>
          <w:p w:rsidR="003D6DF3" w:rsidRPr="00B94B6C" w:rsidRDefault="003D6DF3" w:rsidP="00D73E98">
            <w:pPr>
              <w:pageBreakBefore/>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81</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85</w:t>
            </w:r>
          </w:p>
        </w:tc>
        <w:tc>
          <w:tcPr>
            <w:tcW w:w="7060" w:type="dxa"/>
            <w:tcMar>
              <w:left w:w="108" w:type="dxa"/>
            </w:tcMar>
          </w:tcPr>
          <w:p w:rsidR="003D6DF3" w:rsidRDefault="003D6DF3" w:rsidP="00D73E98">
            <w:pPr>
              <w:spacing w:line="230" w:lineRule="exact"/>
              <w:rPr>
                <w:lang w:val="it-IT"/>
              </w:rPr>
            </w:pPr>
            <w:r w:rsidRPr="001521B3">
              <w:rPr>
                <w:lang w:val="it-IT"/>
              </w:rPr>
              <w:t xml:space="preserve">Le immobilizzazioni materiali perdute per eventi estranei allo svolgimento della normale attività imprenditoriale sono considerate come dismesse e la sopravvenienza passiva che emerge da tale evento è rilevata </w:t>
            </w:r>
            <w:r w:rsidRPr="008537B6">
              <w:rPr>
                <w:lang w:val="it-IT"/>
              </w:rPr>
              <w:t>nella voce B14 “Oneri diversi di gestione”</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1A20C4" w:rsidTr="00D73E98">
        <w:trPr>
          <w:cantSplit/>
          <w:trHeight w:val="20"/>
        </w:trPr>
        <w:tc>
          <w:tcPr>
            <w:tcW w:w="680" w:type="dxa"/>
          </w:tcPr>
          <w:p w:rsidR="003D6DF3" w:rsidRPr="00987EB8" w:rsidRDefault="003D6DF3" w:rsidP="00D73E98">
            <w:pPr>
              <w:jc w:val="center"/>
              <w:rPr>
                <w:b/>
                <w:lang w:val="it-IT"/>
              </w:rPr>
            </w:pPr>
            <w:r>
              <w:rPr>
                <w:b/>
                <w:lang w:val="it-IT"/>
              </w:rPr>
              <w:t>82</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85</w:t>
            </w:r>
          </w:p>
        </w:tc>
        <w:tc>
          <w:tcPr>
            <w:tcW w:w="7060" w:type="dxa"/>
            <w:tcMar>
              <w:left w:w="108" w:type="dxa"/>
            </w:tcMar>
          </w:tcPr>
          <w:p w:rsidR="003D6DF3" w:rsidRPr="001521B3" w:rsidRDefault="003D6DF3" w:rsidP="00D73E98">
            <w:pPr>
              <w:spacing w:line="230" w:lineRule="exact"/>
              <w:rPr>
                <w:lang w:val="it-IT"/>
              </w:rPr>
            </w:pPr>
            <w:r w:rsidRPr="001521B3">
              <w:rPr>
                <w:lang w:val="it-IT"/>
              </w:rPr>
              <w:t xml:space="preserve">L’eventuale rimborso del danno da parte di terzi (ad esempio, il risarcimento del danno da parte di un assicuratore) è rilevato come sopravvenienza attiva </w:t>
            </w:r>
            <w:r w:rsidRPr="008537B6">
              <w:rPr>
                <w:lang w:val="it-IT"/>
              </w:rPr>
              <w:t>nella voce A5 “Altri ricavi e proventi”</w:t>
            </w:r>
            <w:r>
              <w:rPr>
                <w:lang w:val="it-IT"/>
              </w:rPr>
              <w:t>?</w:t>
            </w:r>
          </w:p>
        </w:tc>
        <w:tc>
          <w:tcPr>
            <w:tcW w:w="586" w:type="dxa"/>
            <w:gridSpan w:val="2"/>
            <w:tcMar>
              <w:left w:w="85" w:type="dxa"/>
              <w:right w:w="85" w:type="dxa"/>
            </w:tcMar>
            <w:vAlign w:val="center"/>
          </w:tcPr>
          <w:p w:rsidR="003D6DF3" w:rsidRPr="001A20C4"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1A20C4"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1A20C4"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1A20C4" w:rsidTr="00D73E98">
        <w:trPr>
          <w:cantSplit/>
          <w:trHeight w:val="20"/>
        </w:trPr>
        <w:tc>
          <w:tcPr>
            <w:tcW w:w="680" w:type="dxa"/>
          </w:tcPr>
          <w:p w:rsidR="003D6DF3" w:rsidRPr="00987EB8" w:rsidRDefault="003D6DF3" w:rsidP="00D73E98">
            <w:pPr>
              <w:jc w:val="center"/>
              <w:rPr>
                <w:b/>
                <w:lang w:val="it-IT"/>
              </w:rPr>
            </w:pPr>
            <w:r>
              <w:rPr>
                <w:b/>
                <w:lang w:val="it-IT"/>
              </w:rPr>
              <w:t>83</w:t>
            </w:r>
            <w:r w:rsidRPr="00987EB8">
              <w:rPr>
                <w:b/>
                <w:lang w:val="it-IT"/>
              </w:rPr>
              <w:t>)</w:t>
            </w:r>
          </w:p>
        </w:tc>
        <w:tc>
          <w:tcPr>
            <w:tcW w:w="851" w:type="dxa"/>
            <w:tcMar>
              <w:left w:w="108" w:type="dxa"/>
              <w:right w:w="0" w:type="dxa"/>
            </w:tcMar>
          </w:tcPr>
          <w:p w:rsidR="003D6DF3" w:rsidRPr="001A20C4" w:rsidRDefault="003D6DF3" w:rsidP="00D73E98">
            <w:pPr>
              <w:jc w:val="left"/>
              <w:rPr>
                <w:sz w:val="13"/>
                <w:szCs w:val="13"/>
                <w:lang w:val="it-IT"/>
              </w:rPr>
            </w:pPr>
            <w:r w:rsidRPr="008B53F2">
              <w:rPr>
                <w:sz w:val="13"/>
                <w:szCs w:val="13"/>
              </w:rPr>
              <w:t>OIC 16.</w:t>
            </w:r>
            <w:r>
              <w:rPr>
                <w:sz w:val="13"/>
                <w:szCs w:val="13"/>
              </w:rPr>
              <w:t>85</w:t>
            </w:r>
          </w:p>
        </w:tc>
        <w:tc>
          <w:tcPr>
            <w:tcW w:w="7060" w:type="dxa"/>
            <w:tcMar>
              <w:left w:w="108" w:type="dxa"/>
            </w:tcMar>
          </w:tcPr>
          <w:p w:rsidR="003D6DF3" w:rsidRPr="001521B3" w:rsidRDefault="003D6DF3" w:rsidP="00D73E98">
            <w:pPr>
              <w:spacing w:line="230" w:lineRule="exact"/>
              <w:rPr>
                <w:lang w:val="it-IT"/>
              </w:rPr>
            </w:pPr>
            <w:r w:rsidRPr="001521B3">
              <w:rPr>
                <w:lang w:val="it-IT"/>
              </w:rPr>
              <w:t xml:space="preserve">Se il terzo, a seguito dell’evento, reintegra il cespite perduto con un cespite similare o equivalente (allo stesso stato d’uso, di funzionalità, ecc.) nello stesso esercizio non è </w:t>
            </w:r>
            <w:r>
              <w:rPr>
                <w:lang w:val="it-IT"/>
              </w:rPr>
              <w:t>stata rilevata alcuna sopravvenienza?</w:t>
            </w:r>
          </w:p>
        </w:tc>
        <w:tc>
          <w:tcPr>
            <w:tcW w:w="586" w:type="dxa"/>
            <w:gridSpan w:val="2"/>
            <w:tcMar>
              <w:left w:w="85" w:type="dxa"/>
              <w:right w:w="85" w:type="dxa"/>
            </w:tcMar>
            <w:vAlign w:val="center"/>
          </w:tcPr>
          <w:p w:rsidR="003D6DF3" w:rsidRPr="001A20C4"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1A20C4"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1A20C4"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025372" w:rsidTr="00D73E98">
        <w:trPr>
          <w:cantSplit/>
          <w:trHeight w:val="20"/>
        </w:trPr>
        <w:tc>
          <w:tcPr>
            <w:tcW w:w="680" w:type="dxa"/>
          </w:tcPr>
          <w:p w:rsidR="003D6DF3" w:rsidRPr="00987EB8" w:rsidRDefault="003D6DF3" w:rsidP="00D73E98">
            <w:pPr>
              <w:jc w:val="center"/>
              <w:rPr>
                <w:b/>
                <w:lang w:val="it-IT"/>
              </w:rPr>
            </w:pPr>
            <w:r>
              <w:rPr>
                <w:b/>
                <w:lang w:val="it-IT"/>
              </w:rPr>
              <w:t>84</w:t>
            </w:r>
            <w:r w:rsidRPr="00987EB8">
              <w:rPr>
                <w:b/>
                <w:lang w:val="it-IT"/>
              </w:rPr>
              <w:t>)</w:t>
            </w:r>
          </w:p>
        </w:tc>
        <w:tc>
          <w:tcPr>
            <w:tcW w:w="851" w:type="dxa"/>
            <w:tcMar>
              <w:left w:w="108" w:type="dxa"/>
              <w:right w:w="0" w:type="dxa"/>
            </w:tcMar>
          </w:tcPr>
          <w:p w:rsidR="003D6DF3" w:rsidRPr="00025372" w:rsidRDefault="003D6DF3" w:rsidP="00D73E98">
            <w:pPr>
              <w:jc w:val="left"/>
              <w:rPr>
                <w:sz w:val="13"/>
                <w:szCs w:val="13"/>
                <w:lang w:val="it-IT"/>
              </w:rPr>
            </w:pPr>
            <w:r w:rsidRPr="008B53F2">
              <w:rPr>
                <w:sz w:val="13"/>
                <w:szCs w:val="13"/>
              </w:rPr>
              <w:t>OIC 16.</w:t>
            </w:r>
            <w:r>
              <w:rPr>
                <w:sz w:val="13"/>
                <w:szCs w:val="13"/>
              </w:rPr>
              <w:t>85</w:t>
            </w:r>
          </w:p>
        </w:tc>
        <w:tc>
          <w:tcPr>
            <w:tcW w:w="7060" w:type="dxa"/>
            <w:tcMar>
              <w:left w:w="108" w:type="dxa"/>
            </w:tcMar>
          </w:tcPr>
          <w:p w:rsidR="003D6DF3" w:rsidRPr="001521B3" w:rsidRDefault="003D6DF3" w:rsidP="00D73E98">
            <w:pPr>
              <w:spacing w:line="230" w:lineRule="exact"/>
              <w:rPr>
                <w:lang w:val="it-IT"/>
              </w:rPr>
            </w:pPr>
            <w:r w:rsidRPr="001521B3">
              <w:rPr>
                <w:lang w:val="it-IT"/>
              </w:rPr>
              <w:t>Se in seguito alla perdita di un’immobilizzazione si procede all’acquisto di una nuova immobilizzazione, essa viene contabilizzata nell’attivo adottando i principi</w:t>
            </w:r>
            <w:r>
              <w:rPr>
                <w:lang w:val="it-IT"/>
              </w:rPr>
              <w:t xml:space="preserve"> dettati dall’OIC 16?</w:t>
            </w:r>
          </w:p>
        </w:tc>
        <w:tc>
          <w:tcPr>
            <w:tcW w:w="586" w:type="dxa"/>
            <w:gridSpan w:val="2"/>
            <w:tcMar>
              <w:left w:w="85" w:type="dxa"/>
              <w:right w:w="85" w:type="dxa"/>
            </w:tcMar>
            <w:vAlign w:val="center"/>
          </w:tcPr>
          <w:p w:rsidR="003D6DF3" w:rsidRPr="00025372"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025372"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025372"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p>
        </w:tc>
        <w:tc>
          <w:tcPr>
            <w:tcW w:w="7060" w:type="dxa"/>
            <w:tcMar>
              <w:left w:w="108" w:type="dxa"/>
            </w:tcMar>
          </w:tcPr>
          <w:p w:rsidR="003D6DF3" w:rsidRPr="00C75C4C" w:rsidRDefault="003D6DF3" w:rsidP="00D73E98">
            <w:pPr>
              <w:pStyle w:val="Titolo2"/>
              <w:keepNext w:val="0"/>
              <w:jc w:val="both"/>
              <w:rPr>
                <w:i/>
                <w:sz w:val="20"/>
                <w:lang w:val="it-IT"/>
              </w:rPr>
            </w:pPr>
            <w:r w:rsidRPr="00C75C4C">
              <w:rPr>
                <w:i/>
                <w:sz w:val="20"/>
                <w:lang w:val="it-IT"/>
              </w:rPr>
              <w:t>Contributi pubblici commisurati al costo delle immobilizzazioni materiali (</w:t>
            </w:r>
            <w:r>
              <w:rPr>
                <w:i/>
                <w:sz w:val="20"/>
                <w:lang w:val="it-IT"/>
              </w:rPr>
              <w:t>c</w:t>
            </w:r>
            <w:r w:rsidRPr="00C75C4C">
              <w:rPr>
                <w:i/>
                <w:sz w:val="20"/>
                <w:lang w:val="it-IT"/>
              </w:rPr>
              <w:t>ontributi in conto impianti)</w:t>
            </w:r>
          </w:p>
        </w:tc>
        <w:tc>
          <w:tcPr>
            <w:tcW w:w="586" w:type="dxa"/>
            <w:gridSpan w:val="2"/>
            <w:tcMar>
              <w:left w:w="85" w:type="dxa"/>
              <w:right w:w="85" w:type="dxa"/>
            </w:tcMar>
            <w:vAlign w:val="center"/>
          </w:tcPr>
          <w:p w:rsidR="003D6DF3" w:rsidRPr="00B94B6C" w:rsidRDefault="003D6DF3" w:rsidP="00D73E98">
            <w:pPr>
              <w:jc w:val="center"/>
              <w:rPr>
                <w:lang w:val="it-IT"/>
              </w:rPr>
            </w:pPr>
          </w:p>
        </w:tc>
        <w:tc>
          <w:tcPr>
            <w:tcW w:w="573" w:type="dxa"/>
            <w:tcMar>
              <w:left w:w="108" w:type="dxa"/>
            </w:tcMar>
            <w:vAlign w:val="center"/>
          </w:tcPr>
          <w:p w:rsidR="003D6DF3" w:rsidRPr="00B94B6C" w:rsidRDefault="003D6DF3" w:rsidP="00D73E98">
            <w:pPr>
              <w:jc w:val="center"/>
              <w:rPr>
                <w:lang w:val="it-IT"/>
              </w:rPr>
            </w:pPr>
          </w:p>
        </w:tc>
        <w:tc>
          <w:tcPr>
            <w:tcW w:w="570" w:type="dxa"/>
            <w:tcMar>
              <w:left w:w="108" w:type="dxa"/>
            </w:tcMar>
            <w:vAlign w:val="center"/>
          </w:tcPr>
          <w:p w:rsidR="003D6DF3" w:rsidRPr="00B94B6C" w:rsidRDefault="003D6DF3" w:rsidP="00D73E98">
            <w:pPr>
              <w:jc w:val="center"/>
              <w:rPr>
                <w:lang w:val="it-IT"/>
              </w:rPr>
            </w:pPr>
          </w:p>
        </w:tc>
      </w:tr>
      <w:tr w:rsidR="003D6DF3" w:rsidRPr="00CC242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A0F36" w:rsidRDefault="003D6DF3" w:rsidP="00D73E98">
            <w:pPr>
              <w:pStyle w:val="PrincCont"/>
              <w:jc w:val="left"/>
              <w:rPr>
                <w:lang w:val="it-IT"/>
              </w:rPr>
            </w:pPr>
            <w:r w:rsidRPr="008B53F2">
              <w:t>OIC 16.</w:t>
            </w:r>
            <w:r>
              <w:t>86</w:t>
            </w:r>
          </w:p>
        </w:tc>
        <w:tc>
          <w:tcPr>
            <w:tcW w:w="7060" w:type="dxa"/>
            <w:tcMar>
              <w:left w:w="108" w:type="dxa"/>
            </w:tcMar>
          </w:tcPr>
          <w:p w:rsidR="003D6DF3" w:rsidRPr="004177DD" w:rsidRDefault="003D6DF3" w:rsidP="00D73E98">
            <w:pPr>
              <w:pStyle w:val="Commentiriquadro"/>
              <w:rPr>
                <w:lang w:eastAsia="it-IT"/>
              </w:rPr>
            </w:pPr>
            <w:r w:rsidRPr="005807E3">
              <w:rPr>
                <w:lang w:eastAsia="it-IT"/>
              </w:rPr>
              <w:t>I contributi in conto impianti sono somme erogate da un soggetto pubblico (Stato o enti pubblici) alla società per la realizzazione di iniziative dirette alla costruzione, riattivazione e ampliamento di immobilizzazioni materiali, commisurati al costo delle medesime. Sono contributi per i quali la società beneficiaria può essere vincolata a mantenere in uso le immobilizzazioni materiali cui essi si riferiscono per un determinato tempo, stabilito dalle norme che li concedono.</w:t>
            </w:r>
          </w:p>
        </w:tc>
        <w:tc>
          <w:tcPr>
            <w:tcW w:w="586" w:type="dxa"/>
            <w:gridSpan w:val="2"/>
            <w:tcMar>
              <w:left w:w="85" w:type="dxa"/>
              <w:right w:w="85" w:type="dxa"/>
            </w:tcMar>
            <w:vAlign w:val="center"/>
          </w:tcPr>
          <w:p w:rsidR="003D6DF3" w:rsidRPr="00216D43" w:rsidRDefault="003D6DF3" w:rsidP="00D73E98">
            <w:pPr>
              <w:jc w:val="center"/>
              <w:rPr>
                <w:lang w:val="it-IT"/>
              </w:rPr>
            </w:pPr>
          </w:p>
        </w:tc>
        <w:tc>
          <w:tcPr>
            <w:tcW w:w="573" w:type="dxa"/>
            <w:tcMar>
              <w:left w:w="108" w:type="dxa"/>
            </w:tcMar>
            <w:vAlign w:val="center"/>
          </w:tcPr>
          <w:p w:rsidR="003D6DF3" w:rsidRPr="00216D43" w:rsidRDefault="003D6DF3" w:rsidP="00D73E98">
            <w:pPr>
              <w:jc w:val="center"/>
              <w:rPr>
                <w:lang w:val="it-IT"/>
              </w:rPr>
            </w:pPr>
          </w:p>
        </w:tc>
        <w:tc>
          <w:tcPr>
            <w:tcW w:w="570" w:type="dxa"/>
            <w:tcMar>
              <w:left w:w="108" w:type="dxa"/>
            </w:tcMar>
            <w:vAlign w:val="center"/>
          </w:tcPr>
          <w:p w:rsidR="003D6DF3" w:rsidRPr="00216D43"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85</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87</w:t>
            </w:r>
          </w:p>
        </w:tc>
        <w:tc>
          <w:tcPr>
            <w:tcW w:w="7060" w:type="dxa"/>
            <w:tcMar>
              <w:left w:w="108" w:type="dxa"/>
            </w:tcMar>
          </w:tcPr>
          <w:p w:rsidR="003D6DF3" w:rsidRDefault="003D6DF3" w:rsidP="00D73E98">
            <w:pPr>
              <w:spacing w:line="230" w:lineRule="exact"/>
              <w:rPr>
                <w:lang w:val="it-IT"/>
              </w:rPr>
            </w:pPr>
            <w:r w:rsidRPr="005807E3">
              <w:rPr>
                <w:lang w:val="it-IT"/>
              </w:rPr>
              <w:t>I contributi in conto impianti sono rilevati nel momento in cui esiste una ragionevole certezza che le condizioni previste per il riconoscimento del contributo sono soddisfatte e che i contributi saranno erogati</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RDefault="003D6DF3" w:rsidP="00D73E98">
            <w:pPr>
              <w:jc w:val="center"/>
              <w:rPr>
                <w:b/>
                <w:lang w:val="it-IT"/>
              </w:rPr>
            </w:pPr>
            <w:r>
              <w:rPr>
                <w:b/>
                <w:lang w:val="it-IT"/>
              </w:rPr>
              <w:t>86</w:t>
            </w:r>
            <w:r w:rsidRPr="00987EB8">
              <w:rPr>
                <w:b/>
                <w:lang w:val="it-IT"/>
              </w:rPr>
              <w:t>)</w:t>
            </w:r>
          </w:p>
        </w:tc>
        <w:tc>
          <w:tcPr>
            <w:tcW w:w="851" w:type="dxa"/>
            <w:tcMar>
              <w:left w:w="108" w:type="dxa"/>
              <w:right w:w="0" w:type="dxa"/>
            </w:tcMar>
          </w:tcPr>
          <w:p w:rsidR="003D6DF3" w:rsidRDefault="003D6DF3" w:rsidP="00D73E98">
            <w:pPr>
              <w:pStyle w:val="PrincCont"/>
              <w:jc w:val="left"/>
              <w:rPr>
                <w:lang w:val="it-IT"/>
              </w:rPr>
            </w:pPr>
            <w:r w:rsidRPr="008B53F2">
              <w:t>OIC 16.</w:t>
            </w:r>
            <w:r>
              <w:t>88</w:t>
            </w:r>
          </w:p>
        </w:tc>
        <w:tc>
          <w:tcPr>
            <w:tcW w:w="7060" w:type="dxa"/>
            <w:tcMar>
              <w:left w:w="108" w:type="dxa"/>
            </w:tcMar>
          </w:tcPr>
          <w:p w:rsidR="003D6DF3" w:rsidRPr="00724246" w:rsidRDefault="003D6DF3" w:rsidP="00D73E98">
            <w:pPr>
              <w:pStyle w:val="Titolo3"/>
              <w:spacing w:line="230" w:lineRule="exact"/>
              <w:rPr>
                <w:b w:val="0"/>
                <w:i w:val="0"/>
                <w:lang w:val="it-IT"/>
              </w:rPr>
            </w:pPr>
            <w:r w:rsidRPr="00724246">
              <w:rPr>
                <w:b w:val="0"/>
                <w:i w:val="0"/>
                <w:lang w:val="it-IT"/>
              </w:rPr>
              <w:t>I contributi in conto impianti commisurati al costo delle immobilizzazioni materiali sono rilevati a conto economico con un criterio sistematico, gradualmente lungo la vita utile dei cespiti mediante uno dei due seguenti metodi:</w:t>
            </w:r>
          </w:p>
        </w:tc>
        <w:tc>
          <w:tcPr>
            <w:tcW w:w="586" w:type="dxa"/>
            <w:gridSpan w:val="2"/>
            <w:tcMar>
              <w:left w:w="85" w:type="dxa"/>
              <w:right w:w="85" w:type="dxa"/>
            </w:tcMar>
            <w:vAlign w:val="center"/>
          </w:tcPr>
          <w:p w:rsidR="003D6DF3" w:rsidRPr="00B94B6C" w:rsidRDefault="003D6DF3" w:rsidP="00D73E98">
            <w:pPr>
              <w:jc w:val="center"/>
              <w:rPr>
                <w:lang w:val="it-IT"/>
              </w:rPr>
            </w:pPr>
          </w:p>
        </w:tc>
        <w:tc>
          <w:tcPr>
            <w:tcW w:w="573" w:type="dxa"/>
            <w:tcMar>
              <w:left w:w="108" w:type="dxa"/>
            </w:tcMar>
            <w:vAlign w:val="center"/>
          </w:tcPr>
          <w:p w:rsidR="003D6DF3" w:rsidRPr="00B94B6C" w:rsidRDefault="003D6DF3" w:rsidP="00D73E98">
            <w:pPr>
              <w:jc w:val="center"/>
              <w:rPr>
                <w:lang w:val="it-IT"/>
              </w:rPr>
            </w:pPr>
          </w:p>
        </w:tc>
        <w:tc>
          <w:tcPr>
            <w:tcW w:w="570" w:type="dxa"/>
            <w:tcMar>
              <w:left w:w="108" w:type="dxa"/>
            </w:tcMar>
            <w:vAlign w:val="center"/>
          </w:tcPr>
          <w:p w:rsidR="003D6DF3" w:rsidRPr="00B94B6C"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52234D" w:rsidRDefault="003D6DF3" w:rsidP="00D73E98">
            <w:pPr>
              <w:jc w:val="left"/>
              <w:rPr>
                <w:sz w:val="13"/>
                <w:szCs w:val="13"/>
                <w:lang w:val="it-IT"/>
              </w:rPr>
            </w:pPr>
          </w:p>
        </w:tc>
        <w:tc>
          <w:tcPr>
            <w:tcW w:w="7060" w:type="dxa"/>
            <w:tcMar>
              <w:left w:w="108" w:type="dxa"/>
            </w:tcMar>
          </w:tcPr>
          <w:p w:rsidR="003D6DF3" w:rsidRPr="0052234D" w:rsidRDefault="003D6DF3" w:rsidP="004E27C2">
            <w:pPr>
              <w:pStyle w:val="Paragrafoelenco"/>
              <w:numPr>
                <w:ilvl w:val="0"/>
                <w:numId w:val="18"/>
              </w:numPr>
              <w:spacing w:line="230" w:lineRule="exact"/>
              <w:ind w:left="431" w:hanging="397"/>
              <w:rPr>
                <w:lang w:val="it-IT"/>
              </w:rPr>
            </w:pPr>
            <w:r w:rsidRPr="0052234D">
              <w:rPr>
                <w:lang w:val="it-IT"/>
              </w:rPr>
              <w:t>con il metodo indiretto: i contributi sono portati indirettamente a riduzione del costo in quanto imputati al conto economico nella voce A5 “altri ricavi e proventi”, e quindi rinviati per competenza agli esercizi successivi attraverso l’i</w:t>
            </w:r>
            <w:r>
              <w:rPr>
                <w:lang w:val="it-IT"/>
              </w:rPr>
              <w:t>scrizione di “Risconti passivi”</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B53F2" w:rsidRDefault="003D6DF3" w:rsidP="00D73E98">
            <w:pPr>
              <w:jc w:val="left"/>
              <w:rPr>
                <w:sz w:val="13"/>
                <w:szCs w:val="13"/>
              </w:rPr>
            </w:pPr>
          </w:p>
        </w:tc>
        <w:tc>
          <w:tcPr>
            <w:tcW w:w="7060" w:type="dxa"/>
            <w:tcMar>
              <w:left w:w="108" w:type="dxa"/>
            </w:tcMar>
          </w:tcPr>
          <w:p w:rsidR="003D6DF3" w:rsidRPr="0052234D" w:rsidRDefault="003D6DF3" w:rsidP="004E27C2">
            <w:pPr>
              <w:pStyle w:val="Paragrafoelenco"/>
              <w:numPr>
                <w:ilvl w:val="0"/>
                <w:numId w:val="18"/>
              </w:numPr>
              <w:spacing w:line="230" w:lineRule="exact"/>
              <w:ind w:left="431" w:hanging="397"/>
              <w:rPr>
                <w:lang w:val="it-IT"/>
              </w:rPr>
            </w:pPr>
            <w:r w:rsidRPr="0052234D">
              <w:rPr>
                <w:lang w:val="it-IT"/>
              </w:rPr>
              <w:t>con il metodo diretto: i contributi sono portati a riduzione del costo delle immobilizzazioni</w:t>
            </w:r>
            <w:r>
              <w:rPr>
                <w:lang w:val="it-IT"/>
              </w:rPr>
              <w:t xml:space="preserve"> immateriali cui si riferiscono?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B94B6C"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p>
        </w:tc>
        <w:tc>
          <w:tcPr>
            <w:tcW w:w="7060" w:type="dxa"/>
            <w:tcMar>
              <w:left w:w="108" w:type="dxa"/>
            </w:tcMar>
          </w:tcPr>
          <w:p w:rsidR="003D6DF3" w:rsidRPr="00B94B6C" w:rsidRDefault="003D6DF3" w:rsidP="00D73E98">
            <w:pPr>
              <w:pStyle w:val="Titolo2"/>
              <w:rPr>
                <w:lang w:val="it-IT"/>
              </w:rPr>
            </w:pPr>
            <w:r>
              <w:rPr>
                <w:lang w:val="it-IT"/>
              </w:rPr>
              <w:t>Nota Integrativa</w:t>
            </w:r>
          </w:p>
        </w:tc>
        <w:tc>
          <w:tcPr>
            <w:tcW w:w="586" w:type="dxa"/>
            <w:gridSpan w:val="2"/>
            <w:tcMar>
              <w:left w:w="85" w:type="dxa"/>
              <w:right w:w="85" w:type="dxa"/>
            </w:tcMar>
            <w:vAlign w:val="center"/>
          </w:tcPr>
          <w:p w:rsidR="003D6DF3" w:rsidRPr="00B94B6C" w:rsidRDefault="003D6DF3" w:rsidP="00D73E98">
            <w:pPr>
              <w:jc w:val="center"/>
              <w:rPr>
                <w:lang w:val="it-IT"/>
              </w:rPr>
            </w:pPr>
          </w:p>
        </w:tc>
        <w:tc>
          <w:tcPr>
            <w:tcW w:w="573" w:type="dxa"/>
            <w:tcMar>
              <w:left w:w="108" w:type="dxa"/>
            </w:tcMar>
            <w:vAlign w:val="center"/>
          </w:tcPr>
          <w:p w:rsidR="003D6DF3" w:rsidRPr="00B94B6C" w:rsidRDefault="003D6DF3" w:rsidP="00D73E98">
            <w:pPr>
              <w:jc w:val="center"/>
              <w:rPr>
                <w:lang w:val="it-IT"/>
              </w:rPr>
            </w:pPr>
          </w:p>
        </w:tc>
        <w:tc>
          <w:tcPr>
            <w:tcW w:w="570" w:type="dxa"/>
            <w:tcMar>
              <w:left w:w="108" w:type="dxa"/>
            </w:tcMar>
            <w:vAlign w:val="center"/>
          </w:tcPr>
          <w:p w:rsidR="003D6DF3" w:rsidRPr="00B94B6C" w:rsidRDefault="003D6DF3" w:rsidP="00D73E98">
            <w:pPr>
              <w:jc w:val="center"/>
              <w:rPr>
                <w:lang w:val="it-IT"/>
              </w:rPr>
            </w:pPr>
          </w:p>
        </w:tc>
      </w:tr>
      <w:tr w:rsidR="003D6DF3" w:rsidRPr="00CC242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p>
        </w:tc>
        <w:tc>
          <w:tcPr>
            <w:tcW w:w="7060" w:type="dxa"/>
            <w:tcMar>
              <w:left w:w="108" w:type="dxa"/>
            </w:tcMar>
          </w:tcPr>
          <w:p w:rsidR="003D6DF3" w:rsidRPr="00373AE9" w:rsidRDefault="003D6DF3" w:rsidP="00D73E98">
            <w:pPr>
              <w:pStyle w:val="Titolo2"/>
              <w:rPr>
                <w:i/>
                <w:lang w:val="it-IT"/>
              </w:rPr>
            </w:pPr>
            <w:r w:rsidRPr="00373AE9">
              <w:rPr>
                <w:i/>
                <w:sz w:val="20"/>
                <w:lang w:val="it-IT"/>
              </w:rPr>
              <w:t>Informazioni relative alle società che redigono il bilancio in forma ordinaria</w:t>
            </w:r>
          </w:p>
        </w:tc>
        <w:tc>
          <w:tcPr>
            <w:tcW w:w="586" w:type="dxa"/>
            <w:gridSpan w:val="2"/>
            <w:tcMar>
              <w:left w:w="85" w:type="dxa"/>
              <w:right w:w="85" w:type="dxa"/>
            </w:tcMar>
            <w:vAlign w:val="center"/>
          </w:tcPr>
          <w:p w:rsidR="003D6DF3" w:rsidRPr="00B94B6C" w:rsidRDefault="003D6DF3" w:rsidP="00D73E98">
            <w:pPr>
              <w:jc w:val="center"/>
              <w:rPr>
                <w:lang w:val="it-IT"/>
              </w:rPr>
            </w:pPr>
          </w:p>
        </w:tc>
        <w:tc>
          <w:tcPr>
            <w:tcW w:w="573" w:type="dxa"/>
            <w:tcMar>
              <w:left w:w="108" w:type="dxa"/>
            </w:tcMar>
            <w:vAlign w:val="center"/>
          </w:tcPr>
          <w:p w:rsidR="003D6DF3" w:rsidRPr="00B94B6C" w:rsidRDefault="003D6DF3" w:rsidP="00D73E98">
            <w:pPr>
              <w:jc w:val="center"/>
              <w:rPr>
                <w:lang w:val="it-IT"/>
              </w:rPr>
            </w:pPr>
          </w:p>
        </w:tc>
        <w:tc>
          <w:tcPr>
            <w:tcW w:w="570" w:type="dxa"/>
            <w:tcMar>
              <w:left w:w="108" w:type="dxa"/>
            </w:tcMar>
            <w:vAlign w:val="center"/>
          </w:tcPr>
          <w:p w:rsidR="003D6DF3" w:rsidRPr="00B94B6C" w:rsidRDefault="003D6DF3" w:rsidP="00D73E98">
            <w:pPr>
              <w:jc w:val="center"/>
              <w:rPr>
                <w:lang w:val="it-IT"/>
              </w:rPr>
            </w:pPr>
          </w:p>
        </w:tc>
      </w:tr>
      <w:tr w:rsidR="003D6DF3" w:rsidRPr="00EA46CB" w:rsidTr="00D73E98">
        <w:trPr>
          <w:cantSplit/>
          <w:trHeight w:val="20"/>
        </w:trPr>
        <w:tc>
          <w:tcPr>
            <w:tcW w:w="680" w:type="dxa"/>
          </w:tcPr>
          <w:p w:rsidR="003D6DF3" w:rsidRPr="00987EB8" w:rsidRDefault="003D6DF3" w:rsidP="00D73E98">
            <w:pPr>
              <w:jc w:val="center"/>
              <w:rPr>
                <w:b/>
                <w:lang w:val="it-IT"/>
              </w:rPr>
            </w:pPr>
            <w:r>
              <w:rPr>
                <w:b/>
                <w:lang w:val="it-IT"/>
              </w:rPr>
              <w:t>87</w:t>
            </w:r>
            <w:r w:rsidRPr="00987EB8">
              <w:rPr>
                <w:b/>
                <w:lang w:val="it-IT"/>
              </w:rPr>
              <w:t>)</w:t>
            </w:r>
          </w:p>
        </w:tc>
        <w:tc>
          <w:tcPr>
            <w:tcW w:w="851" w:type="dxa"/>
            <w:tcMar>
              <w:left w:w="108" w:type="dxa"/>
              <w:right w:w="0" w:type="dxa"/>
            </w:tcMar>
          </w:tcPr>
          <w:p w:rsidR="003D6DF3" w:rsidRPr="00B6227B" w:rsidRDefault="003D6DF3" w:rsidP="00D73E98">
            <w:pPr>
              <w:spacing w:line="240" w:lineRule="auto"/>
              <w:jc w:val="left"/>
              <w:rPr>
                <w:lang w:val="en-US"/>
              </w:rPr>
            </w:pPr>
            <w:r w:rsidRPr="00B6227B">
              <w:rPr>
                <w:sz w:val="13"/>
                <w:szCs w:val="13"/>
                <w:lang w:val="en-US"/>
              </w:rPr>
              <w:t>Art. 2427, c.1, n.1, CC</w:t>
            </w:r>
            <w:r>
              <w:rPr>
                <w:sz w:val="13"/>
                <w:szCs w:val="13"/>
                <w:lang w:val="en-US"/>
              </w:rPr>
              <w:t xml:space="preserve">       OIC 16.89</w:t>
            </w:r>
          </w:p>
        </w:tc>
        <w:tc>
          <w:tcPr>
            <w:tcW w:w="7060" w:type="dxa"/>
            <w:tcMar>
              <w:left w:w="108" w:type="dxa"/>
            </w:tcMar>
          </w:tcPr>
          <w:p w:rsidR="003D6DF3" w:rsidRPr="005B6B04" w:rsidRDefault="003D6DF3" w:rsidP="00D73E98">
            <w:pPr>
              <w:spacing w:line="230" w:lineRule="exact"/>
              <w:rPr>
                <w:lang w:val="it-IT"/>
              </w:rPr>
            </w:pPr>
            <w:r>
              <w:rPr>
                <w:lang w:val="it-IT"/>
              </w:rPr>
              <w:t>L</w:t>
            </w:r>
            <w:r w:rsidRPr="007129B9">
              <w:rPr>
                <w:lang w:val="it-IT"/>
              </w:rPr>
              <w:t xml:space="preserve">a </w:t>
            </w:r>
            <w:r>
              <w:rPr>
                <w:lang w:val="it-IT"/>
              </w:rPr>
              <w:t>Nota Integrativa</w:t>
            </w:r>
            <w:r w:rsidRPr="007129B9">
              <w:rPr>
                <w:lang w:val="it-IT"/>
              </w:rPr>
              <w:t xml:space="preserve"> indi</w:t>
            </w:r>
            <w:r>
              <w:rPr>
                <w:lang w:val="it-IT"/>
              </w:rPr>
              <w:t xml:space="preserve">ca </w:t>
            </w:r>
            <w:r w:rsidRPr="007129B9">
              <w:rPr>
                <w:lang w:val="it-IT"/>
              </w:rPr>
              <w:t>i criteri applicati nella valutazione delle voci di bilancio, nelle rettifiche di valore e nella conversione dei valori non espressi all’origine in moneta av</w:t>
            </w:r>
            <w:r>
              <w:rPr>
                <w:lang w:val="it-IT"/>
              </w:rPr>
              <w:t>ente corso legale nello Stato?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RDefault="003D6DF3" w:rsidP="00D73E98">
            <w:pPr>
              <w:jc w:val="center"/>
              <w:rPr>
                <w:b/>
                <w:lang w:val="it-IT"/>
              </w:rPr>
            </w:pPr>
            <w:r>
              <w:rPr>
                <w:b/>
                <w:lang w:val="it-IT"/>
              </w:rPr>
              <w:t>88</w:t>
            </w:r>
            <w:r w:rsidRPr="00987EB8">
              <w:rPr>
                <w:b/>
                <w:lang w:val="it-IT"/>
              </w:rPr>
              <w:t>)</w:t>
            </w:r>
          </w:p>
        </w:tc>
        <w:tc>
          <w:tcPr>
            <w:tcW w:w="851" w:type="dxa"/>
            <w:tcMar>
              <w:left w:w="108" w:type="dxa"/>
              <w:right w:w="0" w:type="dxa"/>
            </w:tcMar>
          </w:tcPr>
          <w:p w:rsidR="003D6DF3" w:rsidRPr="000D173F" w:rsidRDefault="003D6DF3" w:rsidP="00D73E98">
            <w:pPr>
              <w:spacing w:line="240" w:lineRule="auto"/>
              <w:jc w:val="left"/>
            </w:pPr>
            <w:r w:rsidRPr="000D173F">
              <w:rPr>
                <w:sz w:val="13"/>
                <w:szCs w:val="13"/>
              </w:rPr>
              <w:t>Art. 2427, c.1, n.2, CC</w:t>
            </w:r>
            <w:r>
              <w:rPr>
                <w:sz w:val="13"/>
                <w:szCs w:val="13"/>
              </w:rPr>
              <w:t xml:space="preserve">       </w:t>
            </w:r>
            <w:r w:rsidRPr="000D173F">
              <w:rPr>
                <w:sz w:val="13"/>
                <w:szCs w:val="13"/>
              </w:rPr>
              <w:t>OIC 16.89</w:t>
            </w:r>
          </w:p>
        </w:tc>
        <w:tc>
          <w:tcPr>
            <w:tcW w:w="7060" w:type="dxa"/>
            <w:tcMar>
              <w:left w:w="108" w:type="dxa"/>
            </w:tcMar>
          </w:tcPr>
          <w:p w:rsidR="003D6DF3" w:rsidRPr="005B6B04" w:rsidRDefault="003D6DF3" w:rsidP="00D73E98">
            <w:pPr>
              <w:spacing w:line="230" w:lineRule="exact"/>
              <w:rPr>
                <w:lang w:val="it-IT"/>
              </w:rPr>
            </w:pPr>
            <w:r>
              <w:rPr>
                <w:lang w:val="it-IT"/>
              </w:rPr>
              <w:t>L</w:t>
            </w:r>
            <w:r w:rsidRPr="007129B9">
              <w:rPr>
                <w:lang w:val="it-IT"/>
              </w:rPr>
              <w:t xml:space="preserve">a </w:t>
            </w:r>
            <w:r>
              <w:rPr>
                <w:lang w:val="it-IT"/>
              </w:rPr>
              <w:t>Nota Integrativa</w:t>
            </w:r>
            <w:r w:rsidRPr="007129B9">
              <w:rPr>
                <w:lang w:val="it-IT"/>
              </w:rPr>
              <w:t xml:space="preserve"> indi</w:t>
            </w:r>
            <w:r>
              <w:rPr>
                <w:lang w:val="it-IT"/>
              </w:rPr>
              <w:t>ca le seguenti informazioni relativamente alle immobilizzazioni materiali:</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jc w:val="center"/>
              <w:rPr>
                <w:lang w:val="it-IT"/>
              </w:rPr>
            </w:pPr>
          </w:p>
        </w:tc>
        <w:tc>
          <w:tcPr>
            <w:tcW w:w="570" w:type="dxa"/>
            <w:tcMar>
              <w:left w:w="108" w:type="dxa"/>
            </w:tcMar>
            <w:vAlign w:val="center"/>
          </w:tcPr>
          <w:p w:rsidR="003D6DF3" w:rsidRPr="00A32A16" w:rsidRDefault="003D6DF3" w:rsidP="00D73E98">
            <w:pPr>
              <w:jc w:val="center"/>
              <w:rPr>
                <w:lang w:val="it-IT"/>
              </w:rPr>
            </w:pPr>
          </w:p>
        </w:tc>
      </w:tr>
      <w:tr w:rsidR="003D6DF3" w:rsidRPr="00375500"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B6227B" w:rsidRDefault="003D6DF3" w:rsidP="00D73E98">
            <w:pPr>
              <w:spacing w:line="240" w:lineRule="auto"/>
              <w:jc w:val="left"/>
              <w:rPr>
                <w:sz w:val="13"/>
                <w:szCs w:val="13"/>
                <w:lang w:val="en-US"/>
              </w:rPr>
            </w:pPr>
            <w:r w:rsidRPr="00B6227B">
              <w:rPr>
                <w:sz w:val="13"/>
                <w:szCs w:val="13"/>
                <w:lang w:val="en-US"/>
              </w:rPr>
              <w:t>Art. 2427, c.1, n.1, CC</w:t>
            </w:r>
            <w:r>
              <w:rPr>
                <w:sz w:val="13"/>
                <w:szCs w:val="13"/>
                <w:lang w:val="en-US"/>
              </w:rPr>
              <w:t xml:space="preserve">       OIC 16.89</w:t>
            </w:r>
          </w:p>
        </w:tc>
        <w:tc>
          <w:tcPr>
            <w:tcW w:w="7060" w:type="dxa"/>
            <w:tcMar>
              <w:left w:w="108" w:type="dxa"/>
            </w:tcMar>
          </w:tcPr>
          <w:p w:rsidR="003D6DF3" w:rsidRPr="00373AE9" w:rsidRDefault="00A707D4" w:rsidP="00A707D4">
            <w:pPr>
              <w:pStyle w:val="rientrotrattinook"/>
              <w:numPr>
                <w:ilvl w:val="0"/>
                <w:numId w:val="0"/>
              </w:numPr>
              <w:ind w:left="460" w:hanging="284"/>
            </w:pPr>
            <w:r>
              <w:t>-</w:t>
            </w:r>
            <w:r>
              <w:tab/>
            </w:r>
            <w:r w:rsidR="003D6DF3" w:rsidRPr="001E1801">
              <w:t>“i criteri applicati nella valutazione delle voci del bilancio, nelle rettifiche di valore e nella conversione dei valori non espressi all'origine in moneta avente corso legale nello Stato”</w:t>
            </w:r>
          </w:p>
        </w:tc>
        <w:tc>
          <w:tcPr>
            <w:tcW w:w="586" w:type="dxa"/>
            <w:gridSpan w:val="2"/>
            <w:tcMar>
              <w:left w:w="85" w:type="dxa"/>
              <w:right w:w="85" w:type="dxa"/>
            </w:tcMar>
            <w:vAlign w:val="center"/>
          </w:tcPr>
          <w:p w:rsidR="003D6DF3" w:rsidRPr="00375500"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375500"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375500"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EA46C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B6227B" w:rsidRDefault="003D6DF3" w:rsidP="00D73E98">
            <w:pPr>
              <w:spacing w:line="240" w:lineRule="auto"/>
              <w:jc w:val="left"/>
              <w:rPr>
                <w:lang w:val="en-US"/>
              </w:rPr>
            </w:pPr>
            <w:r w:rsidRPr="00B6227B">
              <w:rPr>
                <w:sz w:val="13"/>
                <w:szCs w:val="13"/>
                <w:lang w:val="en-US"/>
              </w:rPr>
              <w:t>Art. 2427, c.1, n.</w:t>
            </w:r>
            <w:r>
              <w:rPr>
                <w:sz w:val="13"/>
                <w:szCs w:val="13"/>
                <w:lang w:val="en-US"/>
              </w:rPr>
              <w:t>2</w:t>
            </w:r>
            <w:r w:rsidRPr="00B6227B">
              <w:rPr>
                <w:sz w:val="13"/>
                <w:szCs w:val="13"/>
                <w:lang w:val="en-US"/>
              </w:rPr>
              <w:t>, CC</w:t>
            </w:r>
            <w:r>
              <w:rPr>
                <w:sz w:val="13"/>
                <w:szCs w:val="13"/>
                <w:lang w:val="en-US"/>
              </w:rPr>
              <w:t xml:space="preserve">        OIC 16.89</w:t>
            </w:r>
          </w:p>
        </w:tc>
        <w:tc>
          <w:tcPr>
            <w:tcW w:w="7060" w:type="dxa"/>
            <w:tcMar>
              <w:left w:w="108" w:type="dxa"/>
            </w:tcMar>
          </w:tcPr>
          <w:p w:rsidR="003D6DF3" w:rsidRPr="00373AE9" w:rsidRDefault="00A707D4" w:rsidP="00A707D4">
            <w:pPr>
              <w:pStyle w:val="rientrotrattinook"/>
              <w:numPr>
                <w:ilvl w:val="0"/>
                <w:numId w:val="0"/>
              </w:numPr>
              <w:ind w:left="460" w:hanging="284"/>
            </w:pPr>
            <w:r>
              <w:t>-</w:t>
            </w:r>
            <w:r>
              <w:tab/>
            </w:r>
            <w:r w:rsidR="003D6DF3" w:rsidRPr="00373AE9">
              <w:t>“i movimenti delle immobilizzazioni, specificando per ciascuna voce: il costo; le precedenti rivalutazioni, ammortamenti e svalutazioni; le acquisizioni, gli spostamenti da una ad altra voce, le alienazioni avvenuti nell'esercizio; le rivalutazioni, gli ammortamenti e le svalutazioni effettuati nell'esercizio; il totale delle rivalutazioni riguardanti le immobilizzazioni esistenti alla chiusura dell'eserci</w:t>
            </w:r>
            <w:r w:rsidR="003D6DF3">
              <w:t>zio”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EA46C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B6227B" w:rsidRDefault="003D6DF3" w:rsidP="00D73E98">
            <w:pPr>
              <w:spacing w:line="240" w:lineRule="auto"/>
              <w:jc w:val="left"/>
              <w:rPr>
                <w:lang w:val="en-US"/>
              </w:rPr>
            </w:pPr>
            <w:r w:rsidRPr="00B6227B">
              <w:rPr>
                <w:sz w:val="13"/>
                <w:szCs w:val="13"/>
                <w:lang w:val="en-US"/>
              </w:rPr>
              <w:t>Art. 2427, c.1, n.</w:t>
            </w:r>
            <w:r>
              <w:rPr>
                <w:sz w:val="13"/>
                <w:szCs w:val="13"/>
                <w:lang w:val="en-US"/>
              </w:rPr>
              <w:t>3 bis</w:t>
            </w:r>
            <w:r w:rsidRPr="00B6227B">
              <w:rPr>
                <w:sz w:val="13"/>
                <w:szCs w:val="13"/>
                <w:lang w:val="en-US"/>
              </w:rPr>
              <w:t>, CC</w:t>
            </w:r>
            <w:r>
              <w:rPr>
                <w:sz w:val="13"/>
                <w:szCs w:val="13"/>
                <w:lang w:val="en-US"/>
              </w:rPr>
              <w:t xml:space="preserve">  OIC 16.89</w:t>
            </w:r>
          </w:p>
        </w:tc>
        <w:tc>
          <w:tcPr>
            <w:tcW w:w="7060" w:type="dxa"/>
            <w:tcMar>
              <w:left w:w="108" w:type="dxa"/>
            </w:tcMar>
          </w:tcPr>
          <w:p w:rsidR="003D6DF3" w:rsidRPr="00373AE9" w:rsidRDefault="00A707D4" w:rsidP="00A707D4">
            <w:pPr>
              <w:pStyle w:val="rientrotrattinook"/>
              <w:numPr>
                <w:ilvl w:val="0"/>
                <w:numId w:val="0"/>
              </w:numPr>
              <w:ind w:left="460" w:hanging="284"/>
            </w:pPr>
            <w:r>
              <w:t>-</w:t>
            </w:r>
            <w:r>
              <w:tab/>
            </w:r>
            <w:r w:rsidR="003D6DF3">
              <w:t>“la misura e le motivazioni delle riduzioni di valore applicate alle immobilizzazioni materiali e immateriali, facendo a tal fine esplicito riferimento al loro concorso alla futura produzione di risultati economici, alla loro prevedibile durata utile e, per quanto rilevante, al loro valore di mercato, segnalando altresì le differenze rispetto a quelle operate negli esercizi precedenti ed evidenziando la loro influenza sui risultati economici dell’esercizio”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EA46C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0D173F" w:rsidRDefault="003D6DF3" w:rsidP="00D73E98">
            <w:pPr>
              <w:spacing w:line="240" w:lineRule="auto"/>
              <w:jc w:val="left"/>
            </w:pPr>
            <w:r w:rsidRPr="000D173F">
              <w:rPr>
                <w:sz w:val="13"/>
                <w:szCs w:val="13"/>
              </w:rPr>
              <w:t>Art. 2427, c.1, n.8, CC</w:t>
            </w:r>
            <w:r>
              <w:rPr>
                <w:sz w:val="13"/>
                <w:szCs w:val="13"/>
              </w:rPr>
              <w:t xml:space="preserve">       </w:t>
            </w:r>
            <w:r w:rsidRPr="000D173F">
              <w:rPr>
                <w:sz w:val="13"/>
                <w:szCs w:val="13"/>
              </w:rPr>
              <w:t>OIC 16.89</w:t>
            </w:r>
          </w:p>
        </w:tc>
        <w:tc>
          <w:tcPr>
            <w:tcW w:w="7060" w:type="dxa"/>
            <w:tcMar>
              <w:left w:w="108" w:type="dxa"/>
            </w:tcMar>
          </w:tcPr>
          <w:p w:rsidR="003D6DF3" w:rsidRPr="00373AE9" w:rsidRDefault="00A707D4" w:rsidP="00A707D4">
            <w:pPr>
              <w:pStyle w:val="rientrotrattinook"/>
              <w:numPr>
                <w:ilvl w:val="0"/>
                <w:numId w:val="0"/>
              </w:numPr>
              <w:ind w:left="460" w:hanging="284"/>
            </w:pPr>
            <w:r>
              <w:t>-</w:t>
            </w:r>
            <w:r>
              <w:tab/>
            </w:r>
            <w:r w:rsidR="003D6DF3">
              <w:t>“l'ammontare degli oneri finanziari imputati nell'esercizio ai valori iscritti nell'attivo dello stato patrimoniale, distintamente per ogni voce”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EA46C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0D173F" w:rsidRDefault="003D6DF3" w:rsidP="00D73E98">
            <w:pPr>
              <w:spacing w:line="240" w:lineRule="auto"/>
              <w:jc w:val="left"/>
            </w:pPr>
            <w:r w:rsidRPr="000D173F">
              <w:rPr>
                <w:sz w:val="13"/>
                <w:szCs w:val="13"/>
              </w:rPr>
              <w:t>Art. 2427, c.1, n.9, CC</w:t>
            </w:r>
            <w:r>
              <w:rPr>
                <w:sz w:val="13"/>
                <w:szCs w:val="13"/>
              </w:rPr>
              <w:t xml:space="preserve">       </w:t>
            </w:r>
            <w:r w:rsidRPr="000D173F">
              <w:rPr>
                <w:sz w:val="13"/>
                <w:szCs w:val="13"/>
              </w:rPr>
              <w:t>OIC 16.89</w:t>
            </w:r>
          </w:p>
        </w:tc>
        <w:tc>
          <w:tcPr>
            <w:tcW w:w="7060" w:type="dxa"/>
            <w:tcMar>
              <w:left w:w="108" w:type="dxa"/>
            </w:tcMar>
          </w:tcPr>
          <w:p w:rsidR="003D6DF3" w:rsidRPr="00373AE9" w:rsidRDefault="00A707D4" w:rsidP="00A707D4">
            <w:pPr>
              <w:pStyle w:val="rientrotrattinook"/>
              <w:numPr>
                <w:ilvl w:val="0"/>
                <w:numId w:val="0"/>
              </w:numPr>
              <w:ind w:left="460" w:hanging="284"/>
            </w:pPr>
            <w:r>
              <w:t>-</w:t>
            </w:r>
            <w:r>
              <w:tab/>
            </w:r>
            <w:r w:rsidR="003D6DF3">
              <w:t>“l’importo complessivo degli impegni, delle garanzie e delle passività potenziali non risultanti dallo stato patrimoniale, con indicazione della natura delle garanzie reali prestate”?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RDefault="003D6DF3" w:rsidP="00D73E98">
            <w:pPr>
              <w:pageBreakBefore/>
              <w:jc w:val="center"/>
              <w:rPr>
                <w:b/>
                <w:lang w:val="it-IT"/>
              </w:rPr>
            </w:pPr>
            <w:r>
              <w:rPr>
                <w:b/>
                <w:lang w:val="it-IT"/>
              </w:rPr>
              <w:t>89</w:t>
            </w:r>
            <w:r w:rsidRPr="00987EB8">
              <w:rPr>
                <w:b/>
                <w:lang w:val="it-IT"/>
              </w:rPr>
              <w:t>)</w:t>
            </w:r>
          </w:p>
        </w:tc>
        <w:tc>
          <w:tcPr>
            <w:tcW w:w="851" w:type="dxa"/>
            <w:tcMar>
              <w:left w:w="108" w:type="dxa"/>
              <w:right w:w="0" w:type="dxa"/>
            </w:tcMar>
          </w:tcPr>
          <w:p w:rsidR="003D6DF3" w:rsidRDefault="003D6DF3" w:rsidP="00D73E98">
            <w:pPr>
              <w:pageBreakBefore/>
              <w:jc w:val="left"/>
            </w:pPr>
            <w:r w:rsidRPr="00D733EC">
              <w:rPr>
                <w:sz w:val="13"/>
                <w:szCs w:val="13"/>
              </w:rPr>
              <w:t>OIC 16.</w:t>
            </w:r>
            <w:r>
              <w:rPr>
                <w:sz w:val="13"/>
                <w:szCs w:val="13"/>
              </w:rPr>
              <w:t>90</w:t>
            </w:r>
          </w:p>
        </w:tc>
        <w:tc>
          <w:tcPr>
            <w:tcW w:w="7060" w:type="dxa"/>
            <w:tcMar>
              <w:left w:w="108" w:type="dxa"/>
            </w:tcMar>
          </w:tcPr>
          <w:p w:rsidR="003D6DF3" w:rsidRPr="00150937" w:rsidRDefault="003D6DF3" w:rsidP="0031795A">
            <w:pPr>
              <w:pageBreakBefore/>
              <w:spacing w:line="230" w:lineRule="exact"/>
              <w:rPr>
                <w:lang w:val="it-IT"/>
              </w:rPr>
            </w:pPr>
            <w:r w:rsidRPr="007129B9">
              <w:rPr>
                <w:lang w:val="it-IT"/>
              </w:rPr>
              <w:t>Nel descrivere i criteri applicati alla valutazione delle immobilizzazioni materiali, la società indica:</w:t>
            </w:r>
          </w:p>
        </w:tc>
        <w:tc>
          <w:tcPr>
            <w:tcW w:w="586" w:type="dxa"/>
            <w:gridSpan w:val="2"/>
            <w:tcMar>
              <w:left w:w="85" w:type="dxa"/>
              <w:right w:w="85" w:type="dxa"/>
            </w:tcMar>
            <w:vAlign w:val="center"/>
          </w:tcPr>
          <w:p w:rsidR="003D6DF3" w:rsidRPr="00A32A16" w:rsidRDefault="003D6DF3" w:rsidP="00D73E98">
            <w:pPr>
              <w:pageBreakBefore/>
              <w:jc w:val="center"/>
              <w:rPr>
                <w:lang w:val="it-IT"/>
              </w:rPr>
            </w:pPr>
          </w:p>
        </w:tc>
        <w:tc>
          <w:tcPr>
            <w:tcW w:w="573" w:type="dxa"/>
            <w:tcMar>
              <w:left w:w="108" w:type="dxa"/>
            </w:tcMar>
            <w:vAlign w:val="center"/>
          </w:tcPr>
          <w:p w:rsidR="003D6DF3" w:rsidRPr="00A32A16" w:rsidRDefault="003D6DF3" w:rsidP="00D73E98">
            <w:pPr>
              <w:pageBreakBefore/>
              <w:jc w:val="center"/>
              <w:rPr>
                <w:lang w:val="it-IT"/>
              </w:rPr>
            </w:pPr>
          </w:p>
        </w:tc>
        <w:tc>
          <w:tcPr>
            <w:tcW w:w="570" w:type="dxa"/>
            <w:tcMar>
              <w:left w:w="108" w:type="dxa"/>
            </w:tcMar>
            <w:vAlign w:val="center"/>
          </w:tcPr>
          <w:p w:rsidR="003D6DF3" w:rsidRPr="00A32A16" w:rsidRDefault="003D6DF3" w:rsidP="00D73E98">
            <w:pPr>
              <w:pageBreakBefore/>
              <w:jc w:val="center"/>
              <w:rPr>
                <w:lang w:val="it-IT"/>
              </w:rPr>
            </w:pPr>
          </w:p>
        </w:tc>
      </w:tr>
      <w:tr w:rsidR="003D6DF3" w:rsidRPr="00150937"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A95A6D" w:rsidRDefault="003D6DF3" w:rsidP="00D73E98">
            <w:pPr>
              <w:jc w:val="left"/>
              <w:rPr>
                <w:sz w:val="13"/>
                <w:szCs w:val="13"/>
                <w:lang w:val="it-IT"/>
              </w:rPr>
            </w:pPr>
          </w:p>
        </w:tc>
        <w:tc>
          <w:tcPr>
            <w:tcW w:w="7060" w:type="dxa"/>
            <w:tcMar>
              <w:left w:w="108" w:type="dxa"/>
            </w:tcMar>
          </w:tcPr>
          <w:p w:rsidR="003D6DF3" w:rsidRPr="00150937" w:rsidRDefault="00A707D4" w:rsidP="0031795A">
            <w:pPr>
              <w:pStyle w:val="rientrotrattinook"/>
              <w:numPr>
                <w:ilvl w:val="0"/>
                <w:numId w:val="0"/>
              </w:numPr>
              <w:spacing w:line="230" w:lineRule="exact"/>
              <w:ind w:left="443" w:hanging="284"/>
            </w:pPr>
            <w:r>
              <w:t>-</w:t>
            </w:r>
            <w:r>
              <w:tab/>
            </w:r>
            <w:r w:rsidR="003D6DF3" w:rsidRPr="00150937">
              <w:t>il metodo e i coefficienti utilizzati nel determinare la quota di ammortamento dell’esercizio per le varie categorie di cespiti o le diverse componenti del bene principale o</w:t>
            </w:r>
            <w:r w:rsidR="003D6DF3">
              <w:t>ggetto di ammortamento separato</w:t>
            </w:r>
          </w:p>
        </w:tc>
        <w:tc>
          <w:tcPr>
            <w:tcW w:w="586" w:type="dxa"/>
            <w:gridSpan w:val="2"/>
            <w:tcMar>
              <w:left w:w="85" w:type="dxa"/>
              <w:right w:w="85"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150937"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150937" w:rsidRDefault="003D6DF3" w:rsidP="00D73E98">
            <w:pPr>
              <w:jc w:val="left"/>
              <w:rPr>
                <w:sz w:val="13"/>
                <w:szCs w:val="13"/>
                <w:lang w:val="it-IT"/>
              </w:rPr>
            </w:pPr>
          </w:p>
        </w:tc>
        <w:tc>
          <w:tcPr>
            <w:tcW w:w="7060" w:type="dxa"/>
            <w:tcMar>
              <w:left w:w="108" w:type="dxa"/>
            </w:tcMar>
          </w:tcPr>
          <w:p w:rsidR="003D6DF3" w:rsidRPr="00150937" w:rsidRDefault="00A707D4" w:rsidP="0031795A">
            <w:pPr>
              <w:pStyle w:val="rientrotrattinook"/>
              <w:numPr>
                <w:ilvl w:val="0"/>
                <w:numId w:val="0"/>
              </w:numPr>
              <w:spacing w:line="230" w:lineRule="exact"/>
              <w:ind w:left="443" w:hanging="284"/>
            </w:pPr>
            <w:r>
              <w:t>-</w:t>
            </w:r>
            <w:r>
              <w:tab/>
            </w:r>
            <w:r w:rsidR="003D6DF3" w:rsidRPr="007129B9">
              <w:t>le modalità di determinazione della quota di costi generali di fabbricazione eventualmente oggetto di capitalizzazione</w:t>
            </w:r>
          </w:p>
        </w:tc>
        <w:tc>
          <w:tcPr>
            <w:tcW w:w="586" w:type="dxa"/>
            <w:gridSpan w:val="2"/>
            <w:tcMar>
              <w:left w:w="85" w:type="dxa"/>
              <w:right w:w="85"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150937"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150937" w:rsidRDefault="003D6DF3" w:rsidP="00D73E98">
            <w:pPr>
              <w:jc w:val="left"/>
              <w:rPr>
                <w:sz w:val="13"/>
                <w:szCs w:val="13"/>
                <w:lang w:val="it-IT"/>
              </w:rPr>
            </w:pPr>
          </w:p>
        </w:tc>
        <w:tc>
          <w:tcPr>
            <w:tcW w:w="7060" w:type="dxa"/>
            <w:tcMar>
              <w:left w:w="108" w:type="dxa"/>
            </w:tcMar>
          </w:tcPr>
          <w:p w:rsidR="003D6DF3" w:rsidRPr="00150937" w:rsidRDefault="00A707D4" w:rsidP="0031795A">
            <w:pPr>
              <w:pStyle w:val="rientrotrattinook"/>
              <w:numPr>
                <w:ilvl w:val="0"/>
                <w:numId w:val="0"/>
              </w:numPr>
              <w:spacing w:line="230" w:lineRule="exact"/>
              <w:ind w:left="443" w:hanging="284"/>
            </w:pPr>
            <w:r>
              <w:t>-</w:t>
            </w:r>
            <w:r>
              <w:tab/>
            </w:r>
            <w:r w:rsidR="003D6DF3" w:rsidRPr="007129B9">
              <w:t xml:space="preserve">il criterio adottato per effettuare l’eventuale rivalutazione, </w:t>
            </w:r>
            <w:r w:rsidR="003D6DF3">
              <w:t>nonché la legge che l’ha determinata, l’importo della rivalutazione, al lordo ed al netto degli ammortamenti, e l’effetto sul patrimonio netto</w:t>
            </w:r>
          </w:p>
        </w:tc>
        <w:tc>
          <w:tcPr>
            <w:tcW w:w="586" w:type="dxa"/>
            <w:gridSpan w:val="2"/>
            <w:tcMar>
              <w:left w:w="85" w:type="dxa"/>
              <w:right w:w="85"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150937"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150937" w:rsidRDefault="003D6DF3" w:rsidP="00D73E98">
            <w:pPr>
              <w:jc w:val="left"/>
              <w:rPr>
                <w:sz w:val="13"/>
                <w:szCs w:val="13"/>
                <w:lang w:val="it-IT"/>
              </w:rPr>
            </w:pPr>
          </w:p>
        </w:tc>
        <w:tc>
          <w:tcPr>
            <w:tcW w:w="7060" w:type="dxa"/>
            <w:tcMar>
              <w:left w:w="108" w:type="dxa"/>
            </w:tcMar>
          </w:tcPr>
          <w:p w:rsidR="003D6DF3" w:rsidRPr="00150937" w:rsidRDefault="00A707D4" w:rsidP="0031795A">
            <w:pPr>
              <w:pStyle w:val="rientrotrattinook"/>
              <w:numPr>
                <w:ilvl w:val="0"/>
                <w:numId w:val="0"/>
              </w:numPr>
              <w:spacing w:line="230" w:lineRule="exact"/>
              <w:ind w:left="443" w:hanging="284"/>
            </w:pPr>
            <w:r>
              <w:t>-</w:t>
            </w:r>
            <w:r>
              <w:tab/>
            </w:r>
            <w:r w:rsidR="003D6DF3">
              <w:t>i criteri di valutazione dei ces</w:t>
            </w:r>
            <w:r w:rsidR="003D6DF3" w:rsidRPr="007129B9">
              <w:t>piti non usati destinati all’alienazione, o temporaneamente non usati, ma destinati ad usi futuri</w:t>
            </w:r>
          </w:p>
        </w:tc>
        <w:tc>
          <w:tcPr>
            <w:tcW w:w="586" w:type="dxa"/>
            <w:gridSpan w:val="2"/>
            <w:tcMar>
              <w:left w:w="85" w:type="dxa"/>
              <w:right w:w="85"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150937"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150937" w:rsidRDefault="003D6DF3" w:rsidP="00D73E98">
            <w:pPr>
              <w:jc w:val="left"/>
              <w:rPr>
                <w:sz w:val="13"/>
                <w:szCs w:val="13"/>
                <w:lang w:val="it-IT"/>
              </w:rPr>
            </w:pPr>
          </w:p>
        </w:tc>
        <w:tc>
          <w:tcPr>
            <w:tcW w:w="7060" w:type="dxa"/>
            <w:tcMar>
              <w:left w:w="108" w:type="dxa"/>
            </w:tcMar>
          </w:tcPr>
          <w:p w:rsidR="003D6DF3" w:rsidRPr="00150937" w:rsidRDefault="00A707D4" w:rsidP="0031795A">
            <w:pPr>
              <w:pStyle w:val="rientrotrattinook"/>
              <w:numPr>
                <w:ilvl w:val="0"/>
                <w:numId w:val="0"/>
              </w:numPr>
              <w:spacing w:line="230" w:lineRule="exact"/>
              <w:ind w:left="443" w:hanging="284"/>
            </w:pPr>
            <w:r>
              <w:t>-</w:t>
            </w:r>
            <w:r>
              <w:tab/>
            </w:r>
            <w:r w:rsidR="003D6DF3" w:rsidRPr="007129B9">
              <w:t>le modalità di determinazione del valore delle immobilizzazioni ricevute a titolo gratuito o a titolo di permuta</w:t>
            </w:r>
          </w:p>
        </w:tc>
        <w:tc>
          <w:tcPr>
            <w:tcW w:w="586" w:type="dxa"/>
            <w:gridSpan w:val="2"/>
            <w:tcMar>
              <w:left w:w="85" w:type="dxa"/>
              <w:right w:w="85"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150937"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150937" w:rsidRDefault="003D6DF3" w:rsidP="00D73E98">
            <w:pPr>
              <w:jc w:val="left"/>
              <w:rPr>
                <w:sz w:val="13"/>
                <w:szCs w:val="13"/>
                <w:lang w:val="it-IT"/>
              </w:rPr>
            </w:pPr>
          </w:p>
        </w:tc>
        <w:tc>
          <w:tcPr>
            <w:tcW w:w="7060" w:type="dxa"/>
            <w:tcMar>
              <w:left w:w="108" w:type="dxa"/>
            </w:tcMar>
          </w:tcPr>
          <w:p w:rsidR="003D6DF3" w:rsidRPr="00150937" w:rsidRDefault="00A707D4" w:rsidP="0031795A">
            <w:pPr>
              <w:pStyle w:val="rientrotrattinook"/>
              <w:numPr>
                <w:ilvl w:val="0"/>
                <w:numId w:val="0"/>
              </w:numPr>
              <w:spacing w:line="230" w:lineRule="exact"/>
              <w:ind w:left="443" w:hanging="284"/>
            </w:pPr>
            <w:r>
              <w:t>-</w:t>
            </w:r>
            <w:r>
              <w:tab/>
            </w:r>
            <w:r w:rsidR="003D6DF3" w:rsidRPr="00150937">
              <w:t>il metodo di contabilizzazione dei contributi ricevuti (a riduzione del costo dell’immobilizzazione o a risconto)?</w:t>
            </w:r>
          </w:p>
        </w:tc>
        <w:tc>
          <w:tcPr>
            <w:tcW w:w="586" w:type="dxa"/>
            <w:gridSpan w:val="2"/>
            <w:tcMar>
              <w:left w:w="85" w:type="dxa"/>
              <w:right w:w="85"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RDefault="003D6DF3" w:rsidP="00D73E98">
            <w:pPr>
              <w:jc w:val="center"/>
              <w:rPr>
                <w:b/>
                <w:lang w:val="it-IT"/>
              </w:rPr>
            </w:pPr>
            <w:r>
              <w:rPr>
                <w:b/>
                <w:lang w:val="it-IT"/>
              </w:rPr>
              <w:t>90</w:t>
            </w:r>
            <w:r w:rsidRPr="00987EB8">
              <w:rPr>
                <w:b/>
                <w:lang w:val="it-IT"/>
              </w:rPr>
              <w:t>)</w:t>
            </w:r>
          </w:p>
        </w:tc>
        <w:tc>
          <w:tcPr>
            <w:tcW w:w="851" w:type="dxa"/>
            <w:tcMar>
              <w:left w:w="108" w:type="dxa"/>
              <w:right w:w="0" w:type="dxa"/>
            </w:tcMar>
          </w:tcPr>
          <w:p w:rsidR="003D6DF3" w:rsidRDefault="003D6DF3" w:rsidP="00D73E98">
            <w:pPr>
              <w:jc w:val="left"/>
            </w:pPr>
            <w:r w:rsidRPr="00D733EC">
              <w:rPr>
                <w:sz w:val="13"/>
                <w:szCs w:val="13"/>
              </w:rPr>
              <w:t>OIC 16.</w:t>
            </w:r>
            <w:r>
              <w:rPr>
                <w:sz w:val="13"/>
                <w:szCs w:val="13"/>
              </w:rPr>
              <w:t>91</w:t>
            </w:r>
          </w:p>
        </w:tc>
        <w:tc>
          <w:tcPr>
            <w:tcW w:w="7060" w:type="dxa"/>
            <w:tcMar>
              <w:left w:w="108" w:type="dxa"/>
            </w:tcMar>
          </w:tcPr>
          <w:p w:rsidR="003D6DF3" w:rsidRPr="0081642F" w:rsidRDefault="003D6DF3" w:rsidP="0031795A">
            <w:pPr>
              <w:spacing w:line="230" w:lineRule="exact"/>
              <w:rPr>
                <w:lang w:val="it-IT"/>
              </w:rPr>
            </w:pPr>
            <w:r w:rsidRPr="00AD642B">
              <w:rPr>
                <w:lang w:val="it-IT"/>
              </w:rPr>
              <w:t>Nella rendicontazione delle movimentazioni delle immobilizzazioni materiali si fornisce evidenza</w:t>
            </w:r>
            <w:r>
              <w:rPr>
                <w:lang w:val="it-IT"/>
              </w:rPr>
              <w:t xml:space="preserve">; </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jc w:val="center"/>
              <w:rPr>
                <w:lang w:val="it-IT"/>
              </w:rPr>
            </w:pPr>
          </w:p>
        </w:tc>
        <w:tc>
          <w:tcPr>
            <w:tcW w:w="570" w:type="dxa"/>
            <w:tcMar>
              <w:left w:w="108" w:type="dxa"/>
            </w:tcMar>
            <w:vAlign w:val="center"/>
          </w:tcPr>
          <w:p w:rsidR="003D6DF3" w:rsidRPr="00A32A16" w:rsidRDefault="003D6DF3" w:rsidP="00D73E98">
            <w:pPr>
              <w:jc w:val="center"/>
              <w:rPr>
                <w:lang w:val="it-IT"/>
              </w:rPr>
            </w:pPr>
          </w:p>
        </w:tc>
      </w:tr>
      <w:tr w:rsidR="003D6DF3" w:rsidRPr="00EA46C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6E0FCA" w:rsidRDefault="003D6DF3" w:rsidP="00D73E98">
            <w:pPr>
              <w:jc w:val="left"/>
              <w:rPr>
                <w:sz w:val="13"/>
                <w:szCs w:val="13"/>
                <w:lang w:val="it-IT"/>
              </w:rPr>
            </w:pPr>
          </w:p>
        </w:tc>
        <w:tc>
          <w:tcPr>
            <w:tcW w:w="7060" w:type="dxa"/>
            <w:tcMar>
              <w:left w:w="108" w:type="dxa"/>
            </w:tcMar>
          </w:tcPr>
          <w:p w:rsidR="003D6DF3" w:rsidRPr="00AD642B" w:rsidRDefault="00A707D4" w:rsidP="0031795A">
            <w:pPr>
              <w:pStyle w:val="rientrotrattinook"/>
              <w:numPr>
                <w:ilvl w:val="0"/>
                <w:numId w:val="0"/>
              </w:numPr>
              <w:spacing w:line="230" w:lineRule="exact"/>
              <w:ind w:left="460" w:hanging="284"/>
            </w:pPr>
            <w:r>
              <w:t>-</w:t>
            </w:r>
            <w:r>
              <w:tab/>
            </w:r>
            <w:r w:rsidR="003D6DF3" w:rsidRPr="00AD642B">
              <w:t>del costo originario e degli ammortamenti accumulati dei beni completamente ammortizzati ma ancora in uso</w:t>
            </w:r>
            <w:r w:rsidR="003D6DF3">
              <w:t>;</w:t>
            </w:r>
          </w:p>
        </w:tc>
        <w:tc>
          <w:tcPr>
            <w:tcW w:w="586" w:type="dxa"/>
            <w:gridSpan w:val="2"/>
            <w:tcMar>
              <w:left w:w="85" w:type="dxa"/>
              <w:right w:w="85"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EA46C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D733EC" w:rsidRDefault="003D6DF3" w:rsidP="00D73E98">
            <w:pPr>
              <w:jc w:val="left"/>
              <w:rPr>
                <w:sz w:val="13"/>
                <w:szCs w:val="13"/>
              </w:rPr>
            </w:pPr>
          </w:p>
        </w:tc>
        <w:tc>
          <w:tcPr>
            <w:tcW w:w="7060" w:type="dxa"/>
            <w:tcMar>
              <w:left w:w="108" w:type="dxa"/>
            </w:tcMar>
          </w:tcPr>
          <w:p w:rsidR="003D6DF3" w:rsidRPr="00AD642B" w:rsidRDefault="00A707D4" w:rsidP="0031795A">
            <w:pPr>
              <w:pStyle w:val="rientrotrattinook"/>
              <w:numPr>
                <w:ilvl w:val="0"/>
                <w:numId w:val="0"/>
              </w:numPr>
              <w:spacing w:line="230" w:lineRule="exact"/>
              <w:ind w:left="460" w:hanging="284"/>
            </w:pPr>
            <w:r>
              <w:t>-</w:t>
            </w:r>
            <w:r>
              <w:tab/>
            </w:r>
            <w:r w:rsidR="003D6DF3">
              <w:t>separata</w:t>
            </w:r>
            <w:r w:rsidR="003D6DF3" w:rsidRPr="00AD642B">
              <w:t xml:space="preserve"> evidenza delle movimentazioni relative alle immobilizzazioni acquisite a titolo gratuito</w:t>
            </w:r>
            <w:r w:rsidR="003D6DF3">
              <w:t xml:space="preserve"> o a titolo di permuta</w:t>
            </w:r>
            <w:r w:rsidR="003D6DF3" w:rsidRPr="00AD642B">
              <w:t>, con i relativi effetti sul bilancio</w:t>
            </w:r>
            <w:r w:rsidR="003D6DF3">
              <w:t>?</w:t>
            </w:r>
          </w:p>
        </w:tc>
        <w:tc>
          <w:tcPr>
            <w:tcW w:w="586" w:type="dxa"/>
            <w:gridSpan w:val="2"/>
            <w:tcMar>
              <w:left w:w="85" w:type="dxa"/>
              <w:right w:w="85"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EA46CB" w:rsidTr="00D73E98">
        <w:trPr>
          <w:cantSplit/>
          <w:trHeight w:val="20"/>
        </w:trPr>
        <w:tc>
          <w:tcPr>
            <w:tcW w:w="680" w:type="dxa"/>
          </w:tcPr>
          <w:p w:rsidR="003D6DF3" w:rsidRPr="00987EB8" w:rsidRDefault="003D6DF3" w:rsidP="00D73E98">
            <w:pPr>
              <w:jc w:val="center"/>
              <w:rPr>
                <w:b/>
                <w:lang w:val="it-IT"/>
              </w:rPr>
            </w:pPr>
            <w:r>
              <w:rPr>
                <w:b/>
                <w:lang w:val="it-IT"/>
              </w:rPr>
              <w:t>91</w:t>
            </w:r>
            <w:r w:rsidRPr="00987EB8">
              <w:rPr>
                <w:b/>
                <w:lang w:val="it-IT"/>
              </w:rPr>
              <w:t>)</w:t>
            </w:r>
          </w:p>
        </w:tc>
        <w:tc>
          <w:tcPr>
            <w:tcW w:w="851" w:type="dxa"/>
            <w:tcMar>
              <w:left w:w="108" w:type="dxa"/>
              <w:right w:w="0" w:type="dxa"/>
            </w:tcMar>
          </w:tcPr>
          <w:p w:rsidR="003D6DF3" w:rsidRDefault="003D6DF3" w:rsidP="00D73E98">
            <w:pPr>
              <w:jc w:val="left"/>
            </w:pPr>
            <w:r w:rsidRPr="00D733EC">
              <w:rPr>
                <w:sz w:val="13"/>
                <w:szCs w:val="13"/>
              </w:rPr>
              <w:t>OIC 16.</w:t>
            </w:r>
            <w:r>
              <w:rPr>
                <w:sz w:val="13"/>
                <w:szCs w:val="13"/>
              </w:rPr>
              <w:t>91</w:t>
            </w:r>
          </w:p>
        </w:tc>
        <w:tc>
          <w:tcPr>
            <w:tcW w:w="7060" w:type="dxa"/>
            <w:tcMar>
              <w:left w:w="108" w:type="dxa"/>
            </w:tcMar>
          </w:tcPr>
          <w:p w:rsidR="003D6DF3" w:rsidRPr="0081642F" w:rsidRDefault="003D6DF3" w:rsidP="0031795A">
            <w:pPr>
              <w:spacing w:line="230" w:lineRule="exact"/>
              <w:rPr>
                <w:lang w:val="it-IT"/>
              </w:rPr>
            </w:pPr>
            <w:r w:rsidRPr="00AD642B">
              <w:rPr>
                <w:lang w:val="it-IT"/>
              </w:rPr>
              <w:t>Nel caso la società abbia ricevuto contributi e li abbia contabilizzati a riduzione del costo dell’immobilizzazione si indicano nelle movimentazioni delle immobilizzazioni il costo al lordo d</w:t>
            </w:r>
            <w:r>
              <w:rPr>
                <w:lang w:val="it-IT"/>
              </w:rPr>
              <w:t>el contributo e il contributo?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RDefault="003D6DF3" w:rsidP="00D73E98">
            <w:pPr>
              <w:jc w:val="center"/>
              <w:rPr>
                <w:b/>
                <w:lang w:val="it-IT"/>
              </w:rPr>
            </w:pPr>
            <w:r>
              <w:rPr>
                <w:b/>
                <w:lang w:val="it-IT"/>
              </w:rPr>
              <w:t>92</w:t>
            </w:r>
            <w:r w:rsidRPr="00987EB8">
              <w:rPr>
                <w:b/>
                <w:lang w:val="it-IT"/>
              </w:rPr>
              <w:t>)</w:t>
            </w:r>
          </w:p>
        </w:tc>
        <w:tc>
          <w:tcPr>
            <w:tcW w:w="851" w:type="dxa"/>
            <w:tcMar>
              <w:left w:w="108" w:type="dxa"/>
              <w:right w:w="0" w:type="dxa"/>
            </w:tcMar>
          </w:tcPr>
          <w:p w:rsidR="003D6DF3" w:rsidRDefault="003D6DF3" w:rsidP="00D73E98">
            <w:pPr>
              <w:jc w:val="left"/>
            </w:pPr>
            <w:r w:rsidRPr="00D733EC">
              <w:rPr>
                <w:sz w:val="13"/>
                <w:szCs w:val="13"/>
              </w:rPr>
              <w:t>OIC 16.</w:t>
            </w:r>
            <w:r>
              <w:rPr>
                <w:sz w:val="13"/>
                <w:szCs w:val="13"/>
              </w:rPr>
              <w:t>92</w:t>
            </w:r>
          </w:p>
        </w:tc>
        <w:tc>
          <w:tcPr>
            <w:tcW w:w="7060" w:type="dxa"/>
            <w:tcMar>
              <w:left w:w="108" w:type="dxa"/>
            </w:tcMar>
          </w:tcPr>
          <w:p w:rsidR="003D6DF3" w:rsidRPr="00FD6FC9" w:rsidRDefault="003D6DF3" w:rsidP="0031795A">
            <w:pPr>
              <w:spacing w:line="230" w:lineRule="exact"/>
              <w:rPr>
                <w:lang w:val="it-IT"/>
              </w:rPr>
            </w:pPr>
            <w:r>
              <w:rPr>
                <w:lang w:val="it-IT"/>
              </w:rPr>
              <w:t>N</w:t>
            </w:r>
            <w:r w:rsidRPr="009C0C92">
              <w:rPr>
                <w:lang w:val="it-IT"/>
              </w:rPr>
              <w:t xml:space="preserve">ella </w:t>
            </w:r>
            <w:r>
              <w:rPr>
                <w:lang w:val="it-IT"/>
              </w:rPr>
              <w:t>Nota Integrativa</w:t>
            </w:r>
            <w:r w:rsidRPr="009C0C92">
              <w:rPr>
                <w:lang w:val="it-IT"/>
              </w:rPr>
              <w:t xml:space="preserve"> risult</w:t>
            </w:r>
            <w:r>
              <w:rPr>
                <w:lang w:val="it-IT"/>
              </w:rPr>
              <w:t>a</w:t>
            </w:r>
            <w:r w:rsidRPr="009C0C92">
              <w:rPr>
                <w:lang w:val="it-IT"/>
              </w:rPr>
              <w:t>no rispettivamente:</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jc w:val="center"/>
              <w:rPr>
                <w:lang w:val="it-IT"/>
              </w:rPr>
            </w:pPr>
          </w:p>
        </w:tc>
        <w:tc>
          <w:tcPr>
            <w:tcW w:w="570" w:type="dxa"/>
            <w:tcMar>
              <w:left w:w="108" w:type="dxa"/>
            </w:tcMar>
            <w:vAlign w:val="center"/>
          </w:tcPr>
          <w:p w:rsidR="003D6DF3" w:rsidRPr="00A32A16" w:rsidRDefault="003D6DF3" w:rsidP="00D73E98">
            <w:pPr>
              <w:jc w:val="center"/>
              <w:rPr>
                <w:lang w:val="it-IT"/>
              </w:rPr>
            </w:pPr>
          </w:p>
        </w:tc>
      </w:tr>
      <w:tr w:rsidR="003D6DF3" w:rsidRPr="00FD6FC9"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FD6FC9" w:rsidRDefault="003D6DF3" w:rsidP="00D73E98">
            <w:pPr>
              <w:jc w:val="left"/>
              <w:rPr>
                <w:sz w:val="13"/>
                <w:szCs w:val="13"/>
                <w:lang w:val="it-IT"/>
              </w:rPr>
            </w:pPr>
          </w:p>
        </w:tc>
        <w:tc>
          <w:tcPr>
            <w:tcW w:w="7060" w:type="dxa"/>
            <w:tcMar>
              <w:left w:w="108" w:type="dxa"/>
            </w:tcMar>
          </w:tcPr>
          <w:p w:rsidR="003D6DF3" w:rsidRPr="00494D7F" w:rsidRDefault="00A707D4" w:rsidP="0031795A">
            <w:pPr>
              <w:pStyle w:val="rientrotrattinook"/>
              <w:numPr>
                <w:ilvl w:val="0"/>
                <w:numId w:val="0"/>
              </w:numPr>
              <w:spacing w:line="230" w:lineRule="exact"/>
              <w:ind w:left="460" w:hanging="284"/>
            </w:pPr>
            <w:r>
              <w:t>-</w:t>
            </w:r>
            <w:r>
              <w:tab/>
            </w:r>
            <w:r w:rsidR="003D6DF3">
              <w:t>i</w:t>
            </w:r>
            <w:r w:rsidR="003D6DF3" w:rsidRPr="00494D7F">
              <w:t>n caso di importi rilevanti, l’ammontare cumulativo degli oneri finanziari capitalizzati ne</w:t>
            </w:r>
            <w:r w:rsidR="003D6DF3">
              <w:t>l valore delle immobilizzazioni</w:t>
            </w:r>
          </w:p>
        </w:tc>
        <w:tc>
          <w:tcPr>
            <w:tcW w:w="586" w:type="dxa"/>
            <w:gridSpan w:val="2"/>
            <w:tcMar>
              <w:left w:w="85" w:type="dxa"/>
              <w:right w:w="85" w:type="dxa"/>
            </w:tcMar>
            <w:vAlign w:val="center"/>
          </w:tcPr>
          <w:p w:rsidR="003D6DF3" w:rsidRPr="00FD6FC9"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FD6FC9"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FD6FC9"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FD6FC9"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FD6FC9" w:rsidRDefault="003D6DF3" w:rsidP="00D73E98">
            <w:pPr>
              <w:jc w:val="left"/>
              <w:rPr>
                <w:sz w:val="13"/>
                <w:szCs w:val="13"/>
                <w:lang w:val="it-IT"/>
              </w:rPr>
            </w:pPr>
          </w:p>
        </w:tc>
        <w:tc>
          <w:tcPr>
            <w:tcW w:w="7060" w:type="dxa"/>
            <w:tcMar>
              <w:left w:w="108" w:type="dxa"/>
            </w:tcMar>
          </w:tcPr>
          <w:p w:rsidR="003D6DF3" w:rsidRDefault="00A707D4" w:rsidP="0031795A">
            <w:pPr>
              <w:pStyle w:val="rientrotrattinook"/>
              <w:numPr>
                <w:ilvl w:val="0"/>
                <w:numId w:val="0"/>
              </w:numPr>
              <w:spacing w:line="230" w:lineRule="exact"/>
              <w:ind w:left="460" w:hanging="284"/>
            </w:pPr>
            <w:r>
              <w:t>-</w:t>
            </w:r>
            <w:r>
              <w:tab/>
            </w:r>
            <w:r w:rsidR="003D6DF3">
              <w:t>g</w:t>
            </w:r>
            <w:r w:rsidR="003D6DF3" w:rsidRPr="009C0C92">
              <w:t>li eventuali gravami esistenti sulle immobilizzazioni (ipoteche, privilegi, pegni) nonché delle restrizioni o dei vincoli al libero uso dei cespiti in virtù de</w:t>
            </w:r>
            <w:r w:rsidR="003D6DF3">
              <w:t>i contributi pubblici ricevuti?</w:t>
            </w:r>
          </w:p>
        </w:tc>
        <w:tc>
          <w:tcPr>
            <w:tcW w:w="586" w:type="dxa"/>
            <w:gridSpan w:val="2"/>
            <w:tcMar>
              <w:left w:w="85" w:type="dxa"/>
              <w:right w:w="85" w:type="dxa"/>
            </w:tcMar>
            <w:vAlign w:val="center"/>
          </w:tcPr>
          <w:p w:rsidR="003D6DF3" w:rsidRPr="00FD6FC9"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FD6FC9"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FD6FC9"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EA46CB" w:rsidTr="00D73E98">
        <w:trPr>
          <w:cantSplit/>
          <w:trHeight w:val="20"/>
        </w:trPr>
        <w:tc>
          <w:tcPr>
            <w:tcW w:w="680" w:type="dxa"/>
          </w:tcPr>
          <w:p w:rsidR="003D6DF3" w:rsidRPr="00987EB8" w:rsidRDefault="003D6DF3" w:rsidP="00D73E98">
            <w:pPr>
              <w:jc w:val="center"/>
              <w:rPr>
                <w:b/>
                <w:lang w:val="it-IT"/>
              </w:rPr>
            </w:pPr>
            <w:r>
              <w:rPr>
                <w:b/>
                <w:lang w:val="it-IT"/>
              </w:rPr>
              <w:t>93</w:t>
            </w:r>
            <w:r w:rsidRPr="00987EB8">
              <w:rPr>
                <w:b/>
                <w:lang w:val="it-IT"/>
              </w:rPr>
              <w:t>)</w:t>
            </w:r>
          </w:p>
        </w:tc>
        <w:tc>
          <w:tcPr>
            <w:tcW w:w="851" w:type="dxa"/>
            <w:tcMar>
              <w:left w:w="108" w:type="dxa"/>
              <w:right w:w="0" w:type="dxa"/>
            </w:tcMar>
          </w:tcPr>
          <w:p w:rsidR="003D6DF3" w:rsidRPr="000F77FA" w:rsidRDefault="003D6DF3" w:rsidP="00D73E98">
            <w:pPr>
              <w:jc w:val="left"/>
              <w:rPr>
                <w:lang w:val="it-IT"/>
              </w:rPr>
            </w:pPr>
            <w:r>
              <w:rPr>
                <w:sz w:val="13"/>
                <w:szCs w:val="13"/>
                <w:lang w:val="it-IT"/>
              </w:rPr>
              <w:t>OIC 16.92</w:t>
            </w:r>
          </w:p>
        </w:tc>
        <w:tc>
          <w:tcPr>
            <w:tcW w:w="7060" w:type="dxa"/>
            <w:tcMar>
              <w:left w:w="108" w:type="dxa"/>
            </w:tcMar>
          </w:tcPr>
          <w:p w:rsidR="003D6DF3" w:rsidRPr="0081642F" w:rsidRDefault="003D6DF3" w:rsidP="0031795A">
            <w:pPr>
              <w:pStyle w:val="rientrotrattinook"/>
              <w:numPr>
                <w:ilvl w:val="0"/>
                <w:numId w:val="0"/>
              </w:numPr>
              <w:spacing w:line="230" w:lineRule="exact"/>
            </w:pPr>
            <w:r w:rsidRPr="009C0C92">
              <w:t xml:space="preserve">Se le clausole di concessione del contributo indicano che l’inosservanza delle clausole che prevedono restrizioni o vincoli comporta la possibilità per l’ente erogatore del richiamo del contributo, tale fatto </w:t>
            </w:r>
            <w:r>
              <w:t>è chiaramente indicato?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A0F36" w:rsidRDefault="003D6DF3" w:rsidP="00D73E98">
            <w:pPr>
              <w:pStyle w:val="PrincCont"/>
              <w:jc w:val="left"/>
              <w:rPr>
                <w:lang w:val="it-IT"/>
              </w:rPr>
            </w:pPr>
            <w:r w:rsidRPr="008B53F2">
              <w:t>OIC 16.</w:t>
            </w:r>
            <w:r>
              <w:t>93</w:t>
            </w:r>
          </w:p>
        </w:tc>
        <w:tc>
          <w:tcPr>
            <w:tcW w:w="7060" w:type="dxa"/>
            <w:tcMar>
              <w:left w:w="108" w:type="dxa"/>
            </w:tcMar>
          </w:tcPr>
          <w:p w:rsidR="003D6DF3" w:rsidRPr="004177DD" w:rsidRDefault="003D6DF3" w:rsidP="0031795A">
            <w:pPr>
              <w:pStyle w:val="Commentiriquadro"/>
              <w:rPr>
                <w:lang w:eastAsia="it-IT"/>
              </w:rPr>
            </w:pPr>
            <w:r>
              <w:rPr>
                <w:lang w:eastAsia="it-IT"/>
              </w:rPr>
              <w:t>L’articolo 2423, comma 4,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Esempi di applicazione del principio generale della rilevanza sono rappresentati dall’iscrizione in bilancio ad un valore costante delle attrezzature industriali e commerciali, qualora siano costantemente rinnovate e complessivamente di scarsa rilevanza rispetto all’attivo di bilancio e quando non si hanno variazioni sensibili nell’entità, valore e composizione di tali immobilizzazioni materiali, o l’utilizzo ai fini dell’ammortamento della metà dell’aliquota normale per i cespiti acquistati nell’anno, se la quota d’ammortamento così ottenuta non si discosta significativamente dalla quota calcolata a partire dal momento in cui il cespite è disponibile e pronto per l’uso.</w:t>
            </w:r>
          </w:p>
        </w:tc>
        <w:tc>
          <w:tcPr>
            <w:tcW w:w="586" w:type="dxa"/>
            <w:gridSpan w:val="2"/>
            <w:tcMar>
              <w:left w:w="85" w:type="dxa"/>
              <w:right w:w="85" w:type="dxa"/>
            </w:tcMar>
            <w:vAlign w:val="center"/>
          </w:tcPr>
          <w:p w:rsidR="003D6DF3" w:rsidRPr="00216D43" w:rsidRDefault="003D6DF3" w:rsidP="00D73E98">
            <w:pPr>
              <w:jc w:val="center"/>
              <w:rPr>
                <w:lang w:val="it-IT"/>
              </w:rPr>
            </w:pPr>
          </w:p>
        </w:tc>
        <w:tc>
          <w:tcPr>
            <w:tcW w:w="573" w:type="dxa"/>
            <w:tcMar>
              <w:left w:w="108" w:type="dxa"/>
            </w:tcMar>
            <w:vAlign w:val="center"/>
          </w:tcPr>
          <w:p w:rsidR="003D6DF3" w:rsidRPr="00216D43" w:rsidRDefault="003D6DF3" w:rsidP="00D73E98">
            <w:pPr>
              <w:jc w:val="center"/>
              <w:rPr>
                <w:lang w:val="it-IT"/>
              </w:rPr>
            </w:pPr>
          </w:p>
        </w:tc>
        <w:tc>
          <w:tcPr>
            <w:tcW w:w="570" w:type="dxa"/>
            <w:tcMar>
              <w:left w:w="108" w:type="dxa"/>
            </w:tcMar>
            <w:vAlign w:val="center"/>
          </w:tcPr>
          <w:p w:rsidR="003D6DF3" w:rsidRPr="00216D43" w:rsidRDefault="003D6DF3" w:rsidP="00D73E98">
            <w:pPr>
              <w:jc w:val="center"/>
              <w:rPr>
                <w:lang w:val="it-IT"/>
              </w:rPr>
            </w:pPr>
          </w:p>
        </w:tc>
      </w:tr>
      <w:tr w:rsidR="003D6DF3" w:rsidRPr="00EA46CB" w:rsidTr="00D73E98">
        <w:trPr>
          <w:cantSplit/>
          <w:trHeight w:val="20"/>
        </w:trPr>
        <w:tc>
          <w:tcPr>
            <w:tcW w:w="680" w:type="dxa"/>
          </w:tcPr>
          <w:p w:rsidR="003D6DF3" w:rsidRPr="00987EB8" w:rsidRDefault="003D6DF3" w:rsidP="00D73E98">
            <w:pPr>
              <w:jc w:val="center"/>
              <w:rPr>
                <w:b/>
                <w:lang w:val="it-IT"/>
              </w:rPr>
            </w:pPr>
            <w:r>
              <w:rPr>
                <w:b/>
                <w:lang w:val="it-IT"/>
              </w:rPr>
              <w:t>94</w:t>
            </w:r>
            <w:r w:rsidRPr="00987EB8">
              <w:rPr>
                <w:b/>
                <w:lang w:val="it-IT"/>
              </w:rPr>
              <w:t>)</w:t>
            </w:r>
          </w:p>
        </w:tc>
        <w:tc>
          <w:tcPr>
            <w:tcW w:w="851" w:type="dxa"/>
            <w:tcMar>
              <w:left w:w="108" w:type="dxa"/>
              <w:right w:w="0" w:type="dxa"/>
            </w:tcMar>
          </w:tcPr>
          <w:p w:rsidR="003D6DF3" w:rsidRPr="00815F88" w:rsidRDefault="003D6DF3" w:rsidP="00D73E98">
            <w:pPr>
              <w:pStyle w:val="PrincCont"/>
              <w:jc w:val="left"/>
            </w:pPr>
            <w:r w:rsidRPr="008B53F2">
              <w:t>OIC 16.</w:t>
            </w:r>
            <w:r>
              <w:t>93</w:t>
            </w:r>
          </w:p>
        </w:tc>
        <w:tc>
          <w:tcPr>
            <w:tcW w:w="7060" w:type="dxa"/>
            <w:tcMar>
              <w:left w:w="108" w:type="dxa"/>
            </w:tcMar>
          </w:tcPr>
          <w:p w:rsidR="003D6DF3" w:rsidRPr="0081642F" w:rsidRDefault="003D6DF3" w:rsidP="0031795A">
            <w:pPr>
              <w:spacing w:line="230" w:lineRule="exact"/>
              <w:rPr>
                <w:lang w:val="it-IT"/>
              </w:rPr>
            </w:pPr>
            <w:r>
              <w:rPr>
                <w:lang w:val="it-IT"/>
              </w:rPr>
              <w:t>La</w:t>
            </w:r>
            <w:r w:rsidRPr="00A6393F">
              <w:rPr>
                <w:lang w:val="it-IT"/>
              </w:rPr>
              <w:t xml:space="preserve"> società illustra nella </w:t>
            </w:r>
            <w:r>
              <w:rPr>
                <w:lang w:val="it-IT"/>
              </w:rPr>
              <w:t>Nota Integrativa</w:t>
            </w:r>
            <w:r w:rsidRPr="00A6393F">
              <w:rPr>
                <w:lang w:val="it-IT"/>
              </w:rPr>
              <w:t xml:space="preserve"> i criteri con i quali hanno dato attuazione alla disposizione</w:t>
            </w:r>
            <w:r>
              <w:rPr>
                <w:lang w:val="it-IT"/>
              </w:rPr>
              <w:t xml:space="preserve"> dell’</w:t>
            </w:r>
            <w:r w:rsidRPr="00A6393F">
              <w:rPr>
                <w:lang w:val="it-IT"/>
              </w:rPr>
              <w:t>articolo 2423, comma 4, codice civile</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EA46CB" w:rsidTr="00D73E98">
        <w:trPr>
          <w:cantSplit/>
          <w:trHeight w:val="20"/>
        </w:trPr>
        <w:tc>
          <w:tcPr>
            <w:tcW w:w="680" w:type="dxa"/>
          </w:tcPr>
          <w:p w:rsidR="003D6DF3" w:rsidRPr="00987EB8" w:rsidRDefault="003D6DF3" w:rsidP="00D73E98">
            <w:pPr>
              <w:jc w:val="center"/>
              <w:rPr>
                <w:b/>
                <w:lang w:val="it-IT"/>
              </w:rPr>
            </w:pPr>
            <w:r>
              <w:rPr>
                <w:b/>
                <w:lang w:val="it-IT"/>
              </w:rPr>
              <w:t>95</w:t>
            </w:r>
            <w:r w:rsidRPr="00987EB8">
              <w:rPr>
                <w:b/>
                <w:lang w:val="it-IT"/>
              </w:rPr>
              <w:t>)</w:t>
            </w:r>
          </w:p>
        </w:tc>
        <w:tc>
          <w:tcPr>
            <w:tcW w:w="851" w:type="dxa"/>
            <w:tcMar>
              <w:left w:w="108" w:type="dxa"/>
              <w:right w:w="0" w:type="dxa"/>
            </w:tcMar>
          </w:tcPr>
          <w:p w:rsidR="003D6DF3" w:rsidRPr="00815F88" w:rsidRDefault="003D6DF3" w:rsidP="0031795A">
            <w:pPr>
              <w:pStyle w:val="PrincCont"/>
              <w:jc w:val="left"/>
            </w:pPr>
            <w:r>
              <w:t>Art.</w:t>
            </w:r>
            <w:r w:rsidRPr="001A461C">
              <w:t xml:space="preserve"> 2426, </w:t>
            </w:r>
            <w:r>
              <w:t>c.1, n.2, CC</w:t>
            </w:r>
            <w:r w:rsidR="0031795A">
              <w:t xml:space="preserve">      </w:t>
            </w:r>
            <w:r w:rsidRPr="00D733EC">
              <w:t>OIC 16.</w:t>
            </w:r>
            <w:r>
              <w:t>94</w:t>
            </w:r>
          </w:p>
        </w:tc>
        <w:tc>
          <w:tcPr>
            <w:tcW w:w="7060" w:type="dxa"/>
            <w:tcMar>
              <w:left w:w="108" w:type="dxa"/>
            </w:tcMar>
          </w:tcPr>
          <w:p w:rsidR="003D6DF3" w:rsidRPr="0081642F" w:rsidRDefault="003D6DF3" w:rsidP="0031795A">
            <w:pPr>
              <w:spacing w:line="230" w:lineRule="exact"/>
              <w:rPr>
                <w:lang w:val="it-IT"/>
              </w:rPr>
            </w:pPr>
            <w:r>
              <w:rPr>
                <w:lang w:val="it-IT"/>
              </w:rPr>
              <w:t>Sono adeguatamente motivate</w:t>
            </w:r>
            <w:r w:rsidRPr="009C0C92">
              <w:rPr>
                <w:lang w:val="it-IT"/>
              </w:rPr>
              <w:t xml:space="preserve"> </w:t>
            </w:r>
            <w:r>
              <w:rPr>
                <w:lang w:val="it-IT"/>
              </w:rPr>
              <w:t>e</w:t>
            </w:r>
            <w:r w:rsidRPr="009C0C92">
              <w:rPr>
                <w:lang w:val="it-IT"/>
              </w:rPr>
              <w:t xml:space="preserve">ventuali modifiche dei criteri di ammortamento e dei coefficienti applicati </w:t>
            </w:r>
            <w:r>
              <w:rPr>
                <w:lang w:val="it-IT"/>
              </w:rPr>
              <w:t>e, s</w:t>
            </w:r>
            <w:r w:rsidRPr="009C0C92">
              <w:rPr>
                <w:lang w:val="it-IT"/>
              </w:rPr>
              <w:t xml:space="preserve">e rilevanti, </w:t>
            </w:r>
            <w:r>
              <w:rPr>
                <w:lang w:val="it-IT"/>
              </w:rPr>
              <w:t xml:space="preserve">sono indicati </w:t>
            </w:r>
            <w:r w:rsidRPr="009C0C92">
              <w:rPr>
                <w:lang w:val="it-IT"/>
              </w:rPr>
              <w:t>gli effetti</w:t>
            </w:r>
            <w:r>
              <w:rPr>
                <w:lang w:val="it-IT"/>
              </w:rPr>
              <w:t xml:space="preserve"> sul bilancio di tali modifiche?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p>
        </w:tc>
        <w:tc>
          <w:tcPr>
            <w:tcW w:w="7060" w:type="dxa"/>
            <w:tcMar>
              <w:left w:w="108" w:type="dxa"/>
            </w:tcMar>
          </w:tcPr>
          <w:p w:rsidR="003D6DF3" w:rsidRPr="00373AE9" w:rsidRDefault="003D6DF3" w:rsidP="00D73E98">
            <w:pPr>
              <w:pStyle w:val="Titolo2"/>
              <w:rPr>
                <w:i/>
                <w:lang w:val="it-IT"/>
              </w:rPr>
            </w:pPr>
            <w:r w:rsidRPr="001E1801">
              <w:rPr>
                <w:i/>
                <w:sz w:val="20"/>
                <w:lang w:val="it-IT"/>
              </w:rPr>
              <w:t xml:space="preserve">Informazioni relative alle società che redigono il bilancio in forma abbreviata </w:t>
            </w:r>
          </w:p>
        </w:tc>
        <w:tc>
          <w:tcPr>
            <w:tcW w:w="586" w:type="dxa"/>
            <w:gridSpan w:val="2"/>
            <w:tcMar>
              <w:left w:w="85" w:type="dxa"/>
              <w:right w:w="85" w:type="dxa"/>
            </w:tcMar>
            <w:vAlign w:val="center"/>
          </w:tcPr>
          <w:p w:rsidR="003D6DF3" w:rsidRPr="00B94B6C" w:rsidRDefault="003D6DF3" w:rsidP="00D73E98">
            <w:pPr>
              <w:jc w:val="center"/>
              <w:rPr>
                <w:lang w:val="it-IT"/>
              </w:rPr>
            </w:pPr>
          </w:p>
        </w:tc>
        <w:tc>
          <w:tcPr>
            <w:tcW w:w="573" w:type="dxa"/>
            <w:tcMar>
              <w:left w:w="108" w:type="dxa"/>
            </w:tcMar>
            <w:vAlign w:val="center"/>
          </w:tcPr>
          <w:p w:rsidR="003D6DF3" w:rsidRPr="00B94B6C" w:rsidRDefault="003D6DF3" w:rsidP="00D73E98">
            <w:pPr>
              <w:jc w:val="center"/>
              <w:rPr>
                <w:lang w:val="it-IT"/>
              </w:rPr>
            </w:pPr>
          </w:p>
        </w:tc>
        <w:tc>
          <w:tcPr>
            <w:tcW w:w="570" w:type="dxa"/>
            <w:tcMar>
              <w:left w:w="108" w:type="dxa"/>
            </w:tcMar>
            <w:vAlign w:val="center"/>
          </w:tcPr>
          <w:p w:rsidR="003D6DF3" w:rsidRPr="00B94B6C" w:rsidRDefault="003D6DF3" w:rsidP="00D73E98">
            <w:pPr>
              <w:jc w:val="center"/>
              <w:rPr>
                <w:lang w:val="it-IT"/>
              </w:rPr>
            </w:pPr>
          </w:p>
        </w:tc>
      </w:tr>
      <w:tr w:rsidR="003D6DF3" w:rsidRPr="00CC242B" w:rsidTr="00D73E98">
        <w:trPr>
          <w:cantSplit/>
          <w:trHeight w:val="20"/>
        </w:trPr>
        <w:tc>
          <w:tcPr>
            <w:tcW w:w="680" w:type="dxa"/>
          </w:tcPr>
          <w:p w:rsidR="003D6DF3" w:rsidRPr="00987EB8" w:rsidRDefault="003D6DF3" w:rsidP="00D73E98">
            <w:pPr>
              <w:jc w:val="center"/>
              <w:rPr>
                <w:b/>
                <w:lang w:val="it-IT"/>
              </w:rPr>
            </w:pPr>
            <w:r>
              <w:rPr>
                <w:b/>
                <w:lang w:val="it-IT"/>
              </w:rPr>
              <w:t>96</w:t>
            </w:r>
            <w:r w:rsidRPr="00987EB8">
              <w:rPr>
                <w:b/>
                <w:lang w:val="it-IT"/>
              </w:rPr>
              <w:t>)</w:t>
            </w:r>
          </w:p>
        </w:tc>
        <w:tc>
          <w:tcPr>
            <w:tcW w:w="851" w:type="dxa"/>
            <w:tcMar>
              <w:left w:w="108" w:type="dxa"/>
              <w:right w:w="0" w:type="dxa"/>
            </w:tcMar>
          </w:tcPr>
          <w:p w:rsidR="003D6DF3" w:rsidRPr="00815F88" w:rsidRDefault="003D6DF3" w:rsidP="00D73E98">
            <w:pPr>
              <w:pStyle w:val="PrincCont"/>
              <w:jc w:val="left"/>
            </w:pPr>
          </w:p>
        </w:tc>
        <w:tc>
          <w:tcPr>
            <w:tcW w:w="7060" w:type="dxa"/>
            <w:tcMar>
              <w:left w:w="108" w:type="dxa"/>
            </w:tcMar>
          </w:tcPr>
          <w:p w:rsidR="003D6DF3" w:rsidRPr="0081642F" w:rsidRDefault="003D6DF3" w:rsidP="0031795A">
            <w:pPr>
              <w:spacing w:line="230" w:lineRule="exact"/>
              <w:rPr>
                <w:lang w:val="it-IT"/>
              </w:rPr>
            </w:pPr>
            <w:r w:rsidRPr="001E1801">
              <w:rPr>
                <w:lang w:val="it-IT"/>
              </w:rPr>
              <w:t xml:space="preserve">Con riferimento alle immobilizzazioni materiali, nella </w:t>
            </w:r>
            <w:r>
              <w:rPr>
                <w:lang w:val="it-IT"/>
              </w:rPr>
              <w:t>Nota Integrativa</w:t>
            </w:r>
            <w:r w:rsidRPr="001E1801">
              <w:rPr>
                <w:lang w:val="it-IT"/>
              </w:rPr>
              <w:t xml:space="preserve"> del bilancio sono fornite le</w:t>
            </w:r>
            <w:r>
              <w:rPr>
                <w:lang w:val="it-IT"/>
              </w:rPr>
              <w:t xml:space="preserve"> </w:t>
            </w:r>
            <w:r w:rsidRPr="001E1801">
              <w:rPr>
                <w:lang w:val="it-IT"/>
              </w:rPr>
              <w:t>seguenti informazioni</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jc w:val="center"/>
              <w:rPr>
                <w:lang w:val="it-IT"/>
              </w:rPr>
            </w:pPr>
          </w:p>
        </w:tc>
        <w:tc>
          <w:tcPr>
            <w:tcW w:w="570" w:type="dxa"/>
            <w:tcMar>
              <w:left w:w="108" w:type="dxa"/>
            </w:tcMar>
            <w:vAlign w:val="center"/>
          </w:tcPr>
          <w:p w:rsidR="003D6DF3" w:rsidRPr="00A32A16" w:rsidRDefault="003D6DF3" w:rsidP="00D73E98">
            <w:pPr>
              <w:jc w:val="center"/>
              <w:rPr>
                <w:lang w:val="it-IT"/>
              </w:rPr>
            </w:pPr>
          </w:p>
        </w:tc>
      </w:tr>
      <w:tr w:rsidR="003D6DF3" w:rsidRPr="00EA46C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1E1801" w:rsidRDefault="003D6DF3" w:rsidP="0031795A">
            <w:pPr>
              <w:spacing w:line="240" w:lineRule="auto"/>
              <w:jc w:val="left"/>
            </w:pPr>
            <w:r w:rsidRPr="00B6227B">
              <w:rPr>
                <w:sz w:val="13"/>
                <w:szCs w:val="13"/>
                <w:lang w:val="en-US"/>
              </w:rPr>
              <w:t>Art. 2427, c.1, n.1, CC</w:t>
            </w:r>
            <w:r w:rsidR="0031795A">
              <w:rPr>
                <w:sz w:val="13"/>
                <w:szCs w:val="13"/>
                <w:lang w:val="en-US"/>
              </w:rPr>
              <w:t xml:space="preserve">       </w:t>
            </w:r>
            <w:r w:rsidRPr="0031795A">
              <w:rPr>
                <w:sz w:val="13"/>
                <w:szCs w:val="13"/>
              </w:rPr>
              <w:t>OIC 16.95</w:t>
            </w:r>
          </w:p>
        </w:tc>
        <w:tc>
          <w:tcPr>
            <w:tcW w:w="7060" w:type="dxa"/>
            <w:tcMar>
              <w:left w:w="108" w:type="dxa"/>
            </w:tcMar>
          </w:tcPr>
          <w:p w:rsidR="003D6DF3" w:rsidRPr="0081642F" w:rsidRDefault="00A707D4" w:rsidP="0031795A">
            <w:pPr>
              <w:pStyle w:val="rientrotrattinook"/>
              <w:numPr>
                <w:ilvl w:val="0"/>
                <w:numId w:val="0"/>
              </w:numPr>
              <w:spacing w:line="230" w:lineRule="exact"/>
              <w:ind w:left="460" w:hanging="284"/>
            </w:pPr>
            <w:r>
              <w:t>-</w:t>
            </w:r>
            <w:r>
              <w:tab/>
            </w:r>
            <w:r w:rsidR="003D6DF3" w:rsidRPr="001E1801">
              <w:t>“i criteri applicati nella valutazione delle voci del bilancio, nelle rettifiche di valore e nella conversione dei valori non espressi all'origine in moneta avente corso legale nello Stato”</w:t>
            </w:r>
            <w:r w:rsidR="003D6DF3">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EA46C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1E1801" w:rsidRDefault="003D6DF3" w:rsidP="00D73E98">
            <w:pPr>
              <w:spacing w:line="240" w:lineRule="auto"/>
              <w:jc w:val="left"/>
              <w:rPr>
                <w:sz w:val="13"/>
                <w:szCs w:val="13"/>
                <w:lang w:val="en-US"/>
              </w:rPr>
            </w:pPr>
            <w:r w:rsidRPr="001E1801">
              <w:rPr>
                <w:sz w:val="13"/>
                <w:szCs w:val="13"/>
                <w:lang w:val="en-US"/>
              </w:rPr>
              <w:t>Art. 2427, c.1, n.2, CC</w:t>
            </w:r>
          </w:p>
          <w:p w:rsidR="003D6DF3" w:rsidRPr="00815F88" w:rsidRDefault="003D6DF3" w:rsidP="00D73E98">
            <w:pPr>
              <w:pStyle w:val="PrincCont"/>
              <w:jc w:val="left"/>
            </w:pPr>
            <w:r>
              <w:t>OIC 16.95</w:t>
            </w:r>
          </w:p>
        </w:tc>
        <w:tc>
          <w:tcPr>
            <w:tcW w:w="7060" w:type="dxa"/>
            <w:tcMar>
              <w:left w:w="108" w:type="dxa"/>
            </w:tcMar>
          </w:tcPr>
          <w:p w:rsidR="003D6DF3" w:rsidRPr="0081642F" w:rsidRDefault="00A707D4" w:rsidP="0031795A">
            <w:pPr>
              <w:pStyle w:val="rientrotrattinook"/>
              <w:numPr>
                <w:ilvl w:val="0"/>
                <w:numId w:val="0"/>
              </w:numPr>
              <w:spacing w:line="230" w:lineRule="exact"/>
              <w:ind w:left="460" w:hanging="284"/>
            </w:pPr>
            <w:r>
              <w:t>-</w:t>
            </w:r>
            <w:r>
              <w:tab/>
            </w:r>
            <w:r w:rsidR="003D6DF3" w:rsidRPr="001E1801">
              <w:t>“i movimenti delle immobilizzazioni, specificando per ciascuna voce: il costo; le precedenti rivalutazioni, ammortamenti e svalutazioni; le acquisizioni, gli spostamenti da una ad altra voce, le alienazioni avvenuti nell’esercizio; le rivalutazioni, gli ammortamenti e le svalutazioni effettuati nell’esercizio; il totale delle rivalutazioni riguardanti le immobilizzazioni esistenti alla chiusura dell’esercizio”</w:t>
            </w:r>
            <w:r w:rsidR="003D6DF3">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EA46CB" w:rsidTr="00D73E98">
        <w:trPr>
          <w:cantSplit/>
          <w:trHeight w:val="20"/>
        </w:trPr>
        <w:tc>
          <w:tcPr>
            <w:tcW w:w="680" w:type="dxa"/>
          </w:tcPr>
          <w:p w:rsidR="003D6DF3" w:rsidRPr="00987EB8" w:rsidRDefault="003D6DF3" w:rsidP="003D6DF3">
            <w:pPr>
              <w:jc w:val="center"/>
              <w:rPr>
                <w:b/>
                <w:lang w:val="it-IT"/>
              </w:rPr>
            </w:pPr>
            <w:r>
              <w:rPr>
                <w:b/>
                <w:lang w:val="it-IT"/>
              </w:rPr>
              <w:t>97</w:t>
            </w:r>
            <w:r w:rsidRPr="00987EB8">
              <w:rPr>
                <w:b/>
                <w:lang w:val="it-IT"/>
              </w:rPr>
              <w:t>)</w:t>
            </w:r>
          </w:p>
        </w:tc>
        <w:tc>
          <w:tcPr>
            <w:tcW w:w="851" w:type="dxa"/>
            <w:tcMar>
              <w:left w:w="108" w:type="dxa"/>
              <w:right w:w="0" w:type="dxa"/>
            </w:tcMar>
          </w:tcPr>
          <w:p w:rsidR="003D6DF3" w:rsidRPr="000D173F" w:rsidRDefault="003D6DF3" w:rsidP="0031795A">
            <w:pPr>
              <w:spacing w:line="240" w:lineRule="auto"/>
              <w:jc w:val="left"/>
            </w:pPr>
            <w:r w:rsidRPr="000D173F">
              <w:rPr>
                <w:sz w:val="13"/>
                <w:szCs w:val="13"/>
              </w:rPr>
              <w:t>Art. 2427, c.1, n.8, CC</w:t>
            </w:r>
            <w:r w:rsidR="0031795A">
              <w:rPr>
                <w:sz w:val="13"/>
                <w:szCs w:val="13"/>
              </w:rPr>
              <w:t xml:space="preserve">       </w:t>
            </w:r>
            <w:r w:rsidRPr="0031795A">
              <w:rPr>
                <w:sz w:val="13"/>
                <w:szCs w:val="13"/>
              </w:rPr>
              <w:t>OIC 16.95</w:t>
            </w:r>
          </w:p>
        </w:tc>
        <w:tc>
          <w:tcPr>
            <w:tcW w:w="7060" w:type="dxa"/>
            <w:tcMar>
              <w:left w:w="108" w:type="dxa"/>
            </w:tcMar>
          </w:tcPr>
          <w:p w:rsidR="003D6DF3" w:rsidRPr="0081642F" w:rsidRDefault="00A707D4" w:rsidP="0031795A">
            <w:pPr>
              <w:pStyle w:val="rientrotrattinook"/>
              <w:numPr>
                <w:ilvl w:val="0"/>
                <w:numId w:val="0"/>
              </w:numPr>
              <w:spacing w:line="230" w:lineRule="exact"/>
              <w:ind w:left="460" w:hanging="284"/>
            </w:pPr>
            <w:r>
              <w:t>-</w:t>
            </w:r>
            <w:r>
              <w:tab/>
            </w:r>
            <w:r w:rsidR="003D6DF3" w:rsidRPr="001E1801">
              <w:t>“l'ammontare degli oneri finanziari imputati nell'esercizio ai valori iscritti nell'attivo dello stato patrimoniale, distintamente per ogni voce”</w:t>
            </w:r>
            <w:r w:rsidR="003D6DF3">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EA46CB" w:rsidTr="00D73E98">
        <w:trPr>
          <w:cantSplit/>
          <w:trHeight w:val="20"/>
        </w:trPr>
        <w:tc>
          <w:tcPr>
            <w:tcW w:w="680" w:type="dxa"/>
          </w:tcPr>
          <w:p w:rsidR="003D6DF3" w:rsidRPr="00987EB8" w:rsidRDefault="003D6DF3" w:rsidP="00D73E98">
            <w:pPr>
              <w:jc w:val="center"/>
              <w:rPr>
                <w:b/>
                <w:lang w:val="it-IT"/>
              </w:rPr>
            </w:pPr>
            <w:r>
              <w:rPr>
                <w:b/>
                <w:lang w:val="it-IT"/>
              </w:rPr>
              <w:t>98</w:t>
            </w:r>
            <w:r w:rsidRPr="00987EB8">
              <w:rPr>
                <w:b/>
                <w:lang w:val="it-IT"/>
              </w:rPr>
              <w:t>)</w:t>
            </w:r>
          </w:p>
        </w:tc>
        <w:tc>
          <w:tcPr>
            <w:tcW w:w="851" w:type="dxa"/>
            <w:tcMar>
              <w:left w:w="108" w:type="dxa"/>
              <w:right w:w="0" w:type="dxa"/>
            </w:tcMar>
          </w:tcPr>
          <w:p w:rsidR="003D6DF3" w:rsidRPr="000D173F" w:rsidRDefault="003D6DF3" w:rsidP="00D73E98">
            <w:pPr>
              <w:spacing w:line="240" w:lineRule="auto"/>
              <w:jc w:val="left"/>
              <w:rPr>
                <w:sz w:val="13"/>
                <w:szCs w:val="13"/>
              </w:rPr>
            </w:pPr>
            <w:r w:rsidRPr="000D173F">
              <w:rPr>
                <w:sz w:val="13"/>
                <w:szCs w:val="13"/>
              </w:rPr>
              <w:t>Art. 2427, c.1, n.9, CC</w:t>
            </w:r>
          </w:p>
          <w:p w:rsidR="003D6DF3" w:rsidRPr="000D173F" w:rsidRDefault="003D6DF3" w:rsidP="00D73E98">
            <w:pPr>
              <w:pStyle w:val="PrincCont"/>
              <w:jc w:val="left"/>
              <w:rPr>
                <w:lang w:val="en-GB"/>
              </w:rPr>
            </w:pPr>
            <w:r w:rsidRPr="000D173F">
              <w:rPr>
                <w:lang w:val="en-GB"/>
              </w:rPr>
              <w:t>OIC 16.95</w:t>
            </w:r>
          </w:p>
        </w:tc>
        <w:tc>
          <w:tcPr>
            <w:tcW w:w="7060" w:type="dxa"/>
            <w:tcMar>
              <w:left w:w="108" w:type="dxa"/>
            </w:tcMar>
          </w:tcPr>
          <w:p w:rsidR="003D6DF3" w:rsidRPr="0081642F" w:rsidRDefault="0031795A" w:rsidP="0031795A">
            <w:pPr>
              <w:pStyle w:val="rientrotrattinook"/>
              <w:numPr>
                <w:ilvl w:val="0"/>
                <w:numId w:val="0"/>
              </w:numPr>
              <w:spacing w:line="230" w:lineRule="exact"/>
              <w:ind w:left="460" w:hanging="284"/>
            </w:pPr>
            <w:r>
              <w:t>-</w:t>
            </w:r>
            <w:r>
              <w:tab/>
            </w:r>
            <w:r w:rsidR="003D6DF3" w:rsidRPr="001E1801">
              <w:t>“l’importo complessivo degli impegni, delle garanzie e delle passività potenziali non risultanti dallo stato patrimoniale, con indicazione della natura delle garanzie reali prestate”</w:t>
            </w:r>
            <w:r w:rsidR="003D6DF3">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A0F36" w:rsidRDefault="003D6DF3" w:rsidP="00D73E98">
            <w:pPr>
              <w:pStyle w:val="PrincCont"/>
              <w:jc w:val="left"/>
              <w:rPr>
                <w:lang w:val="it-IT"/>
              </w:rPr>
            </w:pPr>
            <w:r w:rsidRPr="008B53F2">
              <w:t>OIC 16.</w:t>
            </w:r>
            <w:r>
              <w:t>96</w:t>
            </w:r>
          </w:p>
        </w:tc>
        <w:tc>
          <w:tcPr>
            <w:tcW w:w="7060" w:type="dxa"/>
            <w:tcMar>
              <w:left w:w="108" w:type="dxa"/>
            </w:tcMar>
          </w:tcPr>
          <w:p w:rsidR="003D6DF3" w:rsidRPr="004177DD" w:rsidRDefault="003D6DF3" w:rsidP="00D73E98">
            <w:pPr>
              <w:pStyle w:val="Commentiriquadro"/>
              <w:rPr>
                <w:lang w:eastAsia="it-IT"/>
              </w:rPr>
            </w:pPr>
            <w:r>
              <w:rPr>
                <w:lang w:eastAsia="it-IT"/>
              </w:rPr>
              <w:t xml:space="preserve">L’articolo 2423, comma 4,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w:t>
            </w:r>
          </w:p>
        </w:tc>
        <w:tc>
          <w:tcPr>
            <w:tcW w:w="586" w:type="dxa"/>
            <w:gridSpan w:val="2"/>
            <w:tcMar>
              <w:left w:w="85" w:type="dxa"/>
              <w:right w:w="85" w:type="dxa"/>
            </w:tcMar>
            <w:vAlign w:val="center"/>
          </w:tcPr>
          <w:p w:rsidR="003D6DF3" w:rsidRPr="00216D43" w:rsidRDefault="003D6DF3" w:rsidP="00D73E98">
            <w:pPr>
              <w:jc w:val="center"/>
              <w:rPr>
                <w:lang w:val="it-IT"/>
              </w:rPr>
            </w:pPr>
          </w:p>
        </w:tc>
        <w:tc>
          <w:tcPr>
            <w:tcW w:w="573" w:type="dxa"/>
            <w:tcMar>
              <w:left w:w="108" w:type="dxa"/>
            </w:tcMar>
            <w:vAlign w:val="center"/>
          </w:tcPr>
          <w:p w:rsidR="003D6DF3" w:rsidRPr="00216D43" w:rsidRDefault="003D6DF3" w:rsidP="00D73E98">
            <w:pPr>
              <w:jc w:val="center"/>
              <w:rPr>
                <w:lang w:val="it-IT"/>
              </w:rPr>
            </w:pPr>
          </w:p>
        </w:tc>
        <w:tc>
          <w:tcPr>
            <w:tcW w:w="570" w:type="dxa"/>
            <w:tcMar>
              <w:left w:w="108" w:type="dxa"/>
            </w:tcMar>
            <w:vAlign w:val="center"/>
          </w:tcPr>
          <w:p w:rsidR="003D6DF3" w:rsidRPr="00216D43" w:rsidRDefault="003D6DF3" w:rsidP="00D73E98">
            <w:pPr>
              <w:jc w:val="center"/>
              <w:rPr>
                <w:lang w:val="it-IT"/>
              </w:rPr>
            </w:pPr>
          </w:p>
        </w:tc>
      </w:tr>
      <w:tr w:rsidR="003D6DF3" w:rsidRPr="00EA46CB" w:rsidTr="00D73E98">
        <w:trPr>
          <w:cantSplit/>
          <w:trHeight w:val="20"/>
        </w:trPr>
        <w:tc>
          <w:tcPr>
            <w:tcW w:w="680" w:type="dxa"/>
          </w:tcPr>
          <w:p w:rsidR="003D6DF3" w:rsidRPr="00987EB8" w:rsidRDefault="003D6DF3" w:rsidP="00D73E98">
            <w:pPr>
              <w:jc w:val="center"/>
              <w:rPr>
                <w:b/>
                <w:lang w:val="it-IT"/>
              </w:rPr>
            </w:pPr>
            <w:r>
              <w:rPr>
                <w:b/>
                <w:lang w:val="it-IT"/>
              </w:rPr>
              <w:t>99</w:t>
            </w:r>
            <w:r w:rsidRPr="00987EB8">
              <w:rPr>
                <w:b/>
                <w:lang w:val="it-IT"/>
              </w:rPr>
              <w:t>)</w:t>
            </w:r>
          </w:p>
        </w:tc>
        <w:tc>
          <w:tcPr>
            <w:tcW w:w="851" w:type="dxa"/>
            <w:tcMar>
              <w:left w:w="108" w:type="dxa"/>
              <w:right w:w="0" w:type="dxa"/>
            </w:tcMar>
          </w:tcPr>
          <w:p w:rsidR="003D6DF3" w:rsidRPr="00815F88" w:rsidRDefault="003D6DF3" w:rsidP="00D73E98">
            <w:pPr>
              <w:pStyle w:val="PrincCont"/>
              <w:jc w:val="left"/>
            </w:pPr>
            <w:r w:rsidRPr="008B53F2">
              <w:t>OIC 16.</w:t>
            </w:r>
            <w:r>
              <w:t>96</w:t>
            </w:r>
          </w:p>
        </w:tc>
        <w:tc>
          <w:tcPr>
            <w:tcW w:w="7060" w:type="dxa"/>
            <w:tcMar>
              <w:left w:w="108" w:type="dxa"/>
            </w:tcMar>
          </w:tcPr>
          <w:p w:rsidR="003D6DF3" w:rsidRPr="0081642F" w:rsidRDefault="003D6DF3" w:rsidP="00D73E98">
            <w:pPr>
              <w:spacing w:line="230" w:lineRule="exact"/>
              <w:rPr>
                <w:lang w:val="it-IT"/>
              </w:rPr>
            </w:pPr>
            <w:r>
              <w:rPr>
                <w:lang w:val="it-IT"/>
              </w:rPr>
              <w:t>La</w:t>
            </w:r>
            <w:r w:rsidRPr="00A6393F">
              <w:rPr>
                <w:lang w:val="it-IT"/>
              </w:rPr>
              <w:t xml:space="preserve"> società illustra nella </w:t>
            </w:r>
            <w:r>
              <w:rPr>
                <w:lang w:val="it-IT"/>
              </w:rPr>
              <w:t>Nota Integrativa</w:t>
            </w:r>
            <w:r w:rsidRPr="00A6393F">
              <w:rPr>
                <w:lang w:val="it-IT"/>
              </w:rPr>
              <w:t xml:space="preserve"> i criteri con i quali hanno dato attuazione alla disposizione</w:t>
            </w:r>
            <w:r>
              <w:rPr>
                <w:lang w:val="it-IT"/>
              </w:rPr>
              <w:t xml:space="preserve"> dell’</w:t>
            </w:r>
            <w:r w:rsidRPr="00A6393F">
              <w:rPr>
                <w:lang w:val="it-IT"/>
              </w:rPr>
              <w:t>articolo 2423, comma 4, codice civile</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373AE9"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p>
        </w:tc>
        <w:tc>
          <w:tcPr>
            <w:tcW w:w="7060" w:type="dxa"/>
            <w:tcMar>
              <w:left w:w="108" w:type="dxa"/>
            </w:tcMar>
          </w:tcPr>
          <w:p w:rsidR="003D6DF3" w:rsidRPr="001E1801" w:rsidRDefault="003D6DF3" w:rsidP="00D73E98">
            <w:pPr>
              <w:pStyle w:val="Titolo2"/>
              <w:rPr>
                <w:lang w:val="it-IT"/>
              </w:rPr>
            </w:pPr>
            <w:r w:rsidRPr="001E1801">
              <w:rPr>
                <w:lang w:val="it-IT"/>
              </w:rPr>
              <w:t>Disposizioni di prima applicazione</w:t>
            </w:r>
          </w:p>
        </w:tc>
        <w:tc>
          <w:tcPr>
            <w:tcW w:w="586" w:type="dxa"/>
            <w:gridSpan w:val="2"/>
            <w:tcMar>
              <w:left w:w="85" w:type="dxa"/>
              <w:right w:w="85" w:type="dxa"/>
            </w:tcMar>
            <w:vAlign w:val="center"/>
          </w:tcPr>
          <w:p w:rsidR="003D6DF3" w:rsidRPr="00B94B6C" w:rsidRDefault="003D6DF3" w:rsidP="00D73E98">
            <w:pPr>
              <w:jc w:val="center"/>
              <w:rPr>
                <w:lang w:val="it-IT"/>
              </w:rPr>
            </w:pPr>
          </w:p>
        </w:tc>
        <w:tc>
          <w:tcPr>
            <w:tcW w:w="573" w:type="dxa"/>
            <w:tcMar>
              <w:left w:w="108" w:type="dxa"/>
            </w:tcMar>
            <w:vAlign w:val="center"/>
          </w:tcPr>
          <w:p w:rsidR="003D6DF3" w:rsidRPr="00B94B6C" w:rsidRDefault="003D6DF3" w:rsidP="00D73E98">
            <w:pPr>
              <w:jc w:val="center"/>
              <w:rPr>
                <w:lang w:val="it-IT"/>
              </w:rPr>
            </w:pPr>
          </w:p>
        </w:tc>
        <w:tc>
          <w:tcPr>
            <w:tcW w:w="570" w:type="dxa"/>
            <w:tcMar>
              <w:left w:w="108" w:type="dxa"/>
            </w:tcMar>
            <w:vAlign w:val="center"/>
          </w:tcPr>
          <w:p w:rsidR="003D6DF3" w:rsidRPr="00B94B6C" w:rsidRDefault="003D6DF3" w:rsidP="00D73E98">
            <w:pPr>
              <w:jc w:val="center"/>
              <w:rPr>
                <w:lang w:val="it-IT"/>
              </w:rPr>
            </w:pPr>
          </w:p>
        </w:tc>
      </w:tr>
      <w:tr w:rsidR="003D6DF3" w:rsidRPr="00EA46CB" w:rsidTr="00D73E98">
        <w:trPr>
          <w:cantSplit/>
          <w:trHeight w:val="20"/>
        </w:trPr>
        <w:tc>
          <w:tcPr>
            <w:tcW w:w="680" w:type="dxa"/>
          </w:tcPr>
          <w:p w:rsidR="003D6DF3" w:rsidRPr="00987EB8" w:rsidRDefault="003D6DF3" w:rsidP="00D73E98">
            <w:pPr>
              <w:jc w:val="center"/>
              <w:rPr>
                <w:b/>
                <w:lang w:val="it-IT"/>
              </w:rPr>
            </w:pPr>
            <w:r>
              <w:rPr>
                <w:b/>
                <w:lang w:val="it-IT"/>
              </w:rPr>
              <w:t>100</w:t>
            </w:r>
            <w:r w:rsidRPr="00987EB8">
              <w:rPr>
                <w:b/>
                <w:lang w:val="it-IT"/>
              </w:rPr>
              <w:t>)</w:t>
            </w:r>
          </w:p>
        </w:tc>
        <w:tc>
          <w:tcPr>
            <w:tcW w:w="851" w:type="dxa"/>
            <w:tcMar>
              <w:left w:w="108" w:type="dxa"/>
              <w:right w:w="0" w:type="dxa"/>
            </w:tcMar>
          </w:tcPr>
          <w:p w:rsidR="003D6DF3" w:rsidRPr="00815F88" w:rsidRDefault="003D6DF3" w:rsidP="00D73E98">
            <w:pPr>
              <w:pStyle w:val="PrincCont"/>
              <w:jc w:val="left"/>
            </w:pPr>
            <w:r w:rsidRPr="00D733EC">
              <w:t>OIC 16.</w:t>
            </w:r>
            <w:r>
              <w:t>100</w:t>
            </w:r>
          </w:p>
        </w:tc>
        <w:tc>
          <w:tcPr>
            <w:tcW w:w="7060" w:type="dxa"/>
            <w:tcMar>
              <w:left w:w="108" w:type="dxa"/>
            </w:tcMar>
          </w:tcPr>
          <w:p w:rsidR="003D6DF3" w:rsidRPr="0081642F" w:rsidRDefault="003D6DF3" w:rsidP="00D73E98">
            <w:pPr>
              <w:spacing w:line="230" w:lineRule="exact"/>
              <w:rPr>
                <w:lang w:val="it-IT"/>
              </w:rPr>
            </w:pPr>
            <w:r w:rsidRPr="005724C6">
              <w:rPr>
                <w:lang w:val="it-IT"/>
              </w:rPr>
              <w:t xml:space="preserve">Qualora la società applichi il criterio del costo ammortizzato retroattivamente, </w:t>
            </w:r>
            <w:r>
              <w:rPr>
                <w:lang w:val="it-IT"/>
              </w:rPr>
              <w:t>gli eventuali effetti del</w:t>
            </w:r>
            <w:r w:rsidRPr="005724C6">
              <w:rPr>
                <w:lang w:val="it-IT"/>
              </w:rPr>
              <w:t xml:space="preserve"> pagamento </w:t>
            </w:r>
            <w:r>
              <w:rPr>
                <w:lang w:val="it-IT"/>
              </w:rPr>
              <w:t xml:space="preserve">dell’immobilizzazione </w:t>
            </w:r>
            <w:r w:rsidRPr="005724C6">
              <w:rPr>
                <w:lang w:val="it-IT"/>
              </w:rPr>
              <w:t>differito rispetto all</w:t>
            </w:r>
            <w:r>
              <w:rPr>
                <w:lang w:val="it-IT"/>
              </w:rPr>
              <w:t>e normali condizioni di mercato sono stati applicati retroattivamente?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EA46CB" w:rsidTr="00D73E98">
        <w:trPr>
          <w:cantSplit/>
          <w:trHeight w:val="20"/>
        </w:trPr>
        <w:tc>
          <w:tcPr>
            <w:tcW w:w="680" w:type="dxa"/>
          </w:tcPr>
          <w:p w:rsidR="003D6DF3" w:rsidRPr="00987EB8" w:rsidRDefault="003D6DF3" w:rsidP="00D73E98">
            <w:pPr>
              <w:jc w:val="center"/>
              <w:rPr>
                <w:b/>
                <w:lang w:val="it-IT"/>
              </w:rPr>
            </w:pPr>
            <w:r>
              <w:rPr>
                <w:b/>
                <w:lang w:val="it-IT"/>
              </w:rPr>
              <w:t>101</w:t>
            </w:r>
            <w:r w:rsidRPr="00987EB8">
              <w:rPr>
                <w:b/>
                <w:lang w:val="it-IT"/>
              </w:rPr>
              <w:t>)</w:t>
            </w:r>
          </w:p>
        </w:tc>
        <w:tc>
          <w:tcPr>
            <w:tcW w:w="851" w:type="dxa"/>
            <w:tcMar>
              <w:left w:w="108" w:type="dxa"/>
              <w:right w:w="0" w:type="dxa"/>
            </w:tcMar>
          </w:tcPr>
          <w:p w:rsidR="003D6DF3" w:rsidRPr="00815F88" w:rsidRDefault="003D6DF3" w:rsidP="00D73E98">
            <w:pPr>
              <w:pStyle w:val="PrincCont"/>
              <w:jc w:val="left"/>
            </w:pPr>
            <w:r w:rsidRPr="00D733EC">
              <w:t>OIC 16.</w:t>
            </w:r>
            <w:r>
              <w:t>101</w:t>
            </w:r>
          </w:p>
        </w:tc>
        <w:tc>
          <w:tcPr>
            <w:tcW w:w="7060" w:type="dxa"/>
            <w:tcMar>
              <w:left w:w="108" w:type="dxa"/>
            </w:tcMar>
          </w:tcPr>
          <w:p w:rsidR="003D6DF3" w:rsidRPr="0081642F" w:rsidRDefault="003D6DF3" w:rsidP="00D73E98">
            <w:pPr>
              <w:spacing w:line="230" w:lineRule="exact"/>
              <w:rPr>
                <w:lang w:val="it-IT"/>
              </w:rPr>
            </w:pPr>
            <w:r w:rsidRPr="005724C6">
              <w:rPr>
                <w:lang w:val="it-IT"/>
              </w:rPr>
              <w:t>Gli eventuali effetti derivanti dall’applicazione delle modifiche apportate alla precedente versione</w:t>
            </w:r>
            <w:r>
              <w:rPr>
                <w:lang w:val="it-IT"/>
              </w:rPr>
              <w:t xml:space="preserve"> </w:t>
            </w:r>
            <w:r w:rsidRPr="005724C6">
              <w:rPr>
                <w:lang w:val="it-IT"/>
              </w:rPr>
              <w:t xml:space="preserve">dell’OIC 16 in tema di riclassificazione degli oneri e proventi straordinari sono </w:t>
            </w:r>
            <w:r>
              <w:rPr>
                <w:lang w:val="it-IT"/>
              </w:rPr>
              <w:t xml:space="preserve">stati </w:t>
            </w:r>
            <w:r w:rsidRPr="005724C6">
              <w:rPr>
                <w:lang w:val="it-IT"/>
              </w:rPr>
              <w:t>applicati</w:t>
            </w:r>
            <w:r>
              <w:rPr>
                <w:lang w:val="it-IT"/>
              </w:rPr>
              <w:t xml:space="preserve"> </w:t>
            </w:r>
            <w:r w:rsidRPr="005724C6">
              <w:rPr>
                <w:lang w:val="it-IT"/>
              </w:rPr>
              <w:t>retroattivamente</w:t>
            </w:r>
            <w:r>
              <w:rPr>
                <w:lang w:val="it-IT"/>
              </w:rPr>
              <w:t>, ai soli fini riclassificatori?</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3D6DF3" w:rsidRPr="00CC242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A0F36" w:rsidRDefault="003D6DF3" w:rsidP="00D73E98">
            <w:pPr>
              <w:pStyle w:val="PrincCont"/>
              <w:jc w:val="left"/>
              <w:rPr>
                <w:lang w:val="it-IT"/>
              </w:rPr>
            </w:pPr>
            <w:r w:rsidRPr="008B53F2">
              <w:t>OIC 16.</w:t>
            </w:r>
            <w:r>
              <w:t>102</w:t>
            </w:r>
          </w:p>
        </w:tc>
        <w:tc>
          <w:tcPr>
            <w:tcW w:w="7060" w:type="dxa"/>
            <w:tcMar>
              <w:left w:w="108" w:type="dxa"/>
            </w:tcMar>
          </w:tcPr>
          <w:p w:rsidR="003D6DF3" w:rsidRPr="004177DD" w:rsidRDefault="003D6DF3" w:rsidP="00D73E98">
            <w:pPr>
              <w:pStyle w:val="Commentiriquadro"/>
              <w:rPr>
                <w:lang w:eastAsia="it-IT"/>
              </w:rPr>
            </w:pPr>
            <w:r w:rsidRPr="003D063E">
              <w:rPr>
                <w:lang w:eastAsia="it-IT"/>
              </w:rPr>
              <w:t>Eventuali effetti derivanti dall’applicazione delle modifiche apportate all</w:t>
            </w:r>
            <w:r>
              <w:rPr>
                <w:lang w:eastAsia="it-IT"/>
              </w:rPr>
              <w:t>a precedente versione dell’OIC 16</w:t>
            </w:r>
            <w:r w:rsidRPr="003D063E">
              <w:rPr>
                <w:lang w:eastAsia="it-IT"/>
              </w:rPr>
              <w:t xml:space="preserve"> possono essere rilevati in bilancio prospetticamente ai sensi dell’OIC 29. Pertanto le componenti delle voci riferite ad operazioni che non hanno ancora esaurito i loro effetti in bilancio possono continuare ad essere contabilizzate in conformità al precedente principio.</w:t>
            </w:r>
          </w:p>
        </w:tc>
        <w:tc>
          <w:tcPr>
            <w:tcW w:w="586" w:type="dxa"/>
            <w:gridSpan w:val="2"/>
            <w:tcMar>
              <w:left w:w="85" w:type="dxa"/>
              <w:right w:w="85" w:type="dxa"/>
            </w:tcMar>
            <w:vAlign w:val="center"/>
          </w:tcPr>
          <w:p w:rsidR="003D6DF3" w:rsidRPr="00216D43" w:rsidRDefault="003D6DF3" w:rsidP="00D73E98">
            <w:pPr>
              <w:jc w:val="center"/>
              <w:rPr>
                <w:lang w:val="it-IT"/>
              </w:rPr>
            </w:pPr>
          </w:p>
        </w:tc>
        <w:tc>
          <w:tcPr>
            <w:tcW w:w="573" w:type="dxa"/>
            <w:tcMar>
              <w:left w:w="108" w:type="dxa"/>
            </w:tcMar>
            <w:vAlign w:val="center"/>
          </w:tcPr>
          <w:p w:rsidR="003D6DF3" w:rsidRPr="00216D43" w:rsidRDefault="003D6DF3" w:rsidP="00D73E98">
            <w:pPr>
              <w:jc w:val="center"/>
              <w:rPr>
                <w:lang w:val="it-IT"/>
              </w:rPr>
            </w:pPr>
          </w:p>
        </w:tc>
        <w:tc>
          <w:tcPr>
            <w:tcW w:w="570" w:type="dxa"/>
            <w:tcMar>
              <w:left w:w="108" w:type="dxa"/>
            </w:tcMar>
            <w:vAlign w:val="center"/>
          </w:tcPr>
          <w:p w:rsidR="003D6DF3" w:rsidRPr="00216D43" w:rsidRDefault="003D6DF3" w:rsidP="00D73E98">
            <w:pPr>
              <w:jc w:val="center"/>
              <w:rPr>
                <w:lang w:val="it-IT"/>
              </w:rPr>
            </w:pPr>
          </w:p>
        </w:tc>
      </w:tr>
    </w:tbl>
    <w:p w:rsidR="00680245" w:rsidRPr="003D063E" w:rsidRDefault="00680245" w:rsidP="00680245">
      <w:pPr>
        <w:rPr>
          <w:lang w:val="it-IT"/>
        </w:rPr>
      </w:pPr>
    </w:p>
    <w:p w:rsidR="00680245" w:rsidRPr="00D1523F" w:rsidRDefault="00680245" w:rsidP="00680245">
      <w:pPr>
        <w:tabs>
          <w:tab w:val="left" w:pos="1210"/>
        </w:tabs>
        <w:rPr>
          <w:lang w:val="it-IT"/>
        </w:rPr>
      </w:pPr>
    </w:p>
    <w:p w:rsidR="000019EF" w:rsidRDefault="000019EF" w:rsidP="00A43012">
      <w:pPr>
        <w:rPr>
          <w:lang w:val="it-IT"/>
        </w:rPr>
        <w:sectPr w:rsidR="000019EF" w:rsidSect="00D73E98">
          <w:headerReference w:type="default" r:id="rId25"/>
          <w:footerReference w:type="default" r:id="rId26"/>
          <w:pgSz w:w="11906" w:h="16838" w:code="9"/>
          <w:pgMar w:top="1134" w:right="851" w:bottom="851" w:left="851" w:header="709" w:footer="567" w:gutter="0"/>
          <w:cols w:space="708"/>
          <w:docGrid w:linePitch="360"/>
        </w:sectPr>
      </w:pPr>
    </w:p>
    <w:p w:rsidR="000019EF" w:rsidRPr="00655A70" w:rsidRDefault="000019EF" w:rsidP="000019EF">
      <w:pPr>
        <w:tabs>
          <w:tab w:val="left" w:pos="1890"/>
        </w:tabs>
        <w:spacing w:line="260" w:lineRule="exact"/>
        <w:ind w:left="990" w:hanging="990"/>
        <w:jc w:val="left"/>
        <w:rPr>
          <w:lang w:val="it-IT"/>
        </w:rPr>
      </w:pPr>
    </w:p>
    <w:p w:rsidR="000019EF" w:rsidRPr="009E48D7" w:rsidRDefault="000019EF" w:rsidP="000019EF">
      <w:pPr>
        <w:tabs>
          <w:tab w:val="left" w:pos="1890"/>
        </w:tabs>
        <w:spacing w:line="260" w:lineRule="exact"/>
        <w:ind w:left="851" w:hanging="851"/>
        <w:jc w:val="left"/>
        <w:rPr>
          <w:b/>
          <w:color w:val="0070C0"/>
          <w:sz w:val="28"/>
          <w:lang w:val="it-IT"/>
        </w:rPr>
      </w:pPr>
      <w:r w:rsidRPr="009E48D7">
        <w:rPr>
          <w:b/>
          <w:color w:val="0070C0"/>
          <w:sz w:val="28"/>
          <w:lang w:val="it-IT"/>
        </w:rPr>
        <w:t>Svalutazioni per perdite durevoli di valore delle immobilizzazioni materiali e immateriali</w:t>
      </w:r>
    </w:p>
    <w:p w:rsidR="000019EF" w:rsidRPr="00B4263B" w:rsidRDefault="000019EF" w:rsidP="000019EF">
      <w:pPr>
        <w:rPr>
          <w:lang w:val="it-IT"/>
        </w:rPr>
      </w:pPr>
    </w:p>
    <w:p w:rsidR="000019EF" w:rsidRPr="00B4263B" w:rsidRDefault="000019EF" w:rsidP="000019EF">
      <w:pPr>
        <w:rPr>
          <w:lang w:val="it-IT"/>
        </w:rPr>
      </w:pPr>
    </w:p>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11"/>
        <w:gridCol w:w="575"/>
        <w:gridCol w:w="573"/>
        <w:gridCol w:w="570"/>
      </w:tblGrid>
      <w:tr w:rsidR="000019EF" w:rsidTr="00D73E98">
        <w:trPr>
          <w:cantSplit/>
          <w:trHeight w:val="20"/>
          <w:tblHeader/>
        </w:trPr>
        <w:tc>
          <w:tcPr>
            <w:tcW w:w="680"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rsidR="000019EF" w:rsidRDefault="000019EF" w:rsidP="00D73E98">
            <w:pPr>
              <w:overflowPunct/>
              <w:autoSpaceDE/>
              <w:autoSpaceDN/>
              <w:adjustRightInd/>
              <w:spacing w:before="0" w:after="0" w:line="240" w:lineRule="auto"/>
              <w:jc w:val="left"/>
              <w:textAlignment w:val="auto"/>
              <w:rPr>
                <w:lang w:val="it-IT"/>
              </w:rPr>
            </w:pPr>
          </w:p>
        </w:tc>
        <w:tc>
          <w:tcPr>
            <w:tcW w:w="851"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right w:w="0" w:type="dxa"/>
            </w:tcMar>
            <w:vAlign w:val="center"/>
          </w:tcPr>
          <w:p w:rsidR="000019EF" w:rsidRPr="00EC3C8A" w:rsidRDefault="000019EF" w:rsidP="00D73E98">
            <w:pPr>
              <w:pStyle w:val="PrincCont"/>
              <w:pageBreakBefore/>
              <w:rPr>
                <w:lang w:val="it-IT"/>
              </w:rPr>
            </w:pPr>
          </w:p>
        </w:tc>
        <w:tc>
          <w:tcPr>
            <w:tcW w:w="7071" w:type="dxa"/>
            <w:gridSpan w:val="2"/>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0019EF" w:rsidRDefault="000019EF" w:rsidP="00D73E98">
            <w:pPr>
              <w:pStyle w:val="Titolo1"/>
              <w:pageBreakBefore/>
            </w:pPr>
          </w:p>
        </w:tc>
        <w:tc>
          <w:tcPr>
            <w:tcW w:w="575"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85" w:type="dxa"/>
              <w:right w:w="85" w:type="dxa"/>
            </w:tcMar>
            <w:vAlign w:val="center"/>
          </w:tcPr>
          <w:p w:rsidR="000019EF" w:rsidRPr="00EC3C8A" w:rsidRDefault="000019EF" w:rsidP="00D73E98">
            <w:pPr>
              <w:pageBreakBefore/>
              <w:jc w:val="center"/>
              <w:rPr>
                <w:b/>
                <w:lang w:val="it-IT"/>
              </w:rPr>
            </w:pPr>
            <w:r w:rsidRPr="00EC3C8A">
              <w:rPr>
                <w:b/>
                <w:lang w:val="it-IT"/>
              </w:rPr>
              <w:t>SI</w:t>
            </w:r>
          </w:p>
        </w:tc>
        <w:tc>
          <w:tcPr>
            <w:tcW w:w="573"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0019EF" w:rsidRPr="00EC3C8A" w:rsidRDefault="000019EF" w:rsidP="00D73E98">
            <w:pPr>
              <w:pageBreakBefore/>
              <w:jc w:val="center"/>
              <w:rPr>
                <w:b/>
                <w:lang w:val="it-IT"/>
              </w:rPr>
            </w:pPr>
            <w:r w:rsidRPr="00EC3C8A">
              <w:rPr>
                <w:b/>
                <w:lang w:val="it-IT"/>
              </w:rPr>
              <w:t>NO</w:t>
            </w:r>
          </w:p>
        </w:tc>
        <w:tc>
          <w:tcPr>
            <w:tcW w:w="570"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0019EF" w:rsidRPr="00EC3C8A" w:rsidRDefault="000019EF" w:rsidP="00D73E98">
            <w:pPr>
              <w:pageBreakBefore/>
              <w:jc w:val="center"/>
              <w:rPr>
                <w:b/>
                <w:lang w:val="it-IT"/>
              </w:rPr>
            </w:pPr>
            <w:r w:rsidRPr="00EC3C8A">
              <w:rPr>
                <w:b/>
                <w:lang w:val="it-IT"/>
              </w:rPr>
              <w:t>N/A</w:t>
            </w:r>
          </w:p>
        </w:tc>
      </w:tr>
      <w:tr w:rsidR="000019EF" w:rsidRPr="00CC242B" w:rsidTr="00D73E98">
        <w:trPr>
          <w:cantSplit/>
          <w:trHeight w:val="20"/>
        </w:trPr>
        <w:tc>
          <w:tcPr>
            <w:tcW w:w="680" w:type="dxa"/>
            <w:vAlign w:val="center"/>
          </w:tcPr>
          <w:p w:rsidR="000019EF" w:rsidRPr="009E48D7" w:rsidRDefault="000019EF" w:rsidP="00D73E98">
            <w:pPr>
              <w:jc w:val="center"/>
              <w:rPr>
                <w:b/>
                <w:lang w:val="it-IT"/>
              </w:rPr>
            </w:pPr>
          </w:p>
        </w:tc>
        <w:tc>
          <w:tcPr>
            <w:tcW w:w="851" w:type="dxa"/>
            <w:tcMar>
              <w:left w:w="108" w:type="dxa"/>
              <w:right w:w="0" w:type="dxa"/>
            </w:tcMar>
            <w:vAlign w:val="center"/>
          </w:tcPr>
          <w:p w:rsidR="000019EF" w:rsidRPr="008A0F36" w:rsidRDefault="000019EF" w:rsidP="00D73E98">
            <w:pPr>
              <w:pStyle w:val="PrincCont"/>
              <w:jc w:val="left"/>
              <w:rPr>
                <w:lang w:val="it-IT"/>
              </w:rPr>
            </w:pPr>
          </w:p>
        </w:tc>
        <w:tc>
          <w:tcPr>
            <w:tcW w:w="7060" w:type="dxa"/>
            <w:tcMar>
              <w:left w:w="108" w:type="dxa"/>
            </w:tcMar>
            <w:vAlign w:val="center"/>
          </w:tcPr>
          <w:p w:rsidR="000019EF" w:rsidRPr="008A0F36" w:rsidRDefault="000019EF" w:rsidP="00D73E98">
            <w:pPr>
              <w:pStyle w:val="Titolo1"/>
              <w:keepNext w:val="0"/>
              <w:jc w:val="both"/>
            </w:pPr>
            <w:r w:rsidRPr="00107894">
              <w:t>Svalutazioni per p</w:t>
            </w:r>
            <w:r>
              <w:t xml:space="preserve">erdite durevoli di valore dellE </w:t>
            </w:r>
            <w:r w:rsidRPr="00107894">
              <w:t>immobilizzazioni materiali e immateriali</w:t>
            </w:r>
          </w:p>
        </w:tc>
        <w:tc>
          <w:tcPr>
            <w:tcW w:w="586" w:type="dxa"/>
            <w:gridSpan w:val="2"/>
            <w:tcMar>
              <w:left w:w="85" w:type="dxa"/>
              <w:right w:w="85" w:type="dxa"/>
            </w:tcMar>
            <w:vAlign w:val="center"/>
          </w:tcPr>
          <w:p w:rsidR="000019EF" w:rsidRPr="008A0F36" w:rsidRDefault="000019EF" w:rsidP="00D73E98">
            <w:pPr>
              <w:jc w:val="left"/>
              <w:rPr>
                <w:lang w:val="it-IT"/>
              </w:rPr>
            </w:pPr>
          </w:p>
        </w:tc>
        <w:tc>
          <w:tcPr>
            <w:tcW w:w="573" w:type="dxa"/>
            <w:tcMar>
              <w:left w:w="108" w:type="dxa"/>
            </w:tcMar>
            <w:vAlign w:val="center"/>
          </w:tcPr>
          <w:p w:rsidR="000019EF" w:rsidRPr="008A0F36" w:rsidRDefault="000019EF" w:rsidP="00D73E98">
            <w:pPr>
              <w:jc w:val="left"/>
              <w:rPr>
                <w:lang w:val="it-IT"/>
              </w:rPr>
            </w:pPr>
          </w:p>
        </w:tc>
        <w:tc>
          <w:tcPr>
            <w:tcW w:w="570" w:type="dxa"/>
            <w:tcMar>
              <w:left w:w="108" w:type="dxa"/>
            </w:tcMar>
            <w:vAlign w:val="center"/>
          </w:tcPr>
          <w:p w:rsidR="000019EF" w:rsidRPr="008A0F36" w:rsidRDefault="000019EF" w:rsidP="00D73E98">
            <w:pPr>
              <w:jc w:val="left"/>
              <w:rPr>
                <w:lang w:val="it-IT"/>
              </w:rPr>
            </w:pPr>
          </w:p>
        </w:tc>
      </w:tr>
      <w:tr w:rsidR="000019EF" w:rsidRPr="004A750E"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vAlign w:val="center"/>
          </w:tcPr>
          <w:p w:rsidR="000019EF" w:rsidRPr="002310F2" w:rsidRDefault="000019EF" w:rsidP="00D73E98">
            <w:pPr>
              <w:pStyle w:val="Titolo3"/>
              <w:rPr>
                <w:i w:val="0"/>
                <w:sz w:val="22"/>
                <w:szCs w:val="22"/>
                <w:lang w:val="it-IT"/>
              </w:rPr>
            </w:pPr>
            <w:r>
              <w:rPr>
                <w:i w:val="0"/>
                <w:sz w:val="22"/>
                <w:szCs w:val="22"/>
                <w:lang w:val="it-IT"/>
              </w:rPr>
              <w:t>Definizioni</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CC242B"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Pr>
                <w:lang w:val="it-IT"/>
              </w:rPr>
              <w:t>OIC 9.4</w:t>
            </w:r>
          </w:p>
        </w:tc>
        <w:tc>
          <w:tcPr>
            <w:tcW w:w="7060" w:type="dxa"/>
            <w:tcMar>
              <w:left w:w="108" w:type="dxa"/>
            </w:tcMar>
          </w:tcPr>
          <w:p w:rsidR="000019EF" w:rsidRPr="00805839" w:rsidRDefault="000019EF" w:rsidP="00D73E98">
            <w:pPr>
              <w:pStyle w:val="Commentiriquadro"/>
              <w:rPr>
                <w:lang w:eastAsia="it-IT"/>
              </w:rPr>
            </w:pPr>
            <w:r w:rsidRPr="00805839">
              <w:rPr>
                <w:lang w:eastAsia="it-IT"/>
              </w:rPr>
              <w:t xml:space="preserve">Si definisce </w:t>
            </w:r>
            <w:r w:rsidRPr="00805839">
              <w:rPr>
                <w:i/>
                <w:lang w:eastAsia="it-IT"/>
              </w:rPr>
              <w:t>perdita durevole di valore</w:t>
            </w:r>
            <w:r w:rsidRPr="00805839">
              <w:rPr>
                <w:lang w:eastAsia="it-IT"/>
              </w:rPr>
              <w:t xml:space="preserve"> la diminuzione di valore che rende il valore recuperabile di un’immobilizzazione, determinato in una prospettiva di lungo termine, inferiore rispetto al suo valore netto contabile.</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CC242B"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Pr>
                <w:lang w:val="it-IT"/>
              </w:rPr>
              <w:t>OIC 9.5</w:t>
            </w:r>
          </w:p>
        </w:tc>
        <w:tc>
          <w:tcPr>
            <w:tcW w:w="7060" w:type="dxa"/>
            <w:tcMar>
              <w:left w:w="108" w:type="dxa"/>
            </w:tcMar>
          </w:tcPr>
          <w:p w:rsidR="000019EF" w:rsidRPr="00805839" w:rsidRDefault="000019EF" w:rsidP="00D73E98">
            <w:pPr>
              <w:pStyle w:val="Commentiriquadro"/>
              <w:rPr>
                <w:lang w:eastAsia="it-IT"/>
              </w:rPr>
            </w:pPr>
            <w:r w:rsidRPr="00805839">
              <w:rPr>
                <w:lang w:eastAsia="it-IT"/>
              </w:rPr>
              <w:t xml:space="preserve">Si definisce </w:t>
            </w:r>
            <w:r w:rsidRPr="00805839">
              <w:rPr>
                <w:i/>
                <w:lang w:eastAsia="it-IT"/>
              </w:rPr>
              <w:t>valore recuperabile</w:t>
            </w:r>
            <w:r w:rsidRPr="00805839">
              <w:rPr>
                <w:lang w:eastAsia="it-IT"/>
              </w:rPr>
              <w:t xml:space="preserve"> di un’attività o di un’unità generatrice di flussi di cassa il maggiore tra il suo valore d’uso e il suo </w:t>
            </w:r>
            <w:r w:rsidRPr="00805839">
              <w:rPr>
                <w:i/>
                <w:lang w:eastAsia="it-IT"/>
              </w:rPr>
              <w:t>fair value</w:t>
            </w:r>
            <w:r w:rsidRPr="00805839">
              <w:rPr>
                <w:lang w:eastAsia="it-IT"/>
              </w:rPr>
              <w:t>, al netto dei costi di vendita. Alcuni esempi di costi di vendita sono le spese legali connesse alla transazione, imposte, e costi diretti necessari per rendere il bene pronto per la vendita.</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CC242B"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Pr>
                <w:lang w:val="it-IT"/>
              </w:rPr>
              <w:t>OIC 9.6</w:t>
            </w:r>
          </w:p>
        </w:tc>
        <w:tc>
          <w:tcPr>
            <w:tcW w:w="7060" w:type="dxa"/>
            <w:tcMar>
              <w:left w:w="108" w:type="dxa"/>
            </w:tcMar>
          </w:tcPr>
          <w:p w:rsidR="000019EF" w:rsidRPr="00805839" w:rsidRDefault="000019EF" w:rsidP="00D73E98">
            <w:pPr>
              <w:pStyle w:val="Commentiriquadro"/>
              <w:rPr>
                <w:lang w:eastAsia="it-IT"/>
              </w:rPr>
            </w:pPr>
            <w:r w:rsidRPr="00805839">
              <w:rPr>
                <w:lang w:eastAsia="it-IT"/>
              </w:rPr>
              <w:t xml:space="preserve">Si definisce </w:t>
            </w:r>
            <w:r w:rsidRPr="00805839">
              <w:rPr>
                <w:i/>
                <w:lang w:eastAsia="it-IT"/>
              </w:rPr>
              <w:t>valore d’uso</w:t>
            </w:r>
            <w:r w:rsidRPr="00805839">
              <w:rPr>
                <w:lang w:eastAsia="it-IT"/>
              </w:rPr>
              <w:t xml:space="preserve"> il valore attuale dei flussi di cassa attesi da un’attività o da un’unità generatrice di flussi di cassa.</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CC242B"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Pr>
                <w:lang w:val="it-IT"/>
              </w:rPr>
              <w:t>OIC 9.7</w:t>
            </w:r>
          </w:p>
        </w:tc>
        <w:tc>
          <w:tcPr>
            <w:tcW w:w="7060" w:type="dxa"/>
            <w:tcMar>
              <w:left w:w="108" w:type="dxa"/>
            </w:tcMar>
          </w:tcPr>
          <w:p w:rsidR="000019EF" w:rsidRPr="00805839" w:rsidRDefault="000019EF" w:rsidP="00D73E98">
            <w:pPr>
              <w:pStyle w:val="Commentiriquadro"/>
              <w:rPr>
                <w:lang w:eastAsia="it-IT"/>
              </w:rPr>
            </w:pPr>
            <w:r w:rsidRPr="00805839">
              <w:rPr>
                <w:lang w:eastAsia="it-IT"/>
              </w:rPr>
              <w:t xml:space="preserve">Il </w:t>
            </w:r>
            <w:r w:rsidRPr="00805839">
              <w:rPr>
                <w:i/>
                <w:lang w:eastAsia="it-IT"/>
              </w:rPr>
              <w:t>fair value</w:t>
            </w:r>
            <w:r w:rsidRPr="00805839">
              <w:rPr>
                <w:lang w:eastAsia="it-IT"/>
              </w:rPr>
              <w:t xml:space="preserve"> è il prezzo che si percepirebbe per la vendita di un’attività ovvero che si pagherebbe per il trasferimento di una passività in una regolare operazione tra operatori di mercato alla data di valutazione.</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CC242B"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Pr>
                <w:lang w:val="it-IT"/>
              </w:rPr>
              <w:t>OIC 9.8</w:t>
            </w:r>
          </w:p>
        </w:tc>
        <w:tc>
          <w:tcPr>
            <w:tcW w:w="7060" w:type="dxa"/>
            <w:tcMar>
              <w:left w:w="108" w:type="dxa"/>
            </w:tcMar>
          </w:tcPr>
          <w:p w:rsidR="000019EF" w:rsidRPr="00805839" w:rsidRDefault="000019EF" w:rsidP="00D73E98">
            <w:pPr>
              <w:pStyle w:val="Commentiriquadro"/>
              <w:rPr>
                <w:lang w:eastAsia="it-IT"/>
              </w:rPr>
            </w:pPr>
            <w:r w:rsidRPr="00805839">
              <w:rPr>
                <w:lang w:eastAsia="it-IT"/>
              </w:rPr>
              <w:t>Un’</w:t>
            </w:r>
            <w:r w:rsidRPr="00805839">
              <w:rPr>
                <w:i/>
                <w:lang w:eastAsia="it-IT"/>
              </w:rPr>
              <w:t xml:space="preserve">unità generatrice di flussi di cassa </w:t>
            </w:r>
            <w:r w:rsidRPr="00805839">
              <w:rPr>
                <w:lang w:eastAsia="it-IT"/>
              </w:rPr>
              <w:t>è il più piccolo gruppo identificabile di attività che include l’attività oggetto di valutazione e genera flussi finanziari in entrata che siano ampiamente indipendenti dai flussi finanziari in entrata generati da altre attività o gruppi di attività.</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CC242B"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Pr>
                <w:lang w:val="it-IT"/>
              </w:rPr>
              <w:t>OIC 9.9</w:t>
            </w:r>
          </w:p>
        </w:tc>
        <w:tc>
          <w:tcPr>
            <w:tcW w:w="7060" w:type="dxa"/>
            <w:tcMar>
              <w:left w:w="108" w:type="dxa"/>
            </w:tcMar>
          </w:tcPr>
          <w:p w:rsidR="000019EF" w:rsidRPr="00805839" w:rsidRDefault="000019EF" w:rsidP="00D73E98">
            <w:pPr>
              <w:pStyle w:val="Commentiriquadro"/>
              <w:rPr>
                <w:lang w:eastAsia="it-IT"/>
              </w:rPr>
            </w:pPr>
            <w:r w:rsidRPr="00805839">
              <w:rPr>
                <w:lang w:eastAsia="it-IT"/>
              </w:rPr>
              <w:t xml:space="preserve">La </w:t>
            </w:r>
            <w:r w:rsidRPr="00805839">
              <w:rPr>
                <w:i/>
                <w:lang w:eastAsia="it-IT"/>
              </w:rPr>
              <w:t>capacità di ammortamento</w:t>
            </w:r>
            <w:r w:rsidRPr="00805839">
              <w:rPr>
                <w:lang w:eastAsia="it-IT"/>
              </w:rPr>
              <w:t xml:space="preserve"> di un dato esercizio è costituita dal margine economico che la gestione mette a disposizione per la copertura degli ammortamenti. La capacità di ammortamento è determinata sottraendo algebricamente al risultato economico dell’esercizio gli ammortamenti delle immobilizzazioni.</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CC242B"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Pr>
                <w:lang w:val="it-IT"/>
              </w:rPr>
              <w:t>OIC 9.10</w:t>
            </w:r>
          </w:p>
        </w:tc>
        <w:tc>
          <w:tcPr>
            <w:tcW w:w="7060" w:type="dxa"/>
            <w:tcMar>
              <w:left w:w="108" w:type="dxa"/>
            </w:tcMar>
          </w:tcPr>
          <w:p w:rsidR="000019EF" w:rsidRPr="00805839" w:rsidRDefault="000019EF" w:rsidP="00D73E98">
            <w:pPr>
              <w:pStyle w:val="Commentiriquadro"/>
              <w:rPr>
                <w:lang w:eastAsia="it-IT"/>
              </w:rPr>
            </w:pPr>
            <w:r w:rsidRPr="00805839">
              <w:rPr>
                <w:lang w:eastAsia="it-IT"/>
              </w:rPr>
              <w:t xml:space="preserve">Il </w:t>
            </w:r>
            <w:r w:rsidRPr="00805839">
              <w:rPr>
                <w:i/>
                <w:lang w:eastAsia="it-IT"/>
              </w:rPr>
              <w:t>bilancio in forma ordinaria</w:t>
            </w:r>
            <w:r w:rsidRPr="00805839">
              <w:rPr>
                <w:lang w:eastAsia="it-IT"/>
              </w:rPr>
              <w:t xml:space="preserve"> è il bilancio redatto secondo le disposizioni del codice civile dalle società che non redigono il bilancio in forma abbreviata ai sensi dell’art. 2435-bis c.c. e che non redigono il bilancio ai sensi dell’art. 2435-ter c.c. (bilancio delle micro imprese).</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2310F2"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vAlign w:val="center"/>
          </w:tcPr>
          <w:p w:rsidR="000019EF" w:rsidRPr="00AB6830" w:rsidRDefault="000019EF" w:rsidP="00D73E98">
            <w:pPr>
              <w:pStyle w:val="Titolo3"/>
              <w:rPr>
                <w:i w:val="0"/>
                <w:sz w:val="22"/>
                <w:szCs w:val="22"/>
                <w:lang w:val="it-IT"/>
              </w:rPr>
            </w:pPr>
            <w:r w:rsidRPr="00AB6830">
              <w:rPr>
                <w:i w:val="0"/>
                <w:sz w:val="22"/>
                <w:szCs w:val="22"/>
                <w:lang w:val="it-IT"/>
              </w:rPr>
              <w:t>Classificazione</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BD07F7" w:rsidTr="00D73E98">
        <w:trPr>
          <w:cantSplit/>
          <w:trHeight w:val="20"/>
        </w:trPr>
        <w:tc>
          <w:tcPr>
            <w:tcW w:w="680" w:type="dxa"/>
          </w:tcPr>
          <w:p w:rsidR="000019EF" w:rsidRPr="009E48D7" w:rsidRDefault="000019EF" w:rsidP="00D73E98">
            <w:pPr>
              <w:jc w:val="center"/>
              <w:rPr>
                <w:b/>
                <w:lang w:val="it-IT"/>
              </w:rPr>
            </w:pPr>
            <w:r w:rsidRPr="009E48D7">
              <w:rPr>
                <w:b/>
                <w:lang w:val="it-IT"/>
              </w:rPr>
              <w:t>1)</w:t>
            </w:r>
          </w:p>
        </w:tc>
        <w:tc>
          <w:tcPr>
            <w:tcW w:w="851" w:type="dxa"/>
            <w:tcMar>
              <w:left w:w="108" w:type="dxa"/>
              <w:right w:w="0" w:type="dxa"/>
            </w:tcMar>
          </w:tcPr>
          <w:p w:rsidR="000019EF" w:rsidRDefault="000019EF" w:rsidP="00D73E98">
            <w:pPr>
              <w:pStyle w:val="PrincCont"/>
              <w:jc w:val="left"/>
              <w:rPr>
                <w:lang w:val="it-IT"/>
              </w:rPr>
            </w:pPr>
            <w:r>
              <w:rPr>
                <w:lang w:val="it-IT"/>
              </w:rPr>
              <w:t>OIC 9.11</w:t>
            </w:r>
          </w:p>
        </w:tc>
        <w:tc>
          <w:tcPr>
            <w:tcW w:w="7060" w:type="dxa"/>
            <w:tcMar>
              <w:left w:w="108" w:type="dxa"/>
            </w:tcMar>
          </w:tcPr>
          <w:p w:rsidR="000019EF" w:rsidRPr="00664787" w:rsidRDefault="000019EF" w:rsidP="00D73E98">
            <w:pPr>
              <w:spacing w:line="240" w:lineRule="exact"/>
              <w:rPr>
                <w:lang w:val="it-IT" w:eastAsia="it-IT"/>
              </w:rPr>
            </w:pPr>
            <w:r w:rsidRPr="00664787">
              <w:rPr>
                <w:lang w:val="it-IT" w:eastAsia="it-IT"/>
              </w:rPr>
              <w:t>Le perdite durevoli di valore sono rilevate nel conto economico nella voce B10c) “altre</w:t>
            </w:r>
            <w:r>
              <w:rPr>
                <w:lang w:val="it-IT" w:eastAsia="it-IT"/>
              </w:rPr>
              <w:t xml:space="preserve"> </w:t>
            </w:r>
            <w:r w:rsidRPr="00664787">
              <w:rPr>
                <w:lang w:val="it-IT" w:eastAsia="it-IT"/>
              </w:rPr>
              <w:t>svalu</w:t>
            </w:r>
            <w:r>
              <w:rPr>
                <w:lang w:val="it-IT" w:eastAsia="it-IT"/>
              </w:rPr>
              <w:t>tazioni delle immobilizzazioni”?</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BD07F7" w:rsidTr="00D73E98">
        <w:trPr>
          <w:cantSplit/>
          <w:trHeight w:val="20"/>
        </w:trPr>
        <w:tc>
          <w:tcPr>
            <w:tcW w:w="680" w:type="dxa"/>
          </w:tcPr>
          <w:p w:rsidR="000019EF" w:rsidRPr="009E48D7" w:rsidRDefault="000019EF" w:rsidP="00D73E98">
            <w:pPr>
              <w:jc w:val="center"/>
              <w:rPr>
                <w:b/>
                <w:lang w:val="it-IT"/>
              </w:rPr>
            </w:pPr>
            <w:r w:rsidRPr="009E48D7">
              <w:rPr>
                <w:b/>
                <w:lang w:val="it-IT"/>
              </w:rPr>
              <w:t>2)</w:t>
            </w:r>
          </w:p>
        </w:tc>
        <w:tc>
          <w:tcPr>
            <w:tcW w:w="851" w:type="dxa"/>
            <w:tcMar>
              <w:left w:w="108" w:type="dxa"/>
              <w:right w:w="0" w:type="dxa"/>
            </w:tcMar>
          </w:tcPr>
          <w:p w:rsidR="000019EF" w:rsidRDefault="000019EF" w:rsidP="00D73E98">
            <w:pPr>
              <w:pStyle w:val="PrincCont"/>
              <w:jc w:val="left"/>
              <w:rPr>
                <w:lang w:val="it-IT"/>
              </w:rPr>
            </w:pPr>
            <w:r>
              <w:rPr>
                <w:lang w:val="it-IT"/>
              </w:rPr>
              <w:t>OIC 9.11</w:t>
            </w:r>
          </w:p>
        </w:tc>
        <w:tc>
          <w:tcPr>
            <w:tcW w:w="7060" w:type="dxa"/>
            <w:tcMar>
              <w:left w:w="108" w:type="dxa"/>
            </w:tcMar>
          </w:tcPr>
          <w:p w:rsidR="000019EF" w:rsidRPr="00664787" w:rsidRDefault="000019EF" w:rsidP="00D73E98">
            <w:pPr>
              <w:overflowPunct/>
              <w:spacing w:before="0" w:after="0" w:line="240" w:lineRule="exact"/>
              <w:jc w:val="left"/>
              <w:textAlignment w:val="auto"/>
              <w:rPr>
                <w:lang w:val="it-IT" w:eastAsia="it-IT"/>
              </w:rPr>
            </w:pPr>
            <w:r w:rsidRPr="00664787">
              <w:rPr>
                <w:lang w:val="it-IT" w:eastAsia="it-IT"/>
              </w:rPr>
              <w:t>I ripristini di valore sono rilevati nella voce A5 “altri ricavi</w:t>
            </w:r>
            <w:r>
              <w:rPr>
                <w:lang w:val="it-IT" w:eastAsia="it-IT"/>
              </w:rPr>
              <w:t xml:space="preserve"> e proventi”?</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665B9D"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p>
        </w:tc>
        <w:tc>
          <w:tcPr>
            <w:tcW w:w="7060" w:type="dxa"/>
            <w:tcMar>
              <w:left w:w="108" w:type="dxa"/>
            </w:tcMar>
          </w:tcPr>
          <w:p w:rsidR="000019EF" w:rsidRPr="00D33C9A" w:rsidRDefault="000019EF" w:rsidP="00D73E98">
            <w:pPr>
              <w:spacing w:line="240" w:lineRule="exact"/>
              <w:rPr>
                <w:i/>
                <w:lang w:val="it-IT"/>
              </w:rPr>
            </w:pPr>
            <w:r w:rsidRPr="00D33C9A">
              <w:rPr>
                <w:b/>
                <w:bCs/>
                <w:i/>
                <w:lang w:val="it-IT" w:eastAsia="it-IT"/>
              </w:rPr>
              <w:t xml:space="preserve">Bilancio in forma abbreviata </w:t>
            </w:r>
          </w:p>
        </w:tc>
        <w:tc>
          <w:tcPr>
            <w:tcW w:w="586" w:type="dxa"/>
            <w:gridSpan w:val="2"/>
            <w:tcMar>
              <w:left w:w="85" w:type="dxa"/>
              <w:right w:w="85" w:type="dxa"/>
            </w:tcMar>
            <w:vAlign w:val="center"/>
          </w:tcPr>
          <w:p w:rsidR="000019EF" w:rsidRPr="00A32A16" w:rsidRDefault="000019EF" w:rsidP="00D73E98">
            <w:pPr>
              <w:jc w:val="center"/>
              <w:rPr>
                <w:lang w:val="it-IT"/>
              </w:rPr>
            </w:pPr>
          </w:p>
        </w:tc>
        <w:tc>
          <w:tcPr>
            <w:tcW w:w="573" w:type="dxa"/>
            <w:tcMar>
              <w:left w:w="108" w:type="dxa"/>
            </w:tcMar>
            <w:vAlign w:val="center"/>
          </w:tcPr>
          <w:p w:rsidR="000019EF" w:rsidRPr="00A32A16"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CC242B"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Pr>
                <w:lang w:val="it-IT"/>
              </w:rPr>
              <w:t>OIC 9.12</w:t>
            </w:r>
          </w:p>
        </w:tc>
        <w:tc>
          <w:tcPr>
            <w:tcW w:w="7060" w:type="dxa"/>
            <w:tcMar>
              <w:left w:w="108" w:type="dxa"/>
            </w:tcMar>
          </w:tcPr>
          <w:p w:rsidR="000019EF" w:rsidRPr="00805839" w:rsidRDefault="000019EF" w:rsidP="00D73E98">
            <w:pPr>
              <w:pStyle w:val="Commentiriquadro"/>
              <w:rPr>
                <w:lang w:eastAsia="it-IT"/>
              </w:rPr>
            </w:pPr>
            <w:r w:rsidRPr="00805839">
              <w:rPr>
                <w:lang w:eastAsia="it-IT"/>
              </w:rPr>
              <w:t xml:space="preserve">Ai sensi dell’articolo 2435-bis del codice civile, </w:t>
            </w:r>
            <w:r w:rsidRPr="00805839">
              <w:rPr>
                <w:i/>
                <w:lang w:eastAsia="it-IT"/>
              </w:rPr>
              <w:t>“nel conto economico del bilancio in forma abbreviata le seguenti voci previste dall’art. 2425 possono essere tra loro raggruppate: … voci B10(a), B10(b), B10(c)”</w:t>
            </w:r>
            <w:r w:rsidRPr="00805839">
              <w:rPr>
                <w:lang w:eastAsia="it-IT"/>
              </w:rPr>
              <w:t xml:space="preserve">. Pertanto, le voci relative all’ammortamento delle immobilizzazioni immateriali, all’ammortamento delle immobilizzazioni materiali, e alle altre svalutazioni delle immobilizzazioni possono essere tra loro raggruppate in un’unica voce denominata </w:t>
            </w:r>
            <w:r w:rsidRPr="00805839">
              <w:rPr>
                <w:i/>
                <w:lang w:eastAsia="it-IT"/>
              </w:rPr>
              <w:t>“ammortamento delle immobilizzazioni immateriali e materiali, altre svalutazioni delle immobilizzazioni”</w:t>
            </w:r>
            <w:r w:rsidRPr="00805839">
              <w:rPr>
                <w:lang w:eastAsia="it-IT"/>
              </w:rPr>
              <w:t>.</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CC242B" w:rsidTr="00D73E98">
        <w:trPr>
          <w:cantSplit/>
          <w:trHeight w:val="20"/>
        </w:trPr>
        <w:tc>
          <w:tcPr>
            <w:tcW w:w="680" w:type="dxa"/>
          </w:tcPr>
          <w:p w:rsidR="000019EF" w:rsidRPr="009E48D7" w:rsidRDefault="000019EF" w:rsidP="00D73E98">
            <w:pPr>
              <w:jc w:val="center"/>
              <w:rPr>
                <w:b/>
                <w:sz w:val="22"/>
                <w:lang w:val="it-IT"/>
              </w:rPr>
            </w:pPr>
          </w:p>
        </w:tc>
        <w:tc>
          <w:tcPr>
            <w:tcW w:w="851" w:type="dxa"/>
            <w:tcMar>
              <w:left w:w="108" w:type="dxa"/>
              <w:right w:w="0" w:type="dxa"/>
            </w:tcMar>
          </w:tcPr>
          <w:p w:rsidR="000019EF" w:rsidRPr="00D33C9A" w:rsidRDefault="000019EF" w:rsidP="00D73E98">
            <w:pPr>
              <w:pStyle w:val="PrincCont"/>
              <w:jc w:val="left"/>
              <w:rPr>
                <w:sz w:val="22"/>
                <w:lang w:val="it-IT"/>
              </w:rPr>
            </w:pPr>
          </w:p>
        </w:tc>
        <w:tc>
          <w:tcPr>
            <w:tcW w:w="7060" w:type="dxa"/>
            <w:tcMar>
              <w:left w:w="108" w:type="dxa"/>
            </w:tcMar>
            <w:vAlign w:val="center"/>
          </w:tcPr>
          <w:p w:rsidR="000019EF" w:rsidRPr="00D33C9A" w:rsidRDefault="000019EF" w:rsidP="00D73E98">
            <w:pPr>
              <w:pStyle w:val="Titolo3"/>
              <w:jc w:val="left"/>
              <w:rPr>
                <w:i w:val="0"/>
                <w:sz w:val="22"/>
                <w:lang w:val="it-IT"/>
              </w:rPr>
            </w:pPr>
            <w:r w:rsidRPr="00D33C9A">
              <w:rPr>
                <w:i w:val="0"/>
                <w:sz w:val="22"/>
                <w:lang w:val="it-IT"/>
              </w:rPr>
              <w:t>Determinazione delle perdite durevoli di valore</w:t>
            </w:r>
          </w:p>
        </w:tc>
        <w:tc>
          <w:tcPr>
            <w:tcW w:w="586" w:type="dxa"/>
            <w:gridSpan w:val="2"/>
            <w:tcMar>
              <w:left w:w="85" w:type="dxa"/>
              <w:right w:w="85" w:type="dxa"/>
            </w:tcMar>
            <w:vAlign w:val="center"/>
          </w:tcPr>
          <w:p w:rsidR="000019EF" w:rsidRPr="00D33C9A" w:rsidRDefault="000019EF" w:rsidP="00D73E98">
            <w:pPr>
              <w:jc w:val="center"/>
              <w:rPr>
                <w:sz w:val="22"/>
                <w:lang w:val="it-IT"/>
              </w:rPr>
            </w:pPr>
          </w:p>
        </w:tc>
        <w:tc>
          <w:tcPr>
            <w:tcW w:w="573" w:type="dxa"/>
            <w:tcMar>
              <w:left w:w="108" w:type="dxa"/>
            </w:tcMar>
            <w:vAlign w:val="center"/>
          </w:tcPr>
          <w:p w:rsidR="000019EF" w:rsidRPr="00D33C9A" w:rsidRDefault="000019EF" w:rsidP="00D73E98">
            <w:pPr>
              <w:jc w:val="center"/>
              <w:rPr>
                <w:sz w:val="22"/>
                <w:lang w:val="it-IT"/>
              </w:rPr>
            </w:pPr>
          </w:p>
        </w:tc>
        <w:tc>
          <w:tcPr>
            <w:tcW w:w="570" w:type="dxa"/>
            <w:tcMar>
              <w:left w:w="108" w:type="dxa"/>
            </w:tcMar>
            <w:vAlign w:val="center"/>
          </w:tcPr>
          <w:p w:rsidR="000019EF" w:rsidRPr="00D33C9A" w:rsidRDefault="000019EF" w:rsidP="00D73E98">
            <w:pPr>
              <w:jc w:val="center"/>
              <w:rPr>
                <w:sz w:val="22"/>
                <w:lang w:val="it-IT"/>
              </w:rPr>
            </w:pPr>
          </w:p>
        </w:tc>
      </w:tr>
      <w:tr w:rsidR="000019EF" w:rsidRPr="00B4263B"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7A66C2" w:rsidRDefault="000019EF" w:rsidP="00D73E98">
            <w:pPr>
              <w:pStyle w:val="PrincCont"/>
              <w:jc w:val="left"/>
              <w:rPr>
                <w:lang w:val="it-IT"/>
              </w:rPr>
            </w:pPr>
          </w:p>
        </w:tc>
        <w:tc>
          <w:tcPr>
            <w:tcW w:w="7060" w:type="dxa"/>
            <w:tcMar>
              <w:left w:w="108" w:type="dxa"/>
            </w:tcMar>
          </w:tcPr>
          <w:p w:rsidR="000019EF" w:rsidRPr="007A66C2" w:rsidRDefault="000019EF" w:rsidP="00D73E98">
            <w:pPr>
              <w:pStyle w:val="Titolo3"/>
              <w:rPr>
                <w:lang w:val="it-IT"/>
              </w:rPr>
            </w:pPr>
            <w:r>
              <w:rPr>
                <w:lang w:val="it-IT"/>
              </w:rPr>
              <w:t>Profili generali</w:t>
            </w:r>
          </w:p>
        </w:tc>
        <w:tc>
          <w:tcPr>
            <w:tcW w:w="586" w:type="dxa"/>
            <w:gridSpan w:val="2"/>
            <w:tcMar>
              <w:left w:w="85" w:type="dxa"/>
              <w:right w:w="85" w:type="dxa"/>
            </w:tcMar>
            <w:vAlign w:val="center"/>
          </w:tcPr>
          <w:p w:rsidR="000019EF" w:rsidRPr="007A66C2" w:rsidRDefault="000019EF" w:rsidP="00D73E98">
            <w:pPr>
              <w:jc w:val="center"/>
              <w:rPr>
                <w:lang w:val="it-IT"/>
              </w:rPr>
            </w:pPr>
          </w:p>
        </w:tc>
        <w:tc>
          <w:tcPr>
            <w:tcW w:w="573" w:type="dxa"/>
            <w:tcMar>
              <w:left w:w="108" w:type="dxa"/>
            </w:tcMar>
            <w:vAlign w:val="center"/>
          </w:tcPr>
          <w:p w:rsidR="000019EF" w:rsidRPr="007A66C2" w:rsidRDefault="000019EF" w:rsidP="00D73E98">
            <w:pPr>
              <w:jc w:val="center"/>
              <w:rPr>
                <w:lang w:val="it-IT"/>
              </w:rPr>
            </w:pPr>
          </w:p>
        </w:tc>
        <w:tc>
          <w:tcPr>
            <w:tcW w:w="570" w:type="dxa"/>
            <w:tcMar>
              <w:left w:w="108" w:type="dxa"/>
            </w:tcMar>
            <w:vAlign w:val="center"/>
          </w:tcPr>
          <w:p w:rsidR="000019EF" w:rsidRPr="007A66C2" w:rsidRDefault="000019EF" w:rsidP="00D73E98">
            <w:pPr>
              <w:jc w:val="center"/>
              <w:rPr>
                <w:lang w:val="it-IT"/>
              </w:rPr>
            </w:pPr>
          </w:p>
        </w:tc>
      </w:tr>
      <w:tr w:rsidR="000019EF" w:rsidRPr="00CC242B"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Pr>
                <w:lang w:val="it-IT"/>
              </w:rPr>
              <w:t>OIC 9.14</w:t>
            </w:r>
          </w:p>
        </w:tc>
        <w:tc>
          <w:tcPr>
            <w:tcW w:w="7060" w:type="dxa"/>
            <w:tcMar>
              <w:left w:w="108" w:type="dxa"/>
            </w:tcMar>
          </w:tcPr>
          <w:p w:rsidR="000019EF" w:rsidRPr="00805839" w:rsidRDefault="000019EF" w:rsidP="00D73E98">
            <w:pPr>
              <w:pStyle w:val="Commentiriquadro"/>
              <w:rPr>
                <w:lang w:eastAsia="it-IT"/>
              </w:rPr>
            </w:pPr>
            <w:r w:rsidRPr="00805839">
              <w:rPr>
                <w:lang w:eastAsia="it-IT"/>
              </w:rPr>
              <w:t>Se il valore recuperabile di un’immobilizzazione è inferiore al suo valore contabile, l’immobilizzazione si rileva a tale minor valore. La differenza è imputata nel conto economico come perdita durevole di valore.</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CC242B"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Pr>
                <w:lang w:val="it-IT"/>
              </w:rPr>
              <w:t>OIC 9.15</w:t>
            </w:r>
          </w:p>
        </w:tc>
        <w:tc>
          <w:tcPr>
            <w:tcW w:w="7060" w:type="dxa"/>
            <w:tcMar>
              <w:left w:w="108" w:type="dxa"/>
            </w:tcMar>
          </w:tcPr>
          <w:p w:rsidR="000019EF" w:rsidRPr="00805839" w:rsidRDefault="000019EF" w:rsidP="00D73E98">
            <w:pPr>
              <w:pStyle w:val="Commentiriquadro"/>
              <w:rPr>
                <w:lang w:eastAsia="it-IT"/>
              </w:rPr>
            </w:pPr>
            <w:r w:rsidRPr="00805839">
              <w:rPr>
                <w:lang w:eastAsia="it-IT"/>
              </w:rPr>
              <w:t>Se non è possibile stimare il valore recuperabile della singola immobilizzazione, la società determina il valore recuperabile dell’unità generatrice di flussi di cassa alla quale l’immobilizzazione appartiene. Ciò si verifica quando le singole immobilizzazioni non generano flussi di cassa in via autonoma rispetto alle altre immobilizzazioni.</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CC242B"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7A66C2" w:rsidRDefault="000019EF" w:rsidP="00D73E98">
            <w:pPr>
              <w:pStyle w:val="PrincCont"/>
              <w:jc w:val="left"/>
              <w:rPr>
                <w:lang w:val="it-IT"/>
              </w:rPr>
            </w:pPr>
          </w:p>
        </w:tc>
        <w:tc>
          <w:tcPr>
            <w:tcW w:w="7060" w:type="dxa"/>
            <w:tcMar>
              <w:left w:w="108" w:type="dxa"/>
            </w:tcMar>
          </w:tcPr>
          <w:p w:rsidR="000019EF" w:rsidRPr="007A66C2" w:rsidRDefault="000019EF" w:rsidP="00D73E98">
            <w:pPr>
              <w:pStyle w:val="Titolo3"/>
              <w:rPr>
                <w:lang w:val="it-IT"/>
              </w:rPr>
            </w:pPr>
            <w:r w:rsidRPr="007A66C2">
              <w:rPr>
                <w:lang w:val="it-IT"/>
              </w:rPr>
              <w:t>Indicatori di potenziali perdite di valore</w:t>
            </w:r>
          </w:p>
        </w:tc>
        <w:tc>
          <w:tcPr>
            <w:tcW w:w="586" w:type="dxa"/>
            <w:gridSpan w:val="2"/>
            <w:tcMar>
              <w:left w:w="85" w:type="dxa"/>
              <w:right w:w="85" w:type="dxa"/>
            </w:tcMar>
            <w:vAlign w:val="center"/>
          </w:tcPr>
          <w:p w:rsidR="000019EF" w:rsidRPr="007A66C2" w:rsidRDefault="000019EF" w:rsidP="00D73E98">
            <w:pPr>
              <w:jc w:val="center"/>
              <w:rPr>
                <w:lang w:val="it-IT"/>
              </w:rPr>
            </w:pPr>
          </w:p>
        </w:tc>
        <w:tc>
          <w:tcPr>
            <w:tcW w:w="573" w:type="dxa"/>
            <w:tcMar>
              <w:left w:w="108" w:type="dxa"/>
            </w:tcMar>
            <w:vAlign w:val="center"/>
          </w:tcPr>
          <w:p w:rsidR="000019EF" w:rsidRPr="007A66C2" w:rsidRDefault="000019EF" w:rsidP="00D73E98">
            <w:pPr>
              <w:jc w:val="center"/>
              <w:rPr>
                <w:lang w:val="it-IT"/>
              </w:rPr>
            </w:pPr>
          </w:p>
        </w:tc>
        <w:tc>
          <w:tcPr>
            <w:tcW w:w="570" w:type="dxa"/>
            <w:tcMar>
              <w:left w:w="108" w:type="dxa"/>
            </w:tcMar>
            <w:vAlign w:val="center"/>
          </w:tcPr>
          <w:p w:rsidR="000019EF" w:rsidRPr="007A66C2" w:rsidRDefault="000019EF" w:rsidP="00D73E98">
            <w:pPr>
              <w:jc w:val="center"/>
              <w:rPr>
                <w:lang w:val="it-IT"/>
              </w:rPr>
            </w:pPr>
          </w:p>
        </w:tc>
      </w:tr>
      <w:tr w:rsidR="000019EF" w:rsidRPr="00492518" w:rsidTr="00D73E98">
        <w:trPr>
          <w:cantSplit/>
          <w:trHeight w:val="20"/>
        </w:trPr>
        <w:tc>
          <w:tcPr>
            <w:tcW w:w="680" w:type="dxa"/>
          </w:tcPr>
          <w:p w:rsidR="000019EF" w:rsidRPr="009E48D7" w:rsidRDefault="000019EF" w:rsidP="00D73E98">
            <w:pPr>
              <w:jc w:val="center"/>
              <w:rPr>
                <w:b/>
                <w:lang w:val="it-IT"/>
              </w:rPr>
            </w:pPr>
            <w:r w:rsidRPr="009E48D7">
              <w:rPr>
                <w:b/>
                <w:lang w:val="it-IT"/>
              </w:rPr>
              <w:t>3)</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16</w:t>
            </w:r>
          </w:p>
        </w:tc>
        <w:tc>
          <w:tcPr>
            <w:tcW w:w="7060" w:type="dxa"/>
            <w:tcMar>
              <w:left w:w="108" w:type="dxa"/>
            </w:tcMar>
          </w:tcPr>
          <w:p w:rsidR="000019EF" w:rsidRDefault="000019EF" w:rsidP="00D73E98">
            <w:pPr>
              <w:spacing w:line="230" w:lineRule="exact"/>
              <w:rPr>
                <w:lang w:val="it-IT"/>
              </w:rPr>
            </w:pPr>
            <w:r w:rsidRPr="007A66C2">
              <w:rPr>
                <w:lang w:val="it-IT"/>
              </w:rPr>
              <w:t>La società valuta a ogni data di riferimento del bilancio se esiste un indicatore che un’immobilizzazione possa aver</w:t>
            </w:r>
            <w:r>
              <w:rPr>
                <w:lang w:val="it-IT"/>
              </w:rPr>
              <w:t xml:space="preserve"> subito una riduzione di valore?</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CC242B" w:rsidTr="00D73E98">
        <w:trPr>
          <w:cantSplit/>
          <w:trHeight w:val="20"/>
        </w:trPr>
        <w:tc>
          <w:tcPr>
            <w:tcW w:w="680" w:type="dxa"/>
          </w:tcPr>
          <w:p w:rsidR="000019EF" w:rsidRPr="009E48D7" w:rsidRDefault="000019EF" w:rsidP="00D73E98">
            <w:pPr>
              <w:jc w:val="center"/>
              <w:rPr>
                <w:b/>
                <w:lang w:val="it-IT"/>
              </w:rPr>
            </w:pPr>
            <w:r w:rsidRPr="009E48D7">
              <w:rPr>
                <w:b/>
                <w:lang w:val="it-IT"/>
              </w:rPr>
              <w:t>4)</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17</w:t>
            </w:r>
          </w:p>
        </w:tc>
        <w:tc>
          <w:tcPr>
            <w:tcW w:w="7060" w:type="dxa"/>
            <w:tcMar>
              <w:left w:w="108" w:type="dxa"/>
            </w:tcMar>
          </w:tcPr>
          <w:p w:rsidR="000019EF" w:rsidRPr="001A762E" w:rsidRDefault="000019EF" w:rsidP="00D73E98">
            <w:pPr>
              <w:pStyle w:val="Titolo3"/>
              <w:spacing w:line="230" w:lineRule="exact"/>
              <w:rPr>
                <w:b w:val="0"/>
                <w:i w:val="0"/>
                <w:lang w:val="it-IT"/>
              </w:rPr>
            </w:pPr>
            <w:r w:rsidRPr="001A762E">
              <w:rPr>
                <w:b w:val="0"/>
                <w:i w:val="0"/>
                <w:lang w:val="it-IT"/>
              </w:rPr>
              <w:t>Nel valutare se esiste un’indicazione che un’attività possa aver subito una perdita durevole di valore, la società considera, com</w:t>
            </w:r>
            <w:r w:rsidR="006E0FCA">
              <w:rPr>
                <w:b w:val="0"/>
                <w:i w:val="0"/>
                <w:lang w:val="it-IT"/>
              </w:rPr>
              <w:t>e minimo, i seguenti indicatori:</w:t>
            </w:r>
          </w:p>
        </w:tc>
        <w:tc>
          <w:tcPr>
            <w:tcW w:w="586" w:type="dxa"/>
            <w:gridSpan w:val="2"/>
            <w:tcMar>
              <w:left w:w="85" w:type="dxa"/>
              <w:right w:w="85" w:type="dxa"/>
            </w:tcMar>
            <w:vAlign w:val="center"/>
          </w:tcPr>
          <w:p w:rsidR="000019EF" w:rsidRPr="00492518" w:rsidRDefault="000019EF" w:rsidP="00D73E98">
            <w:pPr>
              <w:jc w:val="center"/>
              <w:rPr>
                <w:lang w:val="it-IT"/>
              </w:rPr>
            </w:pPr>
          </w:p>
        </w:tc>
        <w:tc>
          <w:tcPr>
            <w:tcW w:w="573" w:type="dxa"/>
            <w:tcMar>
              <w:left w:w="108" w:type="dxa"/>
            </w:tcMar>
            <w:vAlign w:val="center"/>
          </w:tcPr>
          <w:p w:rsidR="000019EF" w:rsidRPr="00492518" w:rsidRDefault="000019EF" w:rsidP="00D73E98">
            <w:pPr>
              <w:jc w:val="center"/>
              <w:rPr>
                <w:lang w:val="it-IT"/>
              </w:rPr>
            </w:pPr>
          </w:p>
        </w:tc>
        <w:tc>
          <w:tcPr>
            <w:tcW w:w="570" w:type="dxa"/>
            <w:tcMar>
              <w:left w:w="108" w:type="dxa"/>
            </w:tcMar>
            <w:vAlign w:val="center"/>
          </w:tcPr>
          <w:p w:rsidR="000019EF" w:rsidRPr="00492518" w:rsidRDefault="000019EF" w:rsidP="00D73E98">
            <w:pPr>
              <w:jc w:val="center"/>
              <w:rPr>
                <w:lang w:val="it-IT"/>
              </w:rPr>
            </w:pP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9D08A3" w:rsidRDefault="0031795A" w:rsidP="0031795A">
            <w:pPr>
              <w:pStyle w:val="rientrotrattinook"/>
              <w:numPr>
                <w:ilvl w:val="0"/>
                <w:numId w:val="0"/>
              </w:numPr>
              <w:ind w:left="460" w:hanging="284"/>
            </w:pPr>
            <w:r>
              <w:t>-</w:t>
            </w:r>
            <w:r>
              <w:tab/>
            </w:r>
            <w:r w:rsidR="000019EF" w:rsidRPr="007A66C2">
              <w:t>il valore di mercato di un’attività è diminuito significativamente durante l’esercizio, più di quanto si prevedeva sarebbe accaduto con il passare del tempo o con l’uso normale dell’attività in oggetto</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9D08A3" w:rsidRDefault="0031795A" w:rsidP="0031795A">
            <w:pPr>
              <w:pStyle w:val="rientrotrattinook"/>
              <w:numPr>
                <w:ilvl w:val="0"/>
                <w:numId w:val="0"/>
              </w:numPr>
              <w:ind w:left="460" w:hanging="284"/>
            </w:pPr>
            <w:r>
              <w:t>-</w:t>
            </w:r>
            <w:r>
              <w:tab/>
            </w:r>
            <w:r w:rsidR="000019EF" w:rsidRPr="006B6DCE">
              <w:t>durante l’esercizio si sono verificate, o si verificheranno nel futuro prossimo, variazioni significative con effetto negativo per la società nell’ambiente tecnologico, di mercato, economico o normativo in cui la società opera o nel me</w:t>
            </w:r>
            <w:r w:rsidR="000019EF">
              <w:t>rcato cui un’attività è rivolta</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6B6DCE" w:rsidRDefault="0031795A" w:rsidP="0031795A">
            <w:pPr>
              <w:pStyle w:val="rientrotrattinook"/>
              <w:numPr>
                <w:ilvl w:val="0"/>
                <w:numId w:val="0"/>
              </w:numPr>
              <w:ind w:left="460" w:hanging="284"/>
            </w:pPr>
            <w:r>
              <w:t>-</w:t>
            </w:r>
            <w:r>
              <w:tab/>
            </w:r>
            <w:r w:rsidR="000019EF" w:rsidRPr="006B6DCE">
              <w:t>nel corso dell’esercizio sono aumentati i tassi di interesse di mercato o altri tassi di rendimento degli investimenti, ed è probabile che tali incrementi condizionino il tasso di attualizzazione utilizzato nel calcolo del valore d’uso di un’att</w:t>
            </w:r>
            <w:r w:rsidR="000019EF">
              <w:t>ività e riducano il valore equo</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C746FE" w:rsidRDefault="0031795A" w:rsidP="0031795A">
            <w:pPr>
              <w:pStyle w:val="rientrotrattinook"/>
              <w:numPr>
                <w:ilvl w:val="0"/>
                <w:numId w:val="0"/>
              </w:numPr>
              <w:ind w:left="460" w:hanging="284"/>
            </w:pPr>
            <w:r>
              <w:t>-</w:t>
            </w:r>
            <w:r>
              <w:tab/>
            </w:r>
            <w:r w:rsidR="000019EF" w:rsidRPr="00C746FE">
              <w:t>il valore contabile delle attività nette della società è superiore al loro valore equo stimato della società (una tale stima sarà effettuata, per esempio, in relazione alla</w:t>
            </w:r>
            <w:r w:rsidR="000019EF">
              <w:t xml:space="preserve"> </w:t>
            </w:r>
            <w:r w:rsidR="000019EF" w:rsidRPr="00C746FE">
              <w:t>vendita potenziale di tu</w:t>
            </w:r>
            <w:r w:rsidR="000019EF">
              <w:t>tta la società o parte di essa)</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C746FE" w:rsidRDefault="0031795A" w:rsidP="0031795A">
            <w:pPr>
              <w:pStyle w:val="rientrotrattinook"/>
              <w:numPr>
                <w:ilvl w:val="0"/>
                <w:numId w:val="0"/>
              </w:numPr>
              <w:ind w:left="460" w:hanging="284"/>
            </w:pPr>
            <w:r>
              <w:t>-</w:t>
            </w:r>
            <w:r>
              <w:tab/>
            </w:r>
            <w:r w:rsidR="000019EF" w:rsidRPr="00C746FE">
              <w:t xml:space="preserve">l’obsolescenza o il deterioramento fisico </w:t>
            </w:r>
            <w:r w:rsidR="000019EF">
              <w:t>di un’attività risulta evidente</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9D08A3" w:rsidRDefault="0031795A" w:rsidP="0031795A">
            <w:pPr>
              <w:pStyle w:val="rientrotrattinook"/>
              <w:numPr>
                <w:ilvl w:val="0"/>
                <w:numId w:val="0"/>
              </w:numPr>
              <w:ind w:left="460" w:hanging="284"/>
            </w:pPr>
            <w:r>
              <w:t>-</w:t>
            </w:r>
            <w:r>
              <w:tab/>
            </w:r>
            <w:r w:rsidR="006E0FCA">
              <w:t xml:space="preserve">se </w:t>
            </w:r>
            <w:r w:rsidR="000019EF" w:rsidRPr="00C746FE">
              <w:t xml:space="preserve">nel corso dell’esercizio si sono verificati significativi cambiamenti con effetto negativo sulla società, oppure si suppone che si verificheranno nel prossimo futuro, nella misura o nel modo in cui un’attività viene utilizzata o ci si attende sarà utilizzata. </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6E0FCA" w:rsidRPr="00CC242B" w:rsidTr="00D73E98">
        <w:trPr>
          <w:cantSplit/>
          <w:trHeight w:val="20"/>
        </w:trPr>
        <w:tc>
          <w:tcPr>
            <w:tcW w:w="680" w:type="dxa"/>
          </w:tcPr>
          <w:p w:rsidR="006E0FCA" w:rsidRPr="009E48D7" w:rsidRDefault="006E0FCA" w:rsidP="00D73E98">
            <w:pPr>
              <w:jc w:val="center"/>
              <w:rPr>
                <w:b/>
                <w:lang w:val="it-IT"/>
              </w:rPr>
            </w:pPr>
          </w:p>
        </w:tc>
        <w:tc>
          <w:tcPr>
            <w:tcW w:w="851" w:type="dxa"/>
            <w:tcMar>
              <w:left w:w="108" w:type="dxa"/>
              <w:right w:w="0" w:type="dxa"/>
            </w:tcMar>
          </w:tcPr>
          <w:p w:rsidR="006E0FCA" w:rsidRDefault="006E0FCA" w:rsidP="00D73E98">
            <w:pPr>
              <w:pStyle w:val="PrincCont"/>
              <w:jc w:val="left"/>
              <w:rPr>
                <w:lang w:val="it-IT"/>
              </w:rPr>
            </w:pPr>
          </w:p>
        </w:tc>
        <w:tc>
          <w:tcPr>
            <w:tcW w:w="7060" w:type="dxa"/>
            <w:tcMar>
              <w:left w:w="108" w:type="dxa"/>
            </w:tcMar>
          </w:tcPr>
          <w:p w:rsidR="006E0FCA" w:rsidRPr="00C746FE" w:rsidRDefault="006E0FCA" w:rsidP="006E0FCA">
            <w:pPr>
              <w:pStyle w:val="Commentiriquadro"/>
            </w:pPr>
            <w:r w:rsidRPr="00C746FE">
              <w:t>Tali cambiamenti includono casi quali:</w:t>
            </w:r>
          </w:p>
          <w:p w:rsidR="006E0FCA" w:rsidRPr="00380355" w:rsidRDefault="006E0FCA" w:rsidP="0031795A">
            <w:pPr>
              <w:pStyle w:val="Commentiriquadro"/>
              <w:ind w:left="176" w:hanging="119"/>
            </w:pPr>
            <w:r>
              <w:t>-</w:t>
            </w:r>
            <w:r w:rsidR="0031795A">
              <w:tab/>
            </w:r>
            <w:r>
              <w:t xml:space="preserve"> </w:t>
            </w:r>
            <w:r w:rsidRPr="00380355">
              <w:t xml:space="preserve">l’attività diventa inutilizzata, </w:t>
            </w:r>
          </w:p>
          <w:p w:rsidR="006E0FCA" w:rsidRPr="00380355" w:rsidRDefault="006E0FCA" w:rsidP="0031795A">
            <w:pPr>
              <w:pStyle w:val="Commentiriquadro"/>
              <w:ind w:left="176" w:hanging="119"/>
            </w:pPr>
            <w:r>
              <w:t>-</w:t>
            </w:r>
            <w:r w:rsidR="0031795A">
              <w:tab/>
            </w:r>
            <w:r>
              <w:t xml:space="preserve"> </w:t>
            </w:r>
            <w:r w:rsidRPr="00380355">
              <w:t xml:space="preserve">piani di dismissione o ristrutturazione del settore operativo al quale l’attività appartiene, </w:t>
            </w:r>
          </w:p>
          <w:p w:rsidR="006E0FCA" w:rsidRDefault="006E0FCA" w:rsidP="0031795A">
            <w:pPr>
              <w:pStyle w:val="Commentiriquadro"/>
              <w:ind w:left="176" w:hanging="119"/>
            </w:pPr>
            <w:r>
              <w:t xml:space="preserve">- </w:t>
            </w:r>
            <w:r w:rsidR="0031795A">
              <w:tab/>
            </w:r>
            <w:r w:rsidRPr="00380355">
              <w:t xml:space="preserve">piani di dismissione dell’attività prima della data prima prevista, </w:t>
            </w:r>
          </w:p>
          <w:p w:rsidR="006E0FCA" w:rsidRDefault="006E0FCA" w:rsidP="0031795A">
            <w:pPr>
              <w:pStyle w:val="Commentiriquadro"/>
              <w:ind w:left="176" w:hanging="119"/>
            </w:pPr>
            <w:r>
              <w:t xml:space="preserve">- </w:t>
            </w:r>
            <w:r w:rsidR="0031795A">
              <w:tab/>
            </w:r>
            <w:r w:rsidRPr="00380355">
              <w:t>la ridefinizione della v</w:t>
            </w:r>
            <w:r w:rsidR="000436C1">
              <w:t>ita utile dell’immobilizzazione,</w:t>
            </w:r>
          </w:p>
          <w:p w:rsidR="000436C1" w:rsidRDefault="000436C1" w:rsidP="0031795A">
            <w:pPr>
              <w:pStyle w:val="Commentiriquadro"/>
              <w:ind w:left="176" w:hanging="119"/>
            </w:pPr>
            <w:r>
              <w:t>-</w:t>
            </w:r>
            <w:r w:rsidR="0031795A">
              <w:tab/>
            </w:r>
            <w:r>
              <w:t xml:space="preserve"> </w:t>
            </w:r>
            <w:r w:rsidRPr="00C746FE">
              <w:t>dall’informativa interna risulta evidente che l’andamento economico di un’attività è, o sa</w:t>
            </w:r>
            <w:r>
              <w:t>rà, peggiore di quanto previsto</w:t>
            </w:r>
          </w:p>
        </w:tc>
        <w:tc>
          <w:tcPr>
            <w:tcW w:w="586" w:type="dxa"/>
            <w:gridSpan w:val="2"/>
            <w:tcMar>
              <w:left w:w="85" w:type="dxa"/>
              <w:right w:w="85" w:type="dxa"/>
            </w:tcMar>
            <w:vAlign w:val="center"/>
          </w:tcPr>
          <w:p w:rsidR="006E0FCA" w:rsidRPr="006E0FCA" w:rsidRDefault="006E0FCA" w:rsidP="00D73E98">
            <w:pPr>
              <w:jc w:val="center"/>
              <w:rPr>
                <w:lang w:val="it-IT"/>
              </w:rPr>
            </w:pPr>
          </w:p>
        </w:tc>
        <w:tc>
          <w:tcPr>
            <w:tcW w:w="573" w:type="dxa"/>
            <w:tcMar>
              <w:left w:w="108" w:type="dxa"/>
            </w:tcMar>
            <w:vAlign w:val="center"/>
          </w:tcPr>
          <w:p w:rsidR="006E0FCA" w:rsidRPr="006E0FCA" w:rsidRDefault="006E0FCA" w:rsidP="00D73E98">
            <w:pPr>
              <w:jc w:val="center"/>
              <w:rPr>
                <w:lang w:val="it-IT"/>
              </w:rPr>
            </w:pPr>
          </w:p>
        </w:tc>
        <w:tc>
          <w:tcPr>
            <w:tcW w:w="570" w:type="dxa"/>
            <w:tcMar>
              <w:left w:w="108" w:type="dxa"/>
            </w:tcMar>
            <w:vAlign w:val="center"/>
          </w:tcPr>
          <w:p w:rsidR="006E0FCA" w:rsidRPr="006E0FCA" w:rsidRDefault="006E0FCA" w:rsidP="00D73E98">
            <w:pPr>
              <w:jc w:val="center"/>
              <w:rPr>
                <w:lang w:val="it-IT"/>
              </w:rPr>
            </w:pPr>
          </w:p>
        </w:tc>
      </w:tr>
      <w:tr w:rsidR="000019EF" w:rsidRPr="00492518" w:rsidTr="00D73E98">
        <w:trPr>
          <w:cantSplit/>
          <w:trHeight w:val="20"/>
        </w:trPr>
        <w:tc>
          <w:tcPr>
            <w:tcW w:w="680" w:type="dxa"/>
          </w:tcPr>
          <w:p w:rsidR="000019EF" w:rsidRPr="009E48D7" w:rsidRDefault="00C27BCC" w:rsidP="00D73E98">
            <w:pPr>
              <w:jc w:val="center"/>
              <w:rPr>
                <w:b/>
                <w:lang w:val="it-IT"/>
              </w:rPr>
            </w:pPr>
            <w:r>
              <w:rPr>
                <w:b/>
                <w:lang w:val="it-IT"/>
              </w:rPr>
              <w:t>5</w:t>
            </w:r>
            <w:r w:rsidR="000019EF"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18</w:t>
            </w:r>
          </w:p>
        </w:tc>
        <w:tc>
          <w:tcPr>
            <w:tcW w:w="7060" w:type="dxa"/>
            <w:tcMar>
              <w:left w:w="108" w:type="dxa"/>
            </w:tcMar>
          </w:tcPr>
          <w:p w:rsidR="000019EF" w:rsidRPr="00C62102" w:rsidRDefault="000019EF" w:rsidP="00D73E98">
            <w:pPr>
              <w:spacing w:line="230" w:lineRule="exact"/>
              <w:rPr>
                <w:lang w:val="it-IT"/>
              </w:rPr>
            </w:pPr>
            <w:r w:rsidRPr="00E4128A">
              <w:rPr>
                <w:lang w:val="it-IT"/>
              </w:rPr>
              <w:t xml:space="preserve">Se esiste un’indicazione che un’attività possa aver subito una perdita durevole di valore, </w:t>
            </w:r>
            <w:r>
              <w:rPr>
                <w:lang w:val="it-IT"/>
              </w:rPr>
              <w:t>la società ha considerato di</w:t>
            </w:r>
            <w:r w:rsidRPr="00E4128A">
              <w:rPr>
                <w:lang w:val="it-IT"/>
              </w:rPr>
              <w:t xml:space="preserve"> rivederne la vita utile residua, il criterio di ammortamento o il valore residuo e rettificarli conformemente, a prescindere dal fatto che la perdita </w:t>
            </w:r>
            <w:r>
              <w:rPr>
                <w:lang w:val="it-IT"/>
              </w:rPr>
              <w:t>sia stata poi effettivamente rilevata?</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107894"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0C687E" w:rsidRDefault="000019EF" w:rsidP="00D73E98">
            <w:pPr>
              <w:pStyle w:val="Titolo4"/>
              <w:rPr>
                <w:b/>
              </w:rPr>
            </w:pPr>
            <w:r w:rsidRPr="000C687E">
              <w:rPr>
                <w:b/>
              </w:rPr>
              <w:t>Determinazione del valore recuperabile</w:t>
            </w:r>
          </w:p>
        </w:tc>
        <w:tc>
          <w:tcPr>
            <w:tcW w:w="586" w:type="dxa"/>
            <w:gridSpan w:val="2"/>
            <w:tcMar>
              <w:left w:w="85" w:type="dxa"/>
              <w:right w:w="85" w:type="dxa"/>
            </w:tcMar>
            <w:vAlign w:val="center"/>
          </w:tcPr>
          <w:p w:rsidR="000019EF" w:rsidRPr="00492518" w:rsidRDefault="000019EF" w:rsidP="00D73E98">
            <w:pPr>
              <w:jc w:val="center"/>
              <w:rPr>
                <w:lang w:val="it-IT"/>
              </w:rPr>
            </w:pPr>
          </w:p>
        </w:tc>
        <w:tc>
          <w:tcPr>
            <w:tcW w:w="573" w:type="dxa"/>
            <w:tcMar>
              <w:left w:w="108" w:type="dxa"/>
            </w:tcMar>
            <w:vAlign w:val="center"/>
          </w:tcPr>
          <w:p w:rsidR="000019EF" w:rsidRPr="00492518" w:rsidRDefault="000019EF" w:rsidP="00D73E98">
            <w:pPr>
              <w:jc w:val="center"/>
              <w:rPr>
                <w:lang w:val="it-IT"/>
              </w:rPr>
            </w:pPr>
          </w:p>
        </w:tc>
        <w:tc>
          <w:tcPr>
            <w:tcW w:w="570" w:type="dxa"/>
            <w:tcMar>
              <w:left w:w="108" w:type="dxa"/>
            </w:tcMar>
            <w:vAlign w:val="center"/>
          </w:tcPr>
          <w:p w:rsidR="000019EF" w:rsidRPr="00492518" w:rsidRDefault="000019EF" w:rsidP="00D73E98">
            <w:pPr>
              <w:jc w:val="center"/>
              <w:rPr>
                <w:lang w:val="it-IT"/>
              </w:rPr>
            </w:pPr>
          </w:p>
        </w:tc>
      </w:tr>
      <w:tr w:rsidR="000019EF" w:rsidRPr="00CC242B"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19</w:t>
            </w:r>
          </w:p>
          <w:p w:rsidR="000019EF" w:rsidRDefault="000019EF" w:rsidP="00D73E98">
            <w:pPr>
              <w:pStyle w:val="PrincCont"/>
              <w:jc w:val="left"/>
              <w:rPr>
                <w:lang w:val="it-IT"/>
              </w:rPr>
            </w:pPr>
          </w:p>
        </w:tc>
        <w:tc>
          <w:tcPr>
            <w:tcW w:w="7060" w:type="dxa"/>
            <w:tcMar>
              <w:left w:w="108" w:type="dxa"/>
            </w:tcMar>
          </w:tcPr>
          <w:p w:rsidR="000019EF" w:rsidRPr="00ED2C18" w:rsidRDefault="000019EF" w:rsidP="00D73E98">
            <w:pPr>
              <w:pStyle w:val="Commentiriquadro"/>
              <w:rPr>
                <w:lang w:eastAsia="it-IT"/>
              </w:rPr>
            </w:pPr>
            <w:r w:rsidRPr="00EE31E6">
              <w:rPr>
                <w:lang w:eastAsia="it-IT"/>
              </w:rPr>
              <w:t xml:space="preserve">Il valore recuperabile di un’attività è il maggiore tra il suo valore equo e il suo valore d’uso. </w:t>
            </w:r>
            <w:r w:rsidRPr="004647C2">
              <w:rPr>
                <w:lang w:eastAsia="it-IT"/>
              </w:rPr>
              <w:t>Se non è possibile stimare il valore recuperabile della singola immobilizzazione, la società determina il valore recuperabile dell’unità generatrice di flussi di cassa alla quale</w:t>
            </w:r>
            <w:r>
              <w:rPr>
                <w:lang w:eastAsia="it-IT"/>
              </w:rPr>
              <w:t xml:space="preserve"> l’immobilizzazione appartiene (UGC)</w:t>
            </w:r>
            <w:r w:rsidRPr="00EE31E6">
              <w:rPr>
                <w:lang w:eastAsia="it-IT"/>
              </w:rPr>
              <w:t>.</w:t>
            </w:r>
            <w:r>
              <w:rPr>
                <w:lang w:eastAsia="it-IT"/>
              </w:rPr>
              <w:t xml:space="preserve"> </w:t>
            </w:r>
            <w:r w:rsidRPr="004647C2">
              <w:rPr>
                <w:lang w:eastAsia="it-IT"/>
              </w:rPr>
              <w:t>Ciò si verifica quando le singole immobilizzazioni non generano flussi di cassa in via autonoma rispetto agli altri cespiti.</w:t>
            </w:r>
          </w:p>
        </w:tc>
        <w:tc>
          <w:tcPr>
            <w:tcW w:w="586" w:type="dxa"/>
            <w:gridSpan w:val="2"/>
            <w:tcMar>
              <w:left w:w="85" w:type="dxa"/>
              <w:right w:w="85" w:type="dxa"/>
            </w:tcMar>
            <w:vAlign w:val="center"/>
          </w:tcPr>
          <w:p w:rsidR="000019EF" w:rsidRPr="00EE31E6" w:rsidRDefault="000019EF" w:rsidP="00D73E98">
            <w:pPr>
              <w:jc w:val="center"/>
              <w:rPr>
                <w:lang w:val="it-IT"/>
              </w:rPr>
            </w:pPr>
          </w:p>
        </w:tc>
        <w:tc>
          <w:tcPr>
            <w:tcW w:w="573" w:type="dxa"/>
            <w:tcMar>
              <w:left w:w="108" w:type="dxa"/>
            </w:tcMar>
            <w:vAlign w:val="center"/>
          </w:tcPr>
          <w:p w:rsidR="000019EF" w:rsidRPr="00EE31E6" w:rsidRDefault="000019EF" w:rsidP="00D73E98">
            <w:pPr>
              <w:jc w:val="center"/>
              <w:rPr>
                <w:lang w:val="it-IT"/>
              </w:rPr>
            </w:pPr>
          </w:p>
        </w:tc>
        <w:tc>
          <w:tcPr>
            <w:tcW w:w="570" w:type="dxa"/>
            <w:tcMar>
              <w:left w:w="108" w:type="dxa"/>
            </w:tcMar>
            <w:vAlign w:val="center"/>
          </w:tcPr>
          <w:p w:rsidR="000019EF" w:rsidRPr="00EE31E6" w:rsidRDefault="000019EF" w:rsidP="00D73E98">
            <w:pPr>
              <w:jc w:val="center"/>
              <w:rPr>
                <w:lang w:val="it-IT"/>
              </w:rPr>
            </w:pPr>
          </w:p>
        </w:tc>
      </w:tr>
      <w:tr w:rsidR="000019EF" w:rsidRPr="00CC242B"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20</w:t>
            </w:r>
          </w:p>
        </w:tc>
        <w:tc>
          <w:tcPr>
            <w:tcW w:w="7060" w:type="dxa"/>
            <w:tcMar>
              <w:left w:w="108" w:type="dxa"/>
            </w:tcMar>
          </w:tcPr>
          <w:p w:rsidR="000019EF" w:rsidRPr="00ED2C18" w:rsidRDefault="000019EF" w:rsidP="00D73E98">
            <w:pPr>
              <w:pStyle w:val="Commentiriquadro"/>
              <w:rPr>
                <w:lang w:eastAsia="it-IT"/>
              </w:rPr>
            </w:pPr>
            <w:r w:rsidRPr="00985E2E">
              <w:rPr>
                <w:lang w:eastAsia="it-IT"/>
              </w:rPr>
              <w:t>Non è sempre necessario determinare sia il valore equo di un’attività sia il suo valore d’uso. Se uno dei due valori risulta superiore al valore contabile, l’attività non ha subito una riduzione di valore e, dunque, non è necessario stimare l’altro importo. Se vi è motivo di ritenere che il valore equo approssimi il valore d’uso non è necessario procedere alla stima di quest’ultimo.</w:t>
            </w:r>
          </w:p>
        </w:tc>
        <w:tc>
          <w:tcPr>
            <w:tcW w:w="586" w:type="dxa"/>
            <w:gridSpan w:val="2"/>
            <w:tcMar>
              <w:left w:w="85" w:type="dxa"/>
              <w:right w:w="85" w:type="dxa"/>
            </w:tcMar>
            <w:vAlign w:val="center"/>
          </w:tcPr>
          <w:p w:rsidR="000019EF" w:rsidRPr="00EE31E6" w:rsidRDefault="000019EF" w:rsidP="00D73E98">
            <w:pPr>
              <w:jc w:val="center"/>
              <w:rPr>
                <w:lang w:val="it-IT"/>
              </w:rPr>
            </w:pPr>
          </w:p>
        </w:tc>
        <w:tc>
          <w:tcPr>
            <w:tcW w:w="573" w:type="dxa"/>
            <w:tcMar>
              <w:left w:w="108" w:type="dxa"/>
            </w:tcMar>
            <w:vAlign w:val="center"/>
          </w:tcPr>
          <w:p w:rsidR="000019EF" w:rsidRPr="00EE31E6" w:rsidRDefault="000019EF" w:rsidP="00D73E98">
            <w:pPr>
              <w:jc w:val="center"/>
              <w:rPr>
                <w:lang w:val="it-IT"/>
              </w:rPr>
            </w:pPr>
          </w:p>
        </w:tc>
        <w:tc>
          <w:tcPr>
            <w:tcW w:w="570" w:type="dxa"/>
            <w:tcMar>
              <w:left w:w="108" w:type="dxa"/>
            </w:tcMar>
            <w:vAlign w:val="center"/>
          </w:tcPr>
          <w:p w:rsidR="000019EF" w:rsidRPr="00EE31E6" w:rsidRDefault="000019EF" w:rsidP="00D73E98">
            <w:pPr>
              <w:jc w:val="center"/>
              <w:rPr>
                <w:lang w:val="it-IT"/>
              </w:rPr>
            </w:pPr>
          </w:p>
        </w:tc>
      </w:tr>
      <w:tr w:rsidR="000019EF" w:rsidRPr="00B4263B"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0C687E" w:rsidRDefault="000019EF" w:rsidP="00D73E98">
            <w:pPr>
              <w:pStyle w:val="Titolo4"/>
              <w:rPr>
                <w:b/>
              </w:rPr>
            </w:pPr>
            <w:r w:rsidRPr="000C687E">
              <w:rPr>
                <w:b/>
              </w:rPr>
              <w:t>Determinazione del fair value</w:t>
            </w:r>
          </w:p>
        </w:tc>
        <w:tc>
          <w:tcPr>
            <w:tcW w:w="586" w:type="dxa"/>
            <w:gridSpan w:val="2"/>
            <w:tcMar>
              <w:left w:w="85" w:type="dxa"/>
              <w:right w:w="85" w:type="dxa"/>
            </w:tcMar>
            <w:vAlign w:val="center"/>
          </w:tcPr>
          <w:p w:rsidR="000019EF" w:rsidRPr="00492518" w:rsidRDefault="000019EF" w:rsidP="00D73E98">
            <w:pPr>
              <w:jc w:val="center"/>
              <w:rPr>
                <w:lang w:val="it-IT"/>
              </w:rPr>
            </w:pPr>
          </w:p>
        </w:tc>
        <w:tc>
          <w:tcPr>
            <w:tcW w:w="573" w:type="dxa"/>
            <w:tcMar>
              <w:left w:w="108" w:type="dxa"/>
            </w:tcMar>
            <w:vAlign w:val="center"/>
          </w:tcPr>
          <w:p w:rsidR="000019EF" w:rsidRPr="00492518" w:rsidRDefault="000019EF" w:rsidP="00D73E98">
            <w:pPr>
              <w:jc w:val="center"/>
              <w:rPr>
                <w:lang w:val="it-IT"/>
              </w:rPr>
            </w:pPr>
          </w:p>
        </w:tc>
        <w:tc>
          <w:tcPr>
            <w:tcW w:w="570" w:type="dxa"/>
            <w:tcMar>
              <w:left w:w="108" w:type="dxa"/>
            </w:tcMar>
            <w:vAlign w:val="center"/>
          </w:tcPr>
          <w:p w:rsidR="000019EF" w:rsidRPr="00492518" w:rsidRDefault="000019EF" w:rsidP="00D73E98">
            <w:pPr>
              <w:jc w:val="center"/>
              <w:rPr>
                <w:lang w:val="it-IT"/>
              </w:rPr>
            </w:pPr>
          </w:p>
        </w:tc>
      </w:tr>
      <w:tr w:rsidR="000019EF" w:rsidRPr="00CC242B" w:rsidTr="00D73E98">
        <w:trPr>
          <w:cantSplit/>
          <w:trHeight w:val="20"/>
        </w:trPr>
        <w:tc>
          <w:tcPr>
            <w:tcW w:w="680" w:type="dxa"/>
          </w:tcPr>
          <w:p w:rsidR="000019EF" w:rsidRPr="009E48D7" w:rsidRDefault="00C27BCC" w:rsidP="00D73E98">
            <w:pPr>
              <w:jc w:val="center"/>
              <w:rPr>
                <w:b/>
                <w:lang w:val="it-IT"/>
              </w:rPr>
            </w:pPr>
            <w:r>
              <w:rPr>
                <w:b/>
                <w:lang w:val="it-IT"/>
              </w:rPr>
              <w:t>6</w:t>
            </w:r>
            <w:r w:rsidR="000019EF"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21</w:t>
            </w:r>
          </w:p>
        </w:tc>
        <w:tc>
          <w:tcPr>
            <w:tcW w:w="7060" w:type="dxa"/>
            <w:tcMar>
              <w:left w:w="108" w:type="dxa"/>
            </w:tcMar>
          </w:tcPr>
          <w:p w:rsidR="000019EF" w:rsidRPr="00CB2542" w:rsidRDefault="000019EF" w:rsidP="003424CF">
            <w:pPr>
              <w:spacing w:line="240" w:lineRule="exact"/>
              <w:rPr>
                <w:lang w:val="it-IT"/>
              </w:rPr>
            </w:pPr>
            <w:r>
              <w:rPr>
                <w:lang w:val="it-IT"/>
              </w:rPr>
              <w:t>Se ne ricorrono le circostanze la società ha determinato il fair value tenendo in considerazione quanto segue:</w:t>
            </w:r>
          </w:p>
        </w:tc>
        <w:tc>
          <w:tcPr>
            <w:tcW w:w="586" w:type="dxa"/>
            <w:gridSpan w:val="2"/>
            <w:tcMar>
              <w:left w:w="85" w:type="dxa"/>
              <w:right w:w="85" w:type="dxa"/>
            </w:tcMar>
            <w:vAlign w:val="center"/>
          </w:tcPr>
          <w:p w:rsidR="000019EF" w:rsidRPr="00A32A16" w:rsidRDefault="000019EF" w:rsidP="00D73E98">
            <w:pPr>
              <w:jc w:val="center"/>
              <w:rPr>
                <w:lang w:val="it-IT"/>
              </w:rPr>
            </w:pPr>
          </w:p>
        </w:tc>
        <w:tc>
          <w:tcPr>
            <w:tcW w:w="573" w:type="dxa"/>
            <w:tcMar>
              <w:left w:w="108" w:type="dxa"/>
            </w:tcMar>
            <w:vAlign w:val="center"/>
          </w:tcPr>
          <w:p w:rsidR="000019EF" w:rsidRPr="00A32A16"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CB2542"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CB2542" w:rsidRDefault="0031795A" w:rsidP="003424CF">
            <w:pPr>
              <w:pStyle w:val="Puntoelenco"/>
              <w:numPr>
                <w:ilvl w:val="0"/>
                <w:numId w:val="0"/>
              </w:numPr>
              <w:spacing w:line="240" w:lineRule="exact"/>
              <w:ind w:left="460" w:hanging="278"/>
            </w:pPr>
            <w:r>
              <w:t>-</w:t>
            </w:r>
            <w:r>
              <w:tab/>
            </w:r>
            <w:r w:rsidR="000019EF">
              <w:t>i</w:t>
            </w:r>
            <w:r w:rsidR="000019EF" w:rsidRPr="00722D4E">
              <w:t xml:space="preserve">l </w:t>
            </w:r>
            <w:r w:rsidR="000019EF" w:rsidRPr="00805839">
              <w:rPr>
                <w:i/>
              </w:rPr>
              <w:t>fair value</w:t>
            </w:r>
            <w:r w:rsidR="000019EF">
              <w:t xml:space="preserve"> è il prezzo che si percepirebbe per la vendita di un’attività ovvero che si pagherebbe per il trasferimento di una passività in una regolare operazione tra operatori di mercato alla data di valutazione</w:t>
            </w:r>
          </w:p>
        </w:tc>
        <w:tc>
          <w:tcPr>
            <w:tcW w:w="586" w:type="dxa"/>
            <w:gridSpan w:val="2"/>
            <w:tcMar>
              <w:left w:w="85" w:type="dxa"/>
              <w:right w:w="85"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CB2542"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CB2542" w:rsidRDefault="0031795A" w:rsidP="003424CF">
            <w:pPr>
              <w:pStyle w:val="rientrotrattinook"/>
              <w:numPr>
                <w:ilvl w:val="0"/>
                <w:numId w:val="0"/>
              </w:numPr>
              <w:spacing w:line="240" w:lineRule="exact"/>
              <w:ind w:left="460" w:hanging="278"/>
            </w:pPr>
            <w:r>
              <w:t>-</w:t>
            </w:r>
            <w:r>
              <w:tab/>
            </w:r>
            <w:r w:rsidR="000019EF">
              <w:t>l</w:t>
            </w:r>
            <w:r w:rsidR="000019EF" w:rsidRPr="00722D4E">
              <w:t xml:space="preserve">a migliore evidenza del </w:t>
            </w:r>
            <w:r w:rsidR="000019EF" w:rsidRPr="00805839">
              <w:rPr>
                <w:i/>
              </w:rPr>
              <w:t>fair value</w:t>
            </w:r>
            <w:r w:rsidR="000019EF" w:rsidRPr="00CB2542">
              <w:t xml:space="preserve"> </w:t>
            </w:r>
            <w:r w:rsidR="000019EF" w:rsidRPr="00722D4E">
              <w:t>di un’attività è il prezzo pattuito in un accordo vincolante di vendita stabilito in una libera transazione o il prezzo di mercato in un mercato attivo</w:t>
            </w:r>
          </w:p>
        </w:tc>
        <w:tc>
          <w:tcPr>
            <w:tcW w:w="586" w:type="dxa"/>
            <w:gridSpan w:val="2"/>
            <w:tcMar>
              <w:left w:w="85" w:type="dxa"/>
              <w:right w:w="85"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CB2542"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CB2542" w:rsidRDefault="0031795A" w:rsidP="003424CF">
            <w:pPr>
              <w:pStyle w:val="rientrotrattinook"/>
              <w:numPr>
                <w:ilvl w:val="0"/>
                <w:numId w:val="0"/>
              </w:numPr>
              <w:spacing w:line="240" w:lineRule="exact"/>
              <w:ind w:left="460" w:hanging="278"/>
            </w:pPr>
            <w:r>
              <w:t>-</w:t>
            </w:r>
            <w:r>
              <w:tab/>
            </w:r>
            <w:r w:rsidR="000019EF">
              <w:t>s</w:t>
            </w:r>
            <w:r w:rsidR="000019EF" w:rsidRPr="00CB2542">
              <w:t xml:space="preserve">e non esiste un accordo vincolante di vendita né alcun mercato attivo per un’attività, </w:t>
            </w:r>
            <w:r w:rsidR="000019EF">
              <w:t>la società ha</w:t>
            </w:r>
            <w:r w:rsidR="000019EF" w:rsidRPr="00CB2542">
              <w:t xml:space="preserve"> determinato </w:t>
            </w:r>
            <w:r w:rsidR="000019EF">
              <w:t xml:space="preserve">il fair value </w:t>
            </w:r>
            <w:r w:rsidR="000019EF" w:rsidRPr="00CB2542">
              <w:t xml:space="preserve">in base alle migliori informazioni disponibili per riflettere l’ammontare che la società potrebbe ottenere, alla data di riferimento del bilancio, dalla vendita dell’attività in una libera transazione tra </w:t>
            </w:r>
            <w:r w:rsidR="000019EF">
              <w:t>parti consapevoli e dis</w:t>
            </w:r>
            <w:r w:rsidR="006A44BD">
              <w:t>ponibili</w:t>
            </w:r>
          </w:p>
        </w:tc>
        <w:tc>
          <w:tcPr>
            <w:tcW w:w="586" w:type="dxa"/>
            <w:gridSpan w:val="2"/>
            <w:tcMar>
              <w:left w:w="85" w:type="dxa"/>
              <w:right w:w="85"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CB2542"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CB2542" w:rsidRDefault="0031795A" w:rsidP="003424CF">
            <w:pPr>
              <w:pStyle w:val="rientrotrattinook"/>
              <w:numPr>
                <w:ilvl w:val="0"/>
                <w:numId w:val="0"/>
              </w:numPr>
              <w:spacing w:line="240" w:lineRule="exact"/>
              <w:ind w:left="460" w:hanging="278"/>
            </w:pPr>
            <w:r>
              <w:t>-</w:t>
            </w:r>
            <w:r>
              <w:tab/>
            </w:r>
            <w:r w:rsidR="000019EF">
              <w:t>n</w:t>
            </w:r>
            <w:r w:rsidR="000019EF" w:rsidRPr="00722D4E">
              <w:t>el determinare tale ammontare, la società considera il risultato di recenti transazioni per attività similari effettuate all’interno dello stesso settore industriale</w:t>
            </w:r>
          </w:p>
        </w:tc>
        <w:tc>
          <w:tcPr>
            <w:tcW w:w="586" w:type="dxa"/>
            <w:gridSpan w:val="2"/>
            <w:tcMar>
              <w:left w:w="85" w:type="dxa"/>
              <w:right w:w="85"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CB2542"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CB2542" w:rsidRDefault="0031795A" w:rsidP="003424CF">
            <w:pPr>
              <w:pStyle w:val="rientrotrattinook"/>
              <w:numPr>
                <w:ilvl w:val="0"/>
                <w:numId w:val="0"/>
              </w:numPr>
              <w:spacing w:line="240" w:lineRule="exact"/>
              <w:ind w:left="460" w:hanging="278"/>
            </w:pPr>
            <w:r>
              <w:t>-</w:t>
            </w:r>
            <w:r>
              <w:tab/>
            </w:r>
            <w:r w:rsidR="000019EF">
              <w:t>a</w:t>
            </w:r>
            <w:r w:rsidR="000019EF" w:rsidRPr="00CB2542">
              <w:t xml:space="preserve">i fini della determinazione del valore recuperabile, al </w:t>
            </w:r>
            <w:r w:rsidR="000019EF" w:rsidRPr="00805839">
              <w:rPr>
                <w:i/>
              </w:rPr>
              <w:t>fair value</w:t>
            </w:r>
            <w:r w:rsidR="000019EF" w:rsidRPr="00CB2542">
              <w:t xml:space="preserve"> sono sottratti i costi di vendita?</w:t>
            </w:r>
          </w:p>
        </w:tc>
        <w:tc>
          <w:tcPr>
            <w:tcW w:w="586" w:type="dxa"/>
            <w:gridSpan w:val="2"/>
            <w:tcMar>
              <w:left w:w="85" w:type="dxa"/>
              <w:right w:w="85"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107894"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EF53BD" w:rsidRDefault="000019EF" w:rsidP="00D73E98">
            <w:pPr>
              <w:spacing w:line="240" w:lineRule="exact"/>
              <w:rPr>
                <w:b/>
                <w:i/>
                <w:lang w:val="it-IT"/>
              </w:rPr>
            </w:pPr>
            <w:r w:rsidRPr="00EF53BD">
              <w:rPr>
                <w:b/>
                <w:i/>
                <w:lang w:val="it-IT"/>
              </w:rPr>
              <w:t>Determinazione del valore d’uso</w:t>
            </w:r>
          </w:p>
        </w:tc>
        <w:tc>
          <w:tcPr>
            <w:tcW w:w="586" w:type="dxa"/>
            <w:gridSpan w:val="2"/>
            <w:tcMar>
              <w:left w:w="85" w:type="dxa"/>
              <w:right w:w="85" w:type="dxa"/>
            </w:tcMar>
            <w:vAlign w:val="center"/>
          </w:tcPr>
          <w:p w:rsidR="000019EF" w:rsidRPr="00492518" w:rsidRDefault="000019EF" w:rsidP="00D73E98">
            <w:pPr>
              <w:jc w:val="center"/>
              <w:rPr>
                <w:lang w:val="it-IT"/>
              </w:rPr>
            </w:pPr>
          </w:p>
        </w:tc>
        <w:tc>
          <w:tcPr>
            <w:tcW w:w="573" w:type="dxa"/>
            <w:tcMar>
              <w:left w:w="108" w:type="dxa"/>
            </w:tcMar>
            <w:vAlign w:val="center"/>
          </w:tcPr>
          <w:p w:rsidR="000019EF" w:rsidRPr="00492518" w:rsidRDefault="000019EF" w:rsidP="00D73E98">
            <w:pPr>
              <w:jc w:val="center"/>
              <w:rPr>
                <w:lang w:val="it-IT"/>
              </w:rPr>
            </w:pPr>
          </w:p>
        </w:tc>
        <w:tc>
          <w:tcPr>
            <w:tcW w:w="570" w:type="dxa"/>
            <w:tcMar>
              <w:left w:w="108" w:type="dxa"/>
            </w:tcMar>
            <w:vAlign w:val="center"/>
          </w:tcPr>
          <w:p w:rsidR="000019EF" w:rsidRPr="00492518" w:rsidRDefault="000019EF" w:rsidP="00D73E98">
            <w:pPr>
              <w:jc w:val="center"/>
              <w:rPr>
                <w:lang w:val="it-IT"/>
              </w:rPr>
            </w:pPr>
          </w:p>
        </w:tc>
      </w:tr>
      <w:tr w:rsidR="000019EF" w:rsidRPr="00CC242B"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22</w:t>
            </w:r>
          </w:p>
        </w:tc>
        <w:tc>
          <w:tcPr>
            <w:tcW w:w="7060" w:type="dxa"/>
            <w:tcMar>
              <w:left w:w="108" w:type="dxa"/>
            </w:tcMar>
          </w:tcPr>
          <w:p w:rsidR="000019EF" w:rsidRDefault="000019EF" w:rsidP="00D73E98">
            <w:pPr>
              <w:pStyle w:val="Commentiriquadro"/>
              <w:rPr>
                <w:lang w:eastAsia="it-IT"/>
              </w:rPr>
            </w:pPr>
            <w:r>
              <w:rPr>
                <w:lang w:eastAsia="it-IT"/>
              </w:rPr>
              <w:t>Il valore d’uso è determinato sulla base del valore attuale dei flussi finanziari futuri che si prevede abbiano origine da un’attività. Il calcolo del valore d’uso comprende le seguenti fasi:</w:t>
            </w:r>
          </w:p>
          <w:p w:rsidR="000019EF" w:rsidRDefault="000019EF" w:rsidP="00D73E98">
            <w:pPr>
              <w:pStyle w:val="Commentiriquadro"/>
              <w:ind w:left="318" w:hanging="261"/>
              <w:rPr>
                <w:lang w:eastAsia="it-IT"/>
              </w:rPr>
            </w:pPr>
            <w:r>
              <w:rPr>
                <w:lang w:eastAsia="it-IT"/>
              </w:rPr>
              <w:t>a.</w:t>
            </w:r>
            <w:r>
              <w:rPr>
                <w:lang w:eastAsia="it-IT"/>
              </w:rPr>
              <w:tab/>
              <w:t xml:space="preserve">stimare i flussi finanziari futuri in entrata e in uscita che deriveranno dall’uso continuativo dell’attività e dalla sua dismissione finale, e </w:t>
            </w:r>
          </w:p>
          <w:p w:rsidR="000019EF" w:rsidRPr="00F0679B" w:rsidRDefault="000019EF" w:rsidP="00D73E98">
            <w:pPr>
              <w:pStyle w:val="Commentiriquadro"/>
              <w:ind w:left="318" w:hanging="261"/>
              <w:rPr>
                <w:lang w:eastAsia="it-IT"/>
              </w:rPr>
            </w:pPr>
            <w:r>
              <w:rPr>
                <w:lang w:eastAsia="it-IT"/>
              </w:rPr>
              <w:t>b.</w:t>
            </w:r>
            <w:r>
              <w:rPr>
                <w:lang w:eastAsia="it-IT"/>
              </w:rPr>
              <w:tab/>
              <w:t>applicare il tasso di attualizzazione appropriato a quei flussi finanziari futuri.</w:t>
            </w:r>
          </w:p>
        </w:tc>
        <w:tc>
          <w:tcPr>
            <w:tcW w:w="586" w:type="dxa"/>
            <w:gridSpan w:val="2"/>
            <w:tcMar>
              <w:left w:w="85" w:type="dxa"/>
              <w:right w:w="85" w:type="dxa"/>
            </w:tcMar>
            <w:vAlign w:val="center"/>
          </w:tcPr>
          <w:p w:rsidR="000019EF" w:rsidRPr="00F0679B" w:rsidRDefault="000019EF" w:rsidP="00D73E98">
            <w:pPr>
              <w:jc w:val="center"/>
              <w:rPr>
                <w:lang w:val="it-IT"/>
              </w:rPr>
            </w:pPr>
          </w:p>
        </w:tc>
        <w:tc>
          <w:tcPr>
            <w:tcW w:w="573" w:type="dxa"/>
            <w:tcMar>
              <w:left w:w="108" w:type="dxa"/>
            </w:tcMar>
            <w:vAlign w:val="center"/>
          </w:tcPr>
          <w:p w:rsidR="000019EF" w:rsidRPr="00F0679B" w:rsidRDefault="000019EF" w:rsidP="00D73E98">
            <w:pPr>
              <w:jc w:val="center"/>
              <w:rPr>
                <w:lang w:val="it-IT"/>
              </w:rPr>
            </w:pPr>
          </w:p>
        </w:tc>
        <w:tc>
          <w:tcPr>
            <w:tcW w:w="570" w:type="dxa"/>
            <w:tcMar>
              <w:left w:w="108" w:type="dxa"/>
            </w:tcMar>
            <w:vAlign w:val="center"/>
          </w:tcPr>
          <w:p w:rsidR="000019EF" w:rsidRPr="00F0679B" w:rsidRDefault="000019EF" w:rsidP="00D73E98">
            <w:pPr>
              <w:jc w:val="center"/>
              <w:rPr>
                <w:lang w:val="it-IT"/>
              </w:rPr>
            </w:pPr>
          </w:p>
        </w:tc>
      </w:tr>
      <w:tr w:rsidR="000019EF" w:rsidRPr="00CC242B" w:rsidTr="00D73E98">
        <w:trPr>
          <w:cantSplit/>
          <w:trHeight w:val="20"/>
        </w:trPr>
        <w:tc>
          <w:tcPr>
            <w:tcW w:w="680" w:type="dxa"/>
          </w:tcPr>
          <w:p w:rsidR="000019EF" w:rsidRPr="009E48D7" w:rsidRDefault="00C27BCC" w:rsidP="00D73E98">
            <w:pPr>
              <w:jc w:val="center"/>
              <w:rPr>
                <w:b/>
                <w:lang w:val="it-IT"/>
              </w:rPr>
            </w:pPr>
            <w:r>
              <w:rPr>
                <w:b/>
                <w:lang w:val="it-IT"/>
              </w:rPr>
              <w:t>7</w:t>
            </w:r>
            <w:r w:rsidR="000019EF"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23</w:t>
            </w:r>
          </w:p>
        </w:tc>
        <w:tc>
          <w:tcPr>
            <w:tcW w:w="7060" w:type="dxa"/>
            <w:tcMar>
              <w:left w:w="108" w:type="dxa"/>
            </w:tcMar>
          </w:tcPr>
          <w:p w:rsidR="000019EF" w:rsidRPr="00403468" w:rsidRDefault="000019EF" w:rsidP="00D73E98">
            <w:pPr>
              <w:spacing w:line="230" w:lineRule="exact"/>
              <w:rPr>
                <w:lang w:val="it-IT"/>
              </w:rPr>
            </w:pPr>
            <w:r w:rsidRPr="00C45368">
              <w:rPr>
                <w:lang w:val="it-IT"/>
              </w:rPr>
              <w:t>Nelle stime dei flussi finanziari futuri la società ha incluso:</w:t>
            </w:r>
          </w:p>
        </w:tc>
        <w:tc>
          <w:tcPr>
            <w:tcW w:w="586" w:type="dxa"/>
            <w:gridSpan w:val="2"/>
            <w:tcMar>
              <w:left w:w="85" w:type="dxa"/>
              <w:right w:w="85" w:type="dxa"/>
            </w:tcMar>
            <w:vAlign w:val="center"/>
          </w:tcPr>
          <w:p w:rsidR="000019EF" w:rsidRPr="00A32A16" w:rsidRDefault="000019EF" w:rsidP="00D73E98">
            <w:pPr>
              <w:jc w:val="center"/>
              <w:rPr>
                <w:lang w:val="it-IT"/>
              </w:rPr>
            </w:pPr>
          </w:p>
        </w:tc>
        <w:tc>
          <w:tcPr>
            <w:tcW w:w="573" w:type="dxa"/>
            <w:tcMar>
              <w:left w:w="108" w:type="dxa"/>
            </w:tcMar>
            <w:vAlign w:val="center"/>
          </w:tcPr>
          <w:p w:rsidR="000019EF" w:rsidRPr="00A32A16"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40346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403468" w:rsidRDefault="000019EF" w:rsidP="00840B93">
            <w:pPr>
              <w:pStyle w:val="rientrotrattinook"/>
            </w:pPr>
            <w:r w:rsidRPr="00C45368">
              <w:t>le proiezioni dei flussi finanziari in entrata derivanti dall</w:t>
            </w:r>
            <w:r>
              <w:t>'uso continuativo dell'attività</w:t>
            </w:r>
          </w:p>
        </w:tc>
        <w:tc>
          <w:tcPr>
            <w:tcW w:w="586" w:type="dxa"/>
            <w:gridSpan w:val="2"/>
            <w:tcMar>
              <w:left w:w="85" w:type="dxa"/>
              <w:right w:w="85" w:type="dxa"/>
            </w:tcMar>
            <w:vAlign w:val="center"/>
          </w:tcPr>
          <w:p w:rsidR="000019EF" w:rsidRPr="0040346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40346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40346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40346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403468" w:rsidRDefault="000019EF" w:rsidP="00840B93">
            <w:pPr>
              <w:pStyle w:val="rientrotrattinook"/>
            </w:pPr>
            <w:r w:rsidRPr="00C45368">
              <w:t>le proiezioni dei flussi finanziari in uscita che si verificano necessariamente per generare flussi finanziari in entrata dall'uso continuativo dell'attività (inclusi i flussi finanziari in uscita per rendere l'attività utilizzabile) e che possono essere direttamente attribuiti o allocati all'attività in base a un criterio ragionevole e coerente</w:t>
            </w:r>
          </w:p>
        </w:tc>
        <w:tc>
          <w:tcPr>
            <w:tcW w:w="586" w:type="dxa"/>
            <w:gridSpan w:val="2"/>
            <w:tcMar>
              <w:left w:w="85" w:type="dxa"/>
              <w:right w:w="85" w:type="dxa"/>
            </w:tcMar>
            <w:vAlign w:val="center"/>
          </w:tcPr>
          <w:p w:rsidR="000019EF" w:rsidRPr="0040346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40346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40346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40346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403468" w:rsidRDefault="000019EF" w:rsidP="00840B93">
            <w:pPr>
              <w:pStyle w:val="rientrotrattinook"/>
            </w:pPr>
            <w:r w:rsidRPr="00403468">
              <w:t>i flussi finanziari netti, se esistono, che si prevede di ricevere (o erogare) per la dismissione dell'attività alla fine della sua vita utile, in una transazione regolare tra operatori di mercato alla data di valutazione?</w:t>
            </w:r>
          </w:p>
        </w:tc>
        <w:tc>
          <w:tcPr>
            <w:tcW w:w="586" w:type="dxa"/>
            <w:gridSpan w:val="2"/>
            <w:tcMar>
              <w:left w:w="85" w:type="dxa"/>
              <w:right w:w="85" w:type="dxa"/>
            </w:tcMar>
            <w:vAlign w:val="center"/>
          </w:tcPr>
          <w:p w:rsidR="000019EF" w:rsidRPr="0040346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40346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40346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492518" w:rsidTr="00D73E98">
        <w:trPr>
          <w:cantSplit/>
          <w:trHeight w:val="20"/>
        </w:trPr>
        <w:tc>
          <w:tcPr>
            <w:tcW w:w="680" w:type="dxa"/>
          </w:tcPr>
          <w:p w:rsidR="000019EF" w:rsidRPr="009E48D7" w:rsidRDefault="00C27BCC" w:rsidP="00D73E98">
            <w:pPr>
              <w:jc w:val="center"/>
              <w:rPr>
                <w:b/>
                <w:lang w:val="it-IT"/>
              </w:rPr>
            </w:pPr>
            <w:r>
              <w:rPr>
                <w:b/>
                <w:lang w:val="it-IT"/>
              </w:rPr>
              <w:t>8</w:t>
            </w:r>
            <w:r w:rsidR="000019EF"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23</w:t>
            </w:r>
          </w:p>
        </w:tc>
        <w:tc>
          <w:tcPr>
            <w:tcW w:w="7060" w:type="dxa"/>
            <w:tcMar>
              <w:left w:w="108" w:type="dxa"/>
            </w:tcMar>
          </w:tcPr>
          <w:p w:rsidR="000019EF" w:rsidRPr="009D08A3" w:rsidRDefault="000019EF" w:rsidP="00D73E98">
            <w:pPr>
              <w:pStyle w:val="Paragrafoelenco"/>
              <w:spacing w:line="230" w:lineRule="exact"/>
              <w:ind w:left="0"/>
              <w:rPr>
                <w:lang w:val="it-IT"/>
              </w:rPr>
            </w:pPr>
            <w:r w:rsidRPr="00C45368">
              <w:rPr>
                <w:lang w:val="it-IT"/>
              </w:rPr>
              <w:t xml:space="preserve">La società </w:t>
            </w:r>
            <w:r>
              <w:rPr>
                <w:lang w:val="it-IT"/>
              </w:rPr>
              <w:t xml:space="preserve">ha </w:t>
            </w:r>
            <w:r w:rsidRPr="00C45368">
              <w:rPr>
                <w:lang w:val="it-IT"/>
              </w:rPr>
              <w:t>utilizza</w:t>
            </w:r>
            <w:r>
              <w:rPr>
                <w:lang w:val="it-IT"/>
              </w:rPr>
              <w:t>to</w:t>
            </w:r>
            <w:r w:rsidRPr="00C45368">
              <w:rPr>
                <w:lang w:val="it-IT"/>
              </w:rPr>
              <w:t xml:space="preserve"> i piani o le previsioni approvati dall'organo amministrativo più recenti a disposizione p</w:t>
            </w:r>
            <w:r>
              <w:rPr>
                <w:lang w:val="it-IT"/>
              </w:rPr>
              <w:t>er stimare i flussi finanziari e, i</w:t>
            </w:r>
            <w:r w:rsidRPr="00B15E7D">
              <w:rPr>
                <w:lang w:val="it-IT"/>
              </w:rPr>
              <w:t>n linea tendenziale, tali piani non superano un oriz</w:t>
            </w:r>
            <w:r>
              <w:rPr>
                <w:lang w:val="it-IT"/>
              </w:rPr>
              <w:t>zonte temporale di cinque anni?</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492518" w:rsidTr="00D73E98">
        <w:trPr>
          <w:cantSplit/>
          <w:trHeight w:val="20"/>
        </w:trPr>
        <w:tc>
          <w:tcPr>
            <w:tcW w:w="680" w:type="dxa"/>
          </w:tcPr>
          <w:p w:rsidR="000019EF" w:rsidRPr="009E48D7" w:rsidRDefault="00C27BCC" w:rsidP="00D73E98">
            <w:pPr>
              <w:jc w:val="center"/>
              <w:rPr>
                <w:b/>
                <w:lang w:val="it-IT"/>
              </w:rPr>
            </w:pPr>
            <w:r>
              <w:rPr>
                <w:b/>
                <w:lang w:val="it-IT"/>
              </w:rPr>
              <w:t>9</w:t>
            </w:r>
            <w:r w:rsidR="000019EF"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23</w:t>
            </w:r>
          </w:p>
        </w:tc>
        <w:tc>
          <w:tcPr>
            <w:tcW w:w="7060" w:type="dxa"/>
            <w:tcMar>
              <w:left w:w="108" w:type="dxa"/>
            </w:tcMar>
          </w:tcPr>
          <w:p w:rsidR="000019EF" w:rsidRPr="009D08A3" w:rsidRDefault="000019EF" w:rsidP="00D73E98">
            <w:pPr>
              <w:pStyle w:val="Paragrafoelenco"/>
              <w:spacing w:line="230" w:lineRule="exact"/>
              <w:ind w:left="0"/>
              <w:rPr>
                <w:lang w:val="it-IT"/>
              </w:rPr>
            </w:pPr>
            <w:r w:rsidRPr="00C45368">
              <w:rPr>
                <w:lang w:val="it-IT"/>
              </w:rPr>
              <w:t xml:space="preserve">Per stimare le proiezioni dei flussi finanziari per un periodo più ampio rispetto a quello coperto dai più recenti piani o previsioni, la società </w:t>
            </w:r>
            <w:r>
              <w:rPr>
                <w:lang w:val="it-IT"/>
              </w:rPr>
              <w:t>ha</w:t>
            </w:r>
            <w:r w:rsidRPr="00C45368">
              <w:rPr>
                <w:lang w:val="it-IT"/>
              </w:rPr>
              <w:t xml:space="preserve"> estrapola</w:t>
            </w:r>
            <w:r>
              <w:rPr>
                <w:lang w:val="it-IT"/>
              </w:rPr>
              <w:t>to</w:t>
            </w:r>
            <w:r w:rsidRPr="00C45368">
              <w:rPr>
                <w:lang w:val="it-IT"/>
              </w:rPr>
              <w:t xml:space="preserve"> le proiezioni facendo uso per gli anni successivi di un tasso di crescita stabile o in diminuzione, salvo che possa essere giustificato un tasso crescente</w:t>
            </w:r>
            <w:r>
              <w:rPr>
                <w:lang w:val="it-IT"/>
              </w:rPr>
              <w:t>?</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CC242B" w:rsidTr="00D73E98">
        <w:trPr>
          <w:cantSplit/>
          <w:trHeight w:val="20"/>
        </w:trPr>
        <w:tc>
          <w:tcPr>
            <w:tcW w:w="680" w:type="dxa"/>
          </w:tcPr>
          <w:p w:rsidR="000019EF" w:rsidRPr="009E48D7" w:rsidRDefault="00C27BCC" w:rsidP="00D73E98">
            <w:pPr>
              <w:jc w:val="center"/>
              <w:rPr>
                <w:b/>
                <w:lang w:val="it-IT"/>
              </w:rPr>
            </w:pPr>
            <w:r>
              <w:rPr>
                <w:b/>
                <w:lang w:val="it-IT"/>
              </w:rPr>
              <w:t>10</w:t>
            </w:r>
            <w:r w:rsidR="000019EF"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24</w:t>
            </w:r>
          </w:p>
        </w:tc>
        <w:tc>
          <w:tcPr>
            <w:tcW w:w="7060" w:type="dxa"/>
            <w:tcMar>
              <w:left w:w="108" w:type="dxa"/>
            </w:tcMar>
          </w:tcPr>
          <w:p w:rsidR="000019EF" w:rsidRPr="009D08A3" w:rsidRDefault="000019EF" w:rsidP="00D73E98">
            <w:pPr>
              <w:spacing w:line="230" w:lineRule="exact"/>
              <w:rPr>
                <w:lang w:val="it-IT"/>
              </w:rPr>
            </w:pPr>
            <w:r w:rsidRPr="00343AA6">
              <w:rPr>
                <w:lang w:val="it-IT"/>
              </w:rPr>
              <w:t>Le stime dei flussi finanziari futuri non includono:</w:t>
            </w:r>
          </w:p>
        </w:tc>
        <w:tc>
          <w:tcPr>
            <w:tcW w:w="586" w:type="dxa"/>
            <w:gridSpan w:val="2"/>
            <w:tcMar>
              <w:left w:w="85" w:type="dxa"/>
              <w:right w:w="85" w:type="dxa"/>
            </w:tcMar>
            <w:vAlign w:val="center"/>
          </w:tcPr>
          <w:p w:rsidR="000019EF" w:rsidRPr="00A32A16" w:rsidRDefault="000019EF" w:rsidP="00D73E98">
            <w:pPr>
              <w:jc w:val="center"/>
              <w:rPr>
                <w:lang w:val="it-IT"/>
              </w:rPr>
            </w:pPr>
          </w:p>
        </w:tc>
        <w:tc>
          <w:tcPr>
            <w:tcW w:w="573" w:type="dxa"/>
            <w:tcMar>
              <w:left w:w="108" w:type="dxa"/>
            </w:tcMar>
            <w:vAlign w:val="center"/>
          </w:tcPr>
          <w:p w:rsidR="000019EF" w:rsidRPr="00A32A16"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E74DB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E74DB8" w:rsidRDefault="000019EF" w:rsidP="00840B93">
            <w:pPr>
              <w:pStyle w:val="rientrotrattinook"/>
            </w:pPr>
            <w:r w:rsidRPr="00E74DB8">
              <w:t>i flussi finanziari in entrata o in uscita derivanti da attività di finanziamento</w:t>
            </w:r>
          </w:p>
        </w:tc>
        <w:tc>
          <w:tcPr>
            <w:tcW w:w="586" w:type="dxa"/>
            <w:gridSpan w:val="2"/>
            <w:tcMar>
              <w:left w:w="85" w:type="dxa"/>
              <w:right w:w="85" w:type="dxa"/>
            </w:tcMar>
            <w:vAlign w:val="center"/>
          </w:tcPr>
          <w:p w:rsidR="000019EF" w:rsidRPr="00E74DB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E74DB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E74DB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E74DB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E74DB8" w:rsidRDefault="000019EF" w:rsidP="00840B93">
            <w:pPr>
              <w:pStyle w:val="rientrotrattinook"/>
            </w:pPr>
            <w:r>
              <w:t xml:space="preserve">i </w:t>
            </w:r>
            <w:r w:rsidRPr="00343AA6">
              <w:t>pagamenti o rimborsi fiscali</w:t>
            </w:r>
          </w:p>
        </w:tc>
        <w:tc>
          <w:tcPr>
            <w:tcW w:w="586" w:type="dxa"/>
            <w:gridSpan w:val="2"/>
            <w:tcMar>
              <w:left w:w="85" w:type="dxa"/>
              <w:right w:w="85" w:type="dxa"/>
            </w:tcMar>
            <w:vAlign w:val="center"/>
          </w:tcPr>
          <w:p w:rsidR="000019EF" w:rsidRPr="00E74DB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E74DB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E74DB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E74DB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E74DB8" w:rsidRDefault="000019EF" w:rsidP="00840B93">
            <w:pPr>
              <w:pStyle w:val="rientrotrattinook"/>
            </w:pPr>
            <w:r w:rsidRPr="00E74DB8">
              <w:t>gli investimenti futuri per i quali la società non si sia già obbligata?</w:t>
            </w:r>
          </w:p>
        </w:tc>
        <w:tc>
          <w:tcPr>
            <w:tcW w:w="586" w:type="dxa"/>
            <w:gridSpan w:val="2"/>
            <w:tcMar>
              <w:left w:w="85" w:type="dxa"/>
              <w:right w:w="85" w:type="dxa"/>
            </w:tcMar>
            <w:vAlign w:val="center"/>
          </w:tcPr>
          <w:p w:rsidR="000019EF" w:rsidRPr="00E74DB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E74DB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E74DB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CC242B" w:rsidTr="00D73E98">
        <w:trPr>
          <w:cantSplit/>
          <w:trHeight w:val="20"/>
        </w:trPr>
        <w:tc>
          <w:tcPr>
            <w:tcW w:w="680" w:type="dxa"/>
          </w:tcPr>
          <w:p w:rsidR="000019EF" w:rsidRPr="009E48D7" w:rsidRDefault="00C27BCC" w:rsidP="00D73E98">
            <w:pPr>
              <w:jc w:val="center"/>
              <w:rPr>
                <w:b/>
                <w:lang w:val="it-IT"/>
              </w:rPr>
            </w:pPr>
            <w:r>
              <w:rPr>
                <w:b/>
                <w:lang w:val="it-IT"/>
              </w:rPr>
              <w:t>11</w:t>
            </w:r>
            <w:r w:rsidR="000019EF"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25</w:t>
            </w:r>
          </w:p>
        </w:tc>
        <w:tc>
          <w:tcPr>
            <w:tcW w:w="7060" w:type="dxa"/>
            <w:tcMar>
              <w:left w:w="108" w:type="dxa"/>
            </w:tcMar>
          </w:tcPr>
          <w:p w:rsidR="000019EF" w:rsidRPr="00D07A74" w:rsidRDefault="000019EF" w:rsidP="00D73E98">
            <w:pPr>
              <w:spacing w:line="230" w:lineRule="exact"/>
              <w:rPr>
                <w:lang w:val="it-IT"/>
              </w:rPr>
            </w:pPr>
            <w:r w:rsidRPr="00BA7446">
              <w:rPr>
                <w:lang w:val="it-IT"/>
              </w:rPr>
              <w:t>I flussi finanziari futuri delle attività sono stimati facendo riferimento alle loro condizioni correnti</w:t>
            </w:r>
            <w:r>
              <w:rPr>
                <w:lang w:val="it-IT"/>
              </w:rPr>
              <w:t>, vale a dire che l</w:t>
            </w:r>
            <w:r w:rsidRPr="00BA7446">
              <w:rPr>
                <w:lang w:val="it-IT"/>
              </w:rPr>
              <w:t>e stime dei flussi finanziari futuri non includono flussi stimati in entrata o in uscita che si suppone debbano derivare da:</w:t>
            </w:r>
          </w:p>
        </w:tc>
        <w:tc>
          <w:tcPr>
            <w:tcW w:w="586" w:type="dxa"/>
            <w:gridSpan w:val="2"/>
            <w:tcMar>
              <w:left w:w="85" w:type="dxa"/>
              <w:right w:w="85" w:type="dxa"/>
            </w:tcMar>
            <w:vAlign w:val="center"/>
          </w:tcPr>
          <w:p w:rsidR="000019EF" w:rsidRPr="00A32A16" w:rsidRDefault="000019EF" w:rsidP="00D73E98">
            <w:pPr>
              <w:jc w:val="center"/>
              <w:rPr>
                <w:lang w:val="it-IT"/>
              </w:rPr>
            </w:pPr>
          </w:p>
        </w:tc>
        <w:tc>
          <w:tcPr>
            <w:tcW w:w="573" w:type="dxa"/>
            <w:tcMar>
              <w:left w:w="108" w:type="dxa"/>
            </w:tcMar>
            <w:vAlign w:val="center"/>
          </w:tcPr>
          <w:p w:rsidR="000019EF" w:rsidRPr="00A32A16"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D07A74"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D07A74" w:rsidRDefault="000019EF" w:rsidP="00840B93">
            <w:pPr>
              <w:pStyle w:val="rientrotrattinook"/>
            </w:pPr>
            <w:r w:rsidRPr="00BA7446">
              <w:t>una futura ristrutturazione per la quale la soci</w:t>
            </w:r>
            <w:r>
              <w:t>età non si è ancora impegnata, o</w:t>
            </w:r>
          </w:p>
        </w:tc>
        <w:tc>
          <w:tcPr>
            <w:tcW w:w="586" w:type="dxa"/>
            <w:gridSpan w:val="2"/>
            <w:tcMar>
              <w:left w:w="85" w:type="dxa"/>
              <w:right w:w="85"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D07A74"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D07A74" w:rsidRDefault="000019EF" w:rsidP="00840B93">
            <w:pPr>
              <w:pStyle w:val="rientrotrattinook"/>
            </w:pPr>
            <w:r w:rsidRPr="00D07A74">
              <w:t>il miglioramento o l'ottimizzazione del rendimento dell'attività?</w:t>
            </w:r>
          </w:p>
        </w:tc>
        <w:tc>
          <w:tcPr>
            <w:tcW w:w="586" w:type="dxa"/>
            <w:gridSpan w:val="2"/>
            <w:tcMar>
              <w:left w:w="85" w:type="dxa"/>
              <w:right w:w="85"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CC242B" w:rsidTr="00D73E98">
        <w:trPr>
          <w:cantSplit/>
          <w:trHeight w:val="20"/>
        </w:trPr>
        <w:tc>
          <w:tcPr>
            <w:tcW w:w="680" w:type="dxa"/>
          </w:tcPr>
          <w:p w:rsidR="000019EF" w:rsidRPr="009E48D7" w:rsidRDefault="00C27BCC" w:rsidP="00D73E98">
            <w:pPr>
              <w:jc w:val="center"/>
              <w:rPr>
                <w:b/>
                <w:lang w:val="it-IT"/>
              </w:rPr>
            </w:pPr>
            <w:r>
              <w:rPr>
                <w:b/>
                <w:lang w:val="it-IT"/>
              </w:rPr>
              <w:t>12</w:t>
            </w:r>
            <w:r w:rsidR="000019EF"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26</w:t>
            </w:r>
          </w:p>
        </w:tc>
        <w:tc>
          <w:tcPr>
            <w:tcW w:w="7060" w:type="dxa"/>
            <w:tcMar>
              <w:left w:w="108" w:type="dxa"/>
            </w:tcMar>
          </w:tcPr>
          <w:p w:rsidR="000019EF" w:rsidRPr="00D07A74" w:rsidRDefault="000019EF" w:rsidP="00D73E98">
            <w:pPr>
              <w:spacing w:line="230" w:lineRule="exact"/>
              <w:rPr>
                <w:lang w:val="it-IT"/>
              </w:rPr>
            </w:pPr>
            <w:r>
              <w:rPr>
                <w:lang w:val="it-IT"/>
              </w:rPr>
              <w:t>Il</w:t>
            </w:r>
            <w:r w:rsidRPr="00FC1755">
              <w:rPr>
                <w:lang w:val="it-IT"/>
              </w:rPr>
              <w:t>(i) tasso(i) di sconto usato</w:t>
            </w:r>
            <w:r>
              <w:rPr>
                <w:lang w:val="it-IT"/>
              </w:rPr>
              <w:t>(i)</w:t>
            </w:r>
            <w:r w:rsidRPr="00FC1755">
              <w:rPr>
                <w:lang w:val="it-IT"/>
              </w:rPr>
              <w:t xml:space="preserve"> ai fini del calcolo del valore attuale è(sono) il(i) tasso(i) al lordo delle imposte che rifletta(ano) le valutazioni correnti del mercato: </w:t>
            </w:r>
          </w:p>
        </w:tc>
        <w:tc>
          <w:tcPr>
            <w:tcW w:w="586" w:type="dxa"/>
            <w:gridSpan w:val="2"/>
            <w:tcMar>
              <w:left w:w="85" w:type="dxa"/>
              <w:right w:w="85" w:type="dxa"/>
            </w:tcMar>
            <w:vAlign w:val="center"/>
          </w:tcPr>
          <w:p w:rsidR="000019EF" w:rsidRPr="00A32A16" w:rsidRDefault="000019EF" w:rsidP="00D73E98">
            <w:pPr>
              <w:jc w:val="center"/>
              <w:rPr>
                <w:lang w:val="it-IT"/>
              </w:rPr>
            </w:pPr>
          </w:p>
        </w:tc>
        <w:tc>
          <w:tcPr>
            <w:tcW w:w="573" w:type="dxa"/>
            <w:tcMar>
              <w:left w:w="108" w:type="dxa"/>
            </w:tcMar>
            <w:vAlign w:val="center"/>
          </w:tcPr>
          <w:p w:rsidR="000019EF" w:rsidRPr="00A32A16"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D07A74"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D07A74" w:rsidRDefault="000019EF" w:rsidP="00840B93">
            <w:pPr>
              <w:pStyle w:val="rientrotrattinook"/>
            </w:pPr>
            <w:r w:rsidRPr="00FC1755">
              <w:t>del valore temporale del denaro, e</w:t>
            </w:r>
          </w:p>
        </w:tc>
        <w:tc>
          <w:tcPr>
            <w:tcW w:w="586" w:type="dxa"/>
            <w:gridSpan w:val="2"/>
            <w:tcMar>
              <w:left w:w="85" w:type="dxa"/>
              <w:right w:w="85"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D07A74"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D07A74" w:rsidRDefault="000019EF" w:rsidP="00840B93">
            <w:pPr>
              <w:pStyle w:val="rientrotrattinook"/>
            </w:pPr>
            <w:r w:rsidRPr="00D07A74">
              <w:t>dei rischi specifici dell'attività per i quali le stime dei flussi finanziari futuri non sono state rettificate?</w:t>
            </w:r>
          </w:p>
        </w:tc>
        <w:tc>
          <w:tcPr>
            <w:tcW w:w="586" w:type="dxa"/>
            <w:gridSpan w:val="2"/>
            <w:tcMar>
              <w:left w:w="85" w:type="dxa"/>
              <w:right w:w="85"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1B637A"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D07A74" w:rsidRDefault="000019EF" w:rsidP="00840B93">
            <w:pPr>
              <w:pStyle w:val="rientrotrattinook"/>
            </w:pPr>
            <w:r>
              <w:t>il rendimento che gli investitori richiederebbero se si trovassero nella situazione di dover scegliere un investimento che generasse flussi finanziari di importi, tempistica e rischio equivalenti a quelli che la società si aspetta che derivino dall’immobilizzazione?</w:t>
            </w:r>
          </w:p>
        </w:tc>
        <w:tc>
          <w:tcPr>
            <w:tcW w:w="586" w:type="dxa"/>
            <w:gridSpan w:val="2"/>
            <w:tcMar>
              <w:left w:w="85" w:type="dxa"/>
              <w:right w:w="85" w:type="dxa"/>
            </w:tcMar>
            <w:vAlign w:val="center"/>
          </w:tcPr>
          <w:p w:rsidR="000019EF" w:rsidRPr="00665B9D"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665B9D"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665B9D"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1B637A"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r>
              <w:rPr>
                <w:lang w:val="it-IT"/>
              </w:rPr>
              <w:t>OIC 9.26</w:t>
            </w:r>
          </w:p>
        </w:tc>
        <w:tc>
          <w:tcPr>
            <w:tcW w:w="7060" w:type="dxa"/>
            <w:tcMar>
              <w:left w:w="108" w:type="dxa"/>
            </w:tcMar>
          </w:tcPr>
          <w:p w:rsidR="000019EF" w:rsidRPr="00D07A74" w:rsidRDefault="000019EF" w:rsidP="00840B93">
            <w:pPr>
              <w:pStyle w:val="rientrotrattinook"/>
            </w:pPr>
            <w:r>
              <w:t>tale tasso non riflette i rischi per i quali le stime di flussi finanziari sono state rettificate, per evitare duplicazioni?</w:t>
            </w:r>
          </w:p>
        </w:tc>
        <w:tc>
          <w:tcPr>
            <w:tcW w:w="586" w:type="dxa"/>
            <w:gridSpan w:val="2"/>
            <w:tcMar>
              <w:left w:w="85" w:type="dxa"/>
              <w:right w:w="85" w:type="dxa"/>
            </w:tcMar>
            <w:vAlign w:val="center"/>
          </w:tcPr>
          <w:p w:rsidR="000019EF" w:rsidRPr="00665B9D"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665B9D"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665B9D"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CC242B"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AE5AD6" w:rsidRDefault="000019EF" w:rsidP="00D73E98">
            <w:pPr>
              <w:pStyle w:val="Titolo3"/>
              <w:rPr>
                <w:lang w:val="it-IT"/>
              </w:rPr>
            </w:pPr>
            <w:r w:rsidRPr="00AE5AD6">
              <w:rPr>
                <w:lang w:val="it-IT"/>
              </w:rPr>
              <w:t>Rilevazione della perdita durevole di valore per una UGC e per l’avviamento</w:t>
            </w:r>
          </w:p>
        </w:tc>
        <w:tc>
          <w:tcPr>
            <w:tcW w:w="586" w:type="dxa"/>
            <w:gridSpan w:val="2"/>
            <w:tcMar>
              <w:left w:w="85" w:type="dxa"/>
              <w:right w:w="85" w:type="dxa"/>
            </w:tcMar>
            <w:vAlign w:val="center"/>
          </w:tcPr>
          <w:p w:rsidR="000019EF" w:rsidRPr="00C62102" w:rsidRDefault="000019EF" w:rsidP="00D73E98">
            <w:pPr>
              <w:jc w:val="center"/>
              <w:rPr>
                <w:lang w:val="it-IT"/>
              </w:rPr>
            </w:pPr>
          </w:p>
        </w:tc>
        <w:tc>
          <w:tcPr>
            <w:tcW w:w="573" w:type="dxa"/>
            <w:tcMar>
              <w:left w:w="108" w:type="dxa"/>
            </w:tcMar>
            <w:vAlign w:val="center"/>
          </w:tcPr>
          <w:p w:rsidR="000019EF" w:rsidRPr="00C62102" w:rsidRDefault="000019EF" w:rsidP="00D73E98">
            <w:pPr>
              <w:jc w:val="center"/>
              <w:rPr>
                <w:lang w:val="it-IT"/>
              </w:rPr>
            </w:pPr>
          </w:p>
        </w:tc>
        <w:tc>
          <w:tcPr>
            <w:tcW w:w="570" w:type="dxa"/>
            <w:tcMar>
              <w:left w:w="108" w:type="dxa"/>
            </w:tcMar>
            <w:vAlign w:val="center"/>
          </w:tcPr>
          <w:p w:rsidR="000019EF" w:rsidRPr="00C62102" w:rsidRDefault="000019EF" w:rsidP="00D73E98">
            <w:pPr>
              <w:jc w:val="center"/>
              <w:rPr>
                <w:lang w:val="it-IT"/>
              </w:rPr>
            </w:pPr>
          </w:p>
        </w:tc>
      </w:tr>
      <w:tr w:rsidR="000019EF" w:rsidRPr="00CC242B" w:rsidTr="00D73E98">
        <w:trPr>
          <w:cantSplit/>
          <w:trHeight w:val="20"/>
        </w:trPr>
        <w:tc>
          <w:tcPr>
            <w:tcW w:w="680" w:type="dxa"/>
          </w:tcPr>
          <w:p w:rsidR="000019EF" w:rsidRPr="009E48D7" w:rsidRDefault="00C27BCC" w:rsidP="00D73E98">
            <w:pPr>
              <w:jc w:val="center"/>
              <w:rPr>
                <w:b/>
                <w:lang w:val="it-IT"/>
              </w:rPr>
            </w:pPr>
            <w:r>
              <w:rPr>
                <w:b/>
                <w:lang w:val="it-IT"/>
              </w:rPr>
              <w:t>13</w:t>
            </w:r>
            <w:r w:rsidR="000019EF" w:rsidRPr="009E48D7">
              <w:rPr>
                <w:b/>
                <w:lang w:val="it-IT"/>
              </w:rPr>
              <w:t>)</w:t>
            </w:r>
          </w:p>
        </w:tc>
        <w:tc>
          <w:tcPr>
            <w:tcW w:w="851" w:type="dxa"/>
            <w:tcMar>
              <w:left w:w="108" w:type="dxa"/>
              <w:right w:w="0" w:type="dxa"/>
            </w:tcMar>
          </w:tcPr>
          <w:p w:rsidR="000019EF" w:rsidRPr="008A0F36" w:rsidRDefault="000019EF" w:rsidP="00D73E98">
            <w:pPr>
              <w:pStyle w:val="PrincCont"/>
              <w:jc w:val="left"/>
              <w:rPr>
                <w:lang w:val="it-IT"/>
              </w:rPr>
            </w:pPr>
            <w:r w:rsidRPr="003F5A3B">
              <w:rPr>
                <w:lang w:val="it-IT"/>
              </w:rPr>
              <w:t>OIC 9.</w:t>
            </w:r>
            <w:r>
              <w:rPr>
                <w:lang w:val="it-IT"/>
              </w:rPr>
              <w:t>27</w:t>
            </w:r>
          </w:p>
        </w:tc>
        <w:tc>
          <w:tcPr>
            <w:tcW w:w="7060" w:type="dxa"/>
            <w:tcMar>
              <w:left w:w="108" w:type="dxa"/>
            </w:tcMar>
          </w:tcPr>
          <w:p w:rsidR="000019EF" w:rsidRPr="006916DA" w:rsidRDefault="000019EF" w:rsidP="00D73E98">
            <w:pPr>
              <w:spacing w:line="230" w:lineRule="exact"/>
              <w:rPr>
                <w:lang w:val="it-IT"/>
              </w:rPr>
            </w:pPr>
            <w:r w:rsidRPr="000E477F">
              <w:rPr>
                <w:lang w:val="it-IT"/>
              </w:rPr>
              <w:t xml:space="preserve">La perdita durevole di valore rilevata su una unità generatrice di flussi di cassa (UGC) </w:t>
            </w:r>
            <w:r>
              <w:rPr>
                <w:lang w:val="it-IT"/>
              </w:rPr>
              <w:t>è stata</w:t>
            </w:r>
            <w:r w:rsidRPr="000E477F">
              <w:rPr>
                <w:lang w:val="it-IT"/>
              </w:rPr>
              <w:t xml:space="preserve"> imputata a riduzione del valore contabile delle attività che fanno parte dell’unità nel seguente ordine:</w:t>
            </w:r>
          </w:p>
        </w:tc>
        <w:tc>
          <w:tcPr>
            <w:tcW w:w="586" w:type="dxa"/>
            <w:gridSpan w:val="2"/>
            <w:tcMar>
              <w:left w:w="85" w:type="dxa"/>
              <w:right w:w="85" w:type="dxa"/>
            </w:tcMar>
            <w:vAlign w:val="center"/>
          </w:tcPr>
          <w:p w:rsidR="000019EF" w:rsidRPr="00A32A16" w:rsidRDefault="000019EF" w:rsidP="00D73E98">
            <w:pPr>
              <w:jc w:val="center"/>
              <w:rPr>
                <w:lang w:val="it-IT"/>
              </w:rPr>
            </w:pPr>
          </w:p>
        </w:tc>
        <w:tc>
          <w:tcPr>
            <w:tcW w:w="573" w:type="dxa"/>
            <w:tcMar>
              <w:left w:w="108" w:type="dxa"/>
            </w:tcMar>
            <w:vAlign w:val="center"/>
          </w:tcPr>
          <w:p w:rsidR="000019EF" w:rsidRPr="00A32A16"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6916DA"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6916DA" w:rsidRDefault="000019EF" w:rsidP="00840B93">
            <w:pPr>
              <w:pStyle w:val="rientrotrattinook"/>
            </w:pPr>
            <w:r w:rsidRPr="000E477F">
              <w:t>in primo luogo, al valore del</w:t>
            </w:r>
            <w:r>
              <w:t>l’avviamento allocato sulla UGC</w:t>
            </w:r>
          </w:p>
        </w:tc>
        <w:tc>
          <w:tcPr>
            <w:tcW w:w="586" w:type="dxa"/>
            <w:gridSpan w:val="2"/>
            <w:tcMar>
              <w:left w:w="85" w:type="dxa"/>
              <w:right w:w="85" w:type="dxa"/>
            </w:tcMar>
            <w:vAlign w:val="center"/>
          </w:tcPr>
          <w:p w:rsidR="000019EF" w:rsidRPr="006916DA"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6916DA"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6916DA"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6916DA"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6916DA" w:rsidRDefault="000019EF" w:rsidP="00840B93">
            <w:pPr>
              <w:pStyle w:val="rientrotrattinook"/>
            </w:pPr>
            <w:r w:rsidRPr="006916DA">
              <w:t>infine, alle altre attività proporzionalmente, sulla base del valore contabile di ciascuna attività che fa parte dell’UGC?</w:t>
            </w:r>
          </w:p>
        </w:tc>
        <w:tc>
          <w:tcPr>
            <w:tcW w:w="586" w:type="dxa"/>
            <w:gridSpan w:val="2"/>
            <w:tcMar>
              <w:left w:w="85" w:type="dxa"/>
              <w:right w:w="85" w:type="dxa"/>
            </w:tcMar>
            <w:vAlign w:val="center"/>
          </w:tcPr>
          <w:p w:rsidR="000019EF" w:rsidRPr="006916DA"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6916DA"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6916DA"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6B12BB" w:rsidTr="00D73E98">
        <w:trPr>
          <w:cantSplit/>
          <w:trHeight w:val="20"/>
        </w:trPr>
        <w:tc>
          <w:tcPr>
            <w:tcW w:w="680" w:type="dxa"/>
          </w:tcPr>
          <w:p w:rsidR="000019EF" w:rsidRPr="009E48D7" w:rsidRDefault="00C27BCC" w:rsidP="00D73E98">
            <w:pPr>
              <w:jc w:val="center"/>
              <w:rPr>
                <w:b/>
                <w:lang w:val="it-IT"/>
              </w:rPr>
            </w:pPr>
            <w:r>
              <w:rPr>
                <w:b/>
                <w:lang w:val="it-IT"/>
              </w:rPr>
              <w:t>14</w:t>
            </w:r>
            <w:r w:rsidR="000019EF">
              <w:rPr>
                <w:b/>
                <w:lang w:val="it-IT"/>
              </w:rPr>
              <w:t>)</w:t>
            </w:r>
          </w:p>
        </w:tc>
        <w:tc>
          <w:tcPr>
            <w:tcW w:w="851" w:type="dxa"/>
            <w:tcMar>
              <w:left w:w="108" w:type="dxa"/>
              <w:right w:w="0" w:type="dxa"/>
            </w:tcMar>
          </w:tcPr>
          <w:p w:rsidR="000019EF" w:rsidRPr="003F5A3B" w:rsidRDefault="000019EF" w:rsidP="00D73E98">
            <w:pPr>
              <w:pStyle w:val="PrincCont"/>
              <w:jc w:val="left"/>
              <w:rPr>
                <w:lang w:val="it-IT"/>
              </w:rPr>
            </w:pPr>
            <w:r>
              <w:rPr>
                <w:lang w:val="it-IT"/>
              </w:rPr>
              <w:t>OIC 9.28</w:t>
            </w:r>
          </w:p>
        </w:tc>
        <w:tc>
          <w:tcPr>
            <w:tcW w:w="7060" w:type="dxa"/>
            <w:tcMar>
              <w:left w:w="108" w:type="dxa"/>
            </w:tcMar>
          </w:tcPr>
          <w:p w:rsidR="000019EF" w:rsidRPr="00D43DBF" w:rsidRDefault="000019EF" w:rsidP="00D73E98">
            <w:pPr>
              <w:spacing w:line="230" w:lineRule="exact"/>
              <w:rPr>
                <w:lang w:val="it-IT"/>
              </w:rPr>
            </w:pPr>
            <w:r w:rsidRPr="006B12BB">
              <w:rPr>
                <w:lang w:val="it-IT"/>
              </w:rPr>
              <w:t>L’avviamento è allocato, in sede di prima iscrizione in bilancio, ad una o più UG</w:t>
            </w:r>
            <w:r>
              <w:rPr>
                <w:lang w:val="it-IT"/>
              </w:rPr>
              <w:t>C?</w:t>
            </w:r>
          </w:p>
        </w:tc>
        <w:tc>
          <w:tcPr>
            <w:tcW w:w="586" w:type="dxa"/>
            <w:gridSpan w:val="2"/>
            <w:tcMar>
              <w:left w:w="85" w:type="dxa"/>
              <w:right w:w="85" w:type="dxa"/>
            </w:tcMar>
            <w:vAlign w:val="center"/>
          </w:tcPr>
          <w:p w:rsidR="000019EF" w:rsidRPr="00665B9D"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665B9D"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665B9D"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6B12BB" w:rsidTr="00D73E98">
        <w:trPr>
          <w:cantSplit/>
          <w:trHeight w:val="20"/>
        </w:trPr>
        <w:tc>
          <w:tcPr>
            <w:tcW w:w="680" w:type="dxa"/>
          </w:tcPr>
          <w:p w:rsidR="000019EF" w:rsidRPr="009E48D7" w:rsidRDefault="00C27BCC" w:rsidP="00D73E98">
            <w:pPr>
              <w:jc w:val="center"/>
              <w:rPr>
                <w:b/>
                <w:lang w:val="it-IT"/>
              </w:rPr>
            </w:pPr>
            <w:r>
              <w:rPr>
                <w:b/>
                <w:lang w:val="it-IT"/>
              </w:rPr>
              <w:t>15</w:t>
            </w:r>
            <w:r w:rsidR="000019EF">
              <w:rPr>
                <w:b/>
                <w:lang w:val="it-IT"/>
              </w:rPr>
              <w:t>)</w:t>
            </w:r>
          </w:p>
        </w:tc>
        <w:tc>
          <w:tcPr>
            <w:tcW w:w="851" w:type="dxa"/>
            <w:tcMar>
              <w:left w:w="108" w:type="dxa"/>
              <w:right w:w="0" w:type="dxa"/>
            </w:tcMar>
          </w:tcPr>
          <w:p w:rsidR="000019EF" w:rsidRDefault="000019EF" w:rsidP="00D73E98">
            <w:pPr>
              <w:pStyle w:val="PrincCont"/>
              <w:jc w:val="left"/>
              <w:rPr>
                <w:lang w:val="it-IT"/>
              </w:rPr>
            </w:pPr>
            <w:r>
              <w:rPr>
                <w:lang w:val="it-IT"/>
              </w:rPr>
              <w:t>OIC 9.28</w:t>
            </w:r>
          </w:p>
        </w:tc>
        <w:tc>
          <w:tcPr>
            <w:tcW w:w="7060" w:type="dxa"/>
            <w:tcMar>
              <w:left w:w="108" w:type="dxa"/>
            </w:tcMar>
          </w:tcPr>
          <w:p w:rsidR="000019EF" w:rsidRPr="006B12BB" w:rsidRDefault="000019EF" w:rsidP="00D73E98">
            <w:pPr>
              <w:spacing w:line="230" w:lineRule="exact"/>
              <w:rPr>
                <w:lang w:val="it-IT"/>
              </w:rPr>
            </w:pPr>
            <w:r>
              <w:rPr>
                <w:lang w:val="it-IT"/>
              </w:rPr>
              <w:t>Ai fini di tale allocazione, sono state individuate le UGC che ci si aspetta generino flussi di cassa che giustificano l’iscrizione in bilancio dell’avviamento?</w:t>
            </w:r>
          </w:p>
        </w:tc>
        <w:tc>
          <w:tcPr>
            <w:tcW w:w="586" w:type="dxa"/>
            <w:gridSpan w:val="2"/>
            <w:tcMar>
              <w:left w:w="85" w:type="dxa"/>
              <w:right w:w="85" w:type="dxa"/>
            </w:tcMar>
            <w:vAlign w:val="center"/>
          </w:tcPr>
          <w:p w:rsidR="000019EF" w:rsidRPr="006B12BB"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6B12BB"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6B12BB"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107894"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835EFB" w:rsidRDefault="000019EF" w:rsidP="00D73E98">
            <w:pPr>
              <w:spacing w:line="240" w:lineRule="exact"/>
              <w:rPr>
                <w:b/>
                <w:i/>
                <w:lang w:val="it-IT"/>
              </w:rPr>
            </w:pPr>
            <w:r w:rsidRPr="00835EFB">
              <w:rPr>
                <w:b/>
                <w:i/>
                <w:lang w:val="it-IT"/>
              </w:rPr>
              <w:t>Ripristino del costo</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F0679B" w:rsidTr="00D73E98">
        <w:trPr>
          <w:cantSplit/>
          <w:trHeight w:val="20"/>
        </w:trPr>
        <w:tc>
          <w:tcPr>
            <w:tcW w:w="680" w:type="dxa"/>
          </w:tcPr>
          <w:p w:rsidR="000019EF" w:rsidRPr="009E48D7" w:rsidRDefault="000019EF" w:rsidP="00D73E98">
            <w:pPr>
              <w:jc w:val="center"/>
              <w:rPr>
                <w:b/>
                <w:lang w:val="it-IT"/>
              </w:rPr>
            </w:pPr>
            <w:r w:rsidRPr="009E48D7">
              <w:rPr>
                <w:b/>
                <w:lang w:val="it-IT"/>
              </w:rPr>
              <w:t>1</w:t>
            </w:r>
            <w:r w:rsidR="00C27BCC">
              <w:rPr>
                <w:b/>
                <w:lang w:val="it-IT"/>
              </w:rPr>
              <w:t>6</w:t>
            </w:r>
            <w:r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29</w:t>
            </w:r>
          </w:p>
        </w:tc>
        <w:tc>
          <w:tcPr>
            <w:tcW w:w="7060" w:type="dxa"/>
            <w:tcMar>
              <w:left w:w="108" w:type="dxa"/>
            </w:tcMar>
          </w:tcPr>
          <w:p w:rsidR="000019EF" w:rsidRPr="004066EF" w:rsidRDefault="000019EF" w:rsidP="00D73E98">
            <w:pPr>
              <w:spacing w:line="230" w:lineRule="exact"/>
              <w:rPr>
                <w:lang w:val="it-IT"/>
              </w:rPr>
            </w:pPr>
            <w:r w:rsidRPr="004066EF">
              <w:rPr>
                <w:lang w:val="it-IT"/>
              </w:rPr>
              <w:t>L'eventuale svalutazione per perdite durevoli di valore è ripristinata qualora siano venuti meno i mot</w:t>
            </w:r>
            <w:r>
              <w:rPr>
                <w:lang w:val="it-IT"/>
              </w:rPr>
              <w:t>ivi che l'avevano giustificata e i</w:t>
            </w:r>
            <w:r w:rsidRPr="004066EF">
              <w:rPr>
                <w:lang w:val="it-IT"/>
              </w:rPr>
              <w:t xml:space="preserve">l ripristino di valore </w:t>
            </w:r>
            <w:r>
              <w:rPr>
                <w:lang w:val="it-IT"/>
              </w:rPr>
              <w:t>è stato</w:t>
            </w:r>
            <w:r w:rsidRPr="004066EF">
              <w:rPr>
                <w:lang w:val="it-IT"/>
              </w:rPr>
              <w:t xml:space="preserve"> effettua</w:t>
            </w:r>
            <w:r>
              <w:rPr>
                <w:lang w:val="it-IT"/>
              </w:rPr>
              <w:t>to</w:t>
            </w:r>
            <w:r w:rsidRPr="004066EF">
              <w:rPr>
                <w:lang w:val="it-IT"/>
              </w:rPr>
              <w:t xml:space="preserve"> nei limiti del valore che l'attività avrebbe avuto ove la rettifica di valore non avesse mai avuto luogo</w:t>
            </w:r>
            <w:r>
              <w:rPr>
                <w:lang w:val="it-IT"/>
              </w:rPr>
              <w:t>?</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835176" w:rsidTr="00D73E98">
        <w:trPr>
          <w:cantSplit/>
          <w:trHeight w:val="20"/>
        </w:trPr>
        <w:tc>
          <w:tcPr>
            <w:tcW w:w="680" w:type="dxa"/>
          </w:tcPr>
          <w:p w:rsidR="000019EF" w:rsidRPr="009E48D7" w:rsidRDefault="000019EF" w:rsidP="00D73E98">
            <w:pPr>
              <w:jc w:val="center"/>
              <w:rPr>
                <w:b/>
                <w:lang w:val="it-IT"/>
              </w:rPr>
            </w:pPr>
            <w:r w:rsidRPr="009E48D7">
              <w:rPr>
                <w:b/>
                <w:lang w:val="it-IT"/>
              </w:rPr>
              <w:t>1</w:t>
            </w:r>
            <w:r w:rsidR="00C27BCC">
              <w:rPr>
                <w:b/>
                <w:lang w:val="it-IT"/>
              </w:rPr>
              <w:t>7</w:t>
            </w:r>
            <w:r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29</w:t>
            </w:r>
          </w:p>
        </w:tc>
        <w:tc>
          <w:tcPr>
            <w:tcW w:w="7060" w:type="dxa"/>
            <w:tcMar>
              <w:left w:w="108" w:type="dxa"/>
            </w:tcMar>
          </w:tcPr>
          <w:p w:rsidR="000019EF" w:rsidRPr="00EA46CB" w:rsidRDefault="000019EF" w:rsidP="00D73E98">
            <w:pPr>
              <w:spacing w:line="230" w:lineRule="exact"/>
              <w:rPr>
                <w:lang w:val="it-IT"/>
              </w:rPr>
            </w:pPr>
            <w:r>
              <w:rPr>
                <w:lang w:val="it-IT"/>
              </w:rPr>
              <w:t>Si è tenuto conto del fatto che n</w:t>
            </w:r>
            <w:r w:rsidRPr="004066EF">
              <w:rPr>
                <w:lang w:val="it-IT"/>
              </w:rPr>
              <w:t>on è possibile ripristinare la svalutazione rilevata sull'avviamento e sugli oneri pluriennali di cui al n</w:t>
            </w:r>
            <w:r>
              <w:rPr>
                <w:lang w:val="it-IT"/>
              </w:rPr>
              <w:t>.</w:t>
            </w:r>
            <w:r w:rsidRPr="004066EF">
              <w:rPr>
                <w:lang w:val="it-IT"/>
              </w:rPr>
              <w:t xml:space="preserve"> 5</w:t>
            </w:r>
            <w:r>
              <w:rPr>
                <w:lang w:val="it-IT"/>
              </w:rPr>
              <w:t>, c.1,</w:t>
            </w:r>
            <w:r w:rsidRPr="004066EF">
              <w:rPr>
                <w:lang w:val="it-IT"/>
              </w:rPr>
              <w:t xml:space="preserve"> d</w:t>
            </w:r>
            <w:r>
              <w:rPr>
                <w:lang w:val="it-IT"/>
              </w:rPr>
              <w:t>ell'art. 2426 CC?</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rsidRPr="002C4DEA">
              <w:rPr>
                <w:lang w:val="it-IT"/>
              </w:rP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rsidRPr="002C4DEA">
              <w:rPr>
                <w:lang w:val="it-IT"/>
              </w:rP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rsidRPr="002C4DEA">
              <w:rPr>
                <w:lang w:val="it-IT"/>
              </w:rPr>
              <w:instrText xml:space="preserve"> FORMCHECKBOX </w:instrText>
            </w:r>
            <w:r w:rsidR="00CA1681">
              <w:fldChar w:fldCharType="separate"/>
            </w:r>
            <w:r>
              <w:fldChar w:fldCharType="end"/>
            </w:r>
          </w:p>
        </w:tc>
      </w:tr>
      <w:tr w:rsidR="000019EF" w:rsidRPr="00CC242B"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p>
        </w:tc>
        <w:tc>
          <w:tcPr>
            <w:tcW w:w="7060" w:type="dxa"/>
            <w:tcMar>
              <w:left w:w="108" w:type="dxa"/>
            </w:tcMar>
          </w:tcPr>
          <w:p w:rsidR="000019EF" w:rsidRPr="00DE38DC" w:rsidRDefault="000019EF" w:rsidP="00D73E98">
            <w:pPr>
              <w:pStyle w:val="Titolo2"/>
              <w:keepNext w:val="0"/>
              <w:rPr>
                <w:lang w:val="it-IT"/>
              </w:rPr>
            </w:pPr>
            <w:r w:rsidRPr="00B43010">
              <w:rPr>
                <w:lang w:val="it-IT"/>
              </w:rPr>
              <w:t>Approccio semplificato alla determinazione delle perdite durevoli di valore</w:t>
            </w:r>
          </w:p>
        </w:tc>
        <w:tc>
          <w:tcPr>
            <w:tcW w:w="586" w:type="dxa"/>
            <w:gridSpan w:val="2"/>
            <w:tcMar>
              <w:left w:w="85" w:type="dxa"/>
              <w:right w:w="85" w:type="dxa"/>
            </w:tcMar>
            <w:vAlign w:val="center"/>
          </w:tcPr>
          <w:p w:rsidR="000019EF" w:rsidRPr="00A32A16" w:rsidRDefault="000019EF" w:rsidP="00D73E98">
            <w:pPr>
              <w:jc w:val="center"/>
              <w:rPr>
                <w:lang w:val="it-IT"/>
              </w:rPr>
            </w:pPr>
          </w:p>
        </w:tc>
        <w:tc>
          <w:tcPr>
            <w:tcW w:w="573" w:type="dxa"/>
            <w:tcMar>
              <w:left w:w="108" w:type="dxa"/>
            </w:tcMar>
            <w:vAlign w:val="center"/>
          </w:tcPr>
          <w:p w:rsidR="000019EF" w:rsidRPr="00A32A16"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F50B82"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p>
        </w:tc>
        <w:tc>
          <w:tcPr>
            <w:tcW w:w="7060" w:type="dxa"/>
            <w:tcMar>
              <w:left w:w="108" w:type="dxa"/>
            </w:tcMar>
          </w:tcPr>
          <w:p w:rsidR="000019EF" w:rsidRPr="001034D7" w:rsidRDefault="000019EF" w:rsidP="00D73E98">
            <w:pPr>
              <w:pStyle w:val="Titolo3"/>
              <w:jc w:val="left"/>
            </w:pPr>
            <w:r w:rsidRPr="001034D7">
              <w:t>Soggetti abilitati</w:t>
            </w:r>
          </w:p>
        </w:tc>
        <w:tc>
          <w:tcPr>
            <w:tcW w:w="586" w:type="dxa"/>
            <w:gridSpan w:val="2"/>
            <w:tcMar>
              <w:left w:w="85" w:type="dxa"/>
              <w:right w:w="85" w:type="dxa"/>
            </w:tcMar>
            <w:vAlign w:val="center"/>
          </w:tcPr>
          <w:p w:rsidR="000019EF" w:rsidRPr="00A32A16" w:rsidRDefault="000019EF" w:rsidP="00D73E98">
            <w:pPr>
              <w:jc w:val="center"/>
              <w:rPr>
                <w:lang w:val="it-IT"/>
              </w:rPr>
            </w:pPr>
          </w:p>
        </w:tc>
        <w:tc>
          <w:tcPr>
            <w:tcW w:w="573" w:type="dxa"/>
            <w:tcMar>
              <w:left w:w="108" w:type="dxa"/>
            </w:tcMar>
            <w:vAlign w:val="center"/>
          </w:tcPr>
          <w:p w:rsidR="000019EF" w:rsidRPr="00A32A16"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CC242B"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sidRPr="003F5A3B">
              <w:rPr>
                <w:lang w:val="it-IT"/>
              </w:rPr>
              <w:t>OIC 9.</w:t>
            </w:r>
            <w:r>
              <w:rPr>
                <w:lang w:val="it-IT"/>
              </w:rPr>
              <w:t>30</w:t>
            </w:r>
          </w:p>
        </w:tc>
        <w:tc>
          <w:tcPr>
            <w:tcW w:w="7060" w:type="dxa"/>
            <w:tcMar>
              <w:left w:w="108" w:type="dxa"/>
            </w:tcMar>
          </w:tcPr>
          <w:p w:rsidR="000019EF" w:rsidRPr="00D14838" w:rsidRDefault="000019EF" w:rsidP="00D73E98">
            <w:pPr>
              <w:pStyle w:val="Commentiriquadro"/>
            </w:pPr>
            <w:r>
              <w:rPr>
                <w:lang w:eastAsia="it-IT"/>
              </w:rPr>
              <w:t>Le socie</w:t>
            </w:r>
            <w:r w:rsidRPr="00D14838">
              <w:t>tà che per due esercizi consecutivi non superino nel proprio bilancio d’esercizio due dei tre seguenti limiti,</w:t>
            </w:r>
          </w:p>
          <w:p w:rsidR="000019EF" w:rsidRPr="00D14838" w:rsidRDefault="000019EF" w:rsidP="00D73E98">
            <w:pPr>
              <w:pStyle w:val="Commentiriquadro"/>
            </w:pPr>
            <w:r w:rsidRPr="00D14838">
              <w:t>-</w:t>
            </w:r>
            <w:r w:rsidRPr="00D14838">
              <w:tab/>
              <w:t>numero medio dei dipendenti durante l’esercizio 50 unità,</w:t>
            </w:r>
          </w:p>
          <w:p w:rsidR="000019EF" w:rsidRPr="00D14838" w:rsidRDefault="000019EF" w:rsidP="00D73E98">
            <w:pPr>
              <w:pStyle w:val="Commentiriquadro"/>
            </w:pPr>
            <w:r w:rsidRPr="00D14838">
              <w:t>-</w:t>
            </w:r>
            <w:r w:rsidRPr="00D14838">
              <w:tab/>
              <w:t>totale attivo di bilancio 4,4 milioni di euro,</w:t>
            </w:r>
          </w:p>
          <w:p w:rsidR="000019EF" w:rsidRPr="00D14838" w:rsidRDefault="000019EF" w:rsidP="00D73E98">
            <w:pPr>
              <w:pStyle w:val="Commentiriquadro"/>
            </w:pPr>
            <w:r w:rsidRPr="00D14838">
              <w:t>-</w:t>
            </w:r>
            <w:r w:rsidRPr="00D14838">
              <w:tab/>
              <w:t>ricavi netti delle vendite e delle prestazioni 8,8 milioni di euro,</w:t>
            </w:r>
          </w:p>
          <w:p w:rsidR="000019EF" w:rsidRPr="00D14838" w:rsidRDefault="000019EF" w:rsidP="00D73E98">
            <w:pPr>
              <w:pStyle w:val="Commentiriquadro"/>
            </w:pPr>
            <w:r w:rsidRPr="00D14838">
              <w:t>hanno l’opzione di adottare un approccio alla determinazione delle perdite durevoli di valore basato sulla capacità di ammortamento.</w:t>
            </w:r>
          </w:p>
          <w:p w:rsidR="000019EF" w:rsidRPr="00DE38DC" w:rsidRDefault="000019EF" w:rsidP="00D73E98">
            <w:pPr>
              <w:pStyle w:val="Commentiriquadro"/>
              <w:rPr>
                <w:lang w:eastAsia="it-IT"/>
              </w:rPr>
            </w:pPr>
            <w:r w:rsidRPr="00D14838">
              <w:t>L’app</w:t>
            </w:r>
            <w:r w:rsidRPr="00266E76">
              <w:rPr>
                <w:lang w:eastAsia="it-IT"/>
              </w:rPr>
              <w:t>roccio semplificato non è applicabile ai fini della redazione del bilancio consolidato.</w:t>
            </w:r>
          </w:p>
        </w:tc>
        <w:tc>
          <w:tcPr>
            <w:tcW w:w="586" w:type="dxa"/>
            <w:gridSpan w:val="2"/>
            <w:tcMar>
              <w:left w:w="85" w:type="dxa"/>
              <w:right w:w="85" w:type="dxa"/>
            </w:tcMar>
            <w:vAlign w:val="center"/>
          </w:tcPr>
          <w:p w:rsidR="000019EF" w:rsidRPr="00DE38DC" w:rsidRDefault="000019EF" w:rsidP="00D73E98">
            <w:pPr>
              <w:jc w:val="center"/>
              <w:rPr>
                <w:lang w:val="it-IT"/>
              </w:rPr>
            </w:pPr>
          </w:p>
        </w:tc>
        <w:tc>
          <w:tcPr>
            <w:tcW w:w="573" w:type="dxa"/>
            <w:tcMar>
              <w:left w:w="108" w:type="dxa"/>
            </w:tcMar>
            <w:vAlign w:val="center"/>
          </w:tcPr>
          <w:p w:rsidR="000019EF" w:rsidRPr="00DE38DC" w:rsidRDefault="000019EF" w:rsidP="00D73E98">
            <w:pPr>
              <w:jc w:val="center"/>
              <w:rPr>
                <w:lang w:val="it-IT"/>
              </w:rPr>
            </w:pPr>
          </w:p>
        </w:tc>
        <w:tc>
          <w:tcPr>
            <w:tcW w:w="570" w:type="dxa"/>
            <w:tcMar>
              <w:left w:w="108" w:type="dxa"/>
            </w:tcMar>
            <w:vAlign w:val="center"/>
          </w:tcPr>
          <w:p w:rsidR="000019EF" w:rsidRPr="00DE38DC" w:rsidRDefault="000019EF" w:rsidP="00D73E98">
            <w:pPr>
              <w:jc w:val="center"/>
              <w:rPr>
                <w:lang w:val="it-IT"/>
              </w:rPr>
            </w:pPr>
          </w:p>
        </w:tc>
      </w:tr>
      <w:tr w:rsidR="000019EF" w:rsidRPr="00CC242B"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p>
        </w:tc>
        <w:tc>
          <w:tcPr>
            <w:tcW w:w="7060" w:type="dxa"/>
            <w:tcMar>
              <w:left w:w="108" w:type="dxa"/>
            </w:tcMar>
          </w:tcPr>
          <w:p w:rsidR="000019EF" w:rsidRPr="00F67F32" w:rsidRDefault="000019EF" w:rsidP="00D73E98">
            <w:pPr>
              <w:pStyle w:val="Titolo3"/>
              <w:jc w:val="left"/>
              <w:rPr>
                <w:lang w:val="it-IT"/>
              </w:rPr>
            </w:pPr>
            <w:r w:rsidRPr="004916F1">
              <w:rPr>
                <w:lang w:val="it-IT"/>
              </w:rPr>
              <w:t>Indicatori di potenziali perdite di valore</w:t>
            </w:r>
          </w:p>
        </w:tc>
        <w:tc>
          <w:tcPr>
            <w:tcW w:w="586" w:type="dxa"/>
            <w:gridSpan w:val="2"/>
            <w:tcMar>
              <w:left w:w="85" w:type="dxa"/>
              <w:right w:w="85" w:type="dxa"/>
            </w:tcMar>
            <w:vAlign w:val="center"/>
          </w:tcPr>
          <w:p w:rsidR="000019EF" w:rsidRPr="00A32A16" w:rsidRDefault="000019EF" w:rsidP="00D73E98">
            <w:pPr>
              <w:jc w:val="center"/>
              <w:rPr>
                <w:lang w:val="it-IT"/>
              </w:rPr>
            </w:pPr>
          </w:p>
        </w:tc>
        <w:tc>
          <w:tcPr>
            <w:tcW w:w="573" w:type="dxa"/>
            <w:tcMar>
              <w:left w:w="108" w:type="dxa"/>
            </w:tcMar>
            <w:vAlign w:val="center"/>
          </w:tcPr>
          <w:p w:rsidR="000019EF" w:rsidRPr="00A32A16"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492518" w:rsidTr="00D73E98">
        <w:trPr>
          <w:cantSplit/>
          <w:trHeight w:val="20"/>
        </w:trPr>
        <w:tc>
          <w:tcPr>
            <w:tcW w:w="680" w:type="dxa"/>
          </w:tcPr>
          <w:p w:rsidR="000019EF" w:rsidRPr="009E48D7" w:rsidRDefault="000019EF" w:rsidP="00D73E98">
            <w:pPr>
              <w:jc w:val="center"/>
              <w:rPr>
                <w:b/>
                <w:lang w:val="it-IT"/>
              </w:rPr>
            </w:pPr>
            <w:r w:rsidRPr="009E48D7">
              <w:rPr>
                <w:b/>
                <w:lang w:val="it-IT"/>
              </w:rPr>
              <w:t>1</w:t>
            </w:r>
            <w:r w:rsidR="00C27BCC">
              <w:rPr>
                <w:b/>
                <w:lang w:val="it-IT"/>
              </w:rPr>
              <w:t>8</w:t>
            </w:r>
            <w:r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31</w:t>
            </w:r>
          </w:p>
        </w:tc>
        <w:tc>
          <w:tcPr>
            <w:tcW w:w="7060" w:type="dxa"/>
            <w:tcMar>
              <w:left w:w="108" w:type="dxa"/>
            </w:tcMar>
          </w:tcPr>
          <w:p w:rsidR="000019EF" w:rsidRDefault="000019EF" w:rsidP="00D73E98">
            <w:pPr>
              <w:spacing w:line="230" w:lineRule="exact"/>
              <w:rPr>
                <w:lang w:val="it-IT"/>
              </w:rPr>
            </w:pPr>
            <w:r w:rsidRPr="007A66C2">
              <w:rPr>
                <w:lang w:val="it-IT"/>
              </w:rPr>
              <w:t>La società valuta a ogni data di riferimento del bilancio se esiste un indicatore che un’immobilizzazione possa aver</w:t>
            </w:r>
            <w:r>
              <w:rPr>
                <w:lang w:val="it-IT"/>
              </w:rPr>
              <w:t xml:space="preserve"> subito una riduzione di valore?</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CC242B" w:rsidTr="00D73E98">
        <w:trPr>
          <w:cantSplit/>
          <w:trHeight w:val="20"/>
        </w:trPr>
        <w:tc>
          <w:tcPr>
            <w:tcW w:w="680" w:type="dxa"/>
          </w:tcPr>
          <w:p w:rsidR="000019EF" w:rsidRPr="009E48D7" w:rsidRDefault="00C27BCC" w:rsidP="00D73E98">
            <w:pPr>
              <w:jc w:val="center"/>
              <w:rPr>
                <w:b/>
                <w:lang w:val="it-IT"/>
              </w:rPr>
            </w:pPr>
            <w:r>
              <w:rPr>
                <w:b/>
                <w:lang w:val="it-IT"/>
              </w:rPr>
              <w:t>19</w:t>
            </w:r>
            <w:r w:rsidR="000019EF"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31</w:t>
            </w:r>
          </w:p>
        </w:tc>
        <w:tc>
          <w:tcPr>
            <w:tcW w:w="7060" w:type="dxa"/>
            <w:tcMar>
              <w:left w:w="108" w:type="dxa"/>
            </w:tcMar>
          </w:tcPr>
          <w:p w:rsidR="000019EF" w:rsidRPr="00356E27" w:rsidRDefault="000019EF" w:rsidP="00D73E98">
            <w:pPr>
              <w:pStyle w:val="Titolo3"/>
              <w:spacing w:line="230" w:lineRule="exact"/>
              <w:rPr>
                <w:b w:val="0"/>
                <w:i w:val="0"/>
                <w:lang w:val="it-IT"/>
              </w:rPr>
            </w:pPr>
            <w:r w:rsidRPr="00356E27">
              <w:rPr>
                <w:b w:val="0"/>
                <w:i w:val="0"/>
                <w:lang w:val="it-IT"/>
              </w:rPr>
              <w:t>Nel valutare se esiste un’indicazione che un’attività possa aver subito una perdita durevole di valore, la società considera i seguenti indicatori?</w:t>
            </w:r>
          </w:p>
        </w:tc>
        <w:tc>
          <w:tcPr>
            <w:tcW w:w="586" w:type="dxa"/>
            <w:gridSpan w:val="2"/>
            <w:tcMar>
              <w:left w:w="85" w:type="dxa"/>
              <w:right w:w="85" w:type="dxa"/>
            </w:tcMar>
            <w:vAlign w:val="center"/>
          </w:tcPr>
          <w:p w:rsidR="000019EF" w:rsidRPr="00492518" w:rsidRDefault="000019EF" w:rsidP="00D73E98">
            <w:pPr>
              <w:jc w:val="center"/>
              <w:rPr>
                <w:lang w:val="it-IT"/>
              </w:rPr>
            </w:pPr>
          </w:p>
        </w:tc>
        <w:tc>
          <w:tcPr>
            <w:tcW w:w="573" w:type="dxa"/>
            <w:tcMar>
              <w:left w:w="108" w:type="dxa"/>
            </w:tcMar>
            <w:vAlign w:val="center"/>
          </w:tcPr>
          <w:p w:rsidR="000019EF" w:rsidRPr="00492518" w:rsidRDefault="000019EF" w:rsidP="00D73E98">
            <w:pPr>
              <w:jc w:val="center"/>
              <w:rPr>
                <w:lang w:val="it-IT"/>
              </w:rPr>
            </w:pPr>
          </w:p>
        </w:tc>
        <w:tc>
          <w:tcPr>
            <w:tcW w:w="570" w:type="dxa"/>
            <w:tcMar>
              <w:left w:w="108" w:type="dxa"/>
            </w:tcMar>
            <w:vAlign w:val="center"/>
          </w:tcPr>
          <w:p w:rsidR="000019EF" w:rsidRPr="00492518" w:rsidRDefault="000019EF" w:rsidP="00D73E98">
            <w:pPr>
              <w:jc w:val="center"/>
              <w:rPr>
                <w:lang w:val="it-IT"/>
              </w:rPr>
            </w:pP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9D08A3" w:rsidRDefault="000019EF" w:rsidP="003424CF">
            <w:pPr>
              <w:pStyle w:val="rientrotrattinook"/>
              <w:tabs>
                <w:tab w:val="clear" w:pos="704"/>
              </w:tabs>
              <w:ind w:left="460" w:hanging="284"/>
            </w:pPr>
            <w:r w:rsidRPr="004916F1">
              <w:t>il valore di mercato di un’attività è diminuito significativamente durante l’esercizio, più di quanto si prevedeva sarebbe accaduto con il passare del tempo o con l’uso n</w:t>
            </w:r>
            <w:r>
              <w:t>ormale dell’attività in oggetto</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9D08A3" w:rsidRDefault="000019EF" w:rsidP="003424CF">
            <w:pPr>
              <w:pStyle w:val="rientrotrattinook"/>
              <w:tabs>
                <w:tab w:val="clear" w:pos="704"/>
              </w:tabs>
              <w:ind w:left="460" w:hanging="284"/>
            </w:pPr>
            <w:r w:rsidRPr="004916F1">
              <w:t>durante l’esercizio si sono verificate, o si verificheranno nel futuro prossimo, variazioni significative con effetto negativo per la società nell’ambiente tecnologico, di mercato, economico o normativo in cui la società opera o nel me</w:t>
            </w:r>
            <w:r>
              <w:t>rcato cui un’attività è rivolta</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6B6DCE" w:rsidRDefault="000019EF" w:rsidP="003424CF">
            <w:pPr>
              <w:pStyle w:val="rientrotrattinook"/>
              <w:tabs>
                <w:tab w:val="clear" w:pos="704"/>
              </w:tabs>
              <w:ind w:left="460" w:hanging="284"/>
            </w:pPr>
            <w:r w:rsidRPr="004916F1">
              <w:t xml:space="preserve">il valore contabile delle attività nette della società è superiore al loro </w:t>
            </w:r>
            <w:r>
              <w:t>fair value</w:t>
            </w:r>
            <w:r w:rsidRPr="004916F1">
              <w:t xml:space="preserve"> stimato della società (una tale stima sarà effettuata, per esempio, in relazione alla</w:t>
            </w:r>
            <w:r>
              <w:t xml:space="preserve"> </w:t>
            </w:r>
            <w:r w:rsidRPr="004916F1">
              <w:t xml:space="preserve">vendita potenziale di tutta </w:t>
            </w:r>
            <w:r>
              <w:t>la società o parte di essa)</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C746FE" w:rsidRDefault="000019EF" w:rsidP="003424CF">
            <w:pPr>
              <w:pStyle w:val="rientrotrattinook"/>
              <w:tabs>
                <w:tab w:val="clear" w:pos="704"/>
              </w:tabs>
              <w:ind w:left="460" w:hanging="284"/>
            </w:pPr>
            <w:r w:rsidRPr="00C746FE">
              <w:t xml:space="preserve">l’obsolescenza o il deterioramento fisico </w:t>
            </w:r>
            <w:r>
              <w:t>di un’attività risulta evidente</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C746FE" w:rsidRDefault="000019EF" w:rsidP="003424CF">
            <w:pPr>
              <w:pStyle w:val="rientrotrattinook"/>
              <w:tabs>
                <w:tab w:val="clear" w:pos="704"/>
              </w:tabs>
              <w:ind w:left="460" w:hanging="284"/>
            </w:pPr>
            <w:r w:rsidRPr="00C746FE">
              <w:t>nel corso dell’esercizio si sono verificati significativi cambiamenti con effetto negativo sulla società, oppure si suppone che si verificheranno nel prossimo futuro, nella misura o nel modo in cui un’attività viene utilizzata o ci si attende sarà utilizzata. Tali cambiamenti includono casi quali:</w:t>
            </w:r>
          </w:p>
          <w:p w:rsidR="000019EF" w:rsidRPr="00C746FE" w:rsidRDefault="000019EF" w:rsidP="003424CF">
            <w:pPr>
              <w:pStyle w:val="rientropuntino"/>
              <w:spacing w:line="230" w:lineRule="exact"/>
              <w:ind w:left="460" w:firstLine="0"/>
            </w:pPr>
            <w:r w:rsidRPr="00C746FE">
              <w:t xml:space="preserve">l’attività diventa inutilizzata, </w:t>
            </w:r>
          </w:p>
          <w:p w:rsidR="000019EF" w:rsidRPr="00C746FE" w:rsidRDefault="000019EF" w:rsidP="003424CF">
            <w:pPr>
              <w:pStyle w:val="rientropuntino"/>
              <w:spacing w:line="230" w:lineRule="exact"/>
              <w:ind w:left="460" w:firstLine="0"/>
            </w:pPr>
            <w:r w:rsidRPr="00C746FE">
              <w:t xml:space="preserve">piani di dismissione o ristrutturazione del settore operativo al quale l’attività appartiene, </w:t>
            </w:r>
          </w:p>
          <w:p w:rsidR="000019EF" w:rsidRPr="00C746FE" w:rsidRDefault="000019EF" w:rsidP="003424CF">
            <w:pPr>
              <w:pStyle w:val="rientropuntino"/>
              <w:spacing w:line="230" w:lineRule="exact"/>
              <w:ind w:left="460" w:firstLine="0"/>
            </w:pPr>
            <w:r w:rsidRPr="00C746FE">
              <w:t xml:space="preserve">piani di dismissione dell’attività prima della data prima prevista, </w:t>
            </w:r>
          </w:p>
          <w:p w:rsidR="000019EF" w:rsidRPr="009D08A3" w:rsidRDefault="000019EF" w:rsidP="003424CF">
            <w:pPr>
              <w:pStyle w:val="rientropuntino"/>
              <w:spacing w:line="230" w:lineRule="exact"/>
              <w:ind w:left="460" w:firstLine="0"/>
            </w:pPr>
            <w:r w:rsidRPr="00C746FE">
              <w:t xml:space="preserve">la ridefinizione della vita utile </w:t>
            </w:r>
            <w:r>
              <w:t>dell’immobilizzazione</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9D08A3" w:rsidRDefault="000019EF" w:rsidP="003424CF">
            <w:pPr>
              <w:pStyle w:val="rientrotrattinook"/>
              <w:tabs>
                <w:tab w:val="clear" w:pos="704"/>
              </w:tabs>
              <w:ind w:left="460" w:hanging="284"/>
            </w:pPr>
            <w:r w:rsidRPr="002573AC">
              <w:rPr>
                <w:rStyle w:val="rientrotrattinookCarattere"/>
              </w:rPr>
              <w:t>dall’informativa interna risulta evidente che l’andamento economico di un’attività è, o sarà,</w:t>
            </w:r>
            <w:r>
              <w:t xml:space="preserve"> peggiore di quanto previsto?</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CC242B"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E86377" w:rsidRDefault="000019EF" w:rsidP="00D73E98">
            <w:pPr>
              <w:pStyle w:val="PrincCont"/>
              <w:jc w:val="left"/>
              <w:rPr>
                <w:sz w:val="20"/>
                <w:szCs w:val="20"/>
                <w:lang w:val="it-IT"/>
              </w:rPr>
            </w:pPr>
          </w:p>
        </w:tc>
        <w:tc>
          <w:tcPr>
            <w:tcW w:w="7060" w:type="dxa"/>
            <w:tcMar>
              <w:left w:w="108" w:type="dxa"/>
            </w:tcMar>
          </w:tcPr>
          <w:p w:rsidR="000019EF" w:rsidRPr="00E86377" w:rsidRDefault="000019EF" w:rsidP="00D73E98">
            <w:pPr>
              <w:pStyle w:val="Titolo3"/>
              <w:rPr>
                <w:lang w:val="it-IT"/>
              </w:rPr>
            </w:pPr>
            <w:r w:rsidRPr="00E86377">
              <w:rPr>
                <w:lang w:val="it-IT"/>
              </w:rPr>
              <w:t xml:space="preserve">Valutazione della recuperabilità </w:t>
            </w:r>
            <w:r>
              <w:rPr>
                <w:lang w:val="it-IT"/>
              </w:rPr>
              <w:t>delle immobilizzazioni</w:t>
            </w:r>
          </w:p>
        </w:tc>
        <w:tc>
          <w:tcPr>
            <w:tcW w:w="586" w:type="dxa"/>
            <w:gridSpan w:val="2"/>
            <w:tcMar>
              <w:left w:w="85" w:type="dxa"/>
              <w:right w:w="85" w:type="dxa"/>
            </w:tcMar>
            <w:vAlign w:val="center"/>
          </w:tcPr>
          <w:p w:rsidR="000019EF" w:rsidRPr="00E86377" w:rsidRDefault="000019EF" w:rsidP="00D73E98">
            <w:pPr>
              <w:jc w:val="center"/>
              <w:rPr>
                <w:lang w:val="it-IT"/>
              </w:rPr>
            </w:pPr>
          </w:p>
        </w:tc>
        <w:tc>
          <w:tcPr>
            <w:tcW w:w="573" w:type="dxa"/>
            <w:tcMar>
              <w:left w:w="108" w:type="dxa"/>
            </w:tcMar>
            <w:vAlign w:val="center"/>
          </w:tcPr>
          <w:p w:rsidR="000019EF" w:rsidRPr="00E86377" w:rsidRDefault="000019EF" w:rsidP="00D73E98">
            <w:pPr>
              <w:jc w:val="center"/>
              <w:rPr>
                <w:lang w:val="it-IT"/>
              </w:rPr>
            </w:pPr>
          </w:p>
        </w:tc>
        <w:tc>
          <w:tcPr>
            <w:tcW w:w="570" w:type="dxa"/>
            <w:tcMar>
              <w:left w:w="108" w:type="dxa"/>
            </w:tcMar>
            <w:vAlign w:val="center"/>
          </w:tcPr>
          <w:p w:rsidR="000019EF" w:rsidRPr="00E86377" w:rsidRDefault="000019EF" w:rsidP="00D73E98">
            <w:pPr>
              <w:jc w:val="center"/>
              <w:rPr>
                <w:lang w:val="it-IT"/>
              </w:rPr>
            </w:pPr>
          </w:p>
        </w:tc>
      </w:tr>
      <w:tr w:rsidR="000019EF" w:rsidRPr="00F0679B" w:rsidTr="00D73E98">
        <w:trPr>
          <w:cantSplit/>
          <w:trHeight w:val="20"/>
        </w:trPr>
        <w:tc>
          <w:tcPr>
            <w:tcW w:w="680" w:type="dxa"/>
          </w:tcPr>
          <w:p w:rsidR="000019EF" w:rsidRPr="009E48D7" w:rsidRDefault="000019EF" w:rsidP="00D73E98">
            <w:pPr>
              <w:jc w:val="center"/>
              <w:rPr>
                <w:b/>
                <w:lang w:val="it-IT"/>
              </w:rPr>
            </w:pPr>
            <w:r>
              <w:rPr>
                <w:b/>
                <w:lang w:val="it-IT"/>
              </w:rPr>
              <w:t>2</w:t>
            </w:r>
            <w:r w:rsidR="00C27BCC">
              <w:rPr>
                <w:b/>
                <w:lang w:val="it-IT"/>
              </w:rPr>
              <w:t>0</w:t>
            </w:r>
            <w:r w:rsidRPr="009E48D7">
              <w:rPr>
                <w:b/>
                <w:lang w:val="it-IT"/>
              </w:rPr>
              <w:t>)</w:t>
            </w:r>
          </w:p>
        </w:tc>
        <w:tc>
          <w:tcPr>
            <w:tcW w:w="851" w:type="dxa"/>
            <w:tcMar>
              <w:left w:w="108" w:type="dxa"/>
              <w:right w:w="0" w:type="dxa"/>
            </w:tcMar>
          </w:tcPr>
          <w:p w:rsidR="000019EF" w:rsidRPr="008A0F36" w:rsidRDefault="000019EF" w:rsidP="00D73E98">
            <w:pPr>
              <w:pStyle w:val="PrincCont"/>
              <w:jc w:val="left"/>
              <w:rPr>
                <w:lang w:val="it-IT"/>
              </w:rPr>
            </w:pPr>
            <w:r w:rsidRPr="003F5A3B">
              <w:rPr>
                <w:lang w:val="it-IT"/>
              </w:rPr>
              <w:t>OIC 9.</w:t>
            </w:r>
            <w:r>
              <w:rPr>
                <w:lang w:val="it-IT"/>
              </w:rPr>
              <w:t>32</w:t>
            </w:r>
          </w:p>
        </w:tc>
        <w:tc>
          <w:tcPr>
            <w:tcW w:w="7060" w:type="dxa"/>
            <w:tcMar>
              <w:left w:w="108" w:type="dxa"/>
            </w:tcMar>
          </w:tcPr>
          <w:p w:rsidR="000019EF" w:rsidRPr="00AD6E2D" w:rsidRDefault="000019EF" w:rsidP="00D73E98">
            <w:pPr>
              <w:spacing w:line="230" w:lineRule="exact"/>
              <w:rPr>
                <w:lang w:val="it-IT"/>
              </w:rPr>
            </w:pPr>
            <w:r w:rsidRPr="00D90391">
              <w:rPr>
                <w:lang w:val="it-IT"/>
              </w:rPr>
              <w:t xml:space="preserve">Ai fini della verifica della recuperabilità delle immobilizzazioni, si </w:t>
            </w:r>
            <w:r>
              <w:rPr>
                <w:lang w:val="it-IT"/>
              </w:rPr>
              <w:t xml:space="preserve">è </w:t>
            </w:r>
            <w:r w:rsidRPr="00D90391">
              <w:rPr>
                <w:lang w:val="it-IT"/>
              </w:rPr>
              <w:t>confronta</w:t>
            </w:r>
            <w:r>
              <w:rPr>
                <w:lang w:val="it-IT"/>
              </w:rPr>
              <w:t>to</w:t>
            </w:r>
            <w:r w:rsidRPr="00D90391">
              <w:rPr>
                <w:lang w:val="it-IT"/>
              </w:rPr>
              <w:t xml:space="preserve"> il loro valore recuperabile (determinato sulla base della capacità di ammortamento dei futuri esercizi o, se maggiore, sulla base del </w:t>
            </w:r>
            <w:r w:rsidRPr="007F5377">
              <w:rPr>
                <w:i/>
                <w:lang w:val="it-IT"/>
              </w:rPr>
              <w:t>fair value</w:t>
            </w:r>
            <w:r w:rsidRPr="00D90391">
              <w:rPr>
                <w:lang w:val="it-IT"/>
              </w:rPr>
              <w:t>) con il loro valore netto contabile iscritto in bilancio</w:t>
            </w:r>
            <w:r>
              <w:rPr>
                <w:lang w:val="it-IT"/>
              </w:rPr>
              <w:t>?</w:t>
            </w:r>
          </w:p>
        </w:tc>
        <w:tc>
          <w:tcPr>
            <w:tcW w:w="586" w:type="dxa"/>
            <w:gridSpan w:val="2"/>
            <w:tcMar>
              <w:left w:w="85" w:type="dxa"/>
              <w:right w:w="85" w:type="dxa"/>
            </w:tcMar>
            <w:vAlign w:val="center"/>
          </w:tcPr>
          <w:p w:rsidR="000019EF" w:rsidRPr="00FF19F7"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Default="000019EF"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0019EF" w:rsidRDefault="000019EF"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0019EF" w:rsidRPr="00F0679B" w:rsidTr="00D73E98">
        <w:trPr>
          <w:cantSplit/>
          <w:trHeight w:val="20"/>
        </w:trPr>
        <w:tc>
          <w:tcPr>
            <w:tcW w:w="680" w:type="dxa"/>
          </w:tcPr>
          <w:p w:rsidR="000019EF" w:rsidRPr="009E48D7" w:rsidRDefault="000019EF" w:rsidP="00D73E98">
            <w:pPr>
              <w:jc w:val="center"/>
              <w:rPr>
                <w:b/>
                <w:lang w:val="it-IT"/>
              </w:rPr>
            </w:pPr>
            <w:r w:rsidRPr="009E48D7">
              <w:rPr>
                <w:b/>
                <w:lang w:val="it-IT"/>
              </w:rPr>
              <w:t>2</w:t>
            </w:r>
            <w:r w:rsidR="00C27BCC">
              <w:rPr>
                <w:b/>
                <w:lang w:val="it-IT"/>
              </w:rPr>
              <w:t>1</w:t>
            </w:r>
            <w:r w:rsidRPr="009E48D7">
              <w:rPr>
                <w:b/>
                <w:lang w:val="it-IT"/>
              </w:rPr>
              <w:t>)</w:t>
            </w:r>
          </w:p>
        </w:tc>
        <w:tc>
          <w:tcPr>
            <w:tcW w:w="851" w:type="dxa"/>
            <w:tcMar>
              <w:left w:w="108" w:type="dxa"/>
              <w:right w:w="0" w:type="dxa"/>
            </w:tcMar>
          </w:tcPr>
          <w:p w:rsidR="000019EF" w:rsidRPr="00F2606A" w:rsidRDefault="000019EF" w:rsidP="00D73E98">
            <w:pPr>
              <w:pStyle w:val="PrincCont"/>
              <w:jc w:val="left"/>
            </w:pPr>
            <w:r w:rsidRPr="003F5A3B">
              <w:rPr>
                <w:lang w:val="it-IT"/>
              </w:rPr>
              <w:t>OIC 9.</w:t>
            </w:r>
            <w:r>
              <w:rPr>
                <w:lang w:val="it-IT"/>
              </w:rPr>
              <w:t>32</w:t>
            </w:r>
          </w:p>
        </w:tc>
        <w:tc>
          <w:tcPr>
            <w:tcW w:w="7060" w:type="dxa"/>
            <w:tcMar>
              <w:left w:w="108" w:type="dxa"/>
            </w:tcMar>
          </w:tcPr>
          <w:p w:rsidR="000019EF" w:rsidRPr="00AD6E2D" w:rsidRDefault="000019EF" w:rsidP="00D73E98">
            <w:pPr>
              <w:spacing w:line="230" w:lineRule="exact"/>
              <w:rPr>
                <w:lang w:val="it-IT"/>
              </w:rPr>
            </w:pPr>
            <w:r>
              <w:rPr>
                <w:lang w:val="it-IT"/>
              </w:rPr>
              <w:t>N</w:t>
            </w:r>
            <w:r w:rsidRPr="00450DB4">
              <w:rPr>
                <w:lang w:val="it-IT"/>
              </w:rPr>
              <w:t xml:space="preserve">el caso in cui la società presenti una struttura produttiva segmentata in rami d’azienda che producono flussi di ricavi autonomi è </w:t>
            </w:r>
            <w:r>
              <w:rPr>
                <w:lang w:val="it-IT"/>
              </w:rPr>
              <w:t xml:space="preserve">stato </w:t>
            </w:r>
            <w:r w:rsidRPr="00450DB4">
              <w:rPr>
                <w:lang w:val="it-IT"/>
              </w:rPr>
              <w:t>applica</w:t>
            </w:r>
            <w:r>
              <w:rPr>
                <w:lang w:val="it-IT"/>
              </w:rPr>
              <w:t>to</w:t>
            </w:r>
            <w:r w:rsidRPr="00450DB4">
              <w:rPr>
                <w:lang w:val="it-IT"/>
              </w:rPr>
              <w:t xml:space="preserve"> il modello di svalutazione in oggetto ai singoli rami d’azienda individuati</w:t>
            </w:r>
            <w:r>
              <w:rPr>
                <w:lang w:val="it-IT"/>
              </w:rPr>
              <w:t>?</w:t>
            </w:r>
          </w:p>
        </w:tc>
        <w:tc>
          <w:tcPr>
            <w:tcW w:w="586" w:type="dxa"/>
            <w:gridSpan w:val="2"/>
            <w:tcMar>
              <w:left w:w="85" w:type="dxa"/>
              <w:right w:w="85" w:type="dxa"/>
            </w:tcMar>
            <w:vAlign w:val="center"/>
          </w:tcPr>
          <w:p w:rsidR="000019EF" w:rsidRPr="00FF19F7" w:rsidRDefault="000019EF"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0019EF" w:rsidRPr="00F0679B" w:rsidTr="00D73E98">
        <w:trPr>
          <w:cantSplit/>
          <w:trHeight w:val="20"/>
        </w:trPr>
        <w:tc>
          <w:tcPr>
            <w:tcW w:w="680" w:type="dxa"/>
          </w:tcPr>
          <w:p w:rsidR="000019EF" w:rsidRPr="009E48D7" w:rsidRDefault="000019EF" w:rsidP="00D73E98">
            <w:pPr>
              <w:jc w:val="center"/>
              <w:rPr>
                <w:b/>
                <w:lang w:val="it-IT"/>
              </w:rPr>
            </w:pPr>
            <w:r w:rsidRPr="009E48D7">
              <w:rPr>
                <w:b/>
                <w:lang w:val="it-IT"/>
              </w:rPr>
              <w:t>2</w:t>
            </w:r>
            <w:r w:rsidR="00C27BCC">
              <w:rPr>
                <w:b/>
                <w:lang w:val="it-IT"/>
              </w:rPr>
              <w:t>2</w:t>
            </w:r>
            <w:r w:rsidRPr="009E48D7">
              <w:rPr>
                <w:b/>
                <w:lang w:val="it-IT"/>
              </w:rPr>
              <w:t>)</w:t>
            </w:r>
          </w:p>
        </w:tc>
        <w:tc>
          <w:tcPr>
            <w:tcW w:w="851" w:type="dxa"/>
            <w:tcMar>
              <w:left w:w="108" w:type="dxa"/>
              <w:right w:w="0" w:type="dxa"/>
            </w:tcMar>
          </w:tcPr>
          <w:p w:rsidR="000019EF" w:rsidRPr="00F2606A" w:rsidRDefault="000019EF" w:rsidP="00D73E98">
            <w:pPr>
              <w:pStyle w:val="PrincCont"/>
              <w:jc w:val="left"/>
            </w:pPr>
            <w:r w:rsidRPr="003F5A3B">
              <w:rPr>
                <w:lang w:val="it-IT"/>
              </w:rPr>
              <w:t>OIC 9.</w:t>
            </w:r>
            <w:r>
              <w:rPr>
                <w:lang w:val="it-IT"/>
              </w:rPr>
              <w:t>33</w:t>
            </w:r>
          </w:p>
        </w:tc>
        <w:tc>
          <w:tcPr>
            <w:tcW w:w="7060" w:type="dxa"/>
            <w:tcMar>
              <w:left w:w="108" w:type="dxa"/>
            </w:tcMar>
          </w:tcPr>
          <w:p w:rsidR="000019EF" w:rsidRPr="00AD6E2D" w:rsidRDefault="000019EF" w:rsidP="00D73E98">
            <w:pPr>
              <w:spacing w:line="230" w:lineRule="exact"/>
              <w:rPr>
                <w:lang w:val="it-IT"/>
              </w:rPr>
            </w:pPr>
            <w:r w:rsidRPr="00605B87">
              <w:rPr>
                <w:lang w:val="it-IT"/>
              </w:rPr>
              <w:t xml:space="preserve">Nel computare gli ammortamenti da contrapporre alla capacità di ammortamento </w:t>
            </w:r>
            <w:r>
              <w:rPr>
                <w:lang w:val="it-IT"/>
              </w:rPr>
              <w:t xml:space="preserve">la società </w:t>
            </w:r>
            <w:r w:rsidRPr="00605B87">
              <w:rPr>
                <w:lang w:val="it-IT"/>
              </w:rPr>
              <w:t xml:space="preserve">si </w:t>
            </w:r>
            <w:r>
              <w:rPr>
                <w:lang w:val="it-IT"/>
              </w:rPr>
              <w:t xml:space="preserve">è </w:t>
            </w:r>
            <w:r w:rsidRPr="00605B87">
              <w:rPr>
                <w:lang w:val="it-IT"/>
              </w:rPr>
              <w:t>basa</w:t>
            </w:r>
            <w:r>
              <w:rPr>
                <w:lang w:val="it-IT"/>
              </w:rPr>
              <w:t>ta</w:t>
            </w:r>
            <w:r w:rsidRPr="00605B87">
              <w:rPr>
                <w:lang w:val="it-IT"/>
              </w:rPr>
              <w:t xml:space="preserve"> sulla struttura produttiva esistente</w:t>
            </w:r>
            <w:r>
              <w:rPr>
                <w:lang w:val="it-IT"/>
              </w:rPr>
              <w:t xml:space="preserve">, </w:t>
            </w:r>
            <w:r w:rsidRPr="00605B87">
              <w:rPr>
                <w:lang w:val="it-IT"/>
              </w:rPr>
              <w:t>tene</w:t>
            </w:r>
            <w:r>
              <w:rPr>
                <w:lang w:val="it-IT"/>
              </w:rPr>
              <w:t>ndo conto esclusivamente</w:t>
            </w:r>
            <w:r w:rsidRPr="00605B87">
              <w:rPr>
                <w:lang w:val="it-IT"/>
              </w:rPr>
              <w:t xml:space="preserve"> degli ammortamenti relativi a quegli investimenti che, nel periodo di riferimento, concorrono a mantenere invariata la po</w:t>
            </w:r>
            <w:r>
              <w:rPr>
                <w:lang w:val="it-IT"/>
              </w:rPr>
              <w:t>tenzialità produttiva esistente?</w:t>
            </w:r>
          </w:p>
        </w:tc>
        <w:tc>
          <w:tcPr>
            <w:tcW w:w="586" w:type="dxa"/>
            <w:gridSpan w:val="2"/>
            <w:tcMar>
              <w:left w:w="85" w:type="dxa"/>
              <w:right w:w="85" w:type="dxa"/>
            </w:tcMar>
            <w:vAlign w:val="center"/>
          </w:tcPr>
          <w:p w:rsidR="000019EF" w:rsidRPr="00FF19F7" w:rsidRDefault="000019EF"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0019EF" w:rsidRPr="00F0679B" w:rsidTr="00D73E98">
        <w:trPr>
          <w:cantSplit/>
          <w:trHeight w:val="20"/>
        </w:trPr>
        <w:tc>
          <w:tcPr>
            <w:tcW w:w="680" w:type="dxa"/>
          </w:tcPr>
          <w:p w:rsidR="000019EF" w:rsidRPr="009E48D7" w:rsidRDefault="000019EF" w:rsidP="00D73E98">
            <w:pPr>
              <w:jc w:val="center"/>
              <w:rPr>
                <w:b/>
                <w:lang w:val="it-IT"/>
              </w:rPr>
            </w:pPr>
            <w:r w:rsidRPr="009E48D7">
              <w:rPr>
                <w:b/>
                <w:lang w:val="it-IT"/>
              </w:rPr>
              <w:t>2</w:t>
            </w:r>
            <w:r w:rsidR="00C27BCC">
              <w:rPr>
                <w:b/>
                <w:lang w:val="it-IT"/>
              </w:rPr>
              <w:t>3</w:t>
            </w:r>
            <w:r w:rsidRPr="009E48D7">
              <w:rPr>
                <w:b/>
                <w:lang w:val="it-IT"/>
              </w:rPr>
              <w:t>)</w:t>
            </w:r>
          </w:p>
        </w:tc>
        <w:tc>
          <w:tcPr>
            <w:tcW w:w="851" w:type="dxa"/>
            <w:tcMar>
              <w:left w:w="108" w:type="dxa"/>
              <w:right w:w="0" w:type="dxa"/>
            </w:tcMar>
          </w:tcPr>
          <w:p w:rsidR="000019EF" w:rsidRPr="00F2606A" w:rsidRDefault="000019EF" w:rsidP="00D73E98">
            <w:pPr>
              <w:pStyle w:val="PrincCont"/>
              <w:jc w:val="left"/>
            </w:pPr>
            <w:r w:rsidRPr="003F5A3B">
              <w:rPr>
                <w:lang w:val="it-IT"/>
              </w:rPr>
              <w:t>OIC 9.</w:t>
            </w:r>
            <w:r>
              <w:rPr>
                <w:lang w:val="it-IT"/>
              </w:rPr>
              <w:t>33</w:t>
            </w:r>
          </w:p>
        </w:tc>
        <w:tc>
          <w:tcPr>
            <w:tcW w:w="7060" w:type="dxa"/>
            <w:tcMar>
              <w:left w:w="108" w:type="dxa"/>
            </w:tcMar>
          </w:tcPr>
          <w:p w:rsidR="000019EF" w:rsidRPr="00AD6E2D" w:rsidRDefault="000019EF" w:rsidP="00D73E98">
            <w:pPr>
              <w:spacing w:line="230" w:lineRule="exact"/>
              <w:rPr>
                <w:lang w:val="it-IT"/>
              </w:rPr>
            </w:pPr>
            <w:r w:rsidRPr="00A654C3">
              <w:rPr>
                <w:lang w:val="it-IT"/>
              </w:rPr>
              <w:t xml:space="preserve">Qualora, al termine del periodo di previsione esplicita della capacità di ammortamento, per alcune immobilizzazioni residui un valore economico significativo, </w:t>
            </w:r>
            <w:r>
              <w:rPr>
                <w:lang w:val="it-IT"/>
              </w:rPr>
              <w:t xml:space="preserve">si è </w:t>
            </w:r>
            <w:r w:rsidRPr="00A654C3">
              <w:rPr>
                <w:lang w:val="it-IT"/>
              </w:rPr>
              <w:t xml:space="preserve">determinato tale valore sulla base dei flussi di benefici </w:t>
            </w:r>
            <w:r>
              <w:rPr>
                <w:lang w:val="it-IT"/>
              </w:rPr>
              <w:t xml:space="preserve">netti </w:t>
            </w:r>
            <w:r w:rsidRPr="00A654C3">
              <w:rPr>
                <w:lang w:val="it-IT"/>
              </w:rPr>
              <w:t>che si ritiene l’immobilizzazione possa produrre negli anni successivi all’ultimo anno di previsione esplicita</w:t>
            </w:r>
            <w:r>
              <w:rPr>
                <w:lang w:val="it-IT"/>
              </w:rPr>
              <w:t xml:space="preserve"> facendolo </w:t>
            </w:r>
            <w:r w:rsidRPr="00416E1B">
              <w:rPr>
                <w:lang w:val="it-IT"/>
              </w:rPr>
              <w:t>concorre</w:t>
            </w:r>
            <w:r>
              <w:rPr>
                <w:lang w:val="it-IT"/>
              </w:rPr>
              <w:t>re</w:t>
            </w:r>
            <w:r w:rsidRPr="00416E1B">
              <w:rPr>
                <w:lang w:val="it-IT"/>
              </w:rPr>
              <w:t xml:space="preserve"> alla determinazione della capacità di ammortamento</w:t>
            </w:r>
            <w:r>
              <w:rPr>
                <w:lang w:val="it-IT"/>
              </w:rPr>
              <w:t>?</w:t>
            </w:r>
          </w:p>
        </w:tc>
        <w:tc>
          <w:tcPr>
            <w:tcW w:w="586" w:type="dxa"/>
            <w:gridSpan w:val="2"/>
            <w:tcMar>
              <w:left w:w="85" w:type="dxa"/>
              <w:right w:w="85" w:type="dxa"/>
            </w:tcMar>
            <w:vAlign w:val="center"/>
          </w:tcPr>
          <w:p w:rsidR="000019EF" w:rsidRPr="00FF19F7" w:rsidRDefault="000019EF"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0019EF" w:rsidRPr="00CC242B"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r>
              <w:rPr>
                <w:lang w:val="it-IT"/>
              </w:rPr>
              <w:t>OIC 9.33</w:t>
            </w:r>
          </w:p>
        </w:tc>
        <w:tc>
          <w:tcPr>
            <w:tcW w:w="7060" w:type="dxa"/>
            <w:tcMar>
              <w:left w:w="108" w:type="dxa"/>
            </w:tcMar>
          </w:tcPr>
          <w:p w:rsidR="000019EF" w:rsidRPr="00D54C72" w:rsidRDefault="000019EF" w:rsidP="00D73E98">
            <w:pPr>
              <w:pStyle w:val="Commentiriquadro"/>
            </w:pPr>
            <w:r>
              <w:t>Per valore economico significativo si intende il valore terminale recuperabile dell’immobilizzazione al termine dell’orizzonte di previsione esplicita nel caso in cui sia significativamente superiore al valore netto contabile a tale data</w:t>
            </w:r>
          </w:p>
        </w:tc>
        <w:tc>
          <w:tcPr>
            <w:tcW w:w="586" w:type="dxa"/>
            <w:gridSpan w:val="2"/>
            <w:tcMar>
              <w:left w:w="85" w:type="dxa"/>
              <w:right w:w="85" w:type="dxa"/>
            </w:tcMar>
            <w:vAlign w:val="center"/>
          </w:tcPr>
          <w:p w:rsidR="000019EF" w:rsidRPr="00665B9D" w:rsidRDefault="000019EF" w:rsidP="00D73E98">
            <w:pPr>
              <w:jc w:val="center"/>
              <w:rPr>
                <w:lang w:val="it-IT"/>
              </w:rPr>
            </w:pPr>
          </w:p>
        </w:tc>
        <w:tc>
          <w:tcPr>
            <w:tcW w:w="573" w:type="dxa"/>
            <w:tcMar>
              <w:left w:w="108" w:type="dxa"/>
            </w:tcMar>
            <w:vAlign w:val="center"/>
          </w:tcPr>
          <w:p w:rsidR="000019EF" w:rsidRPr="00665B9D" w:rsidRDefault="000019EF" w:rsidP="00D73E98">
            <w:pPr>
              <w:jc w:val="center"/>
              <w:rPr>
                <w:lang w:val="it-IT"/>
              </w:rPr>
            </w:pPr>
          </w:p>
        </w:tc>
        <w:tc>
          <w:tcPr>
            <w:tcW w:w="570" w:type="dxa"/>
            <w:tcMar>
              <w:left w:w="108" w:type="dxa"/>
            </w:tcMar>
            <w:vAlign w:val="center"/>
          </w:tcPr>
          <w:p w:rsidR="000019EF" w:rsidRPr="00665B9D" w:rsidRDefault="000019EF" w:rsidP="00D73E98">
            <w:pPr>
              <w:jc w:val="center"/>
              <w:rPr>
                <w:lang w:val="it-IT"/>
              </w:rPr>
            </w:pPr>
          </w:p>
        </w:tc>
      </w:tr>
      <w:tr w:rsidR="000019EF" w:rsidRPr="00F0679B" w:rsidTr="00D73E98">
        <w:trPr>
          <w:cantSplit/>
          <w:trHeight w:val="20"/>
        </w:trPr>
        <w:tc>
          <w:tcPr>
            <w:tcW w:w="680" w:type="dxa"/>
          </w:tcPr>
          <w:p w:rsidR="000019EF" w:rsidRPr="009E48D7" w:rsidRDefault="000019EF" w:rsidP="00D73E98">
            <w:pPr>
              <w:jc w:val="center"/>
              <w:rPr>
                <w:b/>
                <w:lang w:val="it-IT"/>
              </w:rPr>
            </w:pPr>
            <w:r w:rsidRPr="009E48D7">
              <w:rPr>
                <w:b/>
                <w:lang w:val="it-IT"/>
              </w:rPr>
              <w:t>2</w:t>
            </w:r>
            <w:r w:rsidR="00C27BCC">
              <w:rPr>
                <w:b/>
                <w:lang w:val="it-IT"/>
              </w:rPr>
              <w:t>4</w:t>
            </w:r>
            <w:r w:rsidRPr="009E48D7">
              <w:rPr>
                <w:b/>
                <w:lang w:val="it-IT"/>
              </w:rPr>
              <w:t>)</w:t>
            </w:r>
          </w:p>
        </w:tc>
        <w:tc>
          <w:tcPr>
            <w:tcW w:w="851" w:type="dxa"/>
            <w:tcMar>
              <w:left w:w="108" w:type="dxa"/>
              <w:right w:w="0" w:type="dxa"/>
            </w:tcMar>
          </w:tcPr>
          <w:p w:rsidR="000019EF" w:rsidRPr="00F2606A" w:rsidRDefault="000019EF" w:rsidP="00D73E98">
            <w:pPr>
              <w:pStyle w:val="PrincCont"/>
              <w:jc w:val="left"/>
            </w:pPr>
            <w:r w:rsidRPr="003F5A3B">
              <w:rPr>
                <w:lang w:val="it-IT"/>
              </w:rPr>
              <w:t>OIC 9.</w:t>
            </w:r>
            <w:r>
              <w:rPr>
                <w:lang w:val="it-IT"/>
              </w:rPr>
              <w:t>34</w:t>
            </w:r>
          </w:p>
        </w:tc>
        <w:tc>
          <w:tcPr>
            <w:tcW w:w="7060" w:type="dxa"/>
            <w:tcMar>
              <w:left w:w="108" w:type="dxa"/>
            </w:tcMar>
          </w:tcPr>
          <w:p w:rsidR="000019EF" w:rsidRPr="00AD6E2D" w:rsidRDefault="000019EF" w:rsidP="00D73E98">
            <w:pPr>
              <w:spacing w:line="230" w:lineRule="exact"/>
              <w:rPr>
                <w:lang w:val="it-IT"/>
              </w:rPr>
            </w:pPr>
            <w:r w:rsidRPr="00D54C72">
              <w:rPr>
                <w:lang w:val="it-IT"/>
              </w:rPr>
              <w:t xml:space="preserve">Si è </w:t>
            </w:r>
            <w:r>
              <w:rPr>
                <w:lang w:val="it-IT"/>
              </w:rPr>
              <w:t>considerato</w:t>
            </w:r>
            <w:r w:rsidRPr="00D54C72">
              <w:rPr>
                <w:lang w:val="it-IT"/>
              </w:rPr>
              <w:t xml:space="preserve"> che l’orizzonte temporale di riferimento per la determinazione della capacità di ammortamento che la gestione mette a disposizione per il recupero dei cespiti iscritti in bilancio non</w:t>
            </w:r>
            <w:r>
              <w:rPr>
                <w:lang w:val="it-IT"/>
              </w:rPr>
              <w:t xml:space="preserve"> supera, generalmente, i 5 anni?</w:t>
            </w:r>
          </w:p>
        </w:tc>
        <w:tc>
          <w:tcPr>
            <w:tcW w:w="586" w:type="dxa"/>
            <w:gridSpan w:val="2"/>
            <w:tcMar>
              <w:left w:w="85" w:type="dxa"/>
              <w:right w:w="85" w:type="dxa"/>
            </w:tcMar>
            <w:vAlign w:val="center"/>
          </w:tcPr>
          <w:p w:rsidR="000019EF" w:rsidRPr="00FF19F7" w:rsidRDefault="000019EF"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0019EF" w:rsidRPr="00F0679B" w:rsidTr="00D73E98">
        <w:trPr>
          <w:cantSplit/>
          <w:trHeight w:val="20"/>
        </w:trPr>
        <w:tc>
          <w:tcPr>
            <w:tcW w:w="680" w:type="dxa"/>
          </w:tcPr>
          <w:p w:rsidR="000019EF" w:rsidRPr="009E48D7" w:rsidRDefault="000019EF" w:rsidP="00D73E98">
            <w:pPr>
              <w:jc w:val="center"/>
              <w:rPr>
                <w:b/>
                <w:lang w:val="it-IT"/>
              </w:rPr>
            </w:pPr>
            <w:r w:rsidRPr="009E48D7">
              <w:rPr>
                <w:b/>
                <w:lang w:val="it-IT"/>
              </w:rPr>
              <w:t>2</w:t>
            </w:r>
            <w:r w:rsidR="00C27BCC">
              <w:rPr>
                <w:b/>
                <w:lang w:val="it-IT"/>
              </w:rPr>
              <w:t>5</w:t>
            </w:r>
            <w:r w:rsidRPr="009E48D7">
              <w:rPr>
                <w:b/>
                <w:lang w:val="it-IT"/>
              </w:rPr>
              <w:t>)</w:t>
            </w:r>
          </w:p>
        </w:tc>
        <w:tc>
          <w:tcPr>
            <w:tcW w:w="851" w:type="dxa"/>
            <w:tcMar>
              <w:left w:w="108" w:type="dxa"/>
              <w:right w:w="0" w:type="dxa"/>
            </w:tcMar>
          </w:tcPr>
          <w:p w:rsidR="000019EF" w:rsidRPr="00F2606A" w:rsidRDefault="000019EF" w:rsidP="00D73E98">
            <w:pPr>
              <w:pStyle w:val="PrincCont"/>
              <w:jc w:val="left"/>
            </w:pPr>
            <w:r w:rsidRPr="003F5A3B">
              <w:rPr>
                <w:lang w:val="it-IT"/>
              </w:rPr>
              <w:t>OIC 9.</w:t>
            </w:r>
            <w:r>
              <w:rPr>
                <w:lang w:val="it-IT"/>
              </w:rPr>
              <w:t>35</w:t>
            </w:r>
          </w:p>
        </w:tc>
        <w:tc>
          <w:tcPr>
            <w:tcW w:w="7060" w:type="dxa"/>
            <w:tcMar>
              <w:left w:w="108" w:type="dxa"/>
            </w:tcMar>
          </w:tcPr>
          <w:p w:rsidR="000019EF" w:rsidRPr="00AD6E2D" w:rsidRDefault="000019EF" w:rsidP="00D73E98">
            <w:pPr>
              <w:spacing w:line="230" w:lineRule="exact"/>
              <w:rPr>
                <w:lang w:val="it-IT"/>
              </w:rPr>
            </w:pPr>
            <w:r w:rsidRPr="00655E60">
              <w:rPr>
                <w:lang w:val="it-IT"/>
              </w:rPr>
              <w:t xml:space="preserve">Il test di verifica delle recuperabilità dei cespiti </w:t>
            </w:r>
            <w:r>
              <w:rPr>
                <w:lang w:val="it-IT"/>
              </w:rPr>
              <w:t>è stato</w:t>
            </w:r>
            <w:r w:rsidRPr="00655E60">
              <w:rPr>
                <w:lang w:val="it-IT"/>
              </w:rPr>
              <w:t xml:space="preserve"> superato </w:t>
            </w:r>
            <w:r>
              <w:rPr>
                <w:lang w:val="it-IT"/>
              </w:rPr>
              <w:t>in quant</w:t>
            </w:r>
            <w:r w:rsidRPr="00655E60">
              <w:rPr>
                <w:lang w:val="it-IT"/>
              </w:rPr>
              <w:t xml:space="preserve">o la capacità di ammortamento complessiva (relativa all’orizzonte temporale preso a riferimento) è </w:t>
            </w:r>
            <w:r>
              <w:rPr>
                <w:lang w:val="it-IT"/>
              </w:rPr>
              <w:t xml:space="preserve">risultata </w:t>
            </w:r>
            <w:r w:rsidRPr="00655E60">
              <w:rPr>
                <w:lang w:val="it-IT"/>
              </w:rPr>
              <w:t xml:space="preserve">sufficiente a garantire </w:t>
            </w:r>
            <w:r>
              <w:rPr>
                <w:lang w:val="it-IT"/>
              </w:rPr>
              <w:t>la copertura degli ammortamenti?</w:t>
            </w:r>
          </w:p>
        </w:tc>
        <w:tc>
          <w:tcPr>
            <w:tcW w:w="586" w:type="dxa"/>
            <w:gridSpan w:val="2"/>
            <w:tcMar>
              <w:left w:w="85" w:type="dxa"/>
              <w:right w:w="85" w:type="dxa"/>
            </w:tcMar>
            <w:vAlign w:val="center"/>
          </w:tcPr>
          <w:p w:rsidR="000019EF" w:rsidRPr="00FF19F7" w:rsidRDefault="000019EF"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0019EF" w:rsidRPr="00F0679B" w:rsidTr="00D73E98">
        <w:trPr>
          <w:cantSplit/>
          <w:trHeight w:val="20"/>
        </w:trPr>
        <w:tc>
          <w:tcPr>
            <w:tcW w:w="680" w:type="dxa"/>
          </w:tcPr>
          <w:p w:rsidR="000019EF" w:rsidRPr="009E48D7" w:rsidRDefault="000019EF" w:rsidP="00D73E98">
            <w:pPr>
              <w:jc w:val="center"/>
              <w:rPr>
                <w:b/>
                <w:lang w:val="it-IT"/>
              </w:rPr>
            </w:pPr>
            <w:r w:rsidRPr="009E48D7">
              <w:rPr>
                <w:b/>
                <w:lang w:val="it-IT"/>
              </w:rPr>
              <w:t>2</w:t>
            </w:r>
            <w:r w:rsidR="00C27BCC">
              <w:rPr>
                <w:b/>
                <w:lang w:val="it-IT"/>
              </w:rPr>
              <w:t>6</w:t>
            </w:r>
            <w:r w:rsidRPr="009E48D7">
              <w:rPr>
                <w:b/>
                <w:lang w:val="it-IT"/>
              </w:rPr>
              <w:t>)</w:t>
            </w:r>
          </w:p>
        </w:tc>
        <w:tc>
          <w:tcPr>
            <w:tcW w:w="851" w:type="dxa"/>
            <w:tcMar>
              <w:left w:w="108" w:type="dxa"/>
              <w:right w:w="0" w:type="dxa"/>
            </w:tcMar>
          </w:tcPr>
          <w:p w:rsidR="000019EF" w:rsidRPr="00F2606A" w:rsidRDefault="000019EF" w:rsidP="00D73E98">
            <w:pPr>
              <w:pStyle w:val="PrincCont"/>
              <w:jc w:val="left"/>
            </w:pPr>
            <w:r w:rsidRPr="003F5A3B">
              <w:rPr>
                <w:lang w:val="it-IT"/>
              </w:rPr>
              <w:t>OIC 9.</w:t>
            </w:r>
            <w:r>
              <w:rPr>
                <w:lang w:val="it-IT"/>
              </w:rPr>
              <w:t>35</w:t>
            </w:r>
          </w:p>
        </w:tc>
        <w:tc>
          <w:tcPr>
            <w:tcW w:w="7060" w:type="dxa"/>
            <w:tcMar>
              <w:left w:w="108" w:type="dxa"/>
            </w:tcMar>
          </w:tcPr>
          <w:p w:rsidR="000019EF" w:rsidRPr="00AD6E2D" w:rsidRDefault="000019EF" w:rsidP="00D73E98">
            <w:pPr>
              <w:spacing w:line="230" w:lineRule="exact"/>
              <w:rPr>
                <w:lang w:val="it-IT"/>
              </w:rPr>
            </w:pPr>
            <w:r w:rsidRPr="00655E60">
              <w:rPr>
                <w:lang w:val="it-IT"/>
              </w:rPr>
              <w:t>L’eventuale perdita è attribuita prioritariamente all’avviamento, se iscritto in bilancio, e poi agli altri cespiti, in proporzione al loro valore netto contabile</w:t>
            </w:r>
            <w:r>
              <w:rPr>
                <w:lang w:val="it-IT"/>
              </w:rPr>
              <w:t>, a meno che</w:t>
            </w:r>
            <w:r w:rsidRPr="00655E60">
              <w:rPr>
                <w:lang w:val="it-IT"/>
              </w:rPr>
              <w:t xml:space="preserve"> circostanze oggettive consentano l’imputazione diretta alle singole immobilizzazioni</w:t>
            </w:r>
            <w:r>
              <w:rPr>
                <w:lang w:val="it-IT"/>
              </w:rPr>
              <w:t>?</w:t>
            </w:r>
          </w:p>
        </w:tc>
        <w:tc>
          <w:tcPr>
            <w:tcW w:w="586" w:type="dxa"/>
            <w:gridSpan w:val="2"/>
            <w:tcMar>
              <w:left w:w="85" w:type="dxa"/>
              <w:right w:w="85" w:type="dxa"/>
            </w:tcMar>
            <w:vAlign w:val="center"/>
          </w:tcPr>
          <w:p w:rsidR="000019EF" w:rsidRPr="00FF19F7" w:rsidRDefault="000019EF"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0019EF" w:rsidRPr="00B94B6C"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B94B6C" w:rsidRDefault="000019EF" w:rsidP="00D73E98">
            <w:pPr>
              <w:pStyle w:val="Titolo2"/>
              <w:jc w:val="both"/>
              <w:rPr>
                <w:lang w:val="it-IT"/>
              </w:rPr>
            </w:pPr>
            <w:r>
              <w:rPr>
                <w:lang w:val="it-IT"/>
              </w:rPr>
              <w:t>Nota Integrativa</w:t>
            </w:r>
          </w:p>
        </w:tc>
        <w:tc>
          <w:tcPr>
            <w:tcW w:w="586" w:type="dxa"/>
            <w:gridSpan w:val="2"/>
            <w:tcMar>
              <w:left w:w="85" w:type="dxa"/>
              <w:right w:w="85" w:type="dxa"/>
            </w:tcMar>
            <w:vAlign w:val="center"/>
          </w:tcPr>
          <w:p w:rsidR="000019EF" w:rsidRPr="00B94B6C" w:rsidRDefault="000019EF" w:rsidP="00D73E98">
            <w:pPr>
              <w:jc w:val="center"/>
              <w:rPr>
                <w:lang w:val="it-IT"/>
              </w:rPr>
            </w:pPr>
          </w:p>
        </w:tc>
        <w:tc>
          <w:tcPr>
            <w:tcW w:w="573" w:type="dxa"/>
            <w:tcMar>
              <w:left w:w="108" w:type="dxa"/>
            </w:tcMar>
            <w:vAlign w:val="center"/>
          </w:tcPr>
          <w:p w:rsidR="000019EF" w:rsidRPr="00B94B6C" w:rsidRDefault="000019EF" w:rsidP="00D73E98">
            <w:pPr>
              <w:jc w:val="center"/>
              <w:rPr>
                <w:lang w:val="it-IT"/>
              </w:rPr>
            </w:pPr>
          </w:p>
        </w:tc>
        <w:tc>
          <w:tcPr>
            <w:tcW w:w="570" w:type="dxa"/>
            <w:tcMar>
              <w:left w:w="108" w:type="dxa"/>
            </w:tcMar>
            <w:vAlign w:val="center"/>
          </w:tcPr>
          <w:p w:rsidR="000019EF" w:rsidRPr="00B94B6C" w:rsidRDefault="000019EF" w:rsidP="00D73E98">
            <w:pPr>
              <w:jc w:val="center"/>
              <w:rPr>
                <w:lang w:val="it-IT"/>
              </w:rPr>
            </w:pPr>
          </w:p>
        </w:tc>
      </w:tr>
      <w:tr w:rsidR="000019EF" w:rsidRPr="00CC242B"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FA1215" w:rsidRDefault="000019EF" w:rsidP="00D73E98">
            <w:pPr>
              <w:pStyle w:val="PrincCont"/>
              <w:jc w:val="left"/>
              <w:rPr>
                <w:lang w:val="it-IT"/>
              </w:rPr>
            </w:pPr>
          </w:p>
        </w:tc>
        <w:tc>
          <w:tcPr>
            <w:tcW w:w="7060" w:type="dxa"/>
            <w:tcMar>
              <w:left w:w="108" w:type="dxa"/>
            </w:tcMar>
          </w:tcPr>
          <w:p w:rsidR="000019EF" w:rsidRPr="000019EF" w:rsidRDefault="000019EF" w:rsidP="00D73E98">
            <w:pPr>
              <w:pStyle w:val="Titolo3"/>
              <w:rPr>
                <w:lang w:val="it-IT"/>
              </w:rPr>
            </w:pPr>
            <w:r w:rsidRPr="000019EF">
              <w:rPr>
                <w:lang w:val="it-IT"/>
              </w:rPr>
              <w:t>Informazioni relative alle società che redigono il bilancio in forma ordinaria</w:t>
            </w:r>
          </w:p>
        </w:tc>
        <w:tc>
          <w:tcPr>
            <w:tcW w:w="586" w:type="dxa"/>
            <w:gridSpan w:val="2"/>
            <w:tcMar>
              <w:left w:w="85" w:type="dxa"/>
              <w:right w:w="85" w:type="dxa"/>
            </w:tcMar>
            <w:vAlign w:val="center"/>
          </w:tcPr>
          <w:p w:rsidR="000019EF" w:rsidRPr="00FA1215" w:rsidRDefault="000019EF" w:rsidP="00D73E98">
            <w:pPr>
              <w:jc w:val="center"/>
              <w:rPr>
                <w:lang w:val="it-IT"/>
              </w:rPr>
            </w:pPr>
          </w:p>
        </w:tc>
        <w:tc>
          <w:tcPr>
            <w:tcW w:w="573" w:type="dxa"/>
            <w:tcMar>
              <w:left w:w="108" w:type="dxa"/>
            </w:tcMar>
            <w:vAlign w:val="center"/>
          </w:tcPr>
          <w:p w:rsidR="000019EF" w:rsidRPr="00FA1215"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FA32FA" w:rsidTr="00D73E98">
        <w:trPr>
          <w:cantSplit/>
          <w:trHeight w:val="20"/>
        </w:trPr>
        <w:tc>
          <w:tcPr>
            <w:tcW w:w="680" w:type="dxa"/>
          </w:tcPr>
          <w:p w:rsidR="000019EF" w:rsidRPr="009E48D7" w:rsidRDefault="00C27BCC" w:rsidP="00D73E98">
            <w:pPr>
              <w:jc w:val="center"/>
              <w:rPr>
                <w:b/>
                <w:lang w:val="it-IT"/>
              </w:rPr>
            </w:pPr>
            <w:r>
              <w:rPr>
                <w:b/>
                <w:lang w:val="it-IT"/>
              </w:rPr>
              <w:t>27</w:t>
            </w:r>
            <w:r w:rsidR="000019EF">
              <w:rPr>
                <w:b/>
                <w:lang w:val="it-IT"/>
              </w:rPr>
              <w:t>)</w:t>
            </w:r>
          </w:p>
        </w:tc>
        <w:tc>
          <w:tcPr>
            <w:tcW w:w="851" w:type="dxa"/>
            <w:tcMar>
              <w:left w:w="108" w:type="dxa"/>
              <w:right w:w="0" w:type="dxa"/>
            </w:tcMar>
          </w:tcPr>
          <w:p w:rsidR="000019EF" w:rsidRPr="00A95A6D" w:rsidRDefault="000019EF" w:rsidP="00D73E98">
            <w:pPr>
              <w:pStyle w:val="PrincCont"/>
              <w:jc w:val="left"/>
            </w:pPr>
            <w:r w:rsidRPr="00A95A6D">
              <w:t>Art. 2427, c.1,  CC</w:t>
            </w:r>
          </w:p>
          <w:p w:rsidR="000019EF" w:rsidRPr="00A95A6D" w:rsidRDefault="000019EF" w:rsidP="00D73E98">
            <w:pPr>
              <w:pStyle w:val="PrincCont"/>
              <w:jc w:val="left"/>
            </w:pPr>
            <w:r>
              <w:t>OIC 9.36</w:t>
            </w:r>
          </w:p>
        </w:tc>
        <w:tc>
          <w:tcPr>
            <w:tcW w:w="7060" w:type="dxa"/>
            <w:tcMar>
              <w:left w:w="108" w:type="dxa"/>
            </w:tcMar>
          </w:tcPr>
          <w:p w:rsidR="000019EF" w:rsidRDefault="000019EF" w:rsidP="00D73E98">
            <w:pPr>
              <w:pStyle w:val="Puntoelenco"/>
              <w:numPr>
                <w:ilvl w:val="0"/>
                <w:numId w:val="0"/>
              </w:numPr>
              <w:spacing w:line="230" w:lineRule="exact"/>
            </w:pPr>
            <w:r>
              <w:t>La Nota Integrativa indica i criteri applicati nella valutazione delle voci del bilancio, nelle rettifiche di valore e nella conversione dei valori non espressi all’origine in moneta avente corso legale nello stato ?</w:t>
            </w:r>
          </w:p>
        </w:tc>
        <w:tc>
          <w:tcPr>
            <w:tcW w:w="586" w:type="dxa"/>
            <w:gridSpan w:val="2"/>
            <w:tcMar>
              <w:left w:w="85" w:type="dxa"/>
              <w:right w:w="85" w:type="dxa"/>
            </w:tcMar>
            <w:vAlign w:val="center"/>
          </w:tcPr>
          <w:p w:rsidR="000019EF" w:rsidRPr="00665B9D" w:rsidRDefault="000019EF"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0019EF" w:rsidRPr="00665B9D"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0019EF" w:rsidRPr="00665B9D"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0019EF" w:rsidRPr="00FA32FA" w:rsidTr="00D73E98">
        <w:trPr>
          <w:cantSplit/>
          <w:trHeight w:val="20"/>
        </w:trPr>
        <w:tc>
          <w:tcPr>
            <w:tcW w:w="680" w:type="dxa"/>
          </w:tcPr>
          <w:p w:rsidR="000019EF" w:rsidRPr="009E48D7" w:rsidRDefault="00C27BCC" w:rsidP="00D73E98">
            <w:pPr>
              <w:jc w:val="center"/>
              <w:rPr>
                <w:b/>
                <w:lang w:val="it-IT"/>
              </w:rPr>
            </w:pPr>
            <w:r>
              <w:rPr>
                <w:b/>
                <w:lang w:val="it-IT"/>
              </w:rPr>
              <w:t>28</w:t>
            </w:r>
            <w:r w:rsidR="000019EF">
              <w:rPr>
                <w:b/>
                <w:lang w:val="it-IT"/>
              </w:rPr>
              <w:t>)</w:t>
            </w:r>
          </w:p>
        </w:tc>
        <w:tc>
          <w:tcPr>
            <w:tcW w:w="851" w:type="dxa"/>
            <w:tcMar>
              <w:left w:w="108" w:type="dxa"/>
              <w:right w:w="0" w:type="dxa"/>
            </w:tcMar>
          </w:tcPr>
          <w:p w:rsidR="000019EF" w:rsidRPr="00A95A6D" w:rsidRDefault="000019EF" w:rsidP="00D73E98">
            <w:pPr>
              <w:pStyle w:val="PrincCont"/>
              <w:jc w:val="left"/>
            </w:pPr>
            <w:r w:rsidRPr="00A95A6D">
              <w:t>Art. 2427, c.1,  CC</w:t>
            </w:r>
          </w:p>
          <w:p w:rsidR="000019EF" w:rsidRPr="00A95A6D" w:rsidRDefault="000019EF" w:rsidP="00D73E98">
            <w:pPr>
              <w:pStyle w:val="PrincCont"/>
              <w:jc w:val="left"/>
            </w:pPr>
            <w:r>
              <w:t>OIC 9.36</w:t>
            </w:r>
          </w:p>
        </w:tc>
        <w:tc>
          <w:tcPr>
            <w:tcW w:w="7060" w:type="dxa"/>
            <w:tcMar>
              <w:left w:w="108" w:type="dxa"/>
            </w:tcMar>
          </w:tcPr>
          <w:p w:rsidR="000019EF" w:rsidRDefault="000019EF" w:rsidP="00D73E98">
            <w:pPr>
              <w:pStyle w:val="Puntoelenco"/>
              <w:numPr>
                <w:ilvl w:val="0"/>
                <w:numId w:val="0"/>
              </w:numPr>
              <w:spacing w:line="230" w:lineRule="exact"/>
            </w:pPr>
            <w:r>
              <w:t>La Nota Integrativa fornisce i movimenti delle immobilizzazioni, specificando per ciascuna voce: il costo; le precedenti rivalutazioni, ammortamenti e svalutazioni; le acquisizioni, gli spostamenti da una ad un’altra voce, le alienazioni avvenute nell’esercizio; le rivalutazioni, gli ammortamenti e le svalutazioni effettuate nell’esercizio; il totale delle rivalutazioni riguardanti le immobilizzazioni esistenti alla chiusura dell’esercizio</w:t>
            </w:r>
          </w:p>
        </w:tc>
        <w:tc>
          <w:tcPr>
            <w:tcW w:w="586" w:type="dxa"/>
            <w:gridSpan w:val="2"/>
            <w:tcMar>
              <w:left w:w="85" w:type="dxa"/>
              <w:right w:w="85" w:type="dxa"/>
            </w:tcMar>
            <w:vAlign w:val="center"/>
          </w:tcPr>
          <w:p w:rsidR="000019EF" w:rsidRPr="00665B9D" w:rsidRDefault="000019EF"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0019EF" w:rsidRPr="00665B9D"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0019EF" w:rsidRPr="00665B9D"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0019EF" w:rsidRPr="00EA46CB" w:rsidTr="00D73E98">
        <w:trPr>
          <w:cantSplit/>
          <w:trHeight w:val="20"/>
        </w:trPr>
        <w:tc>
          <w:tcPr>
            <w:tcW w:w="680" w:type="dxa"/>
          </w:tcPr>
          <w:p w:rsidR="000019EF" w:rsidRPr="009E48D7" w:rsidRDefault="00C27BCC" w:rsidP="00D73E98">
            <w:pPr>
              <w:jc w:val="center"/>
              <w:rPr>
                <w:b/>
                <w:lang w:val="it-IT"/>
              </w:rPr>
            </w:pPr>
            <w:r>
              <w:rPr>
                <w:b/>
                <w:lang w:val="it-IT"/>
              </w:rPr>
              <w:t>29</w:t>
            </w:r>
            <w:r w:rsidR="000019EF" w:rsidRPr="009E48D7">
              <w:rPr>
                <w:b/>
                <w:lang w:val="it-IT"/>
              </w:rPr>
              <w:t>)</w:t>
            </w:r>
          </w:p>
        </w:tc>
        <w:tc>
          <w:tcPr>
            <w:tcW w:w="851" w:type="dxa"/>
            <w:tcMar>
              <w:left w:w="108" w:type="dxa"/>
              <w:right w:w="0" w:type="dxa"/>
            </w:tcMar>
          </w:tcPr>
          <w:p w:rsidR="000019EF" w:rsidRPr="00A95A6D" w:rsidRDefault="000019EF" w:rsidP="00D73E98">
            <w:pPr>
              <w:pStyle w:val="PrincCont"/>
              <w:jc w:val="left"/>
            </w:pPr>
            <w:r w:rsidRPr="00A95A6D">
              <w:t>Art. 2427, c.1, n.3-bis, CC</w:t>
            </w:r>
          </w:p>
          <w:p w:rsidR="000019EF" w:rsidRPr="00A95A6D" w:rsidRDefault="000019EF" w:rsidP="00D73E98">
            <w:pPr>
              <w:pStyle w:val="PrincCont"/>
              <w:jc w:val="left"/>
            </w:pPr>
            <w:r>
              <w:t>OIC 9.36</w:t>
            </w:r>
          </w:p>
        </w:tc>
        <w:tc>
          <w:tcPr>
            <w:tcW w:w="7060" w:type="dxa"/>
            <w:tcMar>
              <w:left w:w="108" w:type="dxa"/>
            </w:tcMar>
          </w:tcPr>
          <w:p w:rsidR="000019EF" w:rsidRPr="008516E9" w:rsidRDefault="000019EF" w:rsidP="00D73E98">
            <w:pPr>
              <w:pStyle w:val="Puntoelenco"/>
              <w:numPr>
                <w:ilvl w:val="0"/>
                <w:numId w:val="0"/>
              </w:numPr>
              <w:spacing w:line="230" w:lineRule="exact"/>
            </w:pPr>
            <w:r>
              <w:t xml:space="preserve">La Nota Integrativa indica </w:t>
            </w:r>
            <w:r w:rsidRPr="00325E67">
              <w:t>la misura e le motivazioni delle riduzioni di valore applicate alle immobilizzazioni materiali e immateriali, facendo a tal fine esplicito riferimento al loro concorso alla futura produzione di risultati economici, alla loro prevedibile durata utile e, per quanto rilevante, al loro valore di mercato, segnalando altresì le differenze rispetto a quelle operate negli esercizi precedenti ed evidenziando la loro influenza sui risultati economici dell’esercizio</w:t>
            </w:r>
            <w:r>
              <w:t>?</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CC242B" w:rsidTr="00D73E98">
        <w:trPr>
          <w:cantSplit/>
          <w:trHeight w:val="20"/>
        </w:trPr>
        <w:tc>
          <w:tcPr>
            <w:tcW w:w="680" w:type="dxa"/>
          </w:tcPr>
          <w:p w:rsidR="000019EF" w:rsidRPr="009E48D7" w:rsidRDefault="00C27BCC" w:rsidP="00D73E98">
            <w:pPr>
              <w:jc w:val="center"/>
              <w:rPr>
                <w:b/>
                <w:lang w:val="it-IT"/>
              </w:rPr>
            </w:pPr>
            <w:r>
              <w:rPr>
                <w:b/>
                <w:lang w:val="it-IT"/>
              </w:rPr>
              <w:t>30</w:t>
            </w:r>
            <w:r w:rsidR="000019EF"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37</w:t>
            </w:r>
          </w:p>
        </w:tc>
        <w:tc>
          <w:tcPr>
            <w:tcW w:w="7060" w:type="dxa"/>
            <w:tcMar>
              <w:left w:w="108" w:type="dxa"/>
            </w:tcMar>
          </w:tcPr>
          <w:p w:rsidR="000019EF" w:rsidRPr="00325E67" w:rsidRDefault="000019EF" w:rsidP="00D73E98">
            <w:pPr>
              <w:pStyle w:val="Puntoelenco"/>
              <w:numPr>
                <w:ilvl w:val="0"/>
                <w:numId w:val="0"/>
              </w:numPr>
              <w:spacing w:line="230" w:lineRule="exact"/>
            </w:pPr>
            <w:r>
              <w:t>Nella Nota I</w:t>
            </w:r>
            <w:r w:rsidRPr="00325E67">
              <w:t>ntegrativa si forniscono, inoltre, informazioni sulle modalità di determinazione del valore recuperabile, con particolare riguardo a:</w:t>
            </w:r>
          </w:p>
        </w:tc>
        <w:tc>
          <w:tcPr>
            <w:tcW w:w="586" w:type="dxa"/>
            <w:gridSpan w:val="2"/>
            <w:tcMar>
              <w:left w:w="85" w:type="dxa"/>
              <w:right w:w="85" w:type="dxa"/>
            </w:tcMar>
            <w:vAlign w:val="center"/>
          </w:tcPr>
          <w:p w:rsidR="000019EF" w:rsidRPr="00A32A16" w:rsidRDefault="000019EF" w:rsidP="00D73E98">
            <w:pPr>
              <w:jc w:val="center"/>
              <w:rPr>
                <w:lang w:val="it-IT"/>
              </w:rPr>
            </w:pPr>
          </w:p>
        </w:tc>
        <w:tc>
          <w:tcPr>
            <w:tcW w:w="573" w:type="dxa"/>
            <w:tcMar>
              <w:left w:w="108" w:type="dxa"/>
            </w:tcMar>
            <w:vAlign w:val="center"/>
          </w:tcPr>
          <w:p w:rsidR="000019EF" w:rsidRPr="00A32A16" w:rsidRDefault="000019EF" w:rsidP="00D73E98">
            <w:pP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C64672"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325E67" w:rsidRDefault="003424CF" w:rsidP="003424CF">
            <w:pPr>
              <w:pStyle w:val="rientrotrattinook"/>
              <w:numPr>
                <w:ilvl w:val="0"/>
                <w:numId w:val="0"/>
              </w:numPr>
              <w:ind w:left="460" w:hanging="284"/>
            </w:pPr>
            <w:r>
              <w:t>-</w:t>
            </w:r>
            <w:r>
              <w:tab/>
            </w:r>
            <w:r w:rsidR="000019EF" w:rsidRPr="00325E67">
              <w:t>durata dell'orizzonte temporale preso a riferimento per la stima analitica dei flussi finanziari futuri</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C64672"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325E67" w:rsidRDefault="003424CF" w:rsidP="003424CF">
            <w:pPr>
              <w:pStyle w:val="rientrotrattinook"/>
              <w:numPr>
                <w:ilvl w:val="0"/>
                <w:numId w:val="0"/>
              </w:numPr>
              <w:ind w:left="460" w:hanging="284"/>
            </w:pPr>
            <w:r>
              <w:t>-</w:t>
            </w:r>
            <w:r>
              <w:tab/>
            </w:r>
            <w:r w:rsidR="000019EF" w:rsidRPr="00325E67">
              <w:t>misura del tasso di crescita utilizzato per stimar</w:t>
            </w:r>
            <w:r w:rsidR="000019EF">
              <w:t>e i flussi finanziari ulteriori</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C64672"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325E67" w:rsidRDefault="003424CF" w:rsidP="003424CF">
            <w:pPr>
              <w:pStyle w:val="rientrotrattinook"/>
              <w:numPr>
                <w:ilvl w:val="0"/>
                <w:numId w:val="0"/>
              </w:numPr>
              <w:ind w:left="460" w:hanging="284"/>
            </w:pPr>
            <w:r>
              <w:t>-</w:t>
            </w:r>
            <w:r>
              <w:tab/>
            </w:r>
            <w:r w:rsidR="000019EF" w:rsidRPr="00325E67">
              <w:t>misura del tasso di attualizzazione applicato</w:t>
            </w:r>
            <w:r w:rsidR="000019EF">
              <w:t>?</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EA46CB" w:rsidTr="00D73E98">
        <w:trPr>
          <w:cantSplit/>
          <w:trHeight w:val="20"/>
        </w:trPr>
        <w:tc>
          <w:tcPr>
            <w:tcW w:w="680" w:type="dxa"/>
          </w:tcPr>
          <w:p w:rsidR="000019EF" w:rsidRPr="009E48D7" w:rsidRDefault="00C27BCC" w:rsidP="00D73E98">
            <w:pPr>
              <w:jc w:val="center"/>
              <w:rPr>
                <w:b/>
                <w:lang w:val="it-IT"/>
              </w:rPr>
            </w:pPr>
            <w:r>
              <w:rPr>
                <w:b/>
                <w:lang w:val="it-IT"/>
              </w:rPr>
              <w:t>31</w:t>
            </w:r>
            <w:r w:rsidR="000019EF"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37</w:t>
            </w:r>
          </w:p>
        </w:tc>
        <w:tc>
          <w:tcPr>
            <w:tcW w:w="7060" w:type="dxa"/>
            <w:tcMar>
              <w:left w:w="108" w:type="dxa"/>
            </w:tcMar>
          </w:tcPr>
          <w:p w:rsidR="000019EF" w:rsidRPr="0081642F" w:rsidRDefault="000019EF" w:rsidP="00D73E98">
            <w:pPr>
              <w:pStyle w:val="Puntoelenco"/>
              <w:numPr>
                <w:ilvl w:val="0"/>
                <w:numId w:val="0"/>
              </w:numPr>
              <w:spacing w:line="230" w:lineRule="exact"/>
            </w:pPr>
            <w:r>
              <w:t>Nella Nota I</w:t>
            </w:r>
            <w:r w:rsidRPr="00325E67">
              <w:t xml:space="preserve">ntegrativa si forniscono, se del caso, informazioni sulle tecniche utilizzate per la </w:t>
            </w:r>
            <w:r>
              <w:t xml:space="preserve">determinazione del </w:t>
            </w:r>
            <w:r w:rsidRPr="00736833">
              <w:rPr>
                <w:i/>
              </w:rPr>
              <w:t>fair value</w:t>
            </w:r>
            <w:r>
              <w:t>?</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019EF" w:rsidRPr="00CC242B"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FA1215" w:rsidRDefault="000019EF" w:rsidP="00D73E98">
            <w:pPr>
              <w:pStyle w:val="PrincCont"/>
              <w:jc w:val="left"/>
              <w:rPr>
                <w:lang w:val="it-IT"/>
              </w:rPr>
            </w:pPr>
            <w:r>
              <w:rPr>
                <w:lang w:val="it-IT"/>
              </w:rPr>
              <w:t>OIC 9.38</w:t>
            </w:r>
          </w:p>
        </w:tc>
        <w:tc>
          <w:tcPr>
            <w:tcW w:w="7060" w:type="dxa"/>
            <w:tcMar>
              <w:left w:w="108" w:type="dxa"/>
            </w:tcMar>
          </w:tcPr>
          <w:p w:rsidR="000019EF" w:rsidRPr="00FA1215" w:rsidRDefault="000019EF" w:rsidP="00D73E98">
            <w:pPr>
              <w:pStyle w:val="Commentiriquadro"/>
              <w:rPr>
                <w:lang w:eastAsia="it-IT"/>
              </w:rPr>
            </w:pPr>
            <w:r>
              <w:rPr>
                <w:lang w:eastAsia="it-IT"/>
              </w:rPr>
              <w:t>L’articolo 2423, comma 4, del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w:t>
            </w:r>
          </w:p>
        </w:tc>
        <w:tc>
          <w:tcPr>
            <w:tcW w:w="586" w:type="dxa"/>
            <w:gridSpan w:val="2"/>
            <w:tcMar>
              <w:left w:w="85" w:type="dxa"/>
              <w:right w:w="85" w:type="dxa"/>
            </w:tcMar>
            <w:vAlign w:val="center"/>
          </w:tcPr>
          <w:p w:rsidR="000019EF" w:rsidRPr="00FA1215" w:rsidRDefault="000019EF" w:rsidP="00D73E98">
            <w:pPr>
              <w:jc w:val="center"/>
              <w:rPr>
                <w:lang w:val="it-IT"/>
              </w:rPr>
            </w:pPr>
          </w:p>
        </w:tc>
        <w:tc>
          <w:tcPr>
            <w:tcW w:w="573" w:type="dxa"/>
            <w:tcMar>
              <w:left w:w="108" w:type="dxa"/>
            </w:tcMar>
            <w:vAlign w:val="center"/>
          </w:tcPr>
          <w:p w:rsidR="000019EF" w:rsidRPr="00FA1215"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EA46CB" w:rsidTr="00D73E98">
        <w:trPr>
          <w:cantSplit/>
          <w:trHeight w:val="20"/>
        </w:trPr>
        <w:tc>
          <w:tcPr>
            <w:tcW w:w="680" w:type="dxa"/>
          </w:tcPr>
          <w:p w:rsidR="000019EF" w:rsidRPr="009E48D7" w:rsidRDefault="00C27BCC" w:rsidP="00D73E98">
            <w:pPr>
              <w:jc w:val="center"/>
              <w:rPr>
                <w:b/>
                <w:lang w:val="it-IT"/>
              </w:rPr>
            </w:pPr>
            <w:r>
              <w:rPr>
                <w:b/>
                <w:lang w:val="it-IT"/>
              </w:rPr>
              <w:t>32</w:t>
            </w:r>
            <w:r w:rsidR="000019EF" w:rsidRPr="009E48D7">
              <w:rPr>
                <w:b/>
                <w:lang w:val="it-IT"/>
              </w:rPr>
              <w:t>)</w:t>
            </w:r>
          </w:p>
        </w:tc>
        <w:tc>
          <w:tcPr>
            <w:tcW w:w="851" w:type="dxa"/>
            <w:tcMar>
              <w:left w:w="108" w:type="dxa"/>
              <w:right w:w="0" w:type="dxa"/>
            </w:tcMar>
          </w:tcPr>
          <w:p w:rsidR="000019EF" w:rsidRPr="00FA1215" w:rsidRDefault="000019EF" w:rsidP="00D73E98">
            <w:pPr>
              <w:pStyle w:val="PrincCont"/>
              <w:jc w:val="left"/>
              <w:rPr>
                <w:lang w:val="it-IT"/>
              </w:rPr>
            </w:pPr>
            <w:r>
              <w:rPr>
                <w:lang w:val="it-IT"/>
              </w:rPr>
              <w:t>OIC 9.38</w:t>
            </w:r>
          </w:p>
        </w:tc>
        <w:tc>
          <w:tcPr>
            <w:tcW w:w="7060" w:type="dxa"/>
            <w:tcMar>
              <w:left w:w="108" w:type="dxa"/>
            </w:tcMar>
          </w:tcPr>
          <w:p w:rsidR="000019EF" w:rsidRPr="00FA1215" w:rsidRDefault="00871879" w:rsidP="00D73E98">
            <w:pPr>
              <w:pStyle w:val="Puntoelenco"/>
              <w:numPr>
                <w:ilvl w:val="0"/>
                <w:numId w:val="0"/>
              </w:numPr>
              <w:spacing w:line="230" w:lineRule="exact"/>
            </w:pPr>
            <w:r>
              <w:t>La società illustra nella Nota I</w:t>
            </w:r>
            <w:r w:rsidR="000019EF">
              <w:t>ntegrativa i criteri con i quali ha dato attuazione alla disposizione sopra riportata</w:t>
            </w:r>
            <w:r w:rsidR="000019EF" w:rsidRPr="00FA1215">
              <w:t>?</w:t>
            </w:r>
          </w:p>
        </w:tc>
        <w:tc>
          <w:tcPr>
            <w:tcW w:w="586" w:type="dxa"/>
            <w:gridSpan w:val="2"/>
            <w:tcMar>
              <w:left w:w="85" w:type="dxa"/>
              <w:right w:w="85" w:type="dxa"/>
            </w:tcMar>
            <w:vAlign w:val="center"/>
          </w:tcPr>
          <w:p w:rsidR="000019EF" w:rsidRPr="00FA1215"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CA1681">
              <w:fldChar w:fldCharType="separate"/>
            </w:r>
            <w:r w:rsidRPr="00FA1215">
              <w:fldChar w:fldCharType="end"/>
            </w:r>
          </w:p>
        </w:tc>
        <w:tc>
          <w:tcPr>
            <w:tcW w:w="573" w:type="dxa"/>
            <w:tcMar>
              <w:left w:w="108" w:type="dxa"/>
            </w:tcMar>
            <w:vAlign w:val="center"/>
          </w:tcPr>
          <w:p w:rsidR="000019EF" w:rsidRPr="00FA1215"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CA1681">
              <w:fldChar w:fldCharType="separate"/>
            </w:r>
            <w:r w:rsidRPr="00FA1215">
              <w:fldChar w:fldCharType="end"/>
            </w:r>
          </w:p>
        </w:tc>
        <w:tc>
          <w:tcPr>
            <w:tcW w:w="570" w:type="dxa"/>
            <w:tcMar>
              <w:left w:w="108" w:type="dxa"/>
            </w:tcMar>
            <w:vAlign w:val="center"/>
          </w:tcPr>
          <w:p w:rsidR="000019EF" w:rsidRPr="00A32A16"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CA1681">
              <w:fldChar w:fldCharType="separate"/>
            </w:r>
            <w:r w:rsidRPr="00FA1215">
              <w:fldChar w:fldCharType="end"/>
            </w:r>
          </w:p>
        </w:tc>
      </w:tr>
      <w:tr w:rsidR="000019EF" w:rsidRPr="00EA46CB" w:rsidTr="00D73E98">
        <w:trPr>
          <w:cantSplit/>
          <w:trHeight w:val="20"/>
        </w:trPr>
        <w:tc>
          <w:tcPr>
            <w:tcW w:w="680" w:type="dxa"/>
          </w:tcPr>
          <w:p w:rsidR="000019EF" w:rsidRPr="009E48D7" w:rsidRDefault="000019EF" w:rsidP="00D73E98">
            <w:pPr>
              <w:jc w:val="center"/>
              <w:rPr>
                <w:b/>
                <w:lang w:val="it-IT"/>
              </w:rPr>
            </w:pPr>
            <w:r w:rsidRPr="009E48D7">
              <w:rPr>
                <w:b/>
                <w:lang w:val="it-IT"/>
              </w:rPr>
              <w:t>3</w:t>
            </w:r>
            <w:r w:rsidR="00C27BCC">
              <w:rPr>
                <w:b/>
                <w:lang w:val="it-IT"/>
              </w:rPr>
              <w:t>3</w:t>
            </w:r>
            <w:r w:rsidRPr="009E48D7">
              <w:rPr>
                <w:b/>
                <w:lang w:val="it-IT"/>
              </w:rPr>
              <w:t>)</w:t>
            </w:r>
          </w:p>
        </w:tc>
        <w:tc>
          <w:tcPr>
            <w:tcW w:w="851" w:type="dxa"/>
            <w:tcMar>
              <w:left w:w="108" w:type="dxa"/>
              <w:right w:w="0" w:type="dxa"/>
            </w:tcMar>
          </w:tcPr>
          <w:p w:rsidR="000019EF" w:rsidRPr="00FA1215" w:rsidRDefault="000019EF" w:rsidP="00D73E98">
            <w:pPr>
              <w:pStyle w:val="PrincCont"/>
              <w:jc w:val="left"/>
              <w:rPr>
                <w:lang w:val="it-IT"/>
              </w:rPr>
            </w:pPr>
            <w:r>
              <w:rPr>
                <w:lang w:val="it-IT"/>
              </w:rPr>
              <w:t>OIC 9.39</w:t>
            </w:r>
          </w:p>
        </w:tc>
        <w:tc>
          <w:tcPr>
            <w:tcW w:w="7060" w:type="dxa"/>
            <w:tcMar>
              <w:left w:w="108" w:type="dxa"/>
            </w:tcMar>
          </w:tcPr>
          <w:p w:rsidR="000019EF" w:rsidRPr="00FA1215" w:rsidRDefault="000019EF" w:rsidP="00D73E98">
            <w:pPr>
              <w:pStyle w:val="Puntoelenco"/>
              <w:numPr>
                <w:ilvl w:val="0"/>
                <w:numId w:val="0"/>
              </w:numPr>
              <w:spacing w:line="230" w:lineRule="exact"/>
            </w:pPr>
            <w:r w:rsidRPr="00FA1215">
              <w:t>Le società che adottano il metodo sempli</w:t>
            </w:r>
            <w:r>
              <w:t>ficato ne danno menzione nella Nota I</w:t>
            </w:r>
            <w:r w:rsidRPr="00FA1215">
              <w:t>ntegrativa e indicano la durata dell’orizzonte temporale preso a riferimento per la stima analitica dei flussi reddituali futuri?</w:t>
            </w:r>
          </w:p>
        </w:tc>
        <w:tc>
          <w:tcPr>
            <w:tcW w:w="586" w:type="dxa"/>
            <w:gridSpan w:val="2"/>
            <w:tcMar>
              <w:left w:w="85" w:type="dxa"/>
              <w:right w:w="85" w:type="dxa"/>
            </w:tcMar>
            <w:vAlign w:val="center"/>
          </w:tcPr>
          <w:p w:rsidR="000019EF" w:rsidRPr="00FA1215"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CA1681">
              <w:fldChar w:fldCharType="separate"/>
            </w:r>
            <w:r w:rsidRPr="00FA1215">
              <w:fldChar w:fldCharType="end"/>
            </w:r>
          </w:p>
        </w:tc>
        <w:tc>
          <w:tcPr>
            <w:tcW w:w="573" w:type="dxa"/>
            <w:tcMar>
              <w:left w:w="108" w:type="dxa"/>
            </w:tcMar>
            <w:vAlign w:val="center"/>
          </w:tcPr>
          <w:p w:rsidR="000019EF" w:rsidRPr="00FA1215"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CA1681">
              <w:fldChar w:fldCharType="separate"/>
            </w:r>
            <w:r w:rsidRPr="00FA1215">
              <w:fldChar w:fldCharType="end"/>
            </w:r>
          </w:p>
        </w:tc>
        <w:tc>
          <w:tcPr>
            <w:tcW w:w="570" w:type="dxa"/>
            <w:tcMar>
              <w:left w:w="108" w:type="dxa"/>
            </w:tcMar>
            <w:vAlign w:val="center"/>
          </w:tcPr>
          <w:p w:rsidR="000019EF" w:rsidRPr="00A32A16"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CA1681">
              <w:fldChar w:fldCharType="separate"/>
            </w:r>
            <w:r w:rsidRPr="00FA1215">
              <w:fldChar w:fldCharType="end"/>
            </w:r>
          </w:p>
        </w:tc>
      </w:tr>
      <w:tr w:rsidR="000019EF" w:rsidRPr="00CC242B"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FA1215" w:rsidRDefault="000019EF" w:rsidP="00D73E98">
            <w:pPr>
              <w:pStyle w:val="PrincCont"/>
              <w:jc w:val="left"/>
              <w:rPr>
                <w:lang w:val="it-IT"/>
              </w:rPr>
            </w:pPr>
          </w:p>
        </w:tc>
        <w:tc>
          <w:tcPr>
            <w:tcW w:w="7060" w:type="dxa"/>
            <w:tcMar>
              <w:left w:w="108" w:type="dxa"/>
            </w:tcMar>
          </w:tcPr>
          <w:p w:rsidR="000019EF" w:rsidRPr="005677F2" w:rsidRDefault="000019EF" w:rsidP="00D73E98">
            <w:pPr>
              <w:pStyle w:val="Titolo3"/>
              <w:rPr>
                <w:lang w:val="it-IT"/>
              </w:rPr>
            </w:pPr>
            <w:r w:rsidRPr="00EB2167">
              <w:rPr>
                <w:lang w:val="it-IT"/>
              </w:rPr>
              <w:t xml:space="preserve">Informazioni relative alle società che redigono </w:t>
            </w:r>
            <w:r>
              <w:rPr>
                <w:lang w:val="it-IT"/>
              </w:rPr>
              <w:t>il bilancio in forma abbreviata</w:t>
            </w:r>
          </w:p>
        </w:tc>
        <w:tc>
          <w:tcPr>
            <w:tcW w:w="586" w:type="dxa"/>
            <w:gridSpan w:val="2"/>
            <w:tcMar>
              <w:left w:w="85" w:type="dxa"/>
              <w:right w:w="85" w:type="dxa"/>
            </w:tcMar>
            <w:vAlign w:val="center"/>
          </w:tcPr>
          <w:p w:rsidR="000019EF" w:rsidRPr="00FA1215" w:rsidRDefault="000019EF" w:rsidP="00D73E98">
            <w:pPr>
              <w:jc w:val="center"/>
              <w:rPr>
                <w:lang w:val="it-IT"/>
              </w:rPr>
            </w:pPr>
          </w:p>
        </w:tc>
        <w:tc>
          <w:tcPr>
            <w:tcW w:w="573" w:type="dxa"/>
            <w:tcMar>
              <w:left w:w="108" w:type="dxa"/>
            </w:tcMar>
            <w:vAlign w:val="center"/>
          </w:tcPr>
          <w:p w:rsidR="000019EF" w:rsidRPr="00FA1215"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CC242B"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sidRPr="003F5A3B">
              <w:rPr>
                <w:lang w:val="it-IT"/>
              </w:rPr>
              <w:t>OIC 9.</w:t>
            </w:r>
            <w:r>
              <w:rPr>
                <w:lang w:val="it-IT"/>
              </w:rPr>
              <w:t>40</w:t>
            </w:r>
          </w:p>
        </w:tc>
        <w:tc>
          <w:tcPr>
            <w:tcW w:w="7060" w:type="dxa"/>
            <w:tcMar>
              <w:left w:w="108" w:type="dxa"/>
            </w:tcMar>
          </w:tcPr>
          <w:p w:rsidR="000019EF" w:rsidRPr="00DE38DC" w:rsidRDefault="000019EF" w:rsidP="00D73E98">
            <w:pPr>
              <w:pStyle w:val="Commentiriquadro"/>
              <w:rPr>
                <w:lang w:eastAsia="it-IT"/>
              </w:rPr>
            </w:pPr>
            <w:r>
              <w:rPr>
                <w:lang w:eastAsia="it-IT"/>
              </w:rPr>
              <w:t xml:space="preserve">L’articolo 2427, comma 1, del codice civile impone di indicare nella </w:t>
            </w:r>
            <w:r w:rsidR="00871879">
              <w:rPr>
                <w:lang w:eastAsia="it-IT"/>
              </w:rPr>
              <w:t xml:space="preserve"> Nota Integrativa</w:t>
            </w:r>
            <w:r>
              <w:rPr>
                <w:lang w:eastAsia="it-IT"/>
              </w:rPr>
              <w:t xml:space="preserve">: </w:t>
            </w:r>
            <w:r w:rsidRPr="006A3163">
              <w:rPr>
                <w:i/>
                <w:lang w:eastAsia="it-IT"/>
              </w:rPr>
              <w:t>“i criteri applicati nella valutazione delle voci del bilancio, nelle rettifiche di valore e nella conversione dei valori non espressi all'origine in moneta avente corso legale nello Stato”</w:t>
            </w:r>
            <w:r>
              <w:rPr>
                <w:lang w:eastAsia="it-IT"/>
              </w:rPr>
              <w:t xml:space="preserve"> (numero 1)” e </w:t>
            </w:r>
            <w:r w:rsidRPr="006A3163">
              <w:rPr>
                <w:i/>
                <w:lang w:eastAsia="it-IT"/>
              </w:rPr>
              <w:t>“i movimenti delle immobilizzazioni, specificando per ciascuna voce: il costo; le precedenti rivalutazioni, ammortamenti e svalutazioni; le acquisizioni, gli spostamenti da una ad altra voce, le alienazioni avvenuti nell’esercizio; le rivalutazioni, gli ammortamenti e le svalutazioni effettuati nell’esercizio; il totale delle rivalutazioni riguardanti le immobilizzazioni esistenti alla chiusura dell’esercizio”</w:t>
            </w:r>
            <w:r>
              <w:rPr>
                <w:lang w:eastAsia="it-IT"/>
              </w:rPr>
              <w:t xml:space="preserve"> (numero 2).</w:t>
            </w:r>
          </w:p>
        </w:tc>
        <w:tc>
          <w:tcPr>
            <w:tcW w:w="586" w:type="dxa"/>
            <w:gridSpan w:val="2"/>
            <w:tcMar>
              <w:left w:w="85" w:type="dxa"/>
              <w:right w:w="85" w:type="dxa"/>
            </w:tcMar>
            <w:vAlign w:val="center"/>
          </w:tcPr>
          <w:p w:rsidR="000019EF" w:rsidRPr="00DE38DC" w:rsidRDefault="000019EF" w:rsidP="00D73E98">
            <w:pPr>
              <w:jc w:val="center"/>
              <w:rPr>
                <w:lang w:val="it-IT"/>
              </w:rPr>
            </w:pPr>
          </w:p>
        </w:tc>
        <w:tc>
          <w:tcPr>
            <w:tcW w:w="573" w:type="dxa"/>
            <w:tcMar>
              <w:left w:w="108" w:type="dxa"/>
            </w:tcMar>
            <w:vAlign w:val="center"/>
          </w:tcPr>
          <w:p w:rsidR="000019EF" w:rsidRPr="00DE38DC" w:rsidRDefault="000019EF" w:rsidP="00D73E98">
            <w:pPr>
              <w:jc w:val="center"/>
              <w:rPr>
                <w:lang w:val="it-IT"/>
              </w:rPr>
            </w:pPr>
          </w:p>
        </w:tc>
        <w:tc>
          <w:tcPr>
            <w:tcW w:w="570" w:type="dxa"/>
            <w:tcMar>
              <w:left w:w="108" w:type="dxa"/>
            </w:tcMar>
            <w:vAlign w:val="center"/>
          </w:tcPr>
          <w:p w:rsidR="000019EF" w:rsidRPr="00DE38DC" w:rsidRDefault="000019EF" w:rsidP="00D73E98">
            <w:pPr>
              <w:jc w:val="center"/>
              <w:rPr>
                <w:lang w:val="it-IT"/>
              </w:rPr>
            </w:pPr>
          </w:p>
        </w:tc>
      </w:tr>
      <w:tr w:rsidR="000019EF" w:rsidRPr="00CC242B"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sidRPr="003F5A3B">
              <w:rPr>
                <w:lang w:val="it-IT"/>
              </w:rPr>
              <w:t>OIC 9.</w:t>
            </w:r>
            <w:r>
              <w:rPr>
                <w:lang w:val="it-IT"/>
              </w:rPr>
              <w:t>41</w:t>
            </w:r>
          </w:p>
        </w:tc>
        <w:tc>
          <w:tcPr>
            <w:tcW w:w="7060" w:type="dxa"/>
            <w:tcMar>
              <w:left w:w="108" w:type="dxa"/>
            </w:tcMar>
          </w:tcPr>
          <w:p w:rsidR="000019EF" w:rsidRPr="00DE38DC" w:rsidRDefault="000019EF" w:rsidP="00D73E98">
            <w:pPr>
              <w:pStyle w:val="Commentiriquadro"/>
              <w:rPr>
                <w:lang w:eastAsia="it-IT"/>
              </w:rPr>
            </w:pPr>
            <w:r>
              <w:rPr>
                <w:lang w:eastAsia="it-IT"/>
              </w:rPr>
              <w:t xml:space="preserve">L’articolo 2423, comma 4, del codice civile prevede che: </w:t>
            </w:r>
            <w:r w:rsidRPr="00EF53BD">
              <w:rPr>
                <w:i/>
                <w:lang w:eastAsia="it-IT"/>
              </w:rPr>
              <w:t>“Non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w:t>
            </w:r>
          </w:p>
        </w:tc>
        <w:tc>
          <w:tcPr>
            <w:tcW w:w="586" w:type="dxa"/>
            <w:gridSpan w:val="2"/>
            <w:tcMar>
              <w:left w:w="85" w:type="dxa"/>
              <w:right w:w="85" w:type="dxa"/>
            </w:tcMar>
            <w:vAlign w:val="center"/>
          </w:tcPr>
          <w:p w:rsidR="000019EF" w:rsidRPr="00DE38DC" w:rsidRDefault="000019EF" w:rsidP="00D73E98">
            <w:pPr>
              <w:jc w:val="center"/>
              <w:rPr>
                <w:lang w:val="it-IT"/>
              </w:rPr>
            </w:pPr>
          </w:p>
        </w:tc>
        <w:tc>
          <w:tcPr>
            <w:tcW w:w="573" w:type="dxa"/>
            <w:tcMar>
              <w:left w:w="108" w:type="dxa"/>
            </w:tcMar>
            <w:vAlign w:val="center"/>
          </w:tcPr>
          <w:p w:rsidR="000019EF" w:rsidRPr="00DE38DC" w:rsidRDefault="000019EF" w:rsidP="00D73E98">
            <w:pPr>
              <w:jc w:val="center"/>
              <w:rPr>
                <w:lang w:val="it-IT"/>
              </w:rPr>
            </w:pPr>
          </w:p>
        </w:tc>
        <w:tc>
          <w:tcPr>
            <w:tcW w:w="570" w:type="dxa"/>
            <w:tcMar>
              <w:left w:w="108" w:type="dxa"/>
            </w:tcMar>
            <w:vAlign w:val="center"/>
          </w:tcPr>
          <w:p w:rsidR="000019EF" w:rsidRPr="00DE38DC" w:rsidRDefault="000019EF" w:rsidP="00D73E98">
            <w:pPr>
              <w:jc w:val="center"/>
              <w:rPr>
                <w:lang w:val="it-IT"/>
              </w:rPr>
            </w:pPr>
          </w:p>
        </w:tc>
      </w:tr>
      <w:tr w:rsidR="000019EF" w:rsidRPr="00EA46CB" w:rsidTr="00D73E98">
        <w:trPr>
          <w:cantSplit/>
          <w:trHeight w:val="20"/>
        </w:trPr>
        <w:tc>
          <w:tcPr>
            <w:tcW w:w="680" w:type="dxa"/>
          </w:tcPr>
          <w:p w:rsidR="000019EF" w:rsidRPr="009E48D7" w:rsidRDefault="000019EF" w:rsidP="00D73E98">
            <w:pPr>
              <w:jc w:val="center"/>
              <w:rPr>
                <w:b/>
                <w:lang w:val="it-IT"/>
              </w:rPr>
            </w:pPr>
            <w:r w:rsidRPr="009E48D7">
              <w:rPr>
                <w:b/>
                <w:lang w:val="it-IT"/>
              </w:rPr>
              <w:t>3</w:t>
            </w:r>
            <w:r w:rsidR="00C27BCC">
              <w:rPr>
                <w:b/>
                <w:lang w:val="it-IT"/>
              </w:rPr>
              <w:t>4</w:t>
            </w:r>
            <w:r w:rsidRPr="009E48D7">
              <w:rPr>
                <w:b/>
                <w:lang w:val="it-IT"/>
              </w:rPr>
              <w:t>)</w:t>
            </w:r>
          </w:p>
        </w:tc>
        <w:tc>
          <w:tcPr>
            <w:tcW w:w="851" w:type="dxa"/>
            <w:tcMar>
              <w:left w:w="108" w:type="dxa"/>
              <w:right w:w="0" w:type="dxa"/>
            </w:tcMar>
          </w:tcPr>
          <w:p w:rsidR="000019EF" w:rsidRPr="00FA1215" w:rsidRDefault="000019EF" w:rsidP="00D73E98">
            <w:pPr>
              <w:pStyle w:val="PrincCont"/>
              <w:jc w:val="left"/>
              <w:rPr>
                <w:lang w:val="it-IT"/>
              </w:rPr>
            </w:pPr>
            <w:r>
              <w:rPr>
                <w:lang w:val="it-IT"/>
              </w:rPr>
              <w:t>OIC 9.41</w:t>
            </w:r>
          </w:p>
        </w:tc>
        <w:tc>
          <w:tcPr>
            <w:tcW w:w="7060" w:type="dxa"/>
            <w:tcMar>
              <w:left w:w="108" w:type="dxa"/>
            </w:tcMar>
          </w:tcPr>
          <w:p w:rsidR="000019EF" w:rsidRPr="00FA1215" w:rsidRDefault="000019EF" w:rsidP="00D73E98">
            <w:pPr>
              <w:pStyle w:val="Puntoelenco"/>
              <w:numPr>
                <w:ilvl w:val="0"/>
                <w:numId w:val="0"/>
              </w:numPr>
              <w:spacing w:line="230" w:lineRule="exact"/>
            </w:pPr>
            <w:r>
              <w:t xml:space="preserve">La società illustra nella </w:t>
            </w:r>
            <w:r w:rsidR="00871879">
              <w:t xml:space="preserve"> Nota Integrativa</w:t>
            </w:r>
            <w:r>
              <w:t xml:space="preserve"> i criteri con i quali ha dato attuazione alla disposizione sopra riportata</w:t>
            </w:r>
            <w:r w:rsidRPr="00FA1215">
              <w:t>?</w:t>
            </w:r>
          </w:p>
        </w:tc>
        <w:tc>
          <w:tcPr>
            <w:tcW w:w="586" w:type="dxa"/>
            <w:gridSpan w:val="2"/>
            <w:tcMar>
              <w:left w:w="85" w:type="dxa"/>
              <w:right w:w="85" w:type="dxa"/>
            </w:tcMar>
            <w:vAlign w:val="center"/>
          </w:tcPr>
          <w:p w:rsidR="000019EF" w:rsidRPr="00FA1215"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CA1681">
              <w:fldChar w:fldCharType="separate"/>
            </w:r>
            <w:r w:rsidRPr="00FA1215">
              <w:fldChar w:fldCharType="end"/>
            </w:r>
          </w:p>
        </w:tc>
        <w:tc>
          <w:tcPr>
            <w:tcW w:w="573" w:type="dxa"/>
            <w:tcMar>
              <w:left w:w="108" w:type="dxa"/>
            </w:tcMar>
            <w:vAlign w:val="center"/>
          </w:tcPr>
          <w:p w:rsidR="000019EF" w:rsidRPr="00FA1215"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CA1681">
              <w:fldChar w:fldCharType="separate"/>
            </w:r>
            <w:r w:rsidRPr="00FA1215">
              <w:fldChar w:fldCharType="end"/>
            </w:r>
          </w:p>
        </w:tc>
        <w:tc>
          <w:tcPr>
            <w:tcW w:w="570" w:type="dxa"/>
            <w:tcMar>
              <w:left w:w="108" w:type="dxa"/>
            </w:tcMar>
            <w:vAlign w:val="center"/>
          </w:tcPr>
          <w:p w:rsidR="000019EF" w:rsidRPr="00A32A16"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CA1681">
              <w:fldChar w:fldCharType="separate"/>
            </w:r>
            <w:r w:rsidRPr="00FA1215">
              <w:fldChar w:fldCharType="end"/>
            </w:r>
          </w:p>
        </w:tc>
      </w:tr>
      <w:tr w:rsidR="000019EF" w:rsidRPr="00EA46CB" w:rsidTr="00D73E98">
        <w:trPr>
          <w:cantSplit/>
          <w:trHeight w:val="20"/>
        </w:trPr>
        <w:tc>
          <w:tcPr>
            <w:tcW w:w="680" w:type="dxa"/>
          </w:tcPr>
          <w:p w:rsidR="000019EF" w:rsidRPr="009E48D7" w:rsidRDefault="000019EF" w:rsidP="00D73E98">
            <w:pPr>
              <w:jc w:val="center"/>
              <w:rPr>
                <w:b/>
                <w:lang w:val="it-IT"/>
              </w:rPr>
            </w:pPr>
            <w:r w:rsidRPr="009E48D7">
              <w:rPr>
                <w:b/>
                <w:lang w:val="it-IT"/>
              </w:rPr>
              <w:t>3</w:t>
            </w:r>
            <w:r w:rsidR="00C27BCC">
              <w:rPr>
                <w:b/>
                <w:lang w:val="it-IT"/>
              </w:rPr>
              <w:t>5</w:t>
            </w:r>
            <w:r w:rsidRPr="009E48D7">
              <w:rPr>
                <w:b/>
                <w:lang w:val="it-IT"/>
              </w:rPr>
              <w:t>)</w:t>
            </w:r>
          </w:p>
        </w:tc>
        <w:tc>
          <w:tcPr>
            <w:tcW w:w="851" w:type="dxa"/>
            <w:tcMar>
              <w:left w:w="108" w:type="dxa"/>
              <w:right w:w="0" w:type="dxa"/>
            </w:tcMar>
          </w:tcPr>
          <w:p w:rsidR="000019EF" w:rsidRPr="00FA1215" w:rsidRDefault="000019EF" w:rsidP="00D73E98">
            <w:pPr>
              <w:pStyle w:val="PrincCont"/>
              <w:jc w:val="left"/>
              <w:rPr>
                <w:lang w:val="it-IT"/>
              </w:rPr>
            </w:pPr>
            <w:r>
              <w:rPr>
                <w:lang w:val="it-IT"/>
              </w:rPr>
              <w:t>OIC 9.42</w:t>
            </w:r>
          </w:p>
        </w:tc>
        <w:tc>
          <w:tcPr>
            <w:tcW w:w="7060" w:type="dxa"/>
            <w:tcMar>
              <w:left w:w="108" w:type="dxa"/>
            </w:tcMar>
          </w:tcPr>
          <w:p w:rsidR="000019EF" w:rsidRPr="00FA1215" w:rsidRDefault="000019EF" w:rsidP="00D73E98">
            <w:pPr>
              <w:pStyle w:val="Puntoelenco"/>
              <w:numPr>
                <w:ilvl w:val="0"/>
                <w:numId w:val="0"/>
              </w:numPr>
              <w:spacing w:line="230" w:lineRule="exact"/>
            </w:pPr>
            <w:r w:rsidRPr="00FA1215">
              <w:t xml:space="preserve">Le società che adottano il metodo semplificato ne danno menzione nella </w:t>
            </w:r>
            <w:r w:rsidR="00871879">
              <w:t xml:space="preserve"> Nota Integrativa</w:t>
            </w:r>
            <w:r w:rsidRPr="00FA1215">
              <w:t>?</w:t>
            </w:r>
          </w:p>
        </w:tc>
        <w:tc>
          <w:tcPr>
            <w:tcW w:w="586" w:type="dxa"/>
            <w:gridSpan w:val="2"/>
            <w:tcMar>
              <w:left w:w="85" w:type="dxa"/>
              <w:right w:w="85" w:type="dxa"/>
            </w:tcMar>
            <w:vAlign w:val="center"/>
          </w:tcPr>
          <w:p w:rsidR="000019EF" w:rsidRPr="00FA1215"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CA1681">
              <w:fldChar w:fldCharType="separate"/>
            </w:r>
            <w:r w:rsidRPr="00FA1215">
              <w:fldChar w:fldCharType="end"/>
            </w:r>
          </w:p>
        </w:tc>
        <w:tc>
          <w:tcPr>
            <w:tcW w:w="573" w:type="dxa"/>
            <w:tcMar>
              <w:left w:w="108" w:type="dxa"/>
            </w:tcMar>
            <w:vAlign w:val="center"/>
          </w:tcPr>
          <w:p w:rsidR="000019EF" w:rsidRPr="00FA1215"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CA1681">
              <w:fldChar w:fldCharType="separate"/>
            </w:r>
            <w:r w:rsidRPr="00FA1215">
              <w:fldChar w:fldCharType="end"/>
            </w:r>
          </w:p>
        </w:tc>
        <w:tc>
          <w:tcPr>
            <w:tcW w:w="570" w:type="dxa"/>
            <w:tcMar>
              <w:left w:w="108" w:type="dxa"/>
            </w:tcMar>
            <w:vAlign w:val="center"/>
          </w:tcPr>
          <w:p w:rsidR="000019EF" w:rsidRPr="00A32A16"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CA1681">
              <w:fldChar w:fldCharType="separate"/>
            </w:r>
            <w:r w:rsidRPr="00FA1215">
              <w:fldChar w:fldCharType="end"/>
            </w:r>
          </w:p>
        </w:tc>
      </w:tr>
      <w:tr w:rsidR="000019EF" w:rsidRPr="00EA46CB"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FA1215" w:rsidRDefault="000019EF" w:rsidP="00D73E98">
            <w:pPr>
              <w:pStyle w:val="PrincCont"/>
              <w:jc w:val="left"/>
              <w:rPr>
                <w:lang w:val="it-IT"/>
              </w:rPr>
            </w:pPr>
          </w:p>
        </w:tc>
        <w:tc>
          <w:tcPr>
            <w:tcW w:w="7060" w:type="dxa"/>
            <w:tcMar>
              <w:left w:w="108" w:type="dxa"/>
            </w:tcMar>
          </w:tcPr>
          <w:p w:rsidR="000019EF" w:rsidRPr="00EF53BD" w:rsidRDefault="000019EF" w:rsidP="00D73E98">
            <w:pPr>
              <w:pStyle w:val="Puntoelenco"/>
              <w:numPr>
                <w:ilvl w:val="0"/>
                <w:numId w:val="0"/>
              </w:numPr>
              <w:rPr>
                <w:b/>
                <w:sz w:val="22"/>
              </w:rPr>
            </w:pPr>
            <w:r w:rsidRPr="00EF53BD">
              <w:rPr>
                <w:b/>
                <w:sz w:val="22"/>
              </w:rPr>
              <w:t>Disposizioni di prima applicazione</w:t>
            </w:r>
          </w:p>
        </w:tc>
        <w:tc>
          <w:tcPr>
            <w:tcW w:w="586" w:type="dxa"/>
            <w:gridSpan w:val="2"/>
            <w:tcMar>
              <w:left w:w="85" w:type="dxa"/>
              <w:right w:w="85" w:type="dxa"/>
            </w:tcMar>
            <w:vAlign w:val="center"/>
          </w:tcPr>
          <w:p w:rsidR="000019EF" w:rsidRPr="00FA1215" w:rsidRDefault="000019EF" w:rsidP="00D73E98">
            <w:pPr>
              <w:jc w:val="center"/>
              <w:rPr>
                <w:lang w:val="it-IT"/>
              </w:rPr>
            </w:pPr>
          </w:p>
        </w:tc>
        <w:tc>
          <w:tcPr>
            <w:tcW w:w="573" w:type="dxa"/>
            <w:tcMar>
              <w:left w:w="108" w:type="dxa"/>
            </w:tcMar>
            <w:vAlign w:val="center"/>
          </w:tcPr>
          <w:p w:rsidR="000019EF" w:rsidRPr="00FA1215"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EA46CB" w:rsidTr="00D73E98">
        <w:trPr>
          <w:cantSplit/>
          <w:trHeight w:val="20"/>
        </w:trPr>
        <w:tc>
          <w:tcPr>
            <w:tcW w:w="680" w:type="dxa"/>
          </w:tcPr>
          <w:p w:rsidR="000019EF" w:rsidRPr="009E48D7" w:rsidRDefault="000019EF" w:rsidP="00D73E98">
            <w:pPr>
              <w:jc w:val="center"/>
              <w:rPr>
                <w:b/>
                <w:lang w:val="it-IT"/>
              </w:rPr>
            </w:pPr>
            <w:r w:rsidRPr="009E48D7">
              <w:rPr>
                <w:b/>
                <w:lang w:val="it-IT"/>
              </w:rPr>
              <w:t>3</w:t>
            </w:r>
            <w:r w:rsidR="00C27BCC">
              <w:rPr>
                <w:b/>
                <w:lang w:val="it-IT"/>
              </w:rPr>
              <w:t>6</w:t>
            </w:r>
            <w:r w:rsidRPr="009E48D7">
              <w:rPr>
                <w:b/>
                <w:lang w:val="it-IT"/>
              </w:rPr>
              <w:t>)</w:t>
            </w:r>
          </w:p>
        </w:tc>
        <w:tc>
          <w:tcPr>
            <w:tcW w:w="851" w:type="dxa"/>
            <w:tcMar>
              <w:left w:w="108" w:type="dxa"/>
              <w:right w:w="0" w:type="dxa"/>
            </w:tcMar>
          </w:tcPr>
          <w:p w:rsidR="000019EF" w:rsidRPr="00FA1215" w:rsidRDefault="000019EF" w:rsidP="00D73E98">
            <w:pPr>
              <w:pStyle w:val="PrincCont"/>
              <w:jc w:val="left"/>
              <w:rPr>
                <w:lang w:val="it-IT"/>
              </w:rPr>
            </w:pPr>
            <w:r>
              <w:rPr>
                <w:lang w:val="it-IT"/>
              </w:rPr>
              <w:t>OIC 9.46</w:t>
            </w:r>
          </w:p>
        </w:tc>
        <w:tc>
          <w:tcPr>
            <w:tcW w:w="7060" w:type="dxa"/>
            <w:tcMar>
              <w:left w:w="108" w:type="dxa"/>
            </w:tcMar>
          </w:tcPr>
          <w:p w:rsidR="000019EF" w:rsidRPr="00FA1215" w:rsidRDefault="000019EF" w:rsidP="001533A3">
            <w:pPr>
              <w:pStyle w:val="Puntoelenco"/>
              <w:numPr>
                <w:ilvl w:val="0"/>
                <w:numId w:val="0"/>
              </w:numPr>
              <w:spacing w:line="230" w:lineRule="exact"/>
            </w:pPr>
            <w:r>
              <w:t>Gli eventuali effetti derivanti dall’applicazione delle modifiche apportate alla precedente versione dell’OIC 9 in tema di riclassificazione degli oneri e proventi straordinari sono applicati</w:t>
            </w:r>
            <w:r w:rsidR="001533A3">
              <w:t xml:space="preserve"> </w:t>
            </w:r>
            <w:r>
              <w:t>retroattivamente, ai soli fini riclassificatori</w:t>
            </w:r>
            <w:r w:rsidRPr="00FA1215">
              <w:t>?</w:t>
            </w:r>
          </w:p>
        </w:tc>
        <w:tc>
          <w:tcPr>
            <w:tcW w:w="586" w:type="dxa"/>
            <w:gridSpan w:val="2"/>
            <w:tcMar>
              <w:left w:w="85" w:type="dxa"/>
              <w:right w:w="85" w:type="dxa"/>
            </w:tcMar>
            <w:vAlign w:val="center"/>
          </w:tcPr>
          <w:p w:rsidR="000019EF" w:rsidRPr="00FA1215"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CA1681">
              <w:fldChar w:fldCharType="separate"/>
            </w:r>
            <w:r w:rsidRPr="00FA1215">
              <w:fldChar w:fldCharType="end"/>
            </w:r>
          </w:p>
        </w:tc>
        <w:tc>
          <w:tcPr>
            <w:tcW w:w="573" w:type="dxa"/>
            <w:tcMar>
              <w:left w:w="108" w:type="dxa"/>
            </w:tcMar>
            <w:vAlign w:val="center"/>
          </w:tcPr>
          <w:p w:rsidR="000019EF" w:rsidRPr="00FA1215"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CA1681">
              <w:fldChar w:fldCharType="separate"/>
            </w:r>
            <w:r w:rsidRPr="00FA1215">
              <w:fldChar w:fldCharType="end"/>
            </w:r>
          </w:p>
        </w:tc>
        <w:tc>
          <w:tcPr>
            <w:tcW w:w="570" w:type="dxa"/>
            <w:tcMar>
              <w:left w:w="108" w:type="dxa"/>
            </w:tcMar>
            <w:vAlign w:val="center"/>
          </w:tcPr>
          <w:p w:rsidR="000019EF" w:rsidRPr="00A32A16"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CA1681">
              <w:fldChar w:fldCharType="separate"/>
            </w:r>
            <w:r w:rsidRPr="00FA1215">
              <w:fldChar w:fldCharType="end"/>
            </w:r>
          </w:p>
        </w:tc>
      </w:tr>
      <w:tr w:rsidR="000019EF" w:rsidRPr="00CC242B" w:rsidTr="00D73E98">
        <w:trPr>
          <w:cantSplit/>
          <w:trHeight w:val="20"/>
        </w:trPr>
        <w:tc>
          <w:tcPr>
            <w:tcW w:w="680" w:type="dxa"/>
          </w:tcPr>
          <w:p w:rsidR="000019EF" w:rsidRDefault="000019EF" w:rsidP="00D73E98">
            <w:pPr>
              <w:jc w:val="center"/>
              <w:rPr>
                <w:lang w:val="it-IT"/>
              </w:rPr>
            </w:pPr>
          </w:p>
        </w:tc>
        <w:tc>
          <w:tcPr>
            <w:tcW w:w="851" w:type="dxa"/>
            <w:tcMar>
              <w:left w:w="108" w:type="dxa"/>
              <w:right w:w="0" w:type="dxa"/>
            </w:tcMar>
          </w:tcPr>
          <w:p w:rsidR="000019EF" w:rsidRPr="008A0F36" w:rsidRDefault="000019EF" w:rsidP="00D73E98">
            <w:pPr>
              <w:pStyle w:val="PrincCont"/>
              <w:jc w:val="left"/>
              <w:rPr>
                <w:lang w:val="it-IT"/>
              </w:rPr>
            </w:pPr>
            <w:r w:rsidRPr="003F5A3B">
              <w:rPr>
                <w:lang w:val="it-IT"/>
              </w:rPr>
              <w:t>OIC 9.</w:t>
            </w:r>
            <w:r>
              <w:rPr>
                <w:lang w:val="it-IT"/>
              </w:rPr>
              <w:t>47</w:t>
            </w:r>
          </w:p>
        </w:tc>
        <w:tc>
          <w:tcPr>
            <w:tcW w:w="7060" w:type="dxa"/>
            <w:tcMar>
              <w:left w:w="108" w:type="dxa"/>
            </w:tcMar>
          </w:tcPr>
          <w:p w:rsidR="000019EF" w:rsidRPr="00DE38DC" w:rsidRDefault="000019EF" w:rsidP="00D73E98">
            <w:pPr>
              <w:pStyle w:val="Commentiriquadro"/>
              <w:rPr>
                <w:lang w:eastAsia="it-IT"/>
              </w:rPr>
            </w:pPr>
            <w:r>
              <w:rPr>
                <w:lang w:eastAsia="it-IT"/>
              </w:rPr>
              <w:t>Eventuali effetti derivanti dall’applicazione delle modifiche apportate alla precedente versione dell’OIC 9 possono essere rilevati in bilancio prospetticamente ai sensi dell’OIC 29. Pertanto le componenti delle voci riferite ad operazioni che non hanno ancora esaurito i loro effetti in bilancio possono continuare ad essere contabilizzate in conformità al precedente principio.</w:t>
            </w:r>
          </w:p>
        </w:tc>
        <w:tc>
          <w:tcPr>
            <w:tcW w:w="586" w:type="dxa"/>
            <w:gridSpan w:val="2"/>
            <w:tcMar>
              <w:left w:w="85" w:type="dxa"/>
              <w:right w:w="85" w:type="dxa"/>
            </w:tcMar>
            <w:vAlign w:val="center"/>
          </w:tcPr>
          <w:p w:rsidR="000019EF" w:rsidRPr="00DE38DC" w:rsidRDefault="000019EF" w:rsidP="00D73E98">
            <w:pPr>
              <w:jc w:val="center"/>
              <w:rPr>
                <w:lang w:val="it-IT"/>
              </w:rPr>
            </w:pPr>
          </w:p>
        </w:tc>
        <w:tc>
          <w:tcPr>
            <w:tcW w:w="573" w:type="dxa"/>
            <w:tcMar>
              <w:left w:w="108" w:type="dxa"/>
            </w:tcMar>
            <w:vAlign w:val="center"/>
          </w:tcPr>
          <w:p w:rsidR="000019EF" w:rsidRPr="00DE38DC" w:rsidRDefault="000019EF" w:rsidP="00D73E98">
            <w:pPr>
              <w:jc w:val="center"/>
              <w:rPr>
                <w:lang w:val="it-IT"/>
              </w:rPr>
            </w:pPr>
          </w:p>
        </w:tc>
        <w:tc>
          <w:tcPr>
            <w:tcW w:w="570" w:type="dxa"/>
            <w:tcMar>
              <w:left w:w="108" w:type="dxa"/>
            </w:tcMar>
            <w:vAlign w:val="center"/>
          </w:tcPr>
          <w:p w:rsidR="000019EF" w:rsidRPr="00DE38DC" w:rsidRDefault="000019EF" w:rsidP="00D73E98">
            <w:pPr>
              <w:jc w:val="center"/>
              <w:rPr>
                <w:lang w:val="it-IT"/>
              </w:rPr>
            </w:pPr>
          </w:p>
        </w:tc>
      </w:tr>
    </w:tbl>
    <w:p w:rsidR="000019EF" w:rsidRPr="00181FF6" w:rsidRDefault="000019EF" w:rsidP="000019EF">
      <w:pPr>
        <w:rPr>
          <w:lang w:val="it-IT"/>
        </w:rPr>
      </w:pPr>
    </w:p>
    <w:p w:rsidR="0073099A" w:rsidRDefault="0073099A" w:rsidP="00A43012">
      <w:pPr>
        <w:rPr>
          <w:lang w:val="it-IT"/>
        </w:rPr>
        <w:sectPr w:rsidR="0073099A" w:rsidSect="008E5F3E">
          <w:headerReference w:type="default" r:id="rId27"/>
          <w:footerReference w:type="default" r:id="rId28"/>
          <w:pgSz w:w="11906" w:h="16838" w:code="9"/>
          <w:pgMar w:top="1134" w:right="851" w:bottom="851" w:left="851" w:header="709" w:footer="567" w:gutter="0"/>
          <w:cols w:space="708"/>
          <w:docGrid w:linePitch="360"/>
        </w:sectPr>
      </w:pPr>
    </w:p>
    <w:p w:rsidR="0073099A" w:rsidRPr="00655A70" w:rsidRDefault="0073099A" w:rsidP="0073099A">
      <w:pPr>
        <w:rPr>
          <w:sz w:val="18"/>
          <w:lang w:val="it-IT"/>
        </w:rPr>
      </w:pPr>
    </w:p>
    <w:p w:rsidR="0073099A" w:rsidRPr="008D5932" w:rsidRDefault="0073099A" w:rsidP="0073099A">
      <w:pPr>
        <w:tabs>
          <w:tab w:val="left" w:pos="1890"/>
        </w:tabs>
        <w:spacing w:line="260" w:lineRule="exact"/>
        <w:ind w:left="990" w:hanging="990"/>
        <w:jc w:val="left"/>
        <w:rPr>
          <w:b/>
          <w:color w:val="0070C0"/>
        </w:rPr>
      </w:pPr>
      <w:r w:rsidRPr="008D5932">
        <w:rPr>
          <w:b/>
          <w:color w:val="0070C0"/>
          <w:sz w:val="28"/>
        </w:rPr>
        <w:t>Titoli di debito</w:t>
      </w:r>
    </w:p>
    <w:p w:rsidR="0073099A" w:rsidRDefault="0073099A" w:rsidP="0073099A"/>
    <w:p w:rsidR="0073099A" w:rsidRDefault="0073099A" w:rsidP="0073099A"/>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73099A" w:rsidRPr="008A0F36" w:rsidTr="00D73E98">
        <w:trPr>
          <w:cantSplit/>
          <w:trHeight w:val="20"/>
          <w:tblHeader/>
        </w:trPr>
        <w:tc>
          <w:tcPr>
            <w:tcW w:w="680" w:type="dxa"/>
            <w:shd w:val="clear" w:color="auto" w:fill="F2F2F2" w:themeFill="background1" w:themeFillShade="F2"/>
          </w:tcPr>
          <w:p w:rsidR="0073099A" w:rsidRPr="008A0F36" w:rsidRDefault="0073099A" w:rsidP="00D73E98">
            <w:pPr>
              <w:jc w:val="center"/>
              <w:rPr>
                <w:lang w:val="it-IT"/>
              </w:rPr>
            </w:pPr>
          </w:p>
        </w:tc>
        <w:tc>
          <w:tcPr>
            <w:tcW w:w="851" w:type="dxa"/>
            <w:shd w:val="clear" w:color="auto" w:fill="F2F2F2" w:themeFill="background1" w:themeFillShade="F2"/>
            <w:tcMar>
              <w:left w:w="108" w:type="dxa"/>
              <w:right w:w="0" w:type="dxa"/>
            </w:tcMar>
          </w:tcPr>
          <w:p w:rsidR="0073099A" w:rsidRPr="008A0F36" w:rsidRDefault="0073099A" w:rsidP="00D73E98">
            <w:pPr>
              <w:jc w:val="left"/>
              <w:rPr>
                <w:b/>
                <w:lang w:val="it-IT"/>
              </w:rPr>
            </w:pPr>
          </w:p>
        </w:tc>
        <w:tc>
          <w:tcPr>
            <w:tcW w:w="7060" w:type="dxa"/>
            <w:shd w:val="clear" w:color="auto" w:fill="F2F2F2" w:themeFill="background1" w:themeFillShade="F2"/>
            <w:tcMar>
              <w:left w:w="108" w:type="dxa"/>
            </w:tcMar>
          </w:tcPr>
          <w:p w:rsidR="0073099A" w:rsidRPr="008A0F36" w:rsidRDefault="0073099A" w:rsidP="00D73E98">
            <w:pPr>
              <w:jc w:val="center"/>
              <w:rPr>
                <w:b/>
                <w:lang w:val="it-IT"/>
              </w:rPr>
            </w:pPr>
          </w:p>
        </w:tc>
        <w:tc>
          <w:tcPr>
            <w:tcW w:w="586" w:type="dxa"/>
            <w:shd w:val="clear" w:color="auto" w:fill="F2F2F2" w:themeFill="background1" w:themeFillShade="F2"/>
            <w:tcMar>
              <w:left w:w="85" w:type="dxa"/>
              <w:right w:w="85" w:type="dxa"/>
            </w:tcMar>
            <w:vAlign w:val="bottom"/>
          </w:tcPr>
          <w:p w:rsidR="0073099A" w:rsidRPr="008A0F36" w:rsidRDefault="0073099A" w:rsidP="00D73E98">
            <w:pPr>
              <w:jc w:val="center"/>
              <w:rPr>
                <w:b/>
                <w:lang w:val="it-IT"/>
              </w:rPr>
            </w:pPr>
            <w:r w:rsidRPr="008A0F36">
              <w:rPr>
                <w:b/>
                <w:lang w:val="it-IT"/>
              </w:rPr>
              <w:t>SI</w:t>
            </w:r>
          </w:p>
        </w:tc>
        <w:tc>
          <w:tcPr>
            <w:tcW w:w="573" w:type="dxa"/>
            <w:shd w:val="clear" w:color="auto" w:fill="F2F2F2" w:themeFill="background1" w:themeFillShade="F2"/>
            <w:tcMar>
              <w:left w:w="108" w:type="dxa"/>
            </w:tcMar>
            <w:vAlign w:val="bottom"/>
          </w:tcPr>
          <w:p w:rsidR="0073099A" w:rsidRPr="008A0F36" w:rsidRDefault="0073099A" w:rsidP="00D73E98">
            <w:pPr>
              <w:jc w:val="center"/>
              <w:rPr>
                <w:b/>
                <w:lang w:val="it-IT"/>
              </w:rPr>
            </w:pPr>
            <w:r w:rsidRPr="008A0F36">
              <w:rPr>
                <w:b/>
                <w:lang w:val="it-IT"/>
              </w:rPr>
              <w:t>NO</w:t>
            </w:r>
          </w:p>
        </w:tc>
        <w:tc>
          <w:tcPr>
            <w:tcW w:w="570" w:type="dxa"/>
            <w:shd w:val="clear" w:color="auto" w:fill="F2F2F2" w:themeFill="background1" w:themeFillShade="F2"/>
            <w:tcMar>
              <w:left w:w="108" w:type="dxa"/>
            </w:tcMar>
            <w:vAlign w:val="bottom"/>
          </w:tcPr>
          <w:p w:rsidR="0073099A" w:rsidRPr="008A0F36" w:rsidRDefault="0073099A" w:rsidP="00D73E98">
            <w:pPr>
              <w:jc w:val="center"/>
              <w:rPr>
                <w:b/>
                <w:lang w:val="it-IT"/>
              </w:rPr>
            </w:pPr>
            <w:r w:rsidRPr="008A0F36">
              <w:rPr>
                <w:b/>
                <w:lang w:val="it-IT"/>
              </w:rPr>
              <w:t>N/A</w:t>
            </w:r>
          </w:p>
        </w:tc>
      </w:tr>
      <w:tr w:rsidR="0073099A" w:rsidRPr="008A0F36" w:rsidTr="00D73E98">
        <w:trPr>
          <w:cantSplit/>
          <w:trHeight w:val="20"/>
        </w:trPr>
        <w:tc>
          <w:tcPr>
            <w:tcW w:w="680" w:type="dxa"/>
            <w:vAlign w:val="center"/>
          </w:tcPr>
          <w:p w:rsidR="0073099A" w:rsidRPr="008A0F36" w:rsidRDefault="0073099A" w:rsidP="00D73E98">
            <w:pPr>
              <w:jc w:val="center"/>
              <w:rPr>
                <w:lang w:val="it-IT"/>
              </w:rPr>
            </w:pPr>
          </w:p>
        </w:tc>
        <w:tc>
          <w:tcPr>
            <w:tcW w:w="851" w:type="dxa"/>
            <w:tcMar>
              <w:left w:w="108" w:type="dxa"/>
              <w:right w:w="0" w:type="dxa"/>
            </w:tcMar>
            <w:vAlign w:val="center"/>
          </w:tcPr>
          <w:p w:rsidR="0073099A" w:rsidRPr="008A0F36" w:rsidRDefault="0073099A" w:rsidP="00D73E98">
            <w:pPr>
              <w:pStyle w:val="PrincCont"/>
              <w:jc w:val="left"/>
              <w:rPr>
                <w:lang w:val="it-IT"/>
              </w:rPr>
            </w:pPr>
          </w:p>
        </w:tc>
        <w:tc>
          <w:tcPr>
            <w:tcW w:w="7060" w:type="dxa"/>
            <w:tcMar>
              <w:left w:w="108" w:type="dxa"/>
            </w:tcMar>
            <w:vAlign w:val="center"/>
          </w:tcPr>
          <w:p w:rsidR="0073099A" w:rsidRPr="008A0F36" w:rsidRDefault="0073099A" w:rsidP="00D73E98">
            <w:pPr>
              <w:pStyle w:val="Titolo1"/>
              <w:jc w:val="both"/>
            </w:pPr>
            <w:r>
              <w:t>Titoli di debito</w:t>
            </w:r>
          </w:p>
        </w:tc>
        <w:tc>
          <w:tcPr>
            <w:tcW w:w="586" w:type="dxa"/>
            <w:tcMar>
              <w:left w:w="85" w:type="dxa"/>
              <w:right w:w="85" w:type="dxa"/>
            </w:tcMar>
            <w:vAlign w:val="center"/>
          </w:tcPr>
          <w:p w:rsidR="0073099A" w:rsidRPr="008A0F36" w:rsidRDefault="0073099A" w:rsidP="00D73E98">
            <w:pPr>
              <w:jc w:val="left"/>
              <w:rPr>
                <w:lang w:val="it-IT"/>
              </w:rPr>
            </w:pPr>
          </w:p>
        </w:tc>
        <w:tc>
          <w:tcPr>
            <w:tcW w:w="573" w:type="dxa"/>
            <w:tcMar>
              <w:left w:w="108" w:type="dxa"/>
            </w:tcMar>
            <w:vAlign w:val="center"/>
          </w:tcPr>
          <w:p w:rsidR="0073099A" w:rsidRPr="008A0F36" w:rsidRDefault="0073099A" w:rsidP="00D73E98">
            <w:pPr>
              <w:jc w:val="left"/>
              <w:rPr>
                <w:lang w:val="it-IT"/>
              </w:rPr>
            </w:pPr>
          </w:p>
        </w:tc>
        <w:tc>
          <w:tcPr>
            <w:tcW w:w="570" w:type="dxa"/>
            <w:tcMar>
              <w:left w:w="108" w:type="dxa"/>
            </w:tcMar>
            <w:vAlign w:val="center"/>
          </w:tcPr>
          <w:p w:rsidR="0073099A" w:rsidRPr="008A0F36" w:rsidRDefault="0073099A" w:rsidP="00D73E98">
            <w:pPr>
              <w:jc w:val="left"/>
              <w:rPr>
                <w:lang w:val="it-IT"/>
              </w:rPr>
            </w:pPr>
          </w:p>
        </w:tc>
      </w:tr>
      <w:tr w:rsidR="0073099A" w:rsidRPr="00A31605"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p>
        </w:tc>
        <w:tc>
          <w:tcPr>
            <w:tcW w:w="7060" w:type="dxa"/>
            <w:tcMar>
              <w:left w:w="108" w:type="dxa"/>
            </w:tcMar>
            <w:vAlign w:val="center"/>
          </w:tcPr>
          <w:p w:rsidR="0073099A" w:rsidRPr="00EB5CF9" w:rsidRDefault="0073099A" w:rsidP="00D73E98">
            <w:pPr>
              <w:pStyle w:val="Titolo2"/>
              <w:rPr>
                <w:lang w:val="it-IT"/>
              </w:rPr>
            </w:pPr>
            <w:r w:rsidRPr="00A31605">
              <w:rPr>
                <w:lang w:val="en-US"/>
              </w:rPr>
              <w:t>Definizioni</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20.4</w:t>
            </w:r>
          </w:p>
        </w:tc>
        <w:tc>
          <w:tcPr>
            <w:tcW w:w="7060" w:type="dxa"/>
            <w:tcMar>
              <w:left w:w="108" w:type="dxa"/>
            </w:tcMar>
          </w:tcPr>
          <w:p w:rsidR="0073099A" w:rsidRPr="00520131" w:rsidRDefault="0073099A" w:rsidP="00D73E98">
            <w:pPr>
              <w:pStyle w:val="Commentiriquadro"/>
            </w:pPr>
            <w:r w:rsidRPr="00520131">
              <w:t xml:space="preserve">I </w:t>
            </w:r>
            <w:r w:rsidRPr="00520131">
              <w:rPr>
                <w:i/>
              </w:rPr>
              <w:t xml:space="preserve">titoli di debito </w:t>
            </w:r>
            <w:r w:rsidRPr="00520131">
              <w:t>oggetto di trattazione in questo principio sono costituiti da titoli che attribuiscono al possessore il diritto a ricevere un flusso determinato o determinabile di liquidità senza attribuire il diritto di partecipazione diretta o indiretta alla gestione della società che li ha emessi. In tale ambito rientrano i titoli emessi da stati sovrani, le obbligazioni emesse da enti pubblici, da società finanziarie e da altre società, nonché i titoli a questi assimilabili.</w:t>
            </w:r>
          </w:p>
          <w:p w:rsidR="0073099A" w:rsidRPr="00520131" w:rsidRDefault="0073099A" w:rsidP="00D73E98">
            <w:pPr>
              <w:pStyle w:val="Commentiriquadro"/>
            </w:pPr>
            <w:r w:rsidRPr="00520131">
              <w:t>I flussi di liquidità prodotti dal titolo, oltre al rimborso del capitale a scadenza, possono derivare dall’obbligazione dell’emittente a corrispondere interessi o altri elementi che concorrono a formare il rendimento per il possessore. I flussi di interesse possono essere determinati (come nel caso degli interessi a tasso fisso) o determinabili (come nel caso degli interessi a tasso variabile). I titoli di debito includono anche i titoli strutturati. I titoli strutturati sono una fattispecie di contratto ibrido e sono costituiti dalla combinazione di un titolo (“titolo primario”) e di uno strumento finanziario derivato (“derivato incorporato”). Un titolo strutturato genera flussi finanziari diversi da quelli che avrebbero avuto luogo se non fosse stata presente la componente derivativa. Quando lo strumento primario è un titolo di debito, il suo trattamento contabile è definito in questo principio. Lo scorporo della componente derivata e la contabilizzazione della stessa è disciplinata nell’OIC 32 “Strumenti finanziari derivati” in tema di contratti ibridi.</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20.5</w:t>
            </w:r>
          </w:p>
        </w:tc>
        <w:tc>
          <w:tcPr>
            <w:tcW w:w="7060" w:type="dxa"/>
            <w:tcMar>
              <w:left w:w="108" w:type="dxa"/>
            </w:tcMar>
          </w:tcPr>
          <w:p w:rsidR="0073099A" w:rsidRPr="00520131" w:rsidRDefault="0073099A" w:rsidP="00D73E98">
            <w:pPr>
              <w:pStyle w:val="Commentiriquadro"/>
              <w:rPr>
                <w:lang w:eastAsia="it-IT"/>
              </w:rPr>
            </w:pPr>
            <w:r w:rsidRPr="00520131">
              <w:rPr>
                <w:lang w:eastAsia="it-IT"/>
              </w:rPr>
              <w:t xml:space="preserve">Il </w:t>
            </w:r>
            <w:r w:rsidRPr="00520131">
              <w:rPr>
                <w:i/>
                <w:lang w:eastAsia="it-IT"/>
              </w:rPr>
              <w:t xml:space="preserve">costo di acquisto </w:t>
            </w:r>
            <w:r w:rsidRPr="00520131">
              <w:rPr>
                <w:lang w:eastAsia="it-IT"/>
              </w:rPr>
              <w:t xml:space="preserve">(o </w:t>
            </w:r>
            <w:r w:rsidRPr="00520131">
              <w:rPr>
                <w:i/>
                <w:lang w:eastAsia="it-IT"/>
              </w:rPr>
              <w:t>costo di sottoscrizione</w:t>
            </w:r>
            <w:r w:rsidRPr="00520131">
              <w:rPr>
                <w:lang w:eastAsia="it-IT"/>
              </w:rPr>
              <w:t>) di un titolo di debito, è costituito dal prezzo pagato, comprensivo dei costi accessori. I costi accessori sono rappresentati dai costi di transazione cos</w:t>
            </w:r>
            <w:r>
              <w:rPr>
                <w:lang w:eastAsia="it-IT"/>
              </w:rPr>
              <w:t>ì</w:t>
            </w:r>
            <w:r w:rsidRPr="00520131">
              <w:rPr>
                <w:lang w:eastAsia="it-IT"/>
              </w:rPr>
              <w:t xml:space="preserve"> come definiti dal paragrafo 18.</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CC242B" w:rsidTr="00D73E98">
        <w:trPr>
          <w:cantSplit/>
          <w:trHeight w:val="34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r>
              <w:rPr>
                <w:lang w:val="it-IT"/>
              </w:rPr>
              <w:t>OIC 20.6</w:t>
            </w:r>
          </w:p>
        </w:tc>
        <w:tc>
          <w:tcPr>
            <w:tcW w:w="7060" w:type="dxa"/>
            <w:tcMar>
              <w:left w:w="108" w:type="dxa"/>
            </w:tcMar>
          </w:tcPr>
          <w:p w:rsidR="0073099A" w:rsidRPr="00520131" w:rsidRDefault="0073099A" w:rsidP="00D73E98">
            <w:pPr>
              <w:pStyle w:val="Commentiriquadro"/>
              <w:rPr>
                <w:lang w:eastAsia="it-IT"/>
              </w:rPr>
            </w:pPr>
            <w:r w:rsidRPr="00520131">
              <w:rPr>
                <w:lang w:eastAsia="it-IT"/>
              </w:rPr>
              <w:t xml:space="preserve">Il </w:t>
            </w:r>
            <w:r w:rsidRPr="00520131">
              <w:rPr>
                <w:i/>
                <w:lang w:eastAsia="it-IT"/>
              </w:rPr>
              <w:t xml:space="preserve">premio di sottoscrizione </w:t>
            </w:r>
            <w:r w:rsidRPr="00520131">
              <w:rPr>
                <w:lang w:eastAsia="it-IT"/>
              </w:rPr>
              <w:t>esprime il minor prezzo corrisposto per acquistare il titolo di debito al momento dell’emissione rispetto al valore di rimborso (in tal caso il titolo è emesso sotto la pari).</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FF19F7" w:rsidRDefault="0073099A" w:rsidP="00D73E98">
            <w:pPr>
              <w:jc w:val="center"/>
              <w:rPr>
                <w:lang w:val="it-IT"/>
              </w:rPr>
            </w:pPr>
          </w:p>
        </w:tc>
        <w:tc>
          <w:tcPr>
            <w:tcW w:w="570" w:type="dxa"/>
            <w:tcMar>
              <w:left w:w="108" w:type="dxa"/>
            </w:tcMar>
            <w:vAlign w:val="center"/>
          </w:tcPr>
          <w:p w:rsidR="0073099A" w:rsidRPr="00FF19F7"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20.7</w:t>
            </w:r>
          </w:p>
        </w:tc>
        <w:tc>
          <w:tcPr>
            <w:tcW w:w="7060" w:type="dxa"/>
            <w:tcMar>
              <w:left w:w="108" w:type="dxa"/>
            </w:tcMar>
          </w:tcPr>
          <w:p w:rsidR="0073099A" w:rsidRPr="00520131" w:rsidRDefault="0073099A" w:rsidP="00D73E98">
            <w:pPr>
              <w:pStyle w:val="Commentiriquadro"/>
            </w:pPr>
            <w:r w:rsidRPr="00520131">
              <w:t xml:space="preserve">Lo </w:t>
            </w:r>
            <w:r w:rsidRPr="00520131">
              <w:rPr>
                <w:i/>
              </w:rPr>
              <w:t xml:space="preserve">scarto di sottoscrizione </w:t>
            </w:r>
            <w:r w:rsidRPr="00520131">
              <w:t>esprime il maggior prezzo corrisposto per acquistare il titolo di debito al momento dell’emissione rispetto al valore di rimborso (in tal caso il titolo è emesso sopra la pari).</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20.8</w:t>
            </w:r>
          </w:p>
        </w:tc>
        <w:tc>
          <w:tcPr>
            <w:tcW w:w="7060" w:type="dxa"/>
            <w:tcMar>
              <w:left w:w="108" w:type="dxa"/>
            </w:tcMar>
          </w:tcPr>
          <w:p w:rsidR="0073099A" w:rsidRPr="00520131" w:rsidRDefault="0073099A" w:rsidP="00D73E98">
            <w:pPr>
              <w:pStyle w:val="Commentiriquadro"/>
              <w:rPr>
                <w:lang w:eastAsia="it-IT"/>
              </w:rPr>
            </w:pPr>
            <w:r w:rsidRPr="00520131">
              <w:rPr>
                <w:lang w:eastAsia="it-IT"/>
              </w:rPr>
              <w:t xml:space="preserve">Il </w:t>
            </w:r>
            <w:r w:rsidRPr="00520131">
              <w:rPr>
                <w:i/>
                <w:lang w:eastAsia="it-IT"/>
              </w:rPr>
              <w:t xml:space="preserve">premio di negoziazione </w:t>
            </w:r>
            <w:r w:rsidRPr="00520131">
              <w:rPr>
                <w:lang w:eastAsia="it-IT"/>
              </w:rPr>
              <w:t>esprime il minor prezzo corrisposto per acquistare il titolo di debito sul mercato secondario rispetto al valore di rimborso</w:t>
            </w:r>
            <w:r>
              <w:rPr>
                <w:lang w:eastAsia="it-IT"/>
              </w:rPr>
              <w:t>.</w:t>
            </w:r>
          </w:p>
        </w:tc>
        <w:tc>
          <w:tcPr>
            <w:tcW w:w="586" w:type="dxa"/>
            <w:tcMar>
              <w:left w:w="85" w:type="dxa"/>
              <w:right w:w="85" w:type="dxa"/>
            </w:tcMar>
            <w:vAlign w:val="center"/>
          </w:tcPr>
          <w:p w:rsidR="0073099A" w:rsidRPr="00520131" w:rsidRDefault="0073099A" w:rsidP="00D73E98">
            <w:pPr>
              <w:jc w:val="center"/>
              <w:rPr>
                <w:lang w:val="it-IT"/>
              </w:rPr>
            </w:pPr>
          </w:p>
        </w:tc>
        <w:tc>
          <w:tcPr>
            <w:tcW w:w="573" w:type="dxa"/>
            <w:tcMar>
              <w:left w:w="108" w:type="dxa"/>
            </w:tcMar>
            <w:vAlign w:val="center"/>
          </w:tcPr>
          <w:p w:rsidR="0073099A" w:rsidRPr="00520131" w:rsidRDefault="0073099A" w:rsidP="00D73E98">
            <w:pPr>
              <w:jc w:val="center"/>
              <w:rPr>
                <w:lang w:val="it-IT"/>
              </w:rPr>
            </w:pPr>
          </w:p>
        </w:tc>
        <w:tc>
          <w:tcPr>
            <w:tcW w:w="570" w:type="dxa"/>
            <w:tcMar>
              <w:left w:w="108" w:type="dxa"/>
            </w:tcMar>
            <w:vAlign w:val="center"/>
          </w:tcPr>
          <w:p w:rsidR="0073099A" w:rsidRPr="00520131"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20.9</w:t>
            </w:r>
          </w:p>
        </w:tc>
        <w:tc>
          <w:tcPr>
            <w:tcW w:w="7060" w:type="dxa"/>
            <w:tcMar>
              <w:left w:w="108" w:type="dxa"/>
            </w:tcMar>
          </w:tcPr>
          <w:p w:rsidR="0073099A" w:rsidRPr="00520131" w:rsidRDefault="0073099A" w:rsidP="00D73E98">
            <w:pPr>
              <w:pStyle w:val="Commentiriquadro"/>
            </w:pPr>
            <w:r w:rsidRPr="00520131">
              <w:t xml:space="preserve">Lo </w:t>
            </w:r>
            <w:r w:rsidRPr="00520131">
              <w:rPr>
                <w:i/>
              </w:rPr>
              <w:t xml:space="preserve">scarto di negoziazione </w:t>
            </w:r>
            <w:r w:rsidRPr="00520131">
              <w:t>esprime il maggior prezzo corrisposto per acquistare il titolo di debito sul mercato secondario rispetto al valore di rimborso.</w:t>
            </w:r>
          </w:p>
        </w:tc>
        <w:tc>
          <w:tcPr>
            <w:tcW w:w="586" w:type="dxa"/>
            <w:tcMar>
              <w:left w:w="85" w:type="dxa"/>
              <w:right w:w="85" w:type="dxa"/>
            </w:tcMar>
            <w:vAlign w:val="center"/>
          </w:tcPr>
          <w:p w:rsidR="0073099A" w:rsidRPr="00492518" w:rsidRDefault="0073099A" w:rsidP="00D73E98">
            <w:pPr>
              <w:jc w:val="center"/>
              <w:rPr>
                <w:lang w:val="it-IT"/>
              </w:rPr>
            </w:pPr>
          </w:p>
        </w:tc>
        <w:tc>
          <w:tcPr>
            <w:tcW w:w="573" w:type="dxa"/>
            <w:tcMar>
              <w:left w:w="108" w:type="dxa"/>
            </w:tcMar>
            <w:vAlign w:val="center"/>
          </w:tcPr>
          <w:p w:rsidR="0073099A" w:rsidRPr="00492518" w:rsidRDefault="0073099A" w:rsidP="00D73E98">
            <w:pPr>
              <w:jc w:val="center"/>
              <w:rPr>
                <w:lang w:val="it-IT"/>
              </w:rPr>
            </w:pPr>
          </w:p>
        </w:tc>
        <w:tc>
          <w:tcPr>
            <w:tcW w:w="570" w:type="dxa"/>
            <w:tcMar>
              <w:left w:w="108" w:type="dxa"/>
            </w:tcMar>
            <w:vAlign w:val="center"/>
          </w:tcPr>
          <w:p w:rsidR="0073099A" w:rsidRPr="00492518"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20.10</w:t>
            </w:r>
          </w:p>
        </w:tc>
        <w:tc>
          <w:tcPr>
            <w:tcW w:w="7060" w:type="dxa"/>
            <w:tcMar>
              <w:left w:w="108" w:type="dxa"/>
            </w:tcMar>
          </w:tcPr>
          <w:p w:rsidR="0073099A" w:rsidRPr="00520131" w:rsidRDefault="0073099A" w:rsidP="00D73E98">
            <w:pPr>
              <w:pStyle w:val="Commentiriquadro"/>
            </w:pPr>
            <w:r w:rsidRPr="00520131">
              <w:t>Gli zero coupon bond sono titoli di debito che non comportano la corresponsione di interessi periodici, in quanto tali interessi verranno corrisposti alla scadenza unitamente al rimborso del capitale. Il loro rendimento è rappresentato dal tasso implicito che permette il raccordo tra il prezzo di emissione e il valore che sarà rimborsato a scadenza.</w:t>
            </w:r>
          </w:p>
        </w:tc>
        <w:tc>
          <w:tcPr>
            <w:tcW w:w="586" w:type="dxa"/>
            <w:tcMar>
              <w:left w:w="85" w:type="dxa"/>
              <w:right w:w="85" w:type="dxa"/>
            </w:tcMar>
            <w:vAlign w:val="center"/>
          </w:tcPr>
          <w:p w:rsidR="0073099A" w:rsidRPr="00492518" w:rsidRDefault="0073099A" w:rsidP="00D73E98">
            <w:pPr>
              <w:jc w:val="center"/>
              <w:rPr>
                <w:lang w:val="it-IT"/>
              </w:rPr>
            </w:pPr>
          </w:p>
        </w:tc>
        <w:tc>
          <w:tcPr>
            <w:tcW w:w="573" w:type="dxa"/>
            <w:tcMar>
              <w:left w:w="108" w:type="dxa"/>
            </w:tcMar>
            <w:vAlign w:val="center"/>
          </w:tcPr>
          <w:p w:rsidR="0073099A" w:rsidRPr="00492518" w:rsidRDefault="0073099A" w:rsidP="00D73E98">
            <w:pPr>
              <w:jc w:val="center"/>
              <w:rPr>
                <w:lang w:val="it-IT"/>
              </w:rPr>
            </w:pPr>
          </w:p>
        </w:tc>
        <w:tc>
          <w:tcPr>
            <w:tcW w:w="570" w:type="dxa"/>
            <w:tcMar>
              <w:left w:w="108" w:type="dxa"/>
            </w:tcMar>
            <w:vAlign w:val="center"/>
          </w:tcPr>
          <w:p w:rsidR="0073099A" w:rsidRPr="00492518"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20.11</w:t>
            </w:r>
          </w:p>
        </w:tc>
        <w:tc>
          <w:tcPr>
            <w:tcW w:w="7060" w:type="dxa"/>
            <w:tcMar>
              <w:left w:w="108" w:type="dxa"/>
            </w:tcMar>
          </w:tcPr>
          <w:p w:rsidR="0073099A" w:rsidRPr="00520131" w:rsidRDefault="0073099A" w:rsidP="00D73E98">
            <w:pPr>
              <w:pStyle w:val="Commentiriquadro"/>
            </w:pPr>
            <w:r w:rsidRPr="00520131">
              <w:t xml:space="preserve">Il </w:t>
            </w:r>
            <w:r w:rsidRPr="00520131">
              <w:rPr>
                <w:i/>
              </w:rPr>
              <w:t xml:space="preserve">valore nominale </w:t>
            </w:r>
            <w:r w:rsidRPr="00520131">
              <w:t>di un titolo di debito è l’ammontare, definito contrattualmente, che si ha diritto di esigere alla scadenza.</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20.12</w:t>
            </w:r>
          </w:p>
        </w:tc>
        <w:tc>
          <w:tcPr>
            <w:tcW w:w="7060" w:type="dxa"/>
            <w:tcMar>
              <w:left w:w="108" w:type="dxa"/>
            </w:tcMar>
          </w:tcPr>
          <w:p w:rsidR="0073099A" w:rsidRPr="00520131" w:rsidRDefault="0073099A" w:rsidP="00D73E98">
            <w:pPr>
              <w:pStyle w:val="Commentiriquadro"/>
            </w:pPr>
            <w:r w:rsidRPr="00520131">
              <w:t xml:space="preserve">Il </w:t>
            </w:r>
            <w:r w:rsidRPr="00520131">
              <w:rPr>
                <w:i/>
              </w:rPr>
              <w:t xml:space="preserve">tasso di interesse nominale </w:t>
            </w:r>
            <w:r w:rsidRPr="00520131">
              <w:t>di un titolo è il tasso di interesse contrattuale che, applicato al valore nominale, consente di determinare i flussi finanziari costituiti da interessi attivi nominali lungo la durata del titolo.</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20.13</w:t>
            </w:r>
          </w:p>
        </w:tc>
        <w:tc>
          <w:tcPr>
            <w:tcW w:w="7060" w:type="dxa"/>
            <w:tcMar>
              <w:left w:w="108" w:type="dxa"/>
            </w:tcMar>
          </w:tcPr>
          <w:p w:rsidR="0073099A" w:rsidRPr="00520131" w:rsidRDefault="0073099A" w:rsidP="00D73E98">
            <w:pPr>
              <w:pStyle w:val="Commentiriquadro"/>
            </w:pPr>
            <w:r w:rsidRPr="00520131">
              <w:t xml:space="preserve">Il </w:t>
            </w:r>
            <w:r w:rsidRPr="00520131">
              <w:rPr>
                <w:i/>
              </w:rPr>
              <w:t xml:space="preserve">bilancio in forma ordinaria </w:t>
            </w:r>
            <w:r w:rsidRPr="00520131">
              <w:t>è il bilancio redatto secondo le disposizioni del codice civile dalle società che non redigono il bilancio in forma abbreviata ai sensi dell’art. 2435-</w:t>
            </w:r>
            <w:r w:rsidRPr="00520131">
              <w:rPr>
                <w:i/>
              </w:rPr>
              <w:t xml:space="preserve">bis </w:t>
            </w:r>
            <w:r w:rsidRPr="00520131">
              <w:t>c.c. e che non redigono il bilancio ai sensi dell’art. 2435-</w:t>
            </w:r>
            <w:r w:rsidRPr="00241DC6">
              <w:t>ter</w:t>
            </w:r>
            <w:r>
              <w:t xml:space="preserve"> CC</w:t>
            </w:r>
            <w:r w:rsidRPr="00520131">
              <w:t xml:space="preserve"> (bilancio delle micro-imprese)</w:t>
            </w:r>
            <w:r w:rsidRPr="00520131">
              <w:rPr>
                <w:i/>
              </w:rPr>
              <w:t>.</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20.14</w:t>
            </w:r>
          </w:p>
        </w:tc>
        <w:tc>
          <w:tcPr>
            <w:tcW w:w="7060" w:type="dxa"/>
            <w:tcMar>
              <w:left w:w="108" w:type="dxa"/>
            </w:tcMar>
          </w:tcPr>
          <w:p w:rsidR="0073099A" w:rsidRPr="00520131" w:rsidRDefault="0073099A" w:rsidP="00D73E98">
            <w:pPr>
              <w:pStyle w:val="Commentiriquadro"/>
            </w:pPr>
            <w:r w:rsidRPr="00520131">
              <w:t>L’art. 2426, c</w:t>
            </w:r>
            <w:r>
              <w:t>.</w:t>
            </w:r>
            <w:r w:rsidRPr="00520131">
              <w:t>2</w:t>
            </w:r>
            <w:r>
              <w:t xml:space="preserve"> CC</w:t>
            </w:r>
            <w:r w:rsidRPr="00520131">
              <w:t xml:space="preserve"> prescrive che per la definizione di costo ammortizzato si fa riferimento ai principi contabili internazionali adottati dall’Unione europea. Lo IAS 39 (par 9.) adottato dall’Unione europea e in vigore al momento della pubblicazione di questo principio, ricomprende i titoli di debito immobilizzati e non immobilizzati tra le attività finanziarie e fornisce le seguenti definizioni con riferimento al criterio del costo ammortizzato di attività e passività finanziarie.</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20.15</w:t>
            </w:r>
          </w:p>
        </w:tc>
        <w:tc>
          <w:tcPr>
            <w:tcW w:w="7060" w:type="dxa"/>
            <w:tcMar>
              <w:left w:w="108" w:type="dxa"/>
            </w:tcMar>
          </w:tcPr>
          <w:p w:rsidR="0073099A" w:rsidRPr="00520131" w:rsidRDefault="0073099A" w:rsidP="00D73E98">
            <w:pPr>
              <w:pStyle w:val="Commentiriquadro"/>
            </w:pPr>
            <w:r w:rsidRPr="00520131">
              <w:t xml:space="preserve">“Il </w:t>
            </w:r>
            <w:r w:rsidRPr="00520131">
              <w:rPr>
                <w:i/>
              </w:rPr>
              <w:t xml:space="preserve">costo ammortizzato </w:t>
            </w:r>
            <w:r w:rsidRPr="00520131">
              <w:t>di un’attività o passività finanziaria è il valore a cui l’attività o la passività finanziaria è stata valutata al momento della rilevazione iniziale al netto dei rimborsi di capitale, aumentato o diminuito dall’ammortamento cumulato utilizzando il criterio dell’interesse effettivo su qualsiasi differenza tra il valore iniziale e quello a scadenza e dedotta qualsiasi riduzione (operata direttamente o attraverso l’uso di un accantonamento) a seguito di una riduzione di valore o di irrecuperabilità”.</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20.16</w:t>
            </w:r>
          </w:p>
        </w:tc>
        <w:tc>
          <w:tcPr>
            <w:tcW w:w="7060" w:type="dxa"/>
            <w:tcMar>
              <w:left w:w="108" w:type="dxa"/>
            </w:tcMar>
          </w:tcPr>
          <w:p w:rsidR="0073099A" w:rsidRPr="00520131" w:rsidRDefault="0073099A" w:rsidP="00D73E98">
            <w:pPr>
              <w:pStyle w:val="Commentiriquadro"/>
            </w:pPr>
            <w:r w:rsidRPr="00520131">
              <w:t xml:space="preserve">“Il </w:t>
            </w:r>
            <w:r w:rsidRPr="00520131">
              <w:rPr>
                <w:i/>
              </w:rPr>
              <w:t xml:space="preserve">criterio dell’interesse effettivo </w:t>
            </w:r>
            <w:r w:rsidRPr="00520131">
              <w:t>è un metodo di calcolo del costo ammortizzato di un’attività o passività finanziaria (o gruppo di attività o passività finanziarie) e di ripartizione degli interessi attivi o passivi lungo il relativo periodo”.</w:t>
            </w:r>
          </w:p>
        </w:tc>
        <w:tc>
          <w:tcPr>
            <w:tcW w:w="586" w:type="dxa"/>
            <w:tcMar>
              <w:left w:w="85" w:type="dxa"/>
              <w:right w:w="85" w:type="dxa"/>
            </w:tcMar>
            <w:vAlign w:val="center"/>
          </w:tcPr>
          <w:p w:rsidR="0073099A" w:rsidRPr="00520131" w:rsidRDefault="0073099A" w:rsidP="00D73E98">
            <w:pPr>
              <w:jc w:val="center"/>
              <w:rPr>
                <w:lang w:val="it-IT"/>
              </w:rPr>
            </w:pPr>
          </w:p>
        </w:tc>
        <w:tc>
          <w:tcPr>
            <w:tcW w:w="573" w:type="dxa"/>
            <w:tcMar>
              <w:left w:w="108" w:type="dxa"/>
            </w:tcMar>
            <w:vAlign w:val="center"/>
          </w:tcPr>
          <w:p w:rsidR="0073099A" w:rsidRPr="00520131" w:rsidRDefault="0073099A" w:rsidP="00D73E98">
            <w:pPr>
              <w:jc w:val="center"/>
              <w:rPr>
                <w:lang w:val="it-IT"/>
              </w:rPr>
            </w:pPr>
          </w:p>
        </w:tc>
        <w:tc>
          <w:tcPr>
            <w:tcW w:w="570" w:type="dxa"/>
            <w:tcMar>
              <w:left w:w="108" w:type="dxa"/>
            </w:tcMar>
            <w:vAlign w:val="center"/>
          </w:tcPr>
          <w:p w:rsidR="0073099A" w:rsidRPr="00520131" w:rsidRDefault="0073099A" w:rsidP="00D73E98">
            <w:pPr>
              <w:jc w:val="center"/>
              <w:rPr>
                <w:lang w:val="it-IT"/>
              </w:rPr>
            </w:pPr>
          </w:p>
        </w:tc>
      </w:tr>
      <w:tr w:rsidR="0073099A" w:rsidRPr="00CC242B" w:rsidTr="00D73E98">
        <w:trPr>
          <w:cantSplit/>
          <w:trHeight w:val="20"/>
        </w:trPr>
        <w:tc>
          <w:tcPr>
            <w:tcW w:w="680" w:type="dxa"/>
          </w:tcPr>
          <w:p w:rsidR="0073099A" w:rsidRPr="00B3685B" w:rsidRDefault="0073099A" w:rsidP="00D73E98">
            <w:pPr>
              <w:jc w:val="center"/>
              <w:rPr>
                <w:lang w:val="it-IT"/>
              </w:rPr>
            </w:pPr>
          </w:p>
        </w:tc>
        <w:tc>
          <w:tcPr>
            <w:tcW w:w="851" w:type="dxa"/>
            <w:tcMar>
              <w:left w:w="108" w:type="dxa"/>
              <w:right w:w="0" w:type="dxa"/>
            </w:tcMar>
          </w:tcPr>
          <w:p w:rsidR="0073099A" w:rsidRPr="008B213A" w:rsidRDefault="0073099A" w:rsidP="00D73E98">
            <w:pPr>
              <w:pStyle w:val="PrincCont"/>
              <w:jc w:val="left"/>
              <w:rPr>
                <w:lang w:val="it-IT"/>
              </w:rPr>
            </w:pPr>
            <w:r w:rsidRPr="008B213A">
              <w:rPr>
                <w:lang w:val="it-IT"/>
              </w:rPr>
              <w:t>OIC 20.17</w:t>
            </w:r>
          </w:p>
        </w:tc>
        <w:tc>
          <w:tcPr>
            <w:tcW w:w="7060" w:type="dxa"/>
            <w:tcMar>
              <w:left w:w="108" w:type="dxa"/>
            </w:tcMar>
          </w:tcPr>
          <w:p w:rsidR="0073099A" w:rsidRPr="009D08A3" w:rsidRDefault="0073099A" w:rsidP="00D73E98">
            <w:pPr>
              <w:pStyle w:val="Commentiriquadro"/>
            </w:pPr>
            <w:r w:rsidRPr="00D60D94">
              <w:rPr>
                <w:lang w:eastAsia="it-IT"/>
              </w:rPr>
              <w:t xml:space="preserve">“Il </w:t>
            </w:r>
            <w:r w:rsidRPr="00B3685B">
              <w:rPr>
                <w:i/>
                <w:lang w:eastAsia="it-IT"/>
              </w:rPr>
              <w:t xml:space="preserve">tasso di interesse effettivo </w:t>
            </w:r>
            <w:r w:rsidRPr="00B3685B">
              <w:rPr>
                <w:lang w:eastAsia="it-IT"/>
              </w:rPr>
              <w:t xml:space="preserve">è il tasso che attualizza esattamente i pagamenti o gli incassi futuri stimati lungo la vita attesa dello strumento finanziario o, ove opportuno, un periodo più breve al valore contabile netto dell’attività o passività finanziaria. Quando si calcola il tasso di interesse effettivo, un’entità deve valutare i flussi finanziari tenendo in considerazione tutti i termini contrattuali dello strumento finanziario (per esempio, il pagamento anticipato, un’opzione call e simili), ma non deve considerare perdite future su titoli. Il calcolo include tutti gli oneri e punti base pagati o ricevuti tra le parti di un contratto che sono parte integrante del tasso di interesse effettivo, i costi di transazione e tutti gli altri premi o sconti. Si presume che i flussi finanziari e la vita attesa di un gruppo di strumenti finanziari similari possano essere valutati in modo attendibile. Tuttavia, in quei rari casi in cui non è possibile determinare in modo attendibile i </w:t>
            </w:r>
            <w:r w:rsidRPr="00B3685B">
              <w:t>flussi finanziari o la vita attesa di uno strumento finanziario (o gruppo di strumenti finanziari), l’entità deve utilizzare i flussi finanziari contrattuali per tutta la durata del contratto dello strumento finanziario (o gruppo di strumenti finanziari)”.</w:t>
            </w:r>
          </w:p>
        </w:tc>
        <w:tc>
          <w:tcPr>
            <w:tcW w:w="586" w:type="dxa"/>
            <w:tcMar>
              <w:left w:w="85" w:type="dxa"/>
              <w:right w:w="85" w:type="dxa"/>
            </w:tcMar>
            <w:vAlign w:val="center"/>
          </w:tcPr>
          <w:p w:rsidR="0073099A" w:rsidRPr="009D08A3" w:rsidRDefault="0073099A" w:rsidP="00D73E98">
            <w:pPr>
              <w:jc w:val="center"/>
              <w:rPr>
                <w:lang w:val="it-IT"/>
              </w:rPr>
            </w:pPr>
          </w:p>
        </w:tc>
        <w:tc>
          <w:tcPr>
            <w:tcW w:w="573" w:type="dxa"/>
            <w:tcMar>
              <w:left w:w="108" w:type="dxa"/>
            </w:tcMar>
            <w:vAlign w:val="center"/>
          </w:tcPr>
          <w:p w:rsidR="0073099A" w:rsidRPr="009D08A3" w:rsidRDefault="0073099A" w:rsidP="00D73E98">
            <w:pPr>
              <w:jc w:val="center"/>
              <w:rPr>
                <w:lang w:val="it-IT"/>
              </w:rPr>
            </w:pPr>
          </w:p>
        </w:tc>
        <w:tc>
          <w:tcPr>
            <w:tcW w:w="570" w:type="dxa"/>
            <w:tcMar>
              <w:left w:w="108" w:type="dxa"/>
            </w:tcMar>
            <w:vAlign w:val="center"/>
          </w:tcPr>
          <w:p w:rsidR="0073099A" w:rsidRPr="009D08A3"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20.18</w:t>
            </w:r>
          </w:p>
        </w:tc>
        <w:tc>
          <w:tcPr>
            <w:tcW w:w="7060" w:type="dxa"/>
            <w:tcMar>
              <w:left w:w="108" w:type="dxa"/>
            </w:tcMar>
          </w:tcPr>
          <w:p w:rsidR="0073099A" w:rsidRPr="009D08A3" w:rsidRDefault="0073099A" w:rsidP="00D73E98">
            <w:pPr>
              <w:pStyle w:val="Commentiriquadro"/>
            </w:pPr>
            <w:r w:rsidRPr="00B27FEB">
              <w:rPr>
                <w:lang w:eastAsia="it-IT"/>
              </w:rPr>
              <w:t xml:space="preserve">“I </w:t>
            </w:r>
            <w:r w:rsidRPr="00B27FEB">
              <w:rPr>
                <w:i/>
                <w:lang w:eastAsia="it-IT"/>
              </w:rPr>
              <w:t xml:space="preserve">costi di transazione </w:t>
            </w:r>
            <w:r w:rsidRPr="00B27FEB">
              <w:rPr>
                <w:lang w:eastAsia="it-IT"/>
              </w:rPr>
              <w:t>sono costi marginali direttamente attribuibili all’acquisizione, all’emissione o alla dismissione di un’attività o di una passività finanziaria. Un costo marginale è un costo che non sarebbe stato sostenuto se l’entità non avesse acquisito, emesso o dismesso lo strumento finanziario”.</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9673DF" w:rsidRDefault="0073099A" w:rsidP="00D73E98">
            <w:pPr>
              <w:pStyle w:val="Titolo2"/>
              <w:rPr>
                <w:lang w:val="it-IT"/>
              </w:rPr>
            </w:pPr>
            <w:r w:rsidRPr="009673DF">
              <w:rPr>
                <w:lang w:val="it-IT"/>
              </w:rPr>
              <w:t>Classificazione e contenuto delle voci</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492518"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492518" w:rsidRDefault="0073099A" w:rsidP="00D73E98">
            <w:pPr>
              <w:pStyle w:val="Titolo3"/>
            </w:pPr>
            <w:r>
              <w:t>Stato patrimoniale</w:t>
            </w:r>
          </w:p>
        </w:tc>
        <w:tc>
          <w:tcPr>
            <w:tcW w:w="586" w:type="dxa"/>
            <w:tcMar>
              <w:left w:w="85" w:type="dxa"/>
              <w:right w:w="85" w:type="dxa"/>
            </w:tcMar>
            <w:vAlign w:val="center"/>
          </w:tcPr>
          <w:p w:rsidR="0073099A" w:rsidRDefault="0073099A" w:rsidP="00D73E98">
            <w:pPr>
              <w:jc w:val="center"/>
            </w:pPr>
          </w:p>
        </w:tc>
        <w:tc>
          <w:tcPr>
            <w:tcW w:w="573" w:type="dxa"/>
            <w:tcMar>
              <w:left w:w="108" w:type="dxa"/>
            </w:tcMar>
            <w:vAlign w:val="center"/>
          </w:tcPr>
          <w:p w:rsidR="0073099A" w:rsidRDefault="0073099A" w:rsidP="00D73E98">
            <w:pPr>
              <w:jc w:val="center"/>
            </w:pPr>
          </w:p>
        </w:tc>
        <w:tc>
          <w:tcPr>
            <w:tcW w:w="570" w:type="dxa"/>
            <w:tcMar>
              <w:left w:w="108" w:type="dxa"/>
            </w:tcMar>
            <w:vAlign w:val="center"/>
          </w:tcPr>
          <w:p w:rsidR="0073099A" w:rsidRDefault="0073099A" w:rsidP="00D73E98">
            <w:pPr>
              <w:jc w:val="center"/>
            </w:pPr>
          </w:p>
        </w:tc>
      </w:tr>
      <w:tr w:rsidR="0073099A" w:rsidRPr="00CC242B" w:rsidTr="00D73E98">
        <w:trPr>
          <w:cantSplit/>
          <w:trHeight w:val="20"/>
        </w:trPr>
        <w:tc>
          <w:tcPr>
            <w:tcW w:w="680" w:type="dxa"/>
          </w:tcPr>
          <w:p w:rsidR="0073099A" w:rsidRPr="003324FC" w:rsidRDefault="0073099A" w:rsidP="00D73E98">
            <w:pPr>
              <w:jc w:val="center"/>
              <w:rPr>
                <w:b/>
                <w:lang w:val="it-IT"/>
              </w:rPr>
            </w:pPr>
            <w:r w:rsidRPr="003324FC">
              <w:rPr>
                <w:b/>
                <w:lang w:val="it-IT"/>
              </w:rPr>
              <w:t>1)</w:t>
            </w:r>
          </w:p>
        </w:tc>
        <w:tc>
          <w:tcPr>
            <w:tcW w:w="851" w:type="dxa"/>
            <w:tcMar>
              <w:left w:w="108" w:type="dxa"/>
              <w:right w:w="0" w:type="dxa"/>
            </w:tcMar>
          </w:tcPr>
          <w:p w:rsidR="0073099A" w:rsidRDefault="0073099A" w:rsidP="00D73E98">
            <w:pPr>
              <w:pStyle w:val="PrincCont"/>
              <w:jc w:val="left"/>
              <w:rPr>
                <w:lang w:val="it-IT"/>
              </w:rPr>
            </w:pPr>
            <w:r>
              <w:rPr>
                <w:lang w:val="it-IT"/>
              </w:rPr>
              <w:t>Art. 2424 CC   OIC 20.19</w:t>
            </w:r>
          </w:p>
        </w:tc>
        <w:tc>
          <w:tcPr>
            <w:tcW w:w="7060" w:type="dxa"/>
            <w:tcMar>
              <w:left w:w="108" w:type="dxa"/>
            </w:tcMar>
          </w:tcPr>
          <w:p w:rsidR="0073099A" w:rsidRPr="00B5313B" w:rsidRDefault="0073099A" w:rsidP="00D73E98">
            <w:pPr>
              <w:spacing w:line="230" w:lineRule="exact"/>
              <w:rPr>
                <w:lang w:val="it-IT"/>
              </w:rPr>
            </w:pPr>
            <w:r>
              <w:rPr>
                <w:lang w:val="it-IT"/>
              </w:rPr>
              <w:t>I titoli di debito sono stati classificati nelle seguenti voci:</w:t>
            </w:r>
          </w:p>
        </w:tc>
        <w:tc>
          <w:tcPr>
            <w:tcW w:w="586" w:type="dxa"/>
            <w:tcMar>
              <w:left w:w="85" w:type="dxa"/>
              <w:right w:w="85" w:type="dxa"/>
            </w:tcMar>
            <w:vAlign w:val="center"/>
          </w:tcPr>
          <w:p w:rsidR="0073099A" w:rsidRPr="009D08A3" w:rsidRDefault="0073099A" w:rsidP="00D73E98">
            <w:pPr>
              <w:jc w:val="center"/>
              <w:rPr>
                <w:lang w:val="it-IT"/>
              </w:rPr>
            </w:pPr>
          </w:p>
        </w:tc>
        <w:tc>
          <w:tcPr>
            <w:tcW w:w="573" w:type="dxa"/>
            <w:tcMar>
              <w:left w:w="108" w:type="dxa"/>
            </w:tcMar>
            <w:vAlign w:val="center"/>
          </w:tcPr>
          <w:p w:rsidR="0073099A" w:rsidRPr="009D08A3" w:rsidRDefault="0073099A" w:rsidP="00D73E98">
            <w:pPr>
              <w:jc w:val="center"/>
              <w:rPr>
                <w:lang w:val="it-IT"/>
              </w:rPr>
            </w:pPr>
          </w:p>
        </w:tc>
        <w:tc>
          <w:tcPr>
            <w:tcW w:w="570" w:type="dxa"/>
            <w:tcMar>
              <w:left w:w="108" w:type="dxa"/>
            </w:tcMar>
            <w:vAlign w:val="center"/>
          </w:tcPr>
          <w:p w:rsidR="0073099A" w:rsidRPr="009D08A3" w:rsidRDefault="0073099A" w:rsidP="00D73E98">
            <w:pPr>
              <w:jc w:val="center"/>
              <w:rPr>
                <w:lang w:val="it-IT"/>
              </w:rPr>
            </w:pPr>
          </w:p>
        </w:tc>
      </w:tr>
      <w:tr w:rsidR="0073099A" w:rsidRPr="00492518" w:rsidTr="00D73E98">
        <w:trPr>
          <w:cantSplit/>
          <w:trHeight w:val="20"/>
        </w:trPr>
        <w:tc>
          <w:tcPr>
            <w:tcW w:w="680" w:type="dxa"/>
          </w:tcPr>
          <w:p w:rsidR="0073099A" w:rsidRPr="003324F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C1C9A" w:rsidRDefault="0073099A" w:rsidP="004E27C2">
            <w:pPr>
              <w:pStyle w:val="Paragrafoelenco"/>
              <w:numPr>
                <w:ilvl w:val="0"/>
                <w:numId w:val="21"/>
              </w:numPr>
              <w:overflowPunct/>
              <w:spacing w:line="230" w:lineRule="exact"/>
              <w:ind w:left="318" w:hanging="332"/>
              <w:jc w:val="left"/>
              <w:textAlignment w:val="auto"/>
              <w:rPr>
                <w:lang w:val="it-IT" w:eastAsia="it-IT"/>
              </w:rPr>
            </w:pPr>
            <w:r>
              <w:rPr>
                <w:lang w:val="it-IT" w:eastAsia="it-IT"/>
              </w:rPr>
              <w:t>p</w:t>
            </w:r>
            <w:r w:rsidRPr="008C1C9A">
              <w:rPr>
                <w:lang w:val="it-IT" w:eastAsia="it-IT"/>
              </w:rPr>
              <w:t>er i titoli immobilizzati:</w:t>
            </w:r>
          </w:p>
          <w:p w:rsidR="0073099A" w:rsidRPr="009D08A3" w:rsidRDefault="0073099A" w:rsidP="00D73E98">
            <w:pPr>
              <w:spacing w:line="230" w:lineRule="exact"/>
              <w:ind w:left="318" w:hanging="318"/>
              <w:rPr>
                <w:lang w:val="it-IT"/>
              </w:rPr>
            </w:pPr>
            <w:r>
              <w:rPr>
                <w:lang w:val="it-IT" w:eastAsia="it-IT"/>
              </w:rPr>
              <w:tab/>
            </w:r>
            <w:r w:rsidRPr="004A750E">
              <w:rPr>
                <w:lang w:val="it-IT" w:eastAsia="it-IT"/>
              </w:rPr>
              <w:t>BIII3) “</w:t>
            </w:r>
            <w:r w:rsidRPr="00293B7D">
              <w:rPr>
                <w:iCs/>
                <w:lang w:val="it-IT" w:eastAsia="it-IT"/>
              </w:rPr>
              <w:t>altri titoli</w:t>
            </w:r>
            <w:r w:rsidRPr="004A750E">
              <w:rPr>
                <w:lang w:val="it-IT" w:eastAsia="it-IT"/>
              </w:rP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492518" w:rsidTr="00D73E98">
        <w:trPr>
          <w:cantSplit/>
          <w:trHeight w:val="20"/>
        </w:trPr>
        <w:tc>
          <w:tcPr>
            <w:tcW w:w="680" w:type="dxa"/>
          </w:tcPr>
          <w:p w:rsidR="0073099A" w:rsidRPr="003324F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C1C9A" w:rsidRDefault="0073099A" w:rsidP="004E27C2">
            <w:pPr>
              <w:pStyle w:val="Paragrafoelenco"/>
              <w:numPr>
                <w:ilvl w:val="0"/>
                <w:numId w:val="21"/>
              </w:numPr>
              <w:overflowPunct/>
              <w:spacing w:line="230" w:lineRule="exact"/>
              <w:ind w:left="346"/>
              <w:jc w:val="left"/>
              <w:textAlignment w:val="auto"/>
              <w:rPr>
                <w:lang w:val="it-IT" w:eastAsia="it-IT"/>
              </w:rPr>
            </w:pPr>
            <w:r>
              <w:rPr>
                <w:lang w:val="it-IT" w:eastAsia="it-IT"/>
              </w:rPr>
              <w:t>p</w:t>
            </w:r>
            <w:r w:rsidRPr="008C1C9A">
              <w:rPr>
                <w:lang w:val="it-IT" w:eastAsia="it-IT"/>
              </w:rPr>
              <w:t>er i titoli non immobilizzati:</w:t>
            </w:r>
          </w:p>
          <w:p w:rsidR="0073099A" w:rsidRPr="009D08A3" w:rsidRDefault="0073099A" w:rsidP="00D73E98">
            <w:pPr>
              <w:spacing w:line="230" w:lineRule="exact"/>
              <w:ind w:left="318" w:hanging="318"/>
              <w:rPr>
                <w:lang w:val="it-IT"/>
              </w:rPr>
            </w:pPr>
            <w:r>
              <w:rPr>
                <w:lang w:val="it-IT" w:eastAsia="it-IT"/>
              </w:rPr>
              <w:tab/>
              <w:t>CIII6) “altri titoli”?</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3324F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20.20</w:t>
            </w:r>
          </w:p>
        </w:tc>
        <w:tc>
          <w:tcPr>
            <w:tcW w:w="7060" w:type="dxa"/>
            <w:tcMar>
              <w:left w:w="108" w:type="dxa"/>
            </w:tcMar>
          </w:tcPr>
          <w:p w:rsidR="0073099A" w:rsidRDefault="0073099A" w:rsidP="00D73E98">
            <w:pPr>
              <w:pStyle w:val="Commentiriquadro"/>
              <w:rPr>
                <w:lang w:eastAsia="it-IT"/>
              </w:rPr>
            </w:pPr>
            <w:r w:rsidRPr="00870834">
              <w:rPr>
                <w:lang w:eastAsia="it-IT"/>
              </w:rPr>
              <w:t>La classificazione nell’attivo immobilizzato o nell’attivo circolante dipende dalla destinazione del titolo. I titoli destinati a permanere durevolmente nel patrimonio aziendale si iscrivono tra le immobilizzazioni, gli altri vengono iscritti nel circolante. Ai fini di determinare l’esistenza della destinazione a permanere durevolmente nel patrimonio della società si considerano, oltre alle caratteristiche dello strumento, la volontà della direzione aziendale e l’effettiva capacità della società di detenere i titoli per un periodo prolungato di tempo.</w:t>
            </w:r>
          </w:p>
          <w:p w:rsidR="0073099A" w:rsidRPr="00293B7D" w:rsidRDefault="0073099A" w:rsidP="00D73E98">
            <w:pPr>
              <w:pStyle w:val="Commentiriquadro"/>
              <w:rPr>
                <w:lang w:eastAsia="it-IT"/>
              </w:rPr>
            </w:pPr>
            <w:r w:rsidRPr="00AA4148">
              <w:rPr>
                <w:lang w:eastAsia="it-IT"/>
              </w:rPr>
              <w:t>In relazione alle proprie strategie aziendali è possibile che gli organi amministrativi, nel rispetto del criterio della destinazione economica, destinino un portafoglio di titoli della medesima specie, in parte ad investimento duraturo, da iscriversi nell’attivo immobilizzato, in parte alla negoziazione, da iscriversi nell’attivo circolante.</w:t>
            </w:r>
          </w:p>
        </w:tc>
        <w:tc>
          <w:tcPr>
            <w:tcW w:w="586" w:type="dxa"/>
            <w:tcMar>
              <w:left w:w="85" w:type="dxa"/>
              <w:right w:w="85" w:type="dxa"/>
            </w:tcMar>
            <w:vAlign w:val="center"/>
          </w:tcPr>
          <w:p w:rsidR="0073099A" w:rsidRPr="00F0679B" w:rsidRDefault="0073099A" w:rsidP="00D73E98">
            <w:pPr>
              <w:jc w:val="center"/>
              <w:rPr>
                <w:lang w:val="it-IT"/>
              </w:rPr>
            </w:pPr>
          </w:p>
        </w:tc>
        <w:tc>
          <w:tcPr>
            <w:tcW w:w="573" w:type="dxa"/>
            <w:tcMar>
              <w:left w:w="108" w:type="dxa"/>
            </w:tcMar>
            <w:vAlign w:val="center"/>
          </w:tcPr>
          <w:p w:rsidR="0073099A" w:rsidRPr="00F0679B" w:rsidRDefault="0073099A" w:rsidP="00D73E98">
            <w:pPr>
              <w:jc w:val="center"/>
              <w:rPr>
                <w:lang w:val="it-IT"/>
              </w:rPr>
            </w:pPr>
          </w:p>
        </w:tc>
        <w:tc>
          <w:tcPr>
            <w:tcW w:w="570" w:type="dxa"/>
            <w:tcMar>
              <w:left w:w="108" w:type="dxa"/>
            </w:tcMar>
            <w:vAlign w:val="center"/>
          </w:tcPr>
          <w:p w:rsidR="0073099A" w:rsidRPr="00F0679B" w:rsidRDefault="0073099A" w:rsidP="00D73E98">
            <w:pPr>
              <w:jc w:val="center"/>
              <w:rPr>
                <w:lang w:val="it-IT"/>
              </w:rPr>
            </w:pPr>
          </w:p>
        </w:tc>
      </w:tr>
      <w:tr w:rsidR="0073099A" w:rsidRPr="00492518" w:rsidTr="00D73E98">
        <w:trPr>
          <w:cantSplit/>
          <w:trHeight w:val="20"/>
        </w:trPr>
        <w:tc>
          <w:tcPr>
            <w:tcW w:w="680" w:type="dxa"/>
          </w:tcPr>
          <w:p w:rsidR="0073099A" w:rsidRPr="003324FC" w:rsidRDefault="0073099A" w:rsidP="00D73E98">
            <w:pPr>
              <w:jc w:val="center"/>
              <w:rPr>
                <w:b/>
                <w:lang w:val="it-IT"/>
              </w:rPr>
            </w:pPr>
            <w:r w:rsidRPr="003324FC">
              <w:rPr>
                <w:b/>
                <w:lang w:val="it-IT"/>
              </w:rPr>
              <w:t>2)</w:t>
            </w:r>
          </w:p>
        </w:tc>
        <w:tc>
          <w:tcPr>
            <w:tcW w:w="851" w:type="dxa"/>
            <w:tcMar>
              <w:left w:w="108" w:type="dxa"/>
              <w:right w:w="0" w:type="dxa"/>
            </w:tcMar>
          </w:tcPr>
          <w:p w:rsidR="0073099A" w:rsidRDefault="0073099A" w:rsidP="00D73E98">
            <w:pPr>
              <w:pStyle w:val="PrincCont"/>
              <w:jc w:val="left"/>
              <w:rPr>
                <w:lang w:val="it-IT"/>
              </w:rPr>
            </w:pPr>
            <w:r>
              <w:rPr>
                <w:lang w:val="it-IT"/>
              </w:rPr>
              <w:t>OIC 20.20</w:t>
            </w:r>
          </w:p>
        </w:tc>
        <w:tc>
          <w:tcPr>
            <w:tcW w:w="7060" w:type="dxa"/>
            <w:tcMar>
              <w:left w:w="108" w:type="dxa"/>
            </w:tcMar>
          </w:tcPr>
          <w:p w:rsidR="0073099A" w:rsidRPr="00C62102" w:rsidRDefault="0073099A" w:rsidP="00D73E98">
            <w:pPr>
              <w:spacing w:line="230" w:lineRule="exact"/>
              <w:rPr>
                <w:lang w:val="it-IT"/>
              </w:rPr>
            </w:pPr>
            <w:r>
              <w:rPr>
                <w:lang w:val="it-IT"/>
              </w:rPr>
              <w:t>Nei titoli immobilizzati sono stati iscritti solo i titoli destinati a permanere durevolmente nel patrimonio aziendale?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3324F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9D08A3" w:rsidRDefault="0073099A" w:rsidP="00D73E98">
            <w:pPr>
              <w:pStyle w:val="Titolo3"/>
              <w:rPr>
                <w:lang w:val="it-IT"/>
              </w:rPr>
            </w:pPr>
            <w:r w:rsidRPr="00EA46CB">
              <w:rPr>
                <w:lang w:val="it-IT"/>
              </w:rPr>
              <w:t>Componenti economiche relative a titoli immobilizzati</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CC242B" w:rsidTr="00D73E98">
        <w:trPr>
          <w:cantSplit/>
          <w:trHeight w:val="20"/>
        </w:trPr>
        <w:tc>
          <w:tcPr>
            <w:tcW w:w="680" w:type="dxa"/>
          </w:tcPr>
          <w:p w:rsidR="0073099A" w:rsidRPr="003324FC" w:rsidRDefault="0073099A" w:rsidP="00D73E98">
            <w:pPr>
              <w:jc w:val="center"/>
              <w:rPr>
                <w:b/>
                <w:lang w:val="it-IT"/>
              </w:rPr>
            </w:pPr>
            <w:r w:rsidRPr="003324FC">
              <w:rPr>
                <w:b/>
                <w:lang w:val="it-IT"/>
              </w:rPr>
              <w:t>3)</w:t>
            </w:r>
          </w:p>
        </w:tc>
        <w:tc>
          <w:tcPr>
            <w:tcW w:w="851" w:type="dxa"/>
            <w:tcMar>
              <w:left w:w="108" w:type="dxa"/>
              <w:right w:w="0" w:type="dxa"/>
            </w:tcMar>
          </w:tcPr>
          <w:p w:rsidR="0073099A" w:rsidRDefault="0073099A" w:rsidP="00D73E98">
            <w:pPr>
              <w:pStyle w:val="PrincCont"/>
              <w:jc w:val="left"/>
              <w:rPr>
                <w:lang w:val="it-IT"/>
              </w:rPr>
            </w:pPr>
            <w:r>
              <w:rPr>
                <w:lang w:val="it-IT"/>
              </w:rPr>
              <w:t>OIC 20.21</w:t>
            </w:r>
          </w:p>
        </w:tc>
        <w:tc>
          <w:tcPr>
            <w:tcW w:w="7060" w:type="dxa"/>
            <w:tcMar>
              <w:left w:w="108" w:type="dxa"/>
            </w:tcMar>
          </w:tcPr>
          <w:p w:rsidR="0073099A" w:rsidRPr="009D08A3" w:rsidRDefault="0073099A" w:rsidP="00D73E98">
            <w:pPr>
              <w:spacing w:line="230" w:lineRule="exact"/>
              <w:rPr>
                <w:lang w:val="it-IT"/>
              </w:rPr>
            </w:pPr>
            <w:r w:rsidRPr="009D08A3">
              <w:rPr>
                <w:lang w:val="it-IT"/>
              </w:rPr>
              <w:t>Nella voce C16b) “</w:t>
            </w:r>
            <w:r w:rsidRPr="009D08A3">
              <w:rPr>
                <w:i/>
                <w:lang w:val="it-IT"/>
              </w:rPr>
              <w:t>altri proventi finanziari da titoli iscritti nelle immobilizzazioni che non</w:t>
            </w:r>
            <w:r>
              <w:rPr>
                <w:i/>
                <w:lang w:val="it-IT"/>
              </w:rPr>
              <w:t xml:space="preserve"> </w:t>
            </w:r>
            <w:r w:rsidRPr="009D08A3">
              <w:rPr>
                <w:i/>
                <w:lang w:val="it-IT"/>
              </w:rPr>
              <w:t>costituiscono partecipazion</w:t>
            </w:r>
            <w:r w:rsidRPr="00241DC6">
              <w:rPr>
                <w:i/>
                <w:lang w:val="it-IT"/>
              </w:rPr>
              <w:t>i</w:t>
            </w:r>
            <w:r w:rsidRPr="009D08A3">
              <w:rPr>
                <w:lang w:val="it-IT"/>
              </w:rPr>
              <w:t>” sono</w:t>
            </w:r>
            <w:r>
              <w:rPr>
                <w:lang w:val="it-IT"/>
              </w:rPr>
              <w:t xml:space="preserve"> stati</w:t>
            </w:r>
            <w:r w:rsidRPr="009D08A3">
              <w:rPr>
                <w:lang w:val="it-IT"/>
              </w:rPr>
              <w:t xml:space="preserve"> iscritti</w:t>
            </w:r>
            <w:r>
              <w:rPr>
                <w:lang w:val="it-IT"/>
              </w:rPr>
              <w:t>:</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A31605" w:rsidTr="00D73E98">
        <w:trPr>
          <w:cantSplit/>
          <w:trHeight w:val="20"/>
        </w:trPr>
        <w:tc>
          <w:tcPr>
            <w:tcW w:w="680" w:type="dxa"/>
          </w:tcPr>
          <w:p w:rsidR="0073099A" w:rsidRPr="003324F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C62102" w:rsidRDefault="001533A3" w:rsidP="001533A3">
            <w:pPr>
              <w:pStyle w:val="rientrotrattinook"/>
              <w:numPr>
                <w:ilvl w:val="0"/>
                <w:numId w:val="0"/>
              </w:numPr>
              <w:ind w:left="460" w:hanging="284"/>
            </w:pPr>
            <w:r>
              <w:t>-</w:t>
            </w:r>
            <w:r>
              <w:tab/>
            </w:r>
            <w:r w:rsidR="0073099A" w:rsidRPr="00B5313B">
              <w:t>gli interessi attivi di competenza economica dell’esercizio su titoli immobilizzati (inclusivi dell’eventuale quota di scarto o premio di sottoscrizione e di negoziazione maturata nell’esercizio);</w:t>
            </w:r>
          </w:p>
        </w:tc>
        <w:tc>
          <w:tcPr>
            <w:tcW w:w="586" w:type="dxa"/>
            <w:tcMar>
              <w:left w:w="85" w:type="dxa"/>
              <w:right w:w="85" w:type="dxa"/>
            </w:tcMar>
            <w:vAlign w:val="center"/>
          </w:tcPr>
          <w:p w:rsidR="0073099A" w:rsidRPr="00C62102"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C62102"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C62102"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EA46CB" w:rsidTr="00D73E98">
        <w:trPr>
          <w:cantSplit/>
          <w:trHeight w:val="20"/>
        </w:trPr>
        <w:tc>
          <w:tcPr>
            <w:tcW w:w="680" w:type="dxa"/>
          </w:tcPr>
          <w:p w:rsidR="0073099A" w:rsidRPr="003324FC" w:rsidRDefault="0073099A" w:rsidP="00D73E98">
            <w:pPr>
              <w:jc w:val="center"/>
              <w:rPr>
                <w:b/>
                <w:lang w:val="it-IT"/>
              </w:rPr>
            </w:pPr>
          </w:p>
        </w:tc>
        <w:tc>
          <w:tcPr>
            <w:tcW w:w="851" w:type="dxa"/>
            <w:tcMar>
              <w:left w:w="108" w:type="dxa"/>
              <w:right w:w="0" w:type="dxa"/>
            </w:tcMar>
          </w:tcPr>
          <w:p w:rsidR="0073099A" w:rsidRPr="008A0F36" w:rsidRDefault="0073099A" w:rsidP="00D73E98">
            <w:pPr>
              <w:pStyle w:val="PrincCont"/>
              <w:jc w:val="left"/>
              <w:rPr>
                <w:lang w:val="it-IT"/>
              </w:rPr>
            </w:pPr>
          </w:p>
        </w:tc>
        <w:tc>
          <w:tcPr>
            <w:tcW w:w="7060" w:type="dxa"/>
            <w:tcMar>
              <w:left w:w="108" w:type="dxa"/>
            </w:tcMar>
          </w:tcPr>
          <w:p w:rsidR="0073099A" w:rsidRPr="008A0F36" w:rsidRDefault="001533A3" w:rsidP="001533A3">
            <w:pPr>
              <w:pStyle w:val="rientrotrattinook"/>
              <w:numPr>
                <w:ilvl w:val="0"/>
                <w:numId w:val="0"/>
              </w:numPr>
              <w:ind w:left="460" w:hanging="284"/>
            </w:pPr>
            <w:r>
              <w:t>-</w:t>
            </w:r>
            <w:r>
              <w:tab/>
            </w:r>
            <w:r w:rsidR="0073099A" w:rsidRPr="000A0511">
              <w:t>i premi percepiti per sorteggio di obbligazioni</w:t>
            </w:r>
            <w:r w:rsidR="0073099A">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3324FC" w:rsidRDefault="0073099A" w:rsidP="00D73E98">
            <w:pPr>
              <w:jc w:val="center"/>
              <w:rPr>
                <w:b/>
                <w:lang w:val="it-IT"/>
              </w:rPr>
            </w:pPr>
            <w:r w:rsidRPr="003324FC">
              <w:rPr>
                <w:b/>
                <w:lang w:val="it-IT"/>
              </w:rPr>
              <w:t>4)</w:t>
            </w:r>
          </w:p>
        </w:tc>
        <w:tc>
          <w:tcPr>
            <w:tcW w:w="851" w:type="dxa"/>
            <w:tcMar>
              <w:left w:w="108" w:type="dxa"/>
              <w:right w:w="0" w:type="dxa"/>
            </w:tcMar>
          </w:tcPr>
          <w:p w:rsidR="0073099A" w:rsidRDefault="0073099A" w:rsidP="00D73E98">
            <w:pPr>
              <w:pStyle w:val="PrincCont"/>
              <w:jc w:val="left"/>
              <w:rPr>
                <w:lang w:val="it-IT"/>
              </w:rPr>
            </w:pPr>
            <w:r>
              <w:rPr>
                <w:lang w:val="it-IT"/>
              </w:rPr>
              <w:t>OIC 20.22</w:t>
            </w:r>
          </w:p>
        </w:tc>
        <w:tc>
          <w:tcPr>
            <w:tcW w:w="7060" w:type="dxa"/>
            <w:tcMar>
              <w:left w:w="108" w:type="dxa"/>
            </w:tcMar>
          </w:tcPr>
          <w:p w:rsidR="0073099A" w:rsidRPr="00B5313B" w:rsidRDefault="0073099A" w:rsidP="00D73E98">
            <w:pPr>
              <w:spacing w:line="230" w:lineRule="exact"/>
              <w:rPr>
                <w:lang w:val="it-IT"/>
              </w:rPr>
            </w:pPr>
            <w:r w:rsidRPr="00B5313B">
              <w:rPr>
                <w:lang w:val="it-IT"/>
              </w:rPr>
              <w:t>Gli utili o le perdite che derivano dalla negoziazione di titoli prima della naturale scadenza, quale differenza tra il valore contabile del titolo iscritt</w:t>
            </w:r>
            <w:r>
              <w:rPr>
                <w:lang w:val="it-IT"/>
              </w:rPr>
              <w:t>o</w:t>
            </w:r>
            <w:r w:rsidRPr="00B5313B">
              <w:rPr>
                <w:lang w:val="it-IT"/>
              </w:rPr>
              <w:t xml:space="preserve"> tra le immobilizzazioni finanziarie e il prezzo di cessione, si iscrivono alternativamente</w:t>
            </w:r>
            <w:r>
              <w:rPr>
                <w:lang w:val="it-IT"/>
              </w:rPr>
              <w:t>:</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FF19F7" w:rsidRDefault="0073099A" w:rsidP="00D73E98">
            <w:pPr>
              <w:jc w:val="center"/>
              <w:rPr>
                <w:lang w:val="it-IT"/>
              </w:rPr>
            </w:pPr>
          </w:p>
        </w:tc>
        <w:tc>
          <w:tcPr>
            <w:tcW w:w="570" w:type="dxa"/>
            <w:tcMar>
              <w:left w:w="108" w:type="dxa"/>
            </w:tcMar>
            <w:vAlign w:val="center"/>
          </w:tcPr>
          <w:p w:rsidR="0073099A" w:rsidRPr="00FF19F7" w:rsidRDefault="0073099A" w:rsidP="00D73E98">
            <w:pPr>
              <w:jc w:val="center"/>
              <w:rPr>
                <w:lang w:val="it-IT"/>
              </w:rPr>
            </w:pPr>
          </w:p>
        </w:tc>
      </w:tr>
      <w:tr w:rsidR="0073099A" w:rsidRPr="00F0679B" w:rsidTr="00D73E98">
        <w:trPr>
          <w:cantSplit/>
          <w:trHeight w:val="20"/>
        </w:trPr>
        <w:tc>
          <w:tcPr>
            <w:tcW w:w="680" w:type="dxa"/>
          </w:tcPr>
          <w:p w:rsidR="0073099A" w:rsidRPr="003324F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EA46CB" w:rsidRDefault="001533A3" w:rsidP="001533A3">
            <w:pPr>
              <w:pStyle w:val="rientrotrattinook"/>
              <w:numPr>
                <w:ilvl w:val="0"/>
                <w:numId w:val="0"/>
              </w:numPr>
              <w:ind w:left="460" w:hanging="284"/>
            </w:pPr>
            <w:r>
              <w:t>-</w:t>
            </w:r>
            <w:r>
              <w:tab/>
            </w:r>
            <w:r w:rsidR="0073099A" w:rsidRPr="009D08A3">
              <w:t>nella voce C16b) “</w:t>
            </w:r>
            <w:r w:rsidR="0073099A" w:rsidRPr="00114E22">
              <w:t>altri proventi finanziari da titoli iscritti nelle immobilizzazioni che non costituiscono partecipazioni</w:t>
            </w:r>
            <w:r w:rsidR="0073099A" w:rsidRPr="00293B7D">
              <w:t>”</w:t>
            </w:r>
            <w:r w:rsidR="0073099A">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F0679B" w:rsidTr="00D73E98">
        <w:trPr>
          <w:cantSplit/>
          <w:trHeight w:val="20"/>
        </w:trPr>
        <w:tc>
          <w:tcPr>
            <w:tcW w:w="680" w:type="dxa"/>
          </w:tcPr>
          <w:p w:rsidR="0073099A" w:rsidRPr="003324F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EA46CB" w:rsidRDefault="001533A3" w:rsidP="001533A3">
            <w:pPr>
              <w:pStyle w:val="rientrotrattinook"/>
              <w:numPr>
                <w:ilvl w:val="0"/>
                <w:numId w:val="0"/>
              </w:numPr>
              <w:ind w:left="460" w:hanging="284"/>
            </w:pPr>
            <w:r>
              <w:t>-</w:t>
            </w:r>
            <w:r>
              <w:tab/>
            </w:r>
            <w:r w:rsidR="0073099A" w:rsidRPr="009D08A3">
              <w:t>nella voce C17 “</w:t>
            </w:r>
            <w:r w:rsidR="0073099A" w:rsidRPr="00114E22">
              <w:t>interessi e altri oneri finanziari</w:t>
            </w:r>
            <w:r w:rsidR="0073099A">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EA46CB" w:rsidTr="00D73E98">
        <w:trPr>
          <w:cantSplit/>
          <w:trHeight w:val="20"/>
        </w:trPr>
        <w:tc>
          <w:tcPr>
            <w:tcW w:w="680" w:type="dxa"/>
          </w:tcPr>
          <w:p w:rsidR="0073099A" w:rsidRPr="003324FC" w:rsidRDefault="0073099A" w:rsidP="00D73E98">
            <w:pPr>
              <w:jc w:val="center"/>
              <w:rPr>
                <w:b/>
                <w:lang w:val="it-IT"/>
              </w:rPr>
            </w:pPr>
            <w:r w:rsidRPr="003324FC">
              <w:rPr>
                <w:b/>
                <w:lang w:val="it-IT"/>
              </w:rPr>
              <w:t>5)</w:t>
            </w:r>
          </w:p>
        </w:tc>
        <w:tc>
          <w:tcPr>
            <w:tcW w:w="851" w:type="dxa"/>
            <w:tcMar>
              <w:left w:w="108" w:type="dxa"/>
              <w:right w:w="0" w:type="dxa"/>
            </w:tcMar>
          </w:tcPr>
          <w:p w:rsidR="0073099A" w:rsidRDefault="0073099A" w:rsidP="00D73E98">
            <w:pPr>
              <w:pStyle w:val="PrincCont"/>
              <w:jc w:val="left"/>
              <w:rPr>
                <w:lang w:val="it-IT"/>
              </w:rPr>
            </w:pPr>
            <w:r>
              <w:rPr>
                <w:lang w:val="it-IT"/>
              </w:rPr>
              <w:t>OIC 20.23</w:t>
            </w:r>
          </w:p>
        </w:tc>
        <w:tc>
          <w:tcPr>
            <w:tcW w:w="7060" w:type="dxa"/>
            <w:tcMar>
              <w:left w:w="108" w:type="dxa"/>
            </w:tcMar>
          </w:tcPr>
          <w:p w:rsidR="0073099A" w:rsidRPr="00BC7B05" w:rsidRDefault="0073099A" w:rsidP="00D73E98">
            <w:pPr>
              <w:spacing w:line="230" w:lineRule="exact"/>
              <w:rPr>
                <w:i/>
                <w:lang w:val="it-IT"/>
              </w:rPr>
            </w:pPr>
            <w:r w:rsidRPr="00C62102">
              <w:rPr>
                <w:lang w:val="it-IT"/>
              </w:rPr>
              <w:t xml:space="preserve">Le spese di </w:t>
            </w:r>
            <w:r>
              <w:rPr>
                <w:lang w:val="it-IT"/>
              </w:rPr>
              <w:t>cessione dei titoli di debito sono state rilevate</w:t>
            </w:r>
            <w:r w:rsidRPr="00C62102">
              <w:rPr>
                <w:lang w:val="it-IT"/>
              </w:rPr>
              <w:t xml:space="preserve"> autonomam</w:t>
            </w:r>
            <w:r>
              <w:rPr>
                <w:lang w:val="it-IT"/>
              </w:rPr>
              <w:t xml:space="preserve">ente nel conto economico, senza </w:t>
            </w:r>
            <w:r w:rsidRPr="00C62102">
              <w:rPr>
                <w:lang w:val="it-IT"/>
              </w:rPr>
              <w:t>contribuire alla determinazione del saldo dell’eventuale plus/minu</w:t>
            </w:r>
            <w:r>
              <w:rPr>
                <w:lang w:val="it-IT"/>
              </w:rPr>
              <w:t>svalenza derivante dal realizzo dei titoli?</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EA46CB" w:rsidTr="00D73E98">
        <w:trPr>
          <w:cantSplit/>
          <w:trHeight w:val="20"/>
        </w:trPr>
        <w:tc>
          <w:tcPr>
            <w:tcW w:w="680" w:type="dxa"/>
          </w:tcPr>
          <w:p w:rsidR="0073099A" w:rsidRPr="00573965" w:rsidRDefault="0073099A" w:rsidP="00D73E98">
            <w:pPr>
              <w:jc w:val="center"/>
              <w:rPr>
                <w:b/>
                <w:lang w:val="it-IT"/>
              </w:rPr>
            </w:pPr>
            <w:r w:rsidRPr="00573965">
              <w:rPr>
                <w:b/>
                <w:lang w:val="it-IT"/>
              </w:rPr>
              <w:t>6)</w:t>
            </w:r>
          </w:p>
        </w:tc>
        <w:tc>
          <w:tcPr>
            <w:tcW w:w="851" w:type="dxa"/>
            <w:tcMar>
              <w:left w:w="108" w:type="dxa"/>
              <w:right w:w="0" w:type="dxa"/>
            </w:tcMar>
          </w:tcPr>
          <w:p w:rsidR="0073099A" w:rsidRDefault="0073099A" w:rsidP="00D73E98">
            <w:pPr>
              <w:pStyle w:val="PrincCont"/>
              <w:jc w:val="left"/>
              <w:rPr>
                <w:lang w:val="it-IT"/>
              </w:rPr>
            </w:pPr>
            <w:r>
              <w:rPr>
                <w:lang w:val="it-IT"/>
              </w:rPr>
              <w:t>OIC 20.24</w:t>
            </w:r>
          </w:p>
        </w:tc>
        <w:tc>
          <w:tcPr>
            <w:tcW w:w="7060" w:type="dxa"/>
            <w:tcMar>
              <w:left w:w="108" w:type="dxa"/>
            </w:tcMar>
          </w:tcPr>
          <w:p w:rsidR="0073099A" w:rsidRPr="00BC7B05" w:rsidRDefault="0073099A" w:rsidP="00D73E98">
            <w:pPr>
              <w:spacing w:line="230" w:lineRule="exact"/>
              <w:rPr>
                <w:i/>
                <w:lang w:val="it-IT"/>
              </w:rPr>
            </w:pPr>
            <w:r w:rsidRPr="00C62102">
              <w:rPr>
                <w:lang w:val="it-IT"/>
              </w:rPr>
              <w:t>La svalutazione di titoli immobilizzati per effetto di una riduzione durevole di valore rispetto al</w:t>
            </w:r>
            <w:r>
              <w:rPr>
                <w:lang w:val="it-IT"/>
              </w:rPr>
              <w:t xml:space="preserve"> </w:t>
            </w:r>
            <w:r w:rsidRPr="00C62102">
              <w:rPr>
                <w:lang w:val="it-IT"/>
              </w:rPr>
              <w:t xml:space="preserve">costo d'acquisto è </w:t>
            </w:r>
            <w:r>
              <w:rPr>
                <w:lang w:val="it-IT"/>
              </w:rPr>
              <w:t xml:space="preserve">stata </w:t>
            </w:r>
            <w:r w:rsidRPr="00C62102">
              <w:rPr>
                <w:lang w:val="it-IT"/>
              </w:rPr>
              <w:t>iscritta nella voce D19b) “</w:t>
            </w:r>
            <w:r w:rsidRPr="00114E22">
              <w:rPr>
                <w:i/>
                <w:lang w:val="it-IT"/>
              </w:rPr>
              <w:t>svalutazioni di immobilizzazioni finanziarie che non costituiscono partecipazioni</w:t>
            </w:r>
            <w:r w:rsidRPr="00C62102">
              <w:rPr>
                <w:lang w:val="it-IT"/>
              </w:rPr>
              <w:t>”</w:t>
            </w:r>
            <w:r>
              <w:rPr>
                <w:lang w:val="it-IT"/>
              </w:rPr>
              <w:t>?</w:t>
            </w:r>
          </w:p>
        </w:tc>
        <w:tc>
          <w:tcPr>
            <w:tcW w:w="586" w:type="dxa"/>
            <w:tcMar>
              <w:left w:w="85" w:type="dxa"/>
              <w:right w:w="85"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Default="0073099A"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73099A" w:rsidRDefault="0073099A"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7)</w:t>
            </w:r>
          </w:p>
        </w:tc>
        <w:tc>
          <w:tcPr>
            <w:tcW w:w="851" w:type="dxa"/>
            <w:tcMar>
              <w:left w:w="108" w:type="dxa"/>
              <w:right w:w="0" w:type="dxa"/>
            </w:tcMar>
          </w:tcPr>
          <w:p w:rsidR="0073099A" w:rsidRPr="008A0F36" w:rsidRDefault="0073099A" w:rsidP="00D73E98">
            <w:pPr>
              <w:pStyle w:val="PrincCont"/>
              <w:jc w:val="left"/>
              <w:rPr>
                <w:lang w:val="it-IT"/>
              </w:rPr>
            </w:pPr>
            <w:r>
              <w:rPr>
                <w:lang w:val="it-IT"/>
              </w:rPr>
              <w:t>OIC 20.25</w:t>
            </w:r>
          </w:p>
        </w:tc>
        <w:tc>
          <w:tcPr>
            <w:tcW w:w="7060" w:type="dxa"/>
            <w:tcMar>
              <w:left w:w="108" w:type="dxa"/>
            </w:tcMar>
          </w:tcPr>
          <w:p w:rsidR="0073099A" w:rsidRPr="00DE38DC" w:rsidRDefault="0073099A" w:rsidP="00D73E98">
            <w:pPr>
              <w:spacing w:line="230" w:lineRule="exact"/>
              <w:rPr>
                <w:lang w:val="it-IT"/>
              </w:rPr>
            </w:pPr>
            <w:r w:rsidRPr="00C62102">
              <w:rPr>
                <w:lang w:val="it-IT"/>
              </w:rPr>
              <w:t>Il ripristino di valore, nel caso in cui sia venuta meno la ragione che aveva indotto gli organi</w:t>
            </w:r>
            <w:r>
              <w:rPr>
                <w:lang w:val="it-IT"/>
              </w:rPr>
              <w:t xml:space="preserve"> </w:t>
            </w:r>
            <w:r w:rsidRPr="00C62102">
              <w:rPr>
                <w:lang w:val="it-IT"/>
              </w:rPr>
              <w:t xml:space="preserve">amministrativi a svalutare in precedenza un titolo immobilizzato, è </w:t>
            </w:r>
            <w:r>
              <w:rPr>
                <w:lang w:val="it-IT"/>
              </w:rPr>
              <w:t xml:space="preserve">stato iscritto nella voce D18b) </w:t>
            </w:r>
            <w:r w:rsidRPr="00C62102">
              <w:rPr>
                <w:lang w:val="it-IT"/>
              </w:rPr>
              <w:t>“</w:t>
            </w:r>
            <w:r w:rsidRPr="00241DC6">
              <w:rPr>
                <w:i/>
                <w:lang w:val="it-IT"/>
              </w:rPr>
              <w:t>rivalutazioni di immobilizzazioni finanziarie che non costituiscono partecipazioni</w:t>
            </w:r>
            <w:r w:rsidRPr="00C62102">
              <w:rPr>
                <w:lang w:val="it-IT"/>
              </w:rPr>
              <w:t>”</w:t>
            </w:r>
            <w:r>
              <w:rPr>
                <w:lang w:val="it-IT"/>
              </w:rP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p>
        </w:tc>
        <w:tc>
          <w:tcPr>
            <w:tcW w:w="7060" w:type="dxa"/>
            <w:tcMar>
              <w:left w:w="108" w:type="dxa"/>
            </w:tcMar>
          </w:tcPr>
          <w:p w:rsidR="0073099A" w:rsidRPr="000F4161" w:rsidRDefault="0073099A" w:rsidP="00D73E98">
            <w:pPr>
              <w:pStyle w:val="Titolo3"/>
              <w:rPr>
                <w:lang w:val="it-IT"/>
              </w:rPr>
            </w:pPr>
            <w:r w:rsidRPr="00EA46CB">
              <w:rPr>
                <w:lang w:val="it-IT"/>
              </w:rPr>
              <w:t>Componenti economiche relative a titoli non immobilizzati</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8C1C9A" w:rsidTr="00D73E98">
        <w:trPr>
          <w:cantSplit/>
          <w:trHeight w:val="20"/>
        </w:trPr>
        <w:tc>
          <w:tcPr>
            <w:tcW w:w="680" w:type="dxa"/>
          </w:tcPr>
          <w:p w:rsidR="0073099A" w:rsidRPr="00573965" w:rsidRDefault="0073099A" w:rsidP="00D73E98">
            <w:pPr>
              <w:jc w:val="center"/>
              <w:rPr>
                <w:b/>
                <w:lang w:val="it-IT"/>
              </w:rPr>
            </w:pPr>
            <w:r w:rsidRPr="00573965">
              <w:rPr>
                <w:b/>
                <w:lang w:val="it-IT"/>
              </w:rPr>
              <w:t>8)</w:t>
            </w:r>
          </w:p>
        </w:tc>
        <w:tc>
          <w:tcPr>
            <w:tcW w:w="851" w:type="dxa"/>
            <w:tcMar>
              <w:left w:w="108" w:type="dxa"/>
              <w:right w:w="0" w:type="dxa"/>
            </w:tcMar>
          </w:tcPr>
          <w:p w:rsidR="0073099A" w:rsidRPr="008A0F36" w:rsidRDefault="0073099A" w:rsidP="00D73E98">
            <w:pPr>
              <w:pStyle w:val="PrincCont"/>
              <w:jc w:val="left"/>
              <w:rPr>
                <w:lang w:val="it-IT"/>
              </w:rPr>
            </w:pPr>
            <w:r>
              <w:rPr>
                <w:lang w:val="it-IT"/>
              </w:rPr>
              <w:t>OIC 20.26</w:t>
            </w:r>
          </w:p>
        </w:tc>
        <w:tc>
          <w:tcPr>
            <w:tcW w:w="7060" w:type="dxa"/>
            <w:tcMar>
              <w:left w:w="108" w:type="dxa"/>
            </w:tcMar>
          </w:tcPr>
          <w:p w:rsidR="0073099A" w:rsidRPr="00DE38DC" w:rsidRDefault="0073099A" w:rsidP="00D73E98">
            <w:pPr>
              <w:spacing w:line="230" w:lineRule="exact"/>
              <w:rPr>
                <w:lang w:val="it-IT"/>
              </w:rPr>
            </w:pPr>
            <w:r w:rsidRPr="00114E22">
              <w:rPr>
                <w:lang w:val="it-IT"/>
              </w:rPr>
              <w:t>Gli interessi attivi che maturano su titoli non immobilizzati (inclusivi dell’eventuale quota di scarto o premio di sottoscrizione e di negoziazione maturata nell’esercizio) sono iscritti nella voce C16c) “</w:t>
            </w:r>
            <w:r w:rsidRPr="00114E22">
              <w:rPr>
                <w:i/>
                <w:lang w:val="it-IT"/>
              </w:rPr>
              <w:t>altri proventi finanziari da titoli iscritti nell’attivo circolante che non costituiscono partecipazioni</w:t>
            </w:r>
            <w:r w:rsidRPr="00114E22">
              <w:rPr>
                <w:lang w:val="it-IT"/>
              </w:rPr>
              <w:t>”</w:t>
            </w:r>
            <w:r>
              <w:rPr>
                <w:lang w:val="it-IT"/>
              </w:rPr>
              <w:t>?</w:t>
            </w:r>
          </w:p>
        </w:tc>
        <w:tc>
          <w:tcPr>
            <w:tcW w:w="586" w:type="dxa"/>
            <w:tcMar>
              <w:left w:w="85" w:type="dxa"/>
              <w:right w:w="85" w:type="dxa"/>
            </w:tcMar>
            <w:vAlign w:val="center"/>
          </w:tcPr>
          <w:p w:rsidR="0073099A" w:rsidRPr="00F0679B"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F0679B"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F0679B"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Pr="00573965" w:rsidRDefault="0073099A" w:rsidP="00D73E98">
            <w:pPr>
              <w:jc w:val="center"/>
              <w:rPr>
                <w:b/>
                <w:lang w:val="it-IT"/>
              </w:rPr>
            </w:pPr>
            <w:r w:rsidRPr="00573965">
              <w:rPr>
                <w:b/>
                <w:lang w:val="it-IT"/>
              </w:rPr>
              <w:t>9)</w:t>
            </w:r>
          </w:p>
        </w:tc>
        <w:tc>
          <w:tcPr>
            <w:tcW w:w="851" w:type="dxa"/>
            <w:tcMar>
              <w:left w:w="108" w:type="dxa"/>
              <w:right w:w="0" w:type="dxa"/>
            </w:tcMar>
          </w:tcPr>
          <w:p w:rsidR="0073099A" w:rsidRPr="008A0F36" w:rsidRDefault="0073099A" w:rsidP="00D73E98">
            <w:pPr>
              <w:pStyle w:val="PrincCont"/>
              <w:jc w:val="left"/>
              <w:rPr>
                <w:lang w:val="it-IT"/>
              </w:rPr>
            </w:pPr>
            <w:r>
              <w:rPr>
                <w:lang w:val="it-IT"/>
              </w:rPr>
              <w:t>OIC 20.27</w:t>
            </w:r>
          </w:p>
        </w:tc>
        <w:tc>
          <w:tcPr>
            <w:tcW w:w="7060" w:type="dxa"/>
            <w:tcMar>
              <w:left w:w="108" w:type="dxa"/>
            </w:tcMar>
          </w:tcPr>
          <w:p w:rsidR="0073099A" w:rsidRPr="00573965" w:rsidRDefault="0073099A" w:rsidP="00D73E98">
            <w:pPr>
              <w:spacing w:line="230" w:lineRule="exact"/>
              <w:rPr>
                <w:lang w:val="it-IT"/>
              </w:rPr>
            </w:pPr>
            <w:r w:rsidRPr="00EA46CB">
              <w:rPr>
                <w:lang w:val="it-IT"/>
              </w:rPr>
              <w:t>Gli utili o le perdite che derivano dalla negoziazione di titoli no</w:t>
            </w:r>
            <w:r>
              <w:rPr>
                <w:lang w:val="it-IT"/>
              </w:rPr>
              <w:t xml:space="preserve">n immobilizzati, corrispondenti </w:t>
            </w:r>
            <w:r w:rsidRPr="00EA46CB">
              <w:rPr>
                <w:lang w:val="it-IT"/>
              </w:rPr>
              <w:t>alla differenza tra il valore conta</w:t>
            </w:r>
            <w:r>
              <w:rPr>
                <w:lang w:val="it-IT"/>
              </w:rPr>
              <w:t>bile e il prezzo di cessione, sono stati iscritti:</w:t>
            </w:r>
          </w:p>
        </w:tc>
        <w:tc>
          <w:tcPr>
            <w:tcW w:w="586" w:type="dxa"/>
            <w:tcMar>
              <w:left w:w="85" w:type="dxa"/>
              <w:right w:w="85" w:type="dxa"/>
            </w:tcMar>
            <w:vAlign w:val="center"/>
          </w:tcPr>
          <w:p w:rsidR="0073099A" w:rsidRPr="00DE38DC" w:rsidRDefault="0073099A" w:rsidP="00D73E98">
            <w:pPr>
              <w:jc w:val="center"/>
              <w:rPr>
                <w:lang w:val="it-IT"/>
              </w:rPr>
            </w:pPr>
          </w:p>
        </w:tc>
        <w:tc>
          <w:tcPr>
            <w:tcW w:w="573" w:type="dxa"/>
            <w:tcMar>
              <w:left w:w="108" w:type="dxa"/>
            </w:tcMar>
            <w:vAlign w:val="center"/>
          </w:tcPr>
          <w:p w:rsidR="0073099A" w:rsidRPr="00DE38DC" w:rsidRDefault="0073099A" w:rsidP="00D73E98">
            <w:pPr>
              <w:jc w:val="center"/>
              <w:rPr>
                <w:lang w:val="it-IT"/>
              </w:rPr>
            </w:pPr>
          </w:p>
        </w:tc>
        <w:tc>
          <w:tcPr>
            <w:tcW w:w="570" w:type="dxa"/>
            <w:tcMar>
              <w:left w:w="108" w:type="dxa"/>
            </w:tcMar>
            <w:vAlign w:val="center"/>
          </w:tcPr>
          <w:p w:rsidR="0073099A" w:rsidRPr="00DE38DC" w:rsidRDefault="0073099A" w:rsidP="00D73E98">
            <w:pPr>
              <w:jc w:val="center"/>
              <w:rPr>
                <w:lang w:val="it-IT"/>
              </w:rPr>
            </w:pPr>
          </w:p>
        </w:tc>
      </w:tr>
      <w:tr w:rsidR="0073099A" w:rsidRPr="00F50B82" w:rsidTr="00D73E98">
        <w:trPr>
          <w:cantSplit/>
          <w:trHeight w:val="20"/>
        </w:trPr>
        <w:tc>
          <w:tcPr>
            <w:tcW w:w="680" w:type="dxa"/>
          </w:tcPr>
          <w:p w:rsidR="0073099A" w:rsidRPr="00573965" w:rsidRDefault="0073099A" w:rsidP="00D73E98">
            <w:pPr>
              <w:jc w:val="center"/>
              <w:rPr>
                <w:b/>
                <w:lang w:val="it-IT"/>
              </w:rPr>
            </w:pPr>
          </w:p>
        </w:tc>
        <w:tc>
          <w:tcPr>
            <w:tcW w:w="851" w:type="dxa"/>
            <w:tcMar>
              <w:left w:w="108" w:type="dxa"/>
              <w:right w:w="0" w:type="dxa"/>
            </w:tcMar>
          </w:tcPr>
          <w:p w:rsidR="0073099A" w:rsidRPr="008A0F36" w:rsidRDefault="0073099A" w:rsidP="00D73E98">
            <w:pPr>
              <w:pStyle w:val="PrincCont"/>
              <w:jc w:val="left"/>
              <w:rPr>
                <w:lang w:val="it-IT"/>
              </w:rPr>
            </w:pPr>
          </w:p>
        </w:tc>
        <w:tc>
          <w:tcPr>
            <w:tcW w:w="7060" w:type="dxa"/>
            <w:tcMar>
              <w:left w:w="108" w:type="dxa"/>
            </w:tcMar>
          </w:tcPr>
          <w:p w:rsidR="0073099A" w:rsidRPr="000F4161" w:rsidRDefault="0073099A" w:rsidP="001533A3">
            <w:pPr>
              <w:pStyle w:val="rientrotrattinook"/>
              <w:tabs>
                <w:tab w:val="clear" w:pos="704"/>
              </w:tabs>
              <w:ind w:left="460" w:hanging="284"/>
            </w:pPr>
            <w:r w:rsidRPr="00EA46CB">
              <w:t>nella voce C16c) “</w:t>
            </w:r>
            <w:r w:rsidRPr="00114E22">
              <w:t>altri proventi finanziari da titoli iscritti nell’attivo circolante che non costituiscono partecipazioni</w:t>
            </w:r>
            <w:r>
              <w:t>” se componenti positivi</w:t>
            </w:r>
          </w:p>
        </w:tc>
        <w:tc>
          <w:tcPr>
            <w:tcW w:w="586" w:type="dxa"/>
            <w:tcMar>
              <w:left w:w="85" w:type="dxa"/>
              <w:right w:w="85"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Default="0073099A" w:rsidP="00D73E98">
            <w:pPr>
              <w:jc w:val="cente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Default="0073099A" w:rsidP="00D73E98">
            <w:pPr>
              <w:jc w:val="cente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DE38DC" w:rsidTr="00D73E98">
        <w:trPr>
          <w:cantSplit/>
          <w:trHeight w:val="20"/>
        </w:trPr>
        <w:tc>
          <w:tcPr>
            <w:tcW w:w="680" w:type="dxa"/>
          </w:tcPr>
          <w:p w:rsidR="0073099A" w:rsidRPr="00573965" w:rsidRDefault="0073099A" w:rsidP="00D73E98">
            <w:pPr>
              <w:jc w:val="center"/>
              <w:rPr>
                <w:b/>
                <w:lang w:val="it-IT"/>
              </w:rPr>
            </w:pPr>
          </w:p>
        </w:tc>
        <w:tc>
          <w:tcPr>
            <w:tcW w:w="851" w:type="dxa"/>
            <w:tcMar>
              <w:left w:w="108" w:type="dxa"/>
              <w:right w:w="0" w:type="dxa"/>
            </w:tcMar>
          </w:tcPr>
          <w:p w:rsidR="0073099A" w:rsidRPr="008A0F36" w:rsidRDefault="0073099A" w:rsidP="00D73E98">
            <w:pPr>
              <w:pStyle w:val="PrincCont"/>
              <w:jc w:val="left"/>
              <w:rPr>
                <w:lang w:val="it-IT"/>
              </w:rPr>
            </w:pPr>
          </w:p>
        </w:tc>
        <w:tc>
          <w:tcPr>
            <w:tcW w:w="7060" w:type="dxa"/>
            <w:tcMar>
              <w:left w:w="108" w:type="dxa"/>
            </w:tcMar>
          </w:tcPr>
          <w:p w:rsidR="0073099A" w:rsidRPr="00DE38DC" w:rsidRDefault="0073099A" w:rsidP="001533A3">
            <w:pPr>
              <w:pStyle w:val="rientrotrattinook"/>
              <w:tabs>
                <w:tab w:val="clear" w:pos="704"/>
              </w:tabs>
              <w:ind w:left="460" w:hanging="284"/>
            </w:pPr>
            <w:r w:rsidRPr="00EA46CB">
              <w:t>nella voce C17 “</w:t>
            </w:r>
            <w:r w:rsidRPr="00241DC6">
              <w:rPr>
                <w:i/>
              </w:rPr>
              <w:t>interessi e altri oneri finanziari</w:t>
            </w:r>
            <w:r w:rsidRPr="00293B7D">
              <w:t>”</w:t>
            </w:r>
            <w:r w:rsidRPr="00EA46CB">
              <w:t xml:space="preserve"> se componenti negativi</w:t>
            </w:r>
            <w:r>
              <w:t>?</w:t>
            </w:r>
          </w:p>
        </w:tc>
        <w:tc>
          <w:tcPr>
            <w:tcW w:w="586" w:type="dxa"/>
            <w:tcMar>
              <w:left w:w="85" w:type="dxa"/>
              <w:right w:w="85"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DE38DC"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DE38DC"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DE38DC" w:rsidTr="00D73E98">
        <w:trPr>
          <w:cantSplit/>
          <w:trHeight w:val="20"/>
        </w:trPr>
        <w:tc>
          <w:tcPr>
            <w:tcW w:w="680" w:type="dxa"/>
          </w:tcPr>
          <w:p w:rsidR="0073099A" w:rsidRPr="00573965" w:rsidRDefault="0073099A" w:rsidP="00D73E98">
            <w:pPr>
              <w:jc w:val="center"/>
              <w:rPr>
                <w:b/>
                <w:lang w:val="it-IT"/>
              </w:rPr>
            </w:pPr>
            <w:r w:rsidRPr="00573965">
              <w:rPr>
                <w:b/>
                <w:lang w:val="it-IT"/>
              </w:rPr>
              <w:t>10)</w:t>
            </w:r>
          </w:p>
        </w:tc>
        <w:tc>
          <w:tcPr>
            <w:tcW w:w="851" w:type="dxa"/>
            <w:tcMar>
              <w:left w:w="108" w:type="dxa"/>
              <w:right w:w="0" w:type="dxa"/>
            </w:tcMar>
          </w:tcPr>
          <w:p w:rsidR="0073099A" w:rsidRDefault="0073099A" w:rsidP="00D73E98">
            <w:pPr>
              <w:pStyle w:val="PrincCont"/>
              <w:jc w:val="left"/>
              <w:rPr>
                <w:lang w:val="it-IT"/>
              </w:rPr>
            </w:pPr>
            <w:r>
              <w:rPr>
                <w:lang w:val="it-IT"/>
              </w:rPr>
              <w:t>OIC 20.28</w:t>
            </w:r>
          </w:p>
        </w:tc>
        <w:tc>
          <w:tcPr>
            <w:tcW w:w="7060" w:type="dxa"/>
            <w:tcMar>
              <w:left w:w="108" w:type="dxa"/>
            </w:tcMar>
          </w:tcPr>
          <w:p w:rsidR="0073099A" w:rsidRPr="00DE38DC" w:rsidRDefault="0073099A" w:rsidP="00D73E98">
            <w:pPr>
              <w:spacing w:line="230" w:lineRule="exact"/>
              <w:rPr>
                <w:lang w:val="it-IT"/>
              </w:rPr>
            </w:pPr>
            <w:r w:rsidRPr="00EA46CB">
              <w:rPr>
                <w:lang w:val="it-IT"/>
              </w:rPr>
              <w:t>La svalutazione dei titoli di debito non immobilizzati è</w:t>
            </w:r>
            <w:r>
              <w:rPr>
                <w:lang w:val="it-IT"/>
              </w:rPr>
              <w:t xml:space="preserve"> stata </w:t>
            </w:r>
            <w:r w:rsidRPr="00EA46CB">
              <w:rPr>
                <w:lang w:val="it-IT"/>
              </w:rPr>
              <w:t>imputata a conto economico alla voce D19c) “</w:t>
            </w:r>
            <w:r w:rsidRPr="000322A7">
              <w:rPr>
                <w:i/>
                <w:lang w:val="it-IT"/>
              </w:rPr>
              <w:t>svalutazioni di titoli iscritti nell’attivo circolante che non costituiscono immobilizzazioni finanziarie</w:t>
            </w:r>
            <w:r w:rsidRPr="00293B7D">
              <w:rPr>
                <w:lang w:val="it-IT"/>
              </w:rPr>
              <w:t>”?</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477DE" w:rsidRDefault="0073099A" w:rsidP="00D73E98">
            <w:pPr>
              <w:jc w:val="cente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477DE" w:rsidRDefault="0073099A" w:rsidP="00D73E98">
            <w:pPr>
              <w:jc w:val="cente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DE38DC" w:rsidTr="00D73E98">
        <w:trPr>
          <w:cantSplit/>
          <w:trHeight w:val="20"/>
        </w:trPr>
        <w:tc>
          <w:tcPr>
            <w:tcW w:w="680" w:type="dxa"/>
          </w:tcPr>
          <w:p w:rsidR="0073099A" w:rsidRPr="00573965" w:rsidRDefault="0073099A" w:rsidP="00D73E98">
            <w:pPr>
              <w:jc w:val="center"/>
              <w:rPr>
                <w:b/>
                <w:lang w:val="it-IT"/>
              </w:rPr>
            </w:pPr>
            <w:r w:rsidRPr="00573965">
              <w:rPr>
                <w:b/>
                <w:lang w:val="it-IT"/>
              </w:rPr>
              <w:t>11)</w:t>
            </w:r>
          </w:p>
        </w:tc>
        <w:tc>
          <w:tcPr>
            <w:tcW w:w="851" w:type="dxa"/>
            <w:tcMar>
              <w:left w:w="108" w:type="dxa"/>
              <w:right w:w="0" w:type="dxa"/>
            </w:tcMar>
          </w:tcPr>
          <w:p w:rsidR="0073099A" w:rsidRDefault="0073099A" w:rsidP="00D73E98">
            <w:pPr>
              <w:pStyle w:val="PrincCont"/>
              <w:jc w:val="left"/>
              <w:rPr>
                <w:lang w:val="it-IT"/>
              </w:rPr>
            </w:pPr>
            <w:r>
              <w:rPr>
                <w:lang w:val="it-IT"/>
              </w:rPr>
              <w:t>OIC 20.28</w:t>
            </w:r>
          </w:p>
        </w:tc>
        <w:tc>
          <w:tcPr>
            <w:tcW w:w="7060" w:type="dxa"/>
            <w:tcMar>
              <w:left w:w="108" w:type="dxa"/>
            </w:tcMar>
          </w:tcPr>
          <w:p w:rsidR="0073099A" w:rsidRPr="00DE38DC" w:rsidRDefault="0073099A" w:rsidP="00D73E98">
            <w:pPr>
              <w:spacing w:line="230" w:lineRule="exact"/>
              <w:rPr>
                <w:lang w:val="it-IT"/>
              </w:rPr>
            </w:pPr>
            <w:r>
              <w:rPr>
                <w:lang w:val="it-IT"/>
              </w:rPr>
              <w:t>La ripresa di valore</w:t>
            </w:r>
            <w:r w:rsidRPr="00EA46CB">
              <w:rPr>
                <w:lang w:val="it-IT"/>
              </w:rPr>
              <w:t xml:space="preserve"> dei titoli di debito non immobilizzati è </w:t>
            </w:r>
            <w:r>
              <w:rPr>
                <w:lang w:val="it-IT"/>
              </w:rPr>
              <w:t xml:space="preserve">stata </w:t>
            </w:r>
            <w:r w:rsidRPr="00EA46CB">
              <w:rPr>
                <w:lang w:val="it-IT"/>
              </w:rPr>
              <w:t>imputata a conto economico alla voce D18c) “</w:t>
            </w:r>
            <w:r w:rsidRPr="000322A7">
              <w:rPr>
                <w:i/>
                <w:lang w:val="it-IT"/>
              </w:rPr>
              <w:t>rivalutazioni di titoli iscritti all’attivo circolante che non costituiscono partecipazioni</w:t>
            </w:r>
            <w:r w:rsidRPr="00EA46CB">
              <w:rPr>
                <w:lang w:val="it-IT"/>
              </w:rPr>
              <w:t>”</w:t>
            </w:r>
            <w:r>
              <w:rPr>
                <w:lang w:val="it-IT"/>
              </w:rPr>
              <w:t>?</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477DE" w:rsidRDefault="0073099A" w:rsidP="00D73E98">
            <w:pPr>
              <w:jc w:val="cente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477DE" w:rsidRDefault="0073099A" w:rsidP="00D73E98">
            <w:pPr>
              <w:jc w:val="cente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424952"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DE38DC" w:rsidRDefault="0073099A" w:rsidP="00D73E98">
            <w:pPr>
              <w:pStyle w:val="Titolo3"/>
              <w:rPr>
                <w:lang w:val="it-IT"/>
              </w:rPr>
            </w:pPr>
            <w:r>
              <w:rPr>
                <w:lang w:val="it-IT"/>
              </w:rPr>
              <w:t>Bilancio in forma abbreviata</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C36333"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20.29</w:t>
            </w:r>
          </w:p>
        </w:tc>
        <w:tc>
          <w:tcPr>
            <w:tcW w:w="7060" w:type="dxa"/>
            <w:tcMar>
              <w:left w:w="108" w:type="dxa"/>
            </w:tcMar>
          </w:tcPr>
          <w:p w:rsidR="0073099A" w:rsidRDefault="0073099A" w:rsidP="00D73E98">
            <w:pPr>
              <w:pStyle w:val="Commentiriquadro"/>
              <w:rPr>
                <w:i/>
              </w:rPr>
            </w:pPr>
            <w:r w:rsidRPr="000322A7">
              <w:t>Ai sensi dell’art</w:t>
            </w:r>
            <w:r>
              <w:t>.</w:t>
            </w:r>
            <w:r w:rsidRPr="000322A7">
              <w:t xml:space="preserve"> 2435-</w:t>
            </w:r>
            <w:r w:rsidRPr="00241DC6">
              <w:t>bis</w:t>
            </w:r>
            <w:r>
              <w:t xml:space="preserve"> CC</w:t>
            </w:r>
            <w:r w:rsidRPr="000322A7">
              <w:t>, nel bilancio in forma abbreviata, “</w:t>
            </w:r>
            <w:r w:rsidRPr="000322A7">
              <w:rPr>
                <w:i/>
              </w:rPr>
              <w:t>lo stato patrimoniale comprende solo le voci contrassegnate nell’art. 2424 con lettere maiuscole e con numeri romani</w:t>
            </w:r>
            <w:r w:rsidRPr="000322A7">
              <w:t xml:space="preserve">”. Pertanto i titoli sono esposti nello stato patrimoniale nella voce BIII </w:t>
            </w:r>
            <w:r w:rsidRPr="000322A7">
              <w:rPr>
                <w:i/>
              </w:rPr>
              <w:t xml:space="preserve">Immobilizzazioni finanziarie </w:t>
            </w:r>
            <w:r w:rsidRPr="000322A7">
              <w:t xml:space="preserve">o nella voce CIII </w:t>
            </w:r>
            <w:r w:rsidRPr="000322A7">
              <w:rPr>
                <w:i/>
              </w:rPr>
              <w:t>Attività finanziarie che non costituiscono immobilizzazioni.</w:t>
            </w:r>
          </w:p>
          <w:p w:rsidR="0073099A" w:rsidRDefault="0073099A" w:rsidP="00D73E98">
            <w:pPr>
              <w:pStyle w:val="Commentiriquadro"/>
            </w:pPr>
            <w:r w:rsidRPr="000322A7">
              <w:t>Inoltre, nel conto economico del bilancio in forma abbreviata le seguenti voci previste dall’art. 2425</w:t>
            </w:r>
            <w:r>
              <w:t xml:space="preserve"> CC</w:t>
            </w:r>
            <w:r w:rsidRPr="000322A7">
              <w:t xml:space="preserve"> possono essere tra loro raggruppate:</w:t>
            </w:r>
          </w:p>
          <w:p w:rsidR="0073099A" w:rsidRPr="009673DF" w:rsidRDefault="0073099A" w:rsidP="00D73E98">
            <w:pPr>
              <w:pStyle w:val="Commentiriquadro"/>
            </w:pPr>
            <w:r w:rsidRPr="009673DF">
              <w:t>- voci C16(b) e C16(c);</w:t>
            </w:r>
          </w:p>
          <w:p w:rsidR="0073099A" w:rsidRPr="009673DF" w:rsidRDefault="0073099A" w:rsidP="00D73E98">
            <w:pPr>
              <w:pStyle w:val="Commentiriquadro"/>
            </w:pPr>
            <w:r w:rsidRPr="009673DF">
              <w:t>- voci D18(b) e D18(c);</w:t>
            </w:r>
          </w:p>
          <w:p w:rsidR="0073099A" w:rsidRPr="00DE38DC" w:rsidRDefault="0073099A" w:rsidP="00D73E98">
            <w:pPr>
              <w:pStyle w:val="Commentiriquadro"/>
            </w:pPr>
            <w:r w:rsidRPr="009673DF">
              <w:t>- voci D19(b) e D19(c).</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12)</w:t>
            </w:r>
          </w:p>
        </w:tc>
        <w:tc>
          <w:tcPr>
            <w:tcW w:w="851" w:type="dxa"/>
            <w:tcMar>
              <w:left w:w="108" w:type="dxa"/>
              <w:right w:w="0" w:type="dxa"/>
            </w:tcMar>
          </w:tcPr>
          <w:p w:rsidR="0073099A" w:rsidRDefault="0073099A" w:rsidP="00D73E98">
            <w:pPr>
              <w:pStyle w:val="PrincCont"/>
              <w:jc w:val="left"/>
              <w:rPr>
                <w:lang w:val="it-IT"/>
              </w:rPr>
            </w:pPr>
            <w:r>
              <w:rPr>
                <w:lang w:val="it-IT"/>
              </w:rPr>
              <w:t>OIC 20.30</w:t>
            </w:r>
          </w:p>
        </w:tc>
        <w:tc>
          <w:tcPr>
            <w:tcW w:w="7060" w:type="dxa"/>
            <w:tcMar>
              <w:left w:w="108" w:type="dxa"/>
            </w:tcMar>
          </w:tcPr>
          <w:p w:rsidR="0073099A" w:rsidRPr="00DE38DC" w:rsidRDefault="0073099A" w:rsidP="00D73E98">
            <w:pPr>
              <w:spacing w:line="240" w:lineRule="exact"/>
              <w:rPr>
                <w:lang w:val="it-IT"/>
              </w:rPr>
            </w:pPr>
            <w:r w:rsidRPr="00972898">
              <w:rPr>
                <w:lang w:val="it-IT"/>
              </w:rPr>
              <w:t>Nella voce D “</w:t>
            </w:r>
            <w:r w:rsidRPr="00972898">
              <w:rPr>
                <w:i/>
                <w:lang w:val="it-IT"/>
              </w:rPr>
              <w:t>Ratei e risconti</w:t>
            </w:r>
            <w:r w:rsidRPr="00972898">
              <w:rPr>
                <w:lang w:val="it-IT"/>
              </w:rPr>
              <w:t xml:space="preserve">” dell’attivo dello stato patrimoniale sono </w:t>
            </w:r>
            <w:r>
              <w:rPr>
                <w:lang w:val="it-IT"/>
              </w:rPr>
              <w:t xml:space="preserve">stati </w:t>
            </w:r>
            <w:r w:rsidRPr="00972898">
              <w:rPr>
                <w:lang w:val="it-IT"/>
              </w:rPr>
              <w:t>iscritti i ratei attivi che misurano gli interessi attivi espliciti di competenza economica dell’esercizio che avranno manifestazione numeraria nei successivi esercizi</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13)</w:t>
            </w:r>
          </w:p>
        </w:tc>
        <w:tc>
          <w:tcPr>
            <w:tcW w:w="851" w:type="dxa"/>
            <w:tcMar>
              <w:left w:w="108" w:type="dxa"/>
              <w:right w:w="0" w:type="dxa"/>
            </w:tcMar>
          </w:tcPr>
          <w:p w:rsidR="0073099A" w:rsidRDefault="0073099A" w:rsidP="00D73E98">
            <w:pPr>
              <w:pStyle w:val="PrincCont"/>
              <w:jc w:val="left"/>
              <w:rPr>
                <w:lang w:val="it-IT"/>
              </w:rPr>
            </w:pPr>
            <w:r>
              <w:rPr>
                <w:lang w:val="it-IT"/>
              </w:rPr>
              <w:t>OIC 20.30</w:t>
            </w:r>
          </w:p>
        </w:tc>
        <w:tc>
          <w:tcPr>
            <w:tcW w:w="7060" w:type="dxa"/>
            <w:tcMar>
              <w:left w:w="108" w:type="dxa"/>
            </w:tcMar>
          </w:tcPr>
          <w:p w:rsidR="0073099A" w:rsidRPr="00DE38DC" w:rsidRDefault="0073099A" w:rsidP="00D73E98">
            <w:pPr>
              <w:spacing w:line="240" w:lineRule="exact"/>
              <w:rPr>
                <w:lang w:val="it-IT"/>
              </w:rPr>
            </w:pPr>
            <w:r w:rsidRPr="00972898">
              <w:rPr>
                <w:lang w:val="it-IT"/>
              </w:rPr>
              <w:t>Nella voce E “</w:t>
            </w:r>
            <w:r w:rsidRPr="00972898">
              <w:rPr>
                <w:i/>
                <w:lang w:val="it-IT"/>
              </w:rPr>
              <w:t>Ratei e risconti</w:t>
            </w:r>
            <w:r w:rsidRPr="00972898">
              <w:rPr>
                <w:lang w:val="it-IT"/>
              </w:rPr>
              <w:t xml:space="preserve">” del passivo dello stato patrimoniale sono </w:t>
            </w:r>
            <w:r>
              <w:rPr>
                <w:lang w:val="it-IT"/>
              </w:rPr>
              <w:t xml:space="preserve">stati </w:t>
            </w:r>
            <w:r w:rsidRPr="00972898">
              <w:rPr>
                <w:lang w:val="it-IT"/>
              </w:rPr>
              <w:t>iscritti i risconti passivi per un importo pari agli interessi attivi espliciti rilevati in via anticipata ma di competenza economica dei successivi esercizi</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14)</w:t>
            </w:r>
          </w:p>
        </w:tc>
        <w:tc>
          <w:tcPr>
            <w:tcW w:w="851" w:type="dxa"/>
            <w:tcMar>
              <w:left w:w="108" w:type="dxa"/>
              <w:right w:w="0" w:type="dxa"/>
            </w:tcMar>
          </w:tcPr>
          <w:p w:rsidR="0073099A" w:rsidRDefault="0073099A" w:rsidP="00D73E98">
            <w:pPr>
              <w:pStyle w:val="PrincCont"/>
              <w:jc w:val="left"/>
              <w:rPr>
                <w:lang w:val="it-IT"/>
              </w:rPr>
            </w:pPr>
            <w:r>
              <w:rPr>
                <w:lang w:val="it-IT"/>
              </w:rPr>
              <w:t>OIC 20.30</w:t>
            </w:r>
          </w:p>
        </w:tc>
        <w:tc>
          <w:tcPr>
            <w:tcW w:w="7060" w:type="dxa"/>
            <w:tcMar>
              <w:left w:w="108" w:type="dxa"/>
            </w:tcMar>
          </w:tcPr>
          <w:p w:rsidR="0073099A" w:rsidRPr="00DE38DC" w:rsidRDefault="0073099A" w:rsidP="00D73E98">
            <w:pPr>
              <w:spacing w:line="240" w:lineRule="exact"/>
              <w:rPr>
                <w:lang w:val="it-IT"/>
              </w:rPr>
            </w:pPr>
            <w:r w:rsidRPr="00972898">
              <w:rPr>
                <w:lang w:val="it-IT"/>
              </w:rPr>
              <w:t>Dalle voci dei “</w:t>
            </w:r>
            <w:r w:rsidRPr="00972898">
              <w:rPr>
                <w:i/>
                <w:lang w:val="it-IT"/>
              </w:rPr>
              <w:t>Ratei e risconti</w:t>
            </w:r>
            <w:r w:rsidRPr="00972898">
              <w:rPr>
                <w:lang w:val="it-IT"/>
              </w:rPr>
              <w:t xml:space="preserve">” sono </w:t>
            </w:r>
            <w:r>
              <w:rPr>
                <w:lang w:val="it-IT"/>
              </w:rPr>
              <w:t xml:space="preserve">stati </w:t>
            </w:r>
            <w:r w:rsidRPr="00972898">
              <w:rPr>
                <w:lang w:val="it-IT"/>
              </w:rPr>
              <w:t>esclusi i ratei attivi (passivi) che misurano le quote di premi (scarti) di sottoscrizione e di negoziazione maturate nell’esercizio sui titoli immobilizzati</w:t>
            </w:r>
            <w:r>
              <w:rPr>
                <w:lang w:val="it-IT"/>
              </w:rPr>
              <w:t xml:space="preserve"> e</w:t>
            </w:r>
            <w:r w:rsidRPr="00972898">
              <w:rPr>
                <w:lang w:val="it-IT"/>
              </w:rPr>
              <w:t xml:space="preserve"> tali quote </w:t>
            </w:r>
            <w:r>
              <w:rPr>
                <w:lang w:val="it-IT"/>
              </w:rPr>
              <w:t>so</w:t>
            </w:r>
            <w:r w:rsidRPr="00972898">
              <w:rPr>
                <w:lang w:val="it-IT"/>
              </w:rPr>
              <w:t xml:space="preserve">no </w:t>
            </w:r>
            <w:r>
              <w:rPr>
                <w:lang w:val="it-IT"/>
              </w:rPr>
              <w:t xml:space="preserve">state </w:t>
            </w:r>
            <w:r w:rsidRPr="00972898">
              <w:rPr>
                <w:lang w:val="it-IT"/>
              </w:rPr>
              <w:t>portate a diretta rettifica della voce che riporta il valore di bilancio dei titoli immobilizz</w:t>
            </w:r>
            <w:r>
              <w:rPr>
                <w:lang w:val="it-IT"/>
              </w:rPr>
              <w:t>ati?</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Pr="00573965"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20.30</w:t>
            </w:r>
          </w:p>
        </w:tc>
        <w:tc>
          <w:tcPr>
            <w:tcW w:w="7060" w:type="dxa"/>
            <w:tcMar>
              <w:left w:w="108" w:type="dxa"/>
            </w:tcMar>
          </w:tcPr>
          <w:p w:rsidR="0073099A" w:rsidRPr="00DE38DC" w:rsidRDefault="0073099A" w:rsidP="00D73E98">
            <w:pPr>
              <w:pStyle w:val="Commentiriquadro"/>
              <w:spacing w:before="20"/>
            </w:pPr>
            <w:r w:rsidRPr="007D132D">
              <w:t>Ai sensi dell’art</w:t>
            </w:r>
            <w:r>
              <w:t>.</w:t>
            </w:r>
            <w:r w:rsidRPr="007D132D">
              <w:t xml:space="preserve"> 2435-</w:t>
            </w:r>
            <w:r w:rsidRPr="00241DC6">
              <w:t>bis</w:t>
            </w:r>
            <w:r>
              <w:t xml:space="preserve"> CC</w:t>
            </w:r>
            <w:r w:rsidRPr="007D132D">
              <w:t xml:space="preserve"> la voce D dell’attivo “</w:t>
            </w:r>
            <w:r w:rsidRPr="007D132D">
              <w:rPr>
                <w:i/>
              </w:rPr>
              <w:t>Ratei e risconti</w:t>
            </w:r>
            <w:r w:rsidRPr="007D132D">
              <w:t xml:space="preserve">” può essere ricompresa nella voce CII </w:t>
            </w:r>
            <w:r w:rsidRPr="007D132D">
              <w:rPr>
                <w:i/>
              </w:rPr>
              <w:t xml:space="preserve">“Crediti” </w:t>
            </w:r>
            <w:r w:rsidRPr="007D132D">
              <w:t>e la voce E del passivo “</w:t>
            </w:r>
            <w:r w:rsidRPr="007D132D">
              <w:rPr>
                <w:i/>
              </w:rPr>
              <w:t>Ratei e risconti</w:t>
            </w:r>
            <w:r w:rsidRPr="007D132D">
              <w:t>” può essere ricompresa nella voce D “</w:t>
            </w:r>
            <w:r w:rsidRPr="007D132D">
              <w:rPr>
                <w:i/>
              </w:rPr>
              <w:t>Debiti</w:t>
            </w:r>
            <w:r w:rsidRPr="007D132D">
              <w:t>”. In ogni caso le voci CII dell’attivo e D del passivo devono indicare separatamente i crediti ed i debiti esigibili oltre l’esercizio successivo.</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15)</w:t>
            </w:r>
          </w:p>
        </w:tc>
        <w:tc>
          <w:tcPr>
            <w:tcW w:w="851" w:type="dxa"/>
            <w:tcMar>
              <w:left w:w="108" w:type="dxa"/>
              <w:right w:w="0" w:type="dxa"/>
            </w:tcMar>
          </w:tcPr>
          <w:p w:rsidR="0073099A" w:rsidRDefault="0073099A" w:rsidP="00D73E98">
            <w:pPr>
              <w:pStyle w:val="PrincCont"/>
              <w:jc w:val="left"/>
              <w:rPr>
                <w:lang w:val="it-IT"/>
              </w:rPr>
            </w:pPr>
            <w:r>
              <w:rPr>
                <w:lang w:val="it-IT"/>
              </w:rPr>
              <w:t>OIC 20.31</w:t>
            </w:r>
          </w:p>
        </w:tc>
        <w:tc>
          <w:tcPr>
            <w:tcW w:w="7060" w:type="dxa"/>
            <w:tcMar>
              <w:left w:w="108" w:type="dxa"/>
            </w:tcMar>
          </w:tcPr>
          <w:p w:rsidR="0073099A" w:rsidRPr="00DE38DC" w:rsidRDefault="0073099A" w:rsidP="00D73E98">
            <w:pPr>
              <w:spacing w:line="240" w:lineRule="exact"/>
              <w:rPr>
                <w:lang w:val="it-IT"/>
              </w:rPr>
            </w:pPr>
            <w:r w:rsidRPr="007D132D">
              <w:rPr>
                <w:lang w:val="it-IT"/>
              </w:rPr>
              <w:t xml:space="preserve">Nella voce C16b) e C16c) sono </w:t>
            </w:r>
            <w:r>
              <w:rPr>
                <w:lang w:val="it-IT"/>
              </w:rPr>
              <w:t xml:space="preserve">stati </w:t>
            </w:r>
            <w:r w:rsidRPr="007D132D">
              <w:rPr>
                <w:lang w:val="it-IT"/>
              </w:rPr>
              <w:t>rilevati rispettivamente gli “</w:t>
            </w:r>
            <w:r w:rsidRPr="007D132D">
              <w:rPr>
                <w:i/>
                <w:lang w:val="it-IT"/>
              </w:rPr>
              <w:t>altri proventi finanziari da titoli iscritti nelle immobilizzazioni che non costituiscono partecipazioni</w:t>
            </w:r>
            <w:r w:rsidRPr="007D132D">
              <w:rPr>
                <w:lang w:val="it-IT"/>
              </w:rPr>
              <w:t>” e gli “</w:t>
            </w:r>
            <w:r w:rsidRPr="007D132D">
              <w:rPr>
                <w:i/>
                <w:lang w:val="it-IT"/>
              </w:rPr>
              <w:t>altri proventi finanziari da titoli iscritti nell’attivo circolante che non costituiscono partecipazioni</w:t>
            </w:r>
            <w:r w:rsidRPr="007D132D">
              <w:rPr>
                <w:lang w:val="it-IT"/>
              </w:rPr>
              <w:t>”, che includono gli interessi attivi di competenza dell’esercizio, i premi di sottoscrizione e di negoziazione e, con il segno negativo, gli scarti di sottoscrizione e di negoziazione maturati nell’esercizio, su titoli di debito immobilizzati e non</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16)</w:t>
            </w:r>
          </w:p>
        </w:tc>
        <w:tc>
          <w:tcPr>
            <w:tcW w:w="851" w:type="dxa"/>
            <w:tcMar>
              <w:left w:w="108" w:type="dxa"/>
              <w:right w:w="0" w:type="dxa"/>
            </w:tcMar>
          </w:tcPr>
          <w:p w:rsidR="0073099A" w:rsidRDefault="0073099A" w:rsidP="00D73E98">
            <w:pPr>
              <w:pStyle w:val="PrincCont"/>
              <w:jc w:val="left"/>
              <w:rPr>
                <w:lang w:val="it-IT"/>
              </w:rPr>
            </w:pPr>
            <w:r>
              <w:rPr>
                <w:lang w:val="it-IT"/>
              </w:rPr>
              <w:t>OIC 20.32</w:t>
            </w:r>
          </w:p>
        </w:tc>
        <w:tc>
          <w:tcPr>
            <w:tcW w:w="7060" w:type="dxa"/>
            <w:tcMar>
              <w:left w:w="108" w:type="dxa"/>
            </w:tcMar>
          </w:tcPr>
          <w:p w:rsidR="0073099A" w:rsidRPr="00DE38DC" w:rsidRDefault="0073099A" w:rsidP="00D73E98">
            <w:pPr>
              <w:spacing w:line="240" w:lineRule="exact"/>
              <w:rPr>
                <w:lang w:val="it-IT"/>
              </w:rPr>
            </w:pPr>
            <w:r w:rsidRPr="00C578CD">
              <w:rPr>
                <w:lang w:val="it-IT"/>
              </w:rPr>
              <w:t>Le voci C16b) e C16c) accolgono anche gli utili che derivano dalla negoziazione di titoli prima della naturale scadenza, quale differenza tra il valore contabile dei titoli iscritti in bilancio, inclusivo delle quote maturate dei ratei/risconti iscritti e degli scarti/premi di negoziazione e di sottoscrizione, e il prezzo di cessione</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17)</w:t>
            </w:r>
          </w:p>
        </w:tc>
        <w:tc>
          <w:tcPr>
            <w:tcW w:w="851" w:type="dxa"/>
            <w:tcMar>
              <w:left w:w="108" w:type="dxa"/>
              <w:right w:w="0" w:type="dxa"/>
            </w:tcMar>
          </w:tcPr>
          <w:p w:rsidR="0073099A" w:rsidRDefault="0073099A" w:rsidP="00D73E98">
            <w:pPr>
              <w:pStyle w:val="PrincCont"/>
              <w:jc w:val="left"/>
              <w:rPr>
                <w:lang w:val="it-IT"/>
              </w:rPr>
            </w:pPr>
            <w:r>
              <w:rPr>
                <w:lang w:val="it-IT"/>
              </w:rPr>
              <w:t>OIC 20.32</w:t>
            </w:r>
          </w:p>
        </w:tc>
        <w:tc>
          <w:tcPr>
            <w:tcW w:w="7060" w:type="dxa"/>
            <w:tcMar>
              <w:left w:w="108" w:type="dxa"/>
            </w:tcMar>
          </w:tcPr>
          <w:p w:rsidR="0073099A" w:rsidRPr="00DE38DC" w:rsidRDefault="0073099A" w:rsidP="00D73E98">
            <w:pPr>
              <w:spacing w:line="240" w:lineRule="exact"/>
              <w:rPr>
                <w:lang w:val="it-IT"/>
              </w:rPr>
            </w:pPr>
            <w:r w:rsidRPr="00C578CD">
              <w:rPr>
                <w:lang w:val="it-IT"/>
              </w:rPr>
              <w:t xml:space="preserve">Qualora dalla negoziazione anticipata derivi una perdita, è </w:t>
            </w:r>
            <w:r>
              <w:rPr>
                <w:lang w:val="it-IT"/>
              </w:rPr>
              <w:t xml:space="preserve">stata </w:t>
            </w:r>
            <w:r w:rsidRPr="00C578CD">
              <w:rPr>
                <w:lang w:val="it-IT"/>
              </w:rPr>
              <w:t>rilevata nella voce C17 “</w:t>
            </w:r>
            <w:r w:rsidRPr="00C578CD">
              <w:rPr>
                <w:i/>
                <w:lang w:val="it-IT"/>
              </w:rPr>
              <w:t>interessi e altri oneri finanziari</w:t>
            </w:r>
            <w:r w:rsidRPr="00C578CD">
              <w:rPr>
                <w:lang w:val="it-IT"/>
              </w:rPr>
              <w:t>”</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18)</w:t>
            </w:r>
          </w:p>
        </w:tc>
        <w:tc>
          <w:tcPr>
            <w:tcW w:w="851" w:type="dxa"/>
            <w:tcMar>
              <w:left w:w="108" w:type="dxa"/>
              <w:right w:w="0" w:type="dxa"/>
            </w:tcMar>
          </w:tcPr>
          <w:p w:rsidR="0073099A" w:rsidRDefault="0073099A" w:rsidP="00D73E98">
            <w:pPr>
              <w:pStyle w:val="PrincCont"/>
              <w:jc w:val="left"/>
              <w:rPr>
                <w:lang w:val="it-IT"/>
              </w:rPr>
            </w:pPr>
            <w:r>
              <w:rPr>
                <w:lang w:val="it-IT"/>
              </w:rPr>
              <w:t>OIC 20.33</w:t>
            </w:r>
          </w:p>
        </w:tc>
        <w:tc>
          <w:tcPr>
            <w:tcW w:w="7060" w:type="dxa"/>
            <w:tcMar>
              <w:left w:w="108" w:type="dxa"/>
            </w:tcMar>
          </w:tcPr>
          <w:p w:rsidR="0073099A" w:rsidRPr="00DE38DC" w:rsidRDefault="0073099A" w:rsidP="00D73E98">
            <w:pPr>
              <w:spacing w:line="240" w:lineRule="exact"/>
              <w:rPr>
                <w:lang w:val="it-IT"/>
              </w:rPr>
            </w:pPr>
            <w:r w:rsidRPr="00C578CD">
              <w:rPr>
                <w:lang w:val="it-IT"/>
              </w:rPr>
              <w:t xml:space="preserve">La svalutazione di titoli immobilizzati per effetto di una riduzione durevole di valore rispetto al costo d'acquisto è </w:t>
            </w:r>
            <w:r>
              <w:rPr>
                <w:lang w:val="it-IT"/>
              </w:rPr>
              <w:t xml:space="preserve">stata </w:t>
            </w:r>
            <w:r w:rsidRPr="00C578CD">
              <w:rPr>
                <w:lang w:val="it-IT"/>
              </w:rPr>
              <w:t>iscritta nella voce D19b) “</w:t>
            </w:r>
            <w:r w:rsidRPr="00C578CD">
              <w:rPr>
                <w:i/>
                <w:lang w:val="it-IT"/>
              </w:rPr>
              <w:t>svalutazioni di immobilizzazioni finanziarie che non costituiscono partecipazioni</w:t>
            </w:r>
            <w:r w:rsidRPr="00C578CD">
              <w:rPr>
                <w:lang w:val="it-IT"/>
              </w:rPr>
              <w:t>”</w:t>
            </w:r>
            <w:r>
              <w:rPr>
                <w:lang w:val="it-IT"/>
              </w:rPr>
              <w:t xml:space="preserve"> e l</w:t>
            </w:r>
            <w:r w:rsidRPr="00C578CD">
              <w:rPr>
                <w:lang w:val="it-IT"/>
              </w:rPr>
              <w:t xml:space="preserve">a rivalutazione è </w:t>
            </w:r>
            <w:r>
              <w:rPr>
                <w:lang w:val="it-IT"/>
              </w:rPr>
              <w:t xml:space="preserve">stata </w:t>
            </w:r>
            <w:r w:rsidRPr="00C578CD">
              <w:rPr>
                <w:lang w:val="it-IT"/>
              </w:rPr>
              <w:t>imputata a conto economico alla voce D18b) “</w:t>
            </w:r>
            <w:r w:rsidRPr="00C578CD">
              <w:rPr>
                <w:i/>
                <w:lang w:val="it-IT"/>
              </w:rPr>
              <w:t>rivalutazioni di immobilizzazioni finanziarie che non costituiscono partecipazioni</w:t>
            </w:r>
            <w:r w:rsidRPr="00C578CD">
              <w:rPr>
                <w:lang w:val="it-IT"/>
              </w:rPr>
              <w:t>”</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19)</w:t>
            </w:r>
          </w:p>
        </w:tc>
        <w:tc>
          <w:tcPr>
            <w:tcW w:w="851" w:type="dxa"/>
            <w:tcMar>
              <w:left w:w="108" w:type="dxa"/>
              <w:right w:w="0" w:type="dxa"/>
            </w:tcMar>
          </w:tcPr>
          <w:p w:rsidR="0073099A" w:rsidRDefault="0073099A" w:rsidP="00D73E98">
            <w:pPr>
              <w:pStyle w:val="PrincCont"/>
              <w:jc w:val="left"/>
              <w:rPr>
                <w:lang w:val="it-IT"/>
              </w:rPr>
            </w:pPr>
            <w:r>
              <w:rPr>
                <w:lang w:val="it-IT"/>
              </w:rPr>
              <w:t>OIC 20.34</w:t>
            </w:r>
          </w:p>
        </w:tc>
        <w:tc>
          <w:tcPr>
            <w:tcW w:w="7060" w:type="dxa"/>
            <w:tcMar>
              <w:left w:w="108" w:type="dxa"/>
            </w:tcMar>
          </w:tcPr>
          <w:p w:rsidR="0073099A" w:rsidRPr="00DE38DC" w:rsidRDefault="0073099A" w:rsidP="00D73E98">
            <w:pPr>
              <w:spacing w:line="240" w:lineRule="exact"/>
              <w:rPr>
                <w:lang w:val="it-IT"/>
              </w:rPr>
            </w:pPr>
            <w:r w:rsidRPr="00C578CD">
              <w:rPr>
                <w:lang w:val="it-IT"/>
              </w:rPr>
              <w:t xml:space="preserve">La svalutazione dei titoli di debito non immobilizzati è </w:t>
            </w:r>
            <w:r>
              <w:rPr>
                <w:lang w:val="it-IT"/>
              </w:rPr>
              <w:t xml:space="preserve">stata </w:t>
            </w:r>
            <w:r w:rsidRPr="00C578CD">
              <w:rPr>
                <w:lang w:val="it-IT"/>
              </w:rPr>
              <w:t>imputata alla voce D19c) “</w:t>
            </w:r>
            <w:r w:rsidRPr="00C578CD">
              <w:rPr>
                <w:i/>
                <w:lang w:val="it-IT"/>
              </w:rPr>
              <w:t>svalutazioni di titoli iscritti nell’attivo circolante che non costituiscono immobilizzazioni finanziarie</w:t>
            </w:r>
            <w:r w:rsidRPr="00C578CD">
              <w:rPr>
                <w:lang w:val="it-IT"/>
              </w:rPr>
              <w:t>”</w:t>
            </w:r>
            <w:r>
              <w:rPr>
                <w:lang w:val="it-IT"/>
              </w:rPr>
              <w:t xml:space="preserve"> e</w:t>
            </w:r>
            <w:r w:rsidRPr="00C578CD">
              <w:rPr>
                <w:lang w:val="it-IT"/>
              </w:rPr>
              <w:t xml:space="preserve"> </w:t>
            </w:r>
            <w:r>
              <w:rPr>
                <w:lang w:val="it-IT"/>
              </w:rPr>
              <w:t>l</w:t>
            </w:r>
            <w:r w:rsidRPr="00C578CD">
              <w:rPr>
                <w:lang w:val="it-IT"/>
              </w:rPr>
              <w:t xml:space="preserve">a ripresa di valore è </w:t>
            </w:r>
            <w:r>
              <w:rPr>
                <w:lang w:val="it-IT"/>
              </w:rPr>
              <w:t xml:space="preserve">stata </w:t>
            </w:r>
            <w:r w:rsidRPr="00C578CD">
              <w:rPr>
                <w:lang w:val="it-IT"/>
              </w:rPr>
              <w:t>imputata a conto economico alla voce D18c) “</w:t>
            </w:r>
            <w:r w:rsidRPr="00C578CD">
              <w:rPr>
                <w:i/>
                <w:lang w:val="it-IT"/>
              </w:rPr>
              <w:t>rivalutazioni di titoli iscritti all’attivo circolante che non costituiscono partecipazioni</w:t>
            </w:r>
            <w:r w:rsidRPr="00C578CD">
              <w:rPr>
                <w:lang w:val="it-IT"/>
              </w:rPr>
              <w:t>”</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7957B4" w:rsidTr="00D73E98">
        <w:trPr>
          <w:cantSplit/>
          <w:trHeight w:val="20"/>
        </w:trPr>
        <w:tc>
          <w:tcPr>
            <w:tcW w:w="680" w:type="dxa"/>
          </w:tcPr>
          <w:p w:rsidR="0073099A" w:rsidRPr="00573965"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DE38DC" w:rsidRDefault="0073099A" w:rsidP="00D73E98">
            <w:pPr>
              <w:pStyle w:val="Titolo2"/>
              <w:rPr>
                <w:lang w:val="it-IT"/>
              </w:rPr>
            </w:pPr>
            <w:r w:rsidRPr="00DE38DC">
              <w:rPr>
                <w:lang w:val="it-IT"/>
              </w:rPr>
              <w:t>Rilevazione iniziale</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20)</w:t>
            </w: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DE38DC" w:rsidRDefault="0073099A" w:rsidP="00D73E98">
            <w:pPr>
              <w:spacing w:line="240" w:lineRule="exact"/>
              <w:rPr>
                <w:lang w:val="it-IT"/>
              </w:rPr>
            </w:pPr>
            <w:r w:rsidRPr="006C4A03">
              <w:rPr>
                <w:lang w:val="it-IT"/>
              </w:rPr>
              <w:t>I titoli di debito sono rilevati in bilancio quando avviene la consegna del titolo (cd data regolamento) e sono iscritti al costo di acquisto (o costo di sottoscrizione)</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Pr="00573965"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DE38DC" w:rsidRDefault="0073099A" w:rsidP="00D73E98">
            <w:pPr>
              <w:pStyle w:val="Titolo3"/>
              <w:rPr>
                <w:lang w:val="it-IT"/>
              </w:rPr>
            </w:pPr>
            <w:r w:rsidRPr="006C4A03">
              <w:rPr>
                <w:lang w:val="it-IT"/>
              </w:rPr>
              <w:t>Titoli immobilizzati e non immobilizzati</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CC242B" w:rsidTr="00D73E98">
        <w:trPr>
          <w:cantSplit/>
          <w:trHeight w:val="20"/>
        </w:trPr>
        <w:tc>
          <w:tcPr>
            <w:tcW w:w="680" w:type="dxa"/>
          </w:tcPr>
          <w:p w:rsidR="0073099A" w:rsidRPr="00573965"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20.36</w:t>
            </w:r>
          </w:p>
        </w:tc>
        <w:tc>
          <w:tcPr>
            <w:tcW w:w="7060" w:type="dxa"/>
            <w:tcMar>
              <w:left w:w="108" w:type="dxa"/>
            </w:tcMar>
          </w:tcPr>
          <w:p w:rsidR="0073099A" w:rsidRPr="00DE38DC" w:rsidRDefault="0073099A" w:rsidP="00D73E98">
            <w:pPr>
              <w:pStyle w:val="Commentiriquadro"/>
            </w:pPr>
            <w:r w:rsidRPr="006D566E">
              <w:t>L’art. 2426, c</w:t>
            </w:r>
            <w:r>
              <w:t>.</w:t>
            </w:r>
            <w:r w:rsidRPr="006D566E">
              <w:t>1, n.1</w:t>
            </w:r>
            <w:r>
              <w:t xml:space="preserve"> CC</w:t>
            </w:r>
            <w:r w:rsidRPr="006D566E">
              <w:t xml:space="preserve"> prescrive che “…le immobilizzazioni rappresentate da titoli sono rilevate in bilancio con il criterio del costo ammortizzato, ove applicabile”.</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CC242B" w:rsidTr="00D73E98">
        <w:trPr>
          <w:cantSplit/>
          <w:trHeight w:val="20"/>
        </w:trPr>
        <w:tc>
          <w:tcPr>
            <w:tcW w:w="680" w:type="dxa"/>
          </w:tcPr>
          <w:p w:rsidR="0073099A" w:rsidRPr="00573965"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20.37</w:t>
            </w:r>
          </w:p>
        </w:tc>
        <w:tc>
          <w:tcPr>
            <w:tcW w:w="7060" w:type="dxa"/>
            <w:tcMar>
              <w:left w:w="108" w:type="dxa"/>
            </w:tcMar>
          </w:tcPr>
          <w:p w:rsidR="0073099A" w:rsidRPr="00DE38DC" w:rsidRDefault="0073099A" w:rsidP="00D73E98">
            <w:pPr>
              <w:pStyle w:val="Commentiriquadro"/>
            </w:pPr>
            <w:r w:rsidRPr="006D566E">
              <w:rPr>
                <w:lang w:eastAsia="it-IT"/>
              </w:rPr>
              <w:t>L’art. 2426, c</w:t>
            </w:r>
            <w:r>
              <w:rPr>
                <w:lang w:eastAsia="it-IT"/>
              </w:rPr>
              <w:t>.</w:t>
            </w:r>
            <w:r w:rsidRPr="006D566E">
              <w:rPr>
                <w:lang w:eastAsia="it-IT"/>
              </w:rPr>
              <w:t>1, n.9</w:t>
            </w:r>
            <w:r>
              <w:rPr>
                <w:lang w:eastAsia="it-IT"/>
              </w:rPr>
              <w:t xml:space="preserve"> CC</w:t>
            </w:r>
            <w:r w:rsidRPr="006D566E">
              <w:rPr>
                <w:lang w:eastAsia="it-IT"/>
              </w:rPr>
              <w:t xml:space="preserve"> prevede che “…</w:t>
            </w:r>
            <w:r w:rsidRPr="006D566E">
              <w:rPr>
                <w:i/>
                <w:lang w:eastAsia="it-IT"/>
              </w:rPr>
              <w:t>i titoli… che non costituiscono immobilizzazioni sono iscritti al costo di acquisto, calcolato secondo il numero 1), ovvero al valore di realizzazione desumibile dall’andamento del mercato, se minore…</w:t>
            </w:r>
            <w:r w:rsidRPr="006D566E">
              <w:rPr>
                <w:lang w:eastAsia="it-IT"/>
              </w:rPr>
              <w:t>”.</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CC242B" w:rsidTr="00D73E98">
        <w:trPr>
          <w:cantSplit/>
          <w:trHeight w:val="20"/>
        </w:trPr>
        <w:tc>
          <w:tcPr>
            <w:tcW w:w="680" w:type="dxa"/>
          </w:tcPr>
          <w:p w:rsidR="0073099A" w:rsidRPr="00573965"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20.38</w:t>
            </w:r>
          </w:p>
        </w:tc>
        <w:tc>
          <w:tcPr>
            <w:tcW w:w="7060" w:type="dxa"/>
            <w:tcMar>
              <w:left w:w="108" w:type="dxa"/>
            </w:tcMar>
          </w:tcPr>
          <w:p w:rsidR="0073099A" w:rsidRPr="00DE38DC" w:rsidRDefault="0073099A" w:rsidP="00D73E98">
            <w:pPr>
              <w:pStyle w:val="Commentiriquadro"/>
            </w:pPr>
            <w:r w:rsidRPr="006D566E">
              <w:rPr>
                <w:lang w:eastAsia="it-IT"/>
              </w:rPr>
              <w:t>Il criterio del costo ammortizzato non si applica a quei titoli i cui flussi non siano determinabili (e.g. titoli strutturati, titoli irredimibili, ecc.).</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CC242B" w:rsidTr="00D73E98">
        <w:trPr>
          <w:cantSplit/>
          <w:trHeight w:val="20"/>
        </w:trPr>
        <w:tc>
          <w:tcPr>
            <w:tcW w:w="680" w:type="dxa"/>
          </w:tcPr>
          <w:p w:rsidR="0073099A" w:rsidRPr="00573965"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20.39</w:t>
            </w:r>
          </w:p>
        </w:tc>
        <w:tc>
          <w:tcPr>
            <w:tcW w:w="7060" w:type="dxa"/>
            <w:tcMar>
              <w:left w:w="108" w:type="dxa"/>
            </w:tcMar>
          </w:tcPr>
          <w:p w:rsidR="0073099A" w:rsidRPr="006501EA" w:rsidRDefault="0073099A" w:rsidP="00D73E98">
            <w:pPr>
              <w:pStyle w:val="Commentiriquadro"/>
              <w:rPr>
                <w:lang w:eastAsia="it-IT"/>
              </w:rPr>
            </w:pPr>
            <w:r w:rsidRPr="006D566E">
              <w:rPr>
                <w:lang w:eastAsia="it-IT"/>
              </w:rPr>
              <w:t>Il criterio del costo ammortizzato può non essere applicato ai titoli di debito se gli effetti sono irrilevanti rispetto al valore determinato in base alle regole previste per le società che redigono il bilancio in forma abbreviata ai sensi dell’art. 2435-</w:t>
            </w:r>
            <w:r w:rsidRPr="00241DC6">
              <w:rPr>
                <w:lang w:eastAsia="it-IT"/>
              </w:rPr>
              <w:t>bis</w:t>
            </w:r>
            <w:r w:rsidRPr="006D566E">
              <w:rPr>
                <w:i/>
                <w:lang w:eastAsia="it-IT"/>
              </w:rPr>
              <w:t xml:space="preserve"> </w:t>
            </w:r>
            <w:r w:rsidRPr="006D566E">
              <w:rPr>
                <w:lang w:eastAsia="it-IT"/>
              </w:rPr>
              <w:t xml:space="preserve">(vedi paragrafi 30, dal 46 al 49, 73 e seguenti). </w:t>
            </w:r>
            <w:r w:rsidRPr="006501EA">
              <w:rPr>
                <w:lang w:eastAsia="it-IT"/>
              </w:rPr>
              <w:t>In tal caso la società può applicare tali regole.</w:t>
            </w:r>
          </w:p>
          <w:p w:rsidR="0073099A" w:rsidRDefault="0073099A" w:rsidP="00D73E98">
            <w:pPr>
              <w:pStyle w:val="Commentiriquadro"/>
              <w:rPr>
                <w:lang w:eastAsia="it-IT"/>
              </w:rPr>
            </w:pPr>
            <w:r w:rsidRPr="006D566E">
              <w:rPr>
                <w:lang w:eastAsia="it-IT"/>
              </w:rPr>
              <w:t>Generalmente gli effetti sono irrilevanti se:</w:t>
            </w:r>
          </w:p>
          <w:p w:rsidR="0073099A" w:rsidRDefault="0073099A" w:rsidP="00D73E98">
            <w:pPr>
              <w:pStyle w:val="Commentiriquadro"/>
              <w:ind w:left="176" w:hanging="119"/>
              <w:rPr>
                <w:lang w:eastAsia="it-IT"/>
              </w:rPr>
            </w:pPr>
            <w:r>
              <w:rPr>
                <w:lang w:eastAsia="it-IT"/>
              </w:rPr>
              <w:t xml:space="preserve">- </w:t>
            </w:r>
            <w:r>
              <w:rPr>
                <w:lang w:eastAsia="it-IT"/>
              </w:rPr>
              <w:tab/>
            </w:r>
            <w:r w:rsidRPr="006D566E">
              <w:rPr>
                <w:lang w:eastAsia="it-IT"/>
              </w:rPr>
              <w:t>i titoli sono destinati ad essere detenuti durevolmente ma i costi di transazione, i premi/scarti di sottoscrizione o negoziazione e ogni altra differenza tra valore iniziale e valore a scadenza sono di scarso rilievo; o</w:t>
            </w:r>
          </w:p>
          <w:p w:rsidR="0073099A" w:rsidRPr="00DE38DC" w:rsidRDefault="0073099A" w:rsidP="00D73E98">
            <w:pPr>
              <w:pStyle w:val="Commentiriquadro"/>
              <w:ind w:left="176" w:hanging="119"/>
            </w:pPr>
            <w:r>
              <w:rPr>
                <w:lang w:eastAsia="it-IT"/>
              </w:rPr>
              <w:t xml:space="preserve">- </w:t>
            </w:r>
            <w:r>
              <w:rPr>
                <w:lang w:eastAsia="it-IT"/>
              </w:rPr>
              <w:tab/>
            </w:r>
            <w:r w:rsidRPr="006D566E">
              <w:rPr>
                <w:lang w:eastAsia="it-IT"/>
              </w:rPr>
              <w:t>i titoli di debito sono detenuti presumibilmente in portafoglio per un periodo inferiore ai 12 mesi.</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21)</w:t>
            </w:r>
          </w:p>
        </w:tc>
        <w:tc>
          <w:tcPr>
            <w:tcW w:w="851" w:type="dxa"/>
            <w:tcMar>
              <w:left w:w="108" w:type="dxa"/>
              <w:right w:w="0" w:type="dxa"/>
            </w:tcMar>
          </w:tcPr>
          <w:p w:rsidR="0073099A" w:rsidRDefault="0073099A" w:rsidP="00D73E98">
            <w:pPr>
              <w:pStyle w:val="PrincCont"/>
              <w:jc w:val="left"/>
              <w:rPr>
                <w:lang w:val="it-IT"/>
              </w:rPr>
            </w:pPr>
            <w:r>
              <w:rPr>
                <w:lang w:val="it-IT"/>
              </w:rPr>
              <w:t>OIC 20.40</w:t>
            </w:r>
          </w:p>
        </w:tc>
        <w:tc>
          <w:tcPr>
            <w:tcW w:w="7060" w:type="dxa"/>
            <w:tcMar>
              <w:left w:w="108" w:type="dxa"/>
            </w:tcMar>
          </w:tcPr>
          <w:p w:rsidR="0073099A" w:rsidRPr="00DE38DC" w:rsidRDefault="0073099A" w:rsidP="00D73E98">
            <w:pPr>
              <w:spacing w:line="240" w:lineRule="exact"/>
              <w:rPr>
                <w:lang w:val="it-IT"/>
              </w:rPr>
            </w:pPr>
            <w:r w:rsidRPr="006D566E">
              <w:rPr>
                <w:lang w:val="it-IT"/>
              </w:rPr>
              <w:t>Nell’ipotesi in cui si applichi il costo ammortizzato i costi di transazione, le eventuali commissioni attive e passive e ogni differenza tra valore iniziale e valore nominale a scadenza sono inclusi nel calcolo del costo ammortizzato utilizzando il criterio dell’interesse effettivo, che implica che essi siano ammortizzati lu</w:t>
            </w:r>
            <w:r>
              <w:rPr>
                <w:lang w:val="it-IT"/>
              </w:rPr>
              <w:t>ngo la durata attesa del titolo?</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22)</w:t>
            </w:r>
          </w:p>
        </w:tc>
        <w:tc>
          <w:tcPr>
            <w:tcW w:w="851" w:type="dxa"/>
            <w:tcMar>
              <w:left w:w="108" w:type="dxa"/>
              <w:right w:w="0" w:type="dxa"/>
            </w:tcMar>
          </w:tcPr>
          <w:p w:rsidR="0073099A" w:rsidRDefault="0073099A" w:rsidP="00D73E98">
            <w:pPr>
              <w:pStyle w:val="PrincCont"/>
              <w:jc w:val="left"/>
              <w:rPr>
                <w:lang w:val="it-IT"/>
              </w:rPr>
            </w:pPr>
            <w:r>
              <w:rPr>
                <w:lang w:val="it-IT"/>
              </w:rPr>
              <w:t>OIC 20.40</w:t>
            </w:r>
          </w:p>
        </w:tc>
        <w:tc>
          <w:tcPr>
            <w:tcW w:w="7060" w:type="dxa"/>
            <w:tcMar>
              <w:left w:w="108" w:type="dxa"/>
            </w:tcMar>
          </w:tcPr>
          <w:p w:rsidR="0073099A" w:rsidRPr="00DE38DC" w:rsidRDefault="0073099A" w:rsidP="00D73E98">
            <w:pPr>
              <w:spacing w:line="240" w:lineRule="exact"/>
              <w:rPr>
                <w:lang w:val="it-IT"/>
              </w:rPr>
            </w:pPr>
            <w:r>
              <w:rPr>
                <w:lang w:val="it-IT"/>
              </w:rPr>
              <w:t>L’</w:t>
            </w:r>
            <w:r w:rsidRPr="006B7512">
              <w:rPr>
                <w:lang w:val="it-IT"/>
              </w:rPr>
              <w:t xml:space="preserve">ammortamento </w:t>
            </w:r>
            <w:r>
              <w:rPr>
                <w:lang w:val="it-IT"/>
              </w:rPr>
              <w:t xml:space="preserve">dei costi di transazione e di ogni altra differenza tra valore iniziale e valore nominale </w:t>
            </w:r>
            <w:r w:rsidRPr="006B7512">
              <w:rPr>
                <w:lang w:val="it-IT"/>
              </w:rPr>
              <w:t>integra o rettifica gli interessi attivi calcolati al tasso nominale (seguendone la medesima classificazione nel conto economico), di modo che il tasso di interesse effettivo possa rimanere un tasso di interesse costante lungo la durata del titolo da applicarsi al suo valore contabile, fatta salva la rilevazione delle variazioni imputabili ai flussi finanziari dei tassi variabili di riferimento, ove applicabili</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23)</w:t>
            </w:r>
          </w:p>
        </w:tc>
        <w:tc>
          <w:tcPr>
            <w:tcW w:w="851" w:type="dxa"/>
            <w:tcMar>
              <w:left w:w="108" w:type="dxa"/>
              <w:right w:w="0" w:type="dxa"/>
            </w:tcMar>
          </w:tcPr>
          <w:p w:rsidR="0073099A" w:rsidRDefault="0073099A" w:rsidP="00D73E98">
            <w:pPr>
              <w:pStyle w:val="PrincCont"/>
              <w:jc w:val="left"/>
              <w:rPr>
                <w:lang w:val="it-IT"/>
              </w:rPr>
            </w:pPr>
            <w:r>
              <w:rPr>
                <w:lang w:val="it-IT"/>
              </w:rPr>
              <w:t>OIC 20.41</w:t>
            </w:r>
          </w:p>
        </w:tc>
        <w:tc>
          <w:tcPr>
            <w:tcW w:w="7060" w:type="dxa"/>
            <w:tcMar>
              <w:left w:w="108" w:type="dxa"/>
            </w:tcMar>
          </w:tcPr>
          <w:p w:rsidR="0073099A" w:rsidRPr="00DE38DC" w:rsidRDefault="0073099A" w:rsidP="00D73E98">
            <w:pPr>
              <w:spacing w:line="240" w:lineRule="exact"/>
              <w:rPr>
                <w:lang w:val="it-IT"/>
              </w:rPr>
            </w:pPr>
            <w:r w:rsidRPr="006B7512">
              <w:rPr>
                <w:lang w:val="it-IT"/>
              </w:rPr>
              <w:t xml:space="preserve">I costi di transazione che saranno prevedibilmente sostenuti all’atto della eventuale successiva cessione del titolo sono </w:t>
            </w:r>
            <w:r>
              <w:rPr>
                <w:lang w:val="it-IT"/>
              </w:rPr>
              <w:t>stati es</w:t>
            </w:r>
            <w:r w:rsidRPr="006B7512">
              <w:rPr>
                <w:lang w:val="it-IT"/>
              </w:rPr>
              <w:t xml:space="preserve">clusi nella valutazione del titolo al costo </w:t>
            </w:r>
            <w:r>
              <w:rPr>
                <w:lang w:val="it-IT"/>
              </w:rPr>
              <w:t>ammortizzato?</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24)</w:t>
            </w:r>
          </w:p>
        </w:tc>
        <w:tc>
          <w:tcPr>
            <w:tcW w:w="851" w:type="dxa"/>
            <w:tcMar>
              <w:left w:w="108" w:type="dxa"/>
              <w:right w:w="0" w:type="dxa"/>
            </w:tcMar>
          </w:tcPr>
          <w:p w:rsidR="0073099A" w:rsidRDefault="0073099A" w:rsidP="00D73E98">
            <w:pPr>
              <w:pStyle w:val="PrincCont"/>
              <w:jc w:val="left"/>
              <w:rPr>
                <w:lang w:val="it-IT"/>
              </w:rPr>
            </w:pPr>
            <w:r>
              <w:rPr>
                <w:lang w:val="it-IT"/>
              </w:rPr>
              <w:t>OIC 20.42</w:t>
            </w:r>
          </w:p>
        </w:tc>
        <w:tc>
          <w:tcPr>
            <w:tcW w:w="7060" w:type="dxa"/>
            <w:tcMar>
              <w:left w:w="108" w:type="dxa"/>
            </w:tcMar>
          </w:tcPr>
          <w:p w:rsidR="0073099A" w:rsidRPr="00DE38DC" w:rsidRDefault="0073099A" w:rsidP="00D73E98">
            <w:pPr>
              <w:spacing w:line="240" w:lineRule="exact"/>
              <w:rPr>
                <w:lang w:val="it-IT"/>
              </w:rPr>
            </w:pPr>
            <w:r w:rsidRPr="00053BE2">
              <w:rPr>
                <w:lang w:val="it-IT"/>
              </w:rPr>
              <w:t>Il tasso di interesse effettivo, secondo il criterio dell’interesse effettivo, è calcolato al momento della rilevazione iniziale del titolo ed è poi utilizzato per la sua valutazione successiva</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Pr="00573965"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20.42</w:t>
            </w:r>
          </w:p>
        </w:tc>
        <w:tc>
          <w:tcPr>
            <w:tcW w:w="7060" w:type="dxa"/>
            <w:tcMar>
              <w:left w:w="108" w:type="dxa"/>
            </w:tcMar>
          </w:tcPr>
          <w:p w:rsidR="0073099A" w:rsidRPr="00DE38DC" w:rsidRDefault="0073099A" w:rsidP="00D73E98">
            <w:pPr>
              <w:pStyle w:val="Commentiriquadro"/>
            </w:pPr>
            <w:r w:rsidRPr="00053BE2">
              <w:t>Il tasso di interesse effettivo è il tasso interno di rendimento, costante lungo la durata del credito, che rende uguale il valore attuale dei flussi finanziari futuri derivanti dal titolo di debito e il suo valore di rilevazione iniziale. In caso di interessi contrattuali a tasso variabile si rinvia a quanto indicato nel paragrafo 53.</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25)</w:t>
            </w:r>
          </w:p>
        </w:tc>
        <w:tc>
          <w:tcPr>
            <w:tcW w:w="851" w:type="dxa"/>
            <w:tcMar>
              <w:left w:w="108" w:type="dxa"/>
              <w:right w:w="0" w:type="dxa"/>
            </w:tcMar>
          </w:tcPr>
          <w:p w:rsidR="0073099A" w:rsidRDefault="0073099A" w:rsidP="00D73E98">
            <w:pPr>
              <w:pStyle w:val="PrincCont"/>
              <w:jc w:val="left"/>
              <w:rPr>
                <w:lang w:val="it-IT"/>
              </w:rPr>
            </w:pPr>
            <w:r>
              <w:rPr>
                <w:lang w:val="it-IT"/>
              </w:rPr>
              <w:t>OIC 20.43</w:t>
            </w:r>
          </w:p>
        </w:tc>
        <w:tc>
          <w:tcPr>
            <w:tcW w:w="7060" w:type="dxa"/>
            <w:tcMar>
              <w:left w:w="108" w:type="dxa"/>
            </w:tcMar>
          </w:tcPr>
          <w:p w:rsidR="0073099A" w:rsidRPr="00DE38DC" w:rsidRDefault="0073099A" w:rsidP="00D73E98">
            <w:pPr>
              <w:spacing w:line="240" w:lineRule="exact"/>
              <w:rPr>
                <w:lang w:val="it-IT"/>
              </w:rPr>
            </w:pPr>
            <w:r w:rsidRPr="00053BE2">
              <w:rPr>
                <w:lang w:val="it-IT"/>
              </w:rPr>
              <w:t>I flussi finanziari futuri utili al calcolo del tasso di interesse effettivo sono determinati tenendo in considerazione tutti i termini contrattuali del contratto, incluse le scadenze previste di incasso e pagamento, la natura dei flussi finanziari (capitale o interessi), e la probabilità che l’incasso o il pagamento anticipato si verifichi quando contrattualmente è previsto</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Pr="00573965"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20.43</w:t>
            </w:r>
          </w:p>
        </w:tc>
        <w:tc>
          <w:tcPr>
            <w:tcW w:w="7060" w:type="dxa"/>
            <w:tcMar>
              <w:left w:w="108" w:type="dxa"/>
            </w:tcMar>
          </w:tcPr>
          <w:p w:rsidR="0073099A" w:rsidRPr="00DE38DC" w:rsidRDefault="0073099A" w:rsidP="00D73E98">
            <w:pPr>
              <w:pStyle w:val="Commentiriquadro"/>
            </w:pPr>
            <w:r w:rsidRPr="00053BE2">
              <w:t>Anche nel caso di titoli destinati ad essere venduti prima della data di scadenza si deve valutare lo strumento finanziario considerando i flussi finanziari e le scadenze previste contrattualmente. In caso di una variazione nelle stime dei flussi finanziari futuri si rinvia a quanto indicato nel paragrafo 51.</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CC242B"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20.44</w:t>
            </w:r>
          </w:p>
        </w:tc>
        <w:tc>
          <w:tcPr>
            <w:tcW w:w="7060" w:type="dxa"/>
            <w:tcMar>
              <w:left w:w="108" w:type="dxa"/>
            </w:tcMar>
          </w:tcPr>
          <w:p w:rsidR="0073099A" w:rsidRPr="00DE38DC" w:rsidRDefault="0073099A" w:rsidP="00D73E98">
            <w:pPr>
              <w:pStyle w:val="Commentiriquadro"/>
            </w:pPr>
            <w:r w:rsidRPr="00053BE2">
              <w:t>I flussi finanziari futuri utili al calcolo del tasso di interesse effettivo non includono le perdite e le svalutazioni future dei titoli di debito, salvo il caso in cui i minori incassi attesi siano già riflessi</w:t>
            </w:r>
            <w:r w:rsidRPr="00053BE2">
              <w:rPr>
                <w:rFonts w:ascii="Times New Roman" w:hAnsi="Times New Roman"/>
                <w:sz w:val="22"/>
                <w:szCs w:val="22"/>
              </w:rPr>
              <w:t xml:space="preserve"> </w:t>
            </w:r>
            <w:r w:rsidRPr="00053BE2">
              <w:t>nel valore iniziale di iscrizione del titolo, in quanto acquistato ad un prezzo che tiene conto di tali minori flussi finanziari futuri.</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CC242B"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20.45</w:t>
            </w:r>
          </w:p>
        </w:tc>
        <w:tc>
          <w:tcPr>
            <w:tcW w:w="7060" w:type="dxa"/>
            <w:tcMar>
              <w:left w:w="108" w:type="dxa"/>
            </w:tcMar>
          </w:tcPr>
          <w:p w:rsidR="0073099A" w:rsidRPr="00DE38DC" w:rsidRDefault="0073099A" w:rsidP="00D73E98">
            <w:pPr>
              <w:pStyle w:val="Commentiriquadro"/>
            </w:pPr>
            <w:r w:rsidRPr="00567264">
              <w:t>Le scadenze di pagamento previste contrattualmente sono disattese nella determinazione dei flussi finanziari futuri se ed in quanto, al momento della rilevazione iniziale, sia oggettivamente dimostrabile, sulla base dell’esperienza o di altri fattori documentati, che il titolo sarà incassato in date posteriori alle scadenze contrattuali e a condizione che l’entità del ritardo negli incassi sia ragionevolmente stimabile sulla base delle evidenze</w:t>
            </w:r>
            <w:r w:rsidRPr="00567264">
              <w:rPr>
                <w:spacing w:val="-11"/>
              </w:rPr>
              <w:t xml:space="preserve"> </w:t>
            </w:r>
            <w:r w:rsidRPr="00567264">
              <w:t>disponibili.</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CC242B"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DE38DC" w:rsidRDefault="0073099A" w:rsidP="00D73E98">
            <w:pPr>
              <w:pStyle w:val="Titolo3"/>
              <w:rPr>
                <w:lang w:val="it-IT"/>
              </w:rPr>
            </w:pPr>
            <w:r w:rsidRPr="004E29DD">
              <w:rPr>
                <w:lang w:val="it-IT"/>
              </w:rPr>
              <w:t>Rilevazione iniziale dei titoli di debito n</w:t>
            </w:r>
            <w:r>
              <w:rPr>
                <w:lang w:val="it-IT"/>
              </w:rPr>
              <w:t>el bilancio in forma abbreviata</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FC7C5B" w:rsidRDefault="0073099A" w:rsidP="00D73E98">
            <w:pPr>
              <w:jc w:val="center"/>
              <w:rPr>
                <w:b/>
                <w:lang w:val="it-IT"/>
              </w:rPr>
            </w:pPr>
            <w:r w:rsidRPr="00FC7C5B">
              <w:rPr>
                <w:b/>
                <w:lang w:val="it-IT"/>
              </w:rPr>
              <w:t>26)</w:t>
            </w:r>
          </w:p>
        </w:tc>
        <w:tc>
          <w:tcPr>
            <w:tcW w:w="851" w:type="dxa"/>
            <w:tcMar>
              <w:left w:w="108" w:type="dxa"/>
              <w:right w:w="0" w:type="dxa"/>
            </w:tcMar>
          </w:tcPr>
          <w:p w:rsidR="0073099A" w:rsidRDefault="0073099A" w:rsidP="00D73E98">
            <w:pPr>
              <w:pStyle w:val="PrincCont"/>
              <w:jc w:val="left"/>
              <w:rPr>
                <w:lang w:val="it-IT"/>
              </w:rPr>
            </w:pPr>
            <w:r>
              <w:rPr>
                <w:lang w:val="it-IT"/>
              </w:rPr>
              <w:t>OIC 20.46</w:t>
            </w:r>
          </w:p>
        </w:tc>
        <w:tc>
          <w:tcPr>
            <w:tcW w:w="7060" w:type="dxa"/>
            <w:tcMar>
              <w:left w:w="108" w:type="dxa"/>
            </w:tcMar>
          </w:tcPr>
          <w:p w:rsidR="0073099A" w:rsidRPr="00DE38DC" w:rsidRDefault="0073099A" w:rsidP="00D73E98">
            <w:pPr>
              <w:rPr>
                <w:lang w:val="it-IT"/>
              </w:rPr>
            </w:pPr>
            <w:r w:rsidRPr="004E29DD">
              <w:rPr>
                <w:lang w:val="it-IT"/>
              </w:rPr>
              <w:t xml:space="preserve">Le società che redigono il bilancio in forma abbreviata </w:t>
            </w:r>
            <w:r>
              <w:rPr>
                <w:lang w:val="it-IT"/>
              </w:rPr>
              <w:t xml:space="preserve">hanno </w:t>
            </w:r>
            <w:r w:rsidRPr="004E29DD">
              <w:rPr>
                <w:lang w:val="it-IT"/>
              </w:rPr>
              <w:t>rileva</w:t>
            </w:r>
            <w:r>
              <w:rPr>
                <w:lang w:val="it-IT"/>
              </w:rPr>
              <w:t>t</w:t>
            </w:r>
            <w:r w:rsidRPr="004E29DD">
              <w:rPr>
                <w:lang w:val="it-IT"/>
              </w:rPr>
              <w:t xml:space="preserve">o i titoli di debito in bilancio quando </w:t>
            </w:r>
            <w:r>
              <w:rPr>
                <w:lang w:val="it-IT"/>
              </w:rPr>
              <w:t xml:space="preserve">è </w:t>
            </w:r>
            <w:r w:rsidRPr="004E29DD">
              <w:rPr>
                <w:lang w:val="it-IT"/>
              </w:rPr>
              <w:t>avven</w:t>
            </w:r>
            <w:r>
              <w:rPr>
                <w:lang w:val="it-IT"/>
              </w:rPr>
              <w:t>uta</w:t>
            </w:r>
            <w:r w:rsidRPr="004E29DD">
              <w:rPr>
                <w:lang w:val="it-IT"/>
              </w:rPr>
              <w:t xml:space="preserve"> la consegna del titolo (cd data regolamento)</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20.47</w:t>
            </w:r>
          </w:p>
        </w:tc>
        <w:tc>
          <w:tcPr>
            <w:tcW w:w="7060" w:type="dxa"/>
            <w:tcMar>
              <w:left w:w="108" w:type="dxa"/>
            </w:tcMar>
          </w:tcPr>
          <w:p w:rsidR="0073099A" w:rsidRPr="00DE38DC" w:rsidRDefault="0073099A" w:rsidP="00D73E98">
            <w:pPr>
              <w:pStyle w:val="Commentiriquadro"/>
            </w:pPr>
            <w:r w:rsidRPr="004E29DD">
              <w:t>Ai sensi dell’art</w:t>
            </w:r>
            <w:r>
              <w:t>.</w:t>
            </w:r>
            <w:r w:rsidRPr="004E29DD">
              <w:t xml:space="preserve"> 2435-</w:t>
            </w:r>
            <w:r w:rsidRPr="00241DC6">
              <w:t>bis</w:t>
            </w:r>
            <w:r>
              <w:t xml:space="preserve"> CC</w:t>
            </w:r>
            <w:r w:rsidRPr="004E29DD">
              <w:t>, le società che redigono il bilancio in forma abbreviata, in deroga a quanto disposto dall’art</w:t>
            </w:r>
            <w:r>
              <w:t>.</w:t>
            </w:r>
            <w:r w:rsidRPr="004E29DD">
              <w:t xml:space="preserve"> 2426</w:t>
            </w:r>
            <w:r>
              <w:t xml:space="preserve"> CC</w:t>
            </w:r>
            <w:r w:rsidRPr="004E29DD">
              <w:t xml:space="preserve">, hanno facoltà di iscrivere i titoli al costo d’acquisto. </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E37A7E" w:rsidRDefault="0073099A" w:rsidP="00D73E98">
            <w:pPr>
              <w:jc w:val="center"/>
              <w:rPr>
                <w:b/>
                <w:lang w:val="it-IT"/>
              </w:rPr>
            </w:pPr>
            <w:r w:rsidRPr="00E37A7E">
              <w:rPr>
                <w:b/>
                <w:lang w:val="it-IT"/>
              </w:rPr>
              <w:t>27)</w:t>
            </w:r>
          </w:p>
        </w:tc>
        <w:tc>
          <w:tcPr>
            <w:tcW w:w="851" w:type="dxa"/>
            <w:tcMar>
              <w:left w:w="108" w:type="dxa"/>
              <w:right w:w="0" w:type="dxa"/>
            </w:tcMar>
          </w:tcPr>
          <w:p w:rsidR="0073099A" w:rsidRDefault="0073099A" w:rsidP="00D73E98">
            <w:pPr>
              <w:pStyle w:val="PrincCont"/>
              <w:jc w:val="left"/>
              <w:rPr>
                <w:lang w:val="it-IT"/>
              </w:rPr>
            </w:pPr>
            <w:r>
              <w:rPr>
                <w:lang w:val="it-IT"/>
              </w:rPr>
              <w:t>OIC 20.48</w:t>
            </w:r>
          </w:p>
        </w:tc>
        <w:tc>
          <w:tcPr>
            <w:tcW w:w="7060" w:type="dxa"/>
            <w:tcMar>
              <w:left w:w="108" w:type="dxa"/>
            </w:tcMar>
          </w:tcPr>
          <w:p w:rsidR="0073099A" w:rsidRPr="00DE38DC" w:rsidRDefault="0073099A" w:rsidP="00D73E98">
            <w:pPr>
              <w:spacing w:line="210" w:lineRule="exact"/>
              <w:rPr>
                <w:lang w:val="it-IT"/>
              </w:rPr>
            </w:pPr>
            <w:r w:rsidRPr="004E29DD">
              <w:rPr>
                <w:lang w:val="it-IT"/>
              </w:rPr>
              <w:t>Qualora la società si avvalga d</w:t>
            </w:r>
            <w:r>
              <w:rPr>
                <w:lang w:val="it-IT"/>
              </w:rPr>
              <w:t xml:space="preserve">ella </w:t>
            </w:r>
            <w:r w:rsidRPr="004E29DD">
              <w:rPr>
                <w:lang w:val="it-IT"/>
              </w:rPr>
              <w:t>facoltà, i titoli immobilizzati e non immobilizzati sono iscritti al costo di acquisto (o costo di sottoscrizione) del titolo, che è costituito dal prezzo pagato, comprensivo dei costi accessori</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Pr="00E37A7E"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20.48</w:t>
            </w:r>
          </w:p>
        </w:tc>
        <w:tc>
          <w:tcPr>
            <w:tcW w:w="7060" w:type="dxa"/>
            <w:tcMar>
              <w:left w:w="108" w:type="dxa"/>
            </w:tcMar>
          </w:tcPr>
          <w:p w:rsidR="0073099A" w:rsidRPr="00DE38DC" w:rsidRDefault="0073099A" w:rsidP="00D73E98">
            <w:pPr>
              <w:pStyle w:val="Commentiriquadro"/>
            </w:pPr>
            <w:r w:rsidRPr="004E29DD">
              <w:t>I costi accessori sono in genere costituiti da costi di intermediazione bancaria e finanziaria, spese di consulenza di diretta imputazione, ovvero commissioni, spese e imposte di bollo.</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E37A7E" w:rsidRDefault="0073099A" w:rsidP="00D73E98">
            <w:pPr>
              <w:jc w:val="center"/>
              <w:rPr>
                <w:b/>
                <w:lang w:val="it-IT"/>
              </w:rPr>
            </w:pPr>
            <w:r w:rsidRPr="00E37A7E">
              <w:rPr>
                <w:b/>
                <w:lang w:val="it-IT"/>
              </w:rPr>
              <w:t>28)</w:t>
            </w:r>
          </w:p>
        </w:tc>
        <w:tc>
          <w:tcPr>
            <w:tcW w:w="851" w:type="dxa"/>
            <w:tcMar>
              <w:left w:w="108" w:type="dxa"/>
              <w:right w:w="0" w:type="dxa"/>
            </w:tcMar>
          </w:tcPr>
          <w:p w:rsidR="0073099A" w:rsidRDefault="0073099A" w:rsidP="00D73E98">
            <w:pPr>
              <w:pStyle w:val="PrincCont"/>
              <w:jc w:val="left"/>
              <w:rPr>
                <w:lang w:val="it-IT"/>
              </w:rPr>
            </w:pPr>
            <w:r>
              <w:rPr>
                <w:lang w:val="it-IT"/>
              </w:rPr>
              <w:t>OIC 20.49</w:t>
            </w:r>
          </w:p>
        </w:tc>
        <w:tc>
          <w:tcPr>
            <w:tcW w:w="7060" w:type="dxa"/>
            <w:tcMar>
              <w:left w:w="108" w:type="dxa"/>
            </w:tcMar>
          </w:tcPr>
          <w:p w:rsidR="0073099A" w:rsidRPr="00DE38DC" w:rsidRDefault="0073099A" w:rsidP="00D73E98">
            <w:pPr>
              <w:rPr>
                <w:lang w:val="it-IT"/>
              </w:rPr>
            </w:pPr>
            <w:r>
              <w:rPr>
                <w:lang w:val="it-IT"/>
              </w:rPr>
              <w:t>I</w:t>
            </w:r>
            <w:r w:rsidRPr="004E29DD">
              <w:rPr>
                <w:lang w:val="it-IT"/>
              </w:rPr>
              <w:t>l rateo relativo alla cedola di interessi maturata alla data di acquisto</w:t>
            </w:r>
            <w:r>
              <w:rPr>
                <w:lang w:val="it-IT"/>
              </w:rPr>
              <w:t xml:space="preserve"> non è stato compreso nel costo ed è stato </w:t>
            </w:r>
            <w:r w:rsidRPr="004E29DD">
              <w:rPr>
                <w:lang w:val="it-IT"/>
              </w:rPr>
              <w:t xml:space="preserve">contabilizzato come </w:t>
            </w:r>
            <w:r>
              <w:rPr>
                <w:lang w:val="it-IT"/>
              </w:rPr>
              <w:t>rateo?</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Pr="00E37A7E"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20.49</w:t>
            </w:r>
          </w:p>
        </w:tc>
        <w:tc>
          <w:tcPr>
            <w:tcW w:w="7060" w:type="dxa"/>
            <w:tcMar>
              <w:left w:w="108" w:type="dxa"/>
            </w:tcMar>
          </w:tcPr>
          <w:p w:rsidR="0073099A" w:rsidRPr="00DE38DC" w:rsidRDefault="0073099A" w:rsidP="00D73E98">
            <w:pPr>
              <w:pStyle w:val="Commentiriquadro"/>
            </w:pPr>
            <w:r w:rsidRPr="004E29DD">
              <w:t>In altri termini, per prezzo di costo di un titolo quotato a reddito fisso si intende il prezzo corrispondente alla quotazione del titolo al corso secco (che indica il solo valore capitale del titolo).</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E37A7E"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DE38DC" w:rsidRDefault="0073099A" w:rsidP="00D73E98">
            <w:pPr>
              <w:pStyle w:val="Titolo2"/>
              <w:rPr>
                <w:lang w:val="it-IT"/>
              </w:rPr>
            </w:pPr>
            <w:r>
              <w:rPr>
                <w:lang w:val="it-IT"/>
              </w:rPr>
              <w:t>Valutazione e rilevazioni successive</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E37A7E"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DE38DC" w:rsidRDefault="0073099A" w:rsidP="00D73E98">
            <w:pPr>
              <w:pStyle w:val="Titolo3"/>
              <w:rPr>
                <w:lang w:val="it-IT"/>
              </w:rPr>
            </w:pPr>
            <w:r w:rsidRPr="000F4161">
              <w:rPr>
                <w:lang w:val="it-IT"/>
              </w:rPr>
              <w:t>Titoli immobilizzati</w:t>
            </w:r>
            <w:r>
              <w:rPr>
                <w:lang w:val="it-IT"/>
              </w:rPr>
              <w:t>: profili generali</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E37A7E" w:rsidRDefault="0073099A" w:rsidP="00D73E98">
            <w:pPr>
              <w:jc w:val="center"/>
              <w:rPr>
                <w:b/>
                <w:lang w:val="it-IT"/>
              </w:rPr>
            </w:pPr>
            <w:r w:rsidRPr="00E37A7E">
              <w:rPr>
                <w:b/>
                <w:lang w:val="it-IT"/>
              </w:rPr>
              <w:t>29)</w:t>
            </w:r>
          </w:p>
        </w:tc>
        <w:tc>
          <w:tcPr>
            <w:tcW w:w="851" w:type="dxa"/>
            <w:tcMar>
              <w:left w:w="108" w:type="dxa"/>
              <w:right w:w="0" w:type="dxa"/>
            </w:tcMar>
          </w:tcPr>
          <w:p w:rsidR="0073099A" w:rsidRDefault="0073099A" w:rsidP="00D73E98">
            <w:pPr>
              <w:pStyle w:val="PrincCont"/>
              <w:jc w:val="left"/>
              <w:rPr>
                <w:lang w:val="it-IT"/>
              </w:rPr>
            </w:pPr>
            <w:r>
              <w:rPr>
                <w:lang w:val="it-IT"/>
              </w:rPr>
              <w:t>OIC 20.50</w:t>
            </w:r>
          </w:p>
        </w:tc>
        <w:tc>
          <w:tcPr>
            <w:tcW w:w="7060" w:type="dxa"/>
            <w:tcMar>
              <w:left w:w="108" w:type="dxa"/>
            </w:tcMar>
          </w:tcPr>
          <w:p w:rsidR="0073099A" w:rsidRPr="00DE38DC" w:rsidRDefault="0073099A" w:rsidP="00D73E98">
            <w:pPr>
              <w:spacing w:line="240" w:lineRule="exact"/>
              <w:rPr>
                <w:lang w:val="it-IT"/>
              </w:rPr>
            </w:pPr>
            <w:r w:rsidRPr="00617BAA">
              <w:rPr>
                <w:lang w:val="it-IT"/>
              </w:rPr>
              <w:t xml:space="preserve">Alla chiusura dell’esercizio, il valore dei </w:t>
            </w:r>
            <w:r>
              <w:rPr>
                <w:lang w:val="it-IT"/>
              </w:rPr>
              <w:t>titoli immobilizzati v</w:t>
            </w:r>
            <w:r w:rsidRPr="00617BAA">
              <w:rPr>
                <w:lang w:val="it-IT"/>
              </w:rPr>
              <w:t>alutati al costo ammortizzato è iscritto al valore attuale dei flussi finanziari futuri scontati al tasso di interesse effettivo?</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20.50</w:t>
            </w:r>
          </w:p>
        </w:tc>
        <w:tc>
          <w:tcPr>
            <w:tcW w:w="7060" w:type="dxa"/>
            <w:tcMar>
              <w:left w:w="108" w:type="dxa"/>
            </w:tcMar>
          </w:tcPr>
          <w:p w:rsidR="0073099A" w:rsidRDefault="0073099A" w:rsidP="00D73E98">
            <w:pPr>
              <w:pStyle w:val="Commentiriquadro"/>
            </w:pPr>
            <w:r w:rsidRPr="00617BAA">
              <w:t>Il procedimento per determinare, successivamente alla rilevazione iniziale, il valore dei titoli valutati al costo ammortizzato da iscrivere in bilancio è il seguente:</w:t>
            </w:r>
          </w:p>
          <w:p w:rsidR="0073099A" w:rsidRDefault="0073099A" w:rsidP="004E27C2">
            <w:pPr>
              <w:pStyle w:val="Commentiriquadro"/>
              <w:numPr>
                <w:ilvl w:val="0"/>
                <w:numId w:val="22"/>
              </w:numPr>
              <w:spacing w:line="180" w:lineRule="exact"/>
              <w:ind w:left="318" w:hanging="261"/>
            </w:pPr>
            <w:r w:rsidRPr="00617BAA">
              <w:t>determinare l’ammontare degli interessi calcolati con il criterio del tasso di interesse effettivo sul valore contabile del titolo all’inizio dell’esercizio, o alla più recente data di rilevazione iniziale;</w:t>
            </w:r>
          </w:p>
          <w:p w:rsidR="0073099A" w:rsidRDefault="0073099A" w:rsidP="004E27C2">
            <w:pPr>
              <w:pStyle w:val="Commentiriquadro"/>
              <w:numPr>
                <w:ilvl w:val="0"/>
                <w:numId w:val="22"/>
              </w:numPr>
              <w:spacing w:line="180" w:lineRule="exact"/>
              <w:ind w:left="318" w:hanging="261"/>
            </w:pPr>
            <w:r w:rsidRPr="00617BAA">
              <w:t>aggiungere l’ammontare degli interessi così ottenuto al precedente valore contabile del titolo</w:t>
            </w:r>
            <w:r>
              <w:t>;</w:t>
            </w:r>
          </w:p>
          <w:p w:rsidR="0073099A" w:rsidRDefault="0073099A" w:rsidP="004E27C2">
            <w:pPr>
              <w:pStyle w:val="Commentiriquadro"/>
              <w:numPr>
                <w:ilvl w:val="0"/>
                <w:numId w:val="22"/>
              </w:numPr>
              <w:spacing w:line="180" w:lineRule="exact"/>
              <w:ind w:left="318" w:hanging="261"/>
            </w:pPr>
            <w:r w:rsidRPr="00617BAA">
              <w:t>sottrarre gli incassi per interessi e capitale intervenuti nel periodo;</w:t>
            </w:r>
          </w:p>
          <w:p w:rsidR="0073099A" w:rsidRPr="00617BAA" w:rsidRDefault="0073099A" w:rsidP="004E27C2">
            <w:pPr>
              <w:pStyle w:val="Commentiriquadro"/>
              <w:numPr>
                <w:ilvl w:val="0"/>
                <w:numId w:val="22"/>
              </w:numPr>
              <w:spacing w:line="180" w:lineRule="exact"/>
              <w:ind w:left="318" w:hanging="261"/>
            </w:pPr>
            <w:r w:rsidRPr="00617BAA">
              <w:t>sottrarre le eventuali perdite durevoli di valore sui titoli.</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CC242B"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20.51</w:t>
            </w:r>
          </w:p>
        </w:tc>
        <w:tc>
          <w:tcPr>
            <w:tcW w:w="7060" w:type="dxa"/>
            <w:tcMar>
              <w:left w:w="108" w:type="dxa"/>
            </w:tcMar>
          </w:tcPr>
          <w:p w:rsidR="0073099A" w:rsidRPr="00617BAA" w:rsidRDefault="0073099A" w:rsidP="00D73E98">
            <w:pPr>
              <w:pStyle w:val="Commentiriquadro"/>
              <w:spacing w:line="190" w:lineRule="exact"/>
            </w:pPr>
            <w:r w:rsidRPr="00617BAA">
              <w:t>Se, successivamente alla rilevazione iniziale, la società rivede le proprie stime di flussi finanziari futuri (es.: prevede che il titolo sarà rimborsato anticipatamente o successivamente rispetto alla scadenza), essa deve rettificare il valore contabile del titolo per riflettere i rideterminati flussi finanziari stimati. La società ricalcola il valore contabile del titolo alla data di revisione della stima dei flussi finanziari scontando i rideterminati flussi finanziari al tasso di interesse effettivo calcolato in sede di rilevazione iniziale. La differenza tra il valore attuale rideterminato del titolo alla data di revisione della stima dei flussi finanziari futuri e il suo precedente valore contabile alla stessa data è rilevata a conto economico negli oneri o nei proventi finanziari.</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E37A7E" w:rsidRDefault="0073099A" w:rsidP="00D73E98">
            <w:pPr>
              <w:jc w:val="center"/>
              <w:rPr>
                <w:b/>
                <w:lang w:val="it-IT"/>
              </w:rPr>
            </w:pPr>
            <w:r w:rsidRPr="00E37A7E">
              <w:rPr>
                <w:b/>
                <w:lang w:val="it-IT"/>
              </w:rPr>
              <w:t>30)</w:t>
            </w:r>
          </w:p>
        </w:tc>
        <w:tc>
          <w:tcPr>
            <w:tcW w:w="851" w:type="dxa"/>
            <w:tcMar>
              <w:left w:w="108" w:type="dxa"/>
              <w:right w:w="0" w:type="dxa"/>
            </w:tcMar>
          </w:tcPr>
          <w:p w:rsidR="0073099A" w:rsidRDefault="0073099A" w:rsidP="00D73E98">
            <w:pPr>
              <w:pStyle w:val="PrincCont"/>
              <w:jc w:val="left"/>
              <w:rPr>
                <w:lang w:val="it-IT"/>
              </w:rPr>
            </w:pPr>
            <w:r>
              <w:rPr>
                <w:lang w:val="it-IT"/>
              </w:rPr>
              <w:t>OIC 20.51</w:t>
            </w:r>
          </w:p>
        </w:tc>
        <w:tc>
          <w:tcPr>
            <w:tcW w:w="7060" w:type="dxa"/>
            <w:tcMar>
              <w:left w:w="108" w:type="dxa"/>
            </w:tcMar>
          </w:tcPr>
          <w:p w:rsidR="0073099A" w:rsidRPr="00DE38DC" w:rsidRDefault="0073099A" w:rsidP="00D73E98">
            <w:pPr>
              <w:rPr>
                <w:lang w:val="it-IT"/>
              </w:rPr>
            </w:pPr>
            <w:r>
              <w:rPr>
                <w:lang w:val="it-IT"/>
              </w:rPr>
              <w:t>In caso di revisione della stima dei flussi finanziari futuri, l</w:t>
            </w:r>
            <w:r w:rsidRPr="004C4CE6">
              <w:rPr>
                <w:lang w:val="it-IT"/>
              </w:rPr>
              <w:t xml:space="preserve">a differenza tra il valore attuale rideterminato del </w:t>
            </w:r>
            <w:r>
              <w:rPr>
                <w:lang w:val="it-IT"/>
              </w:rPr>
              <w:t>titol</w:t>
            </w:r>
            <w:r w:rsidRPr="004C4CE6">
              <w:rPr>
                <w:lang w:val="it-IT"/>
              </w:rPr>
              <w:t>o alla data di revisione della stima dei flussi finanziari futuri e il suo precedente valore contabile alla stessa data è rilevata a conto economico negli oneri o nei proventi finanziari?</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7957B4" w:rsidTr="00D73E98">
        <w:trPr>
          <w:cantSplit/>
          <w:trHeight w:val="20"/>
        </w:trPr>
        <w:tc>
          <w:tcPr>
            <w:tcW w:w="680" w:type="dxa"/>
          </w:tcPr>
          <w:p w:rsidR="0073099A" w:rsidRPr="00E37A7E" w:rsidRDefault="0073099A" w:rsidP="00D73E98">
            <w:pPr>
              <w:jc w:val="center"/>
              <w:rPr>
                <w:b/>
                <w:lang w:val="it-IT"/>
              </w:rPr>
            </w:pPr>
            <w:r w:rsidRPr="00E37A7E">
              <w:rPr>
                <w:b/>
                <w:lang w:val="it-IT"/>
              </w:rPr>
              <w:t>31)</w:t>
            </w:r>
          </w:p>
        </w:tc>
        <w:tc>
          <w:tcPr>
            <w:tcW w:w="851" w:type="dxa"/>
            <w:tcMar>
              <w:left w:w="108" w:type="dxa"/>
              <w:right w:w="0" w:type="dxa"/>
            </w:tcMar>
          </w:tcPr>
          <w:p w:rsidR="0073099A" w:rsidRDefault="0073099A" w:rsidP="00D73E98">
            <w:pPr>
              <w:pStyle w:val="PrincCont"/>
              <w:jc w:val="left"/>
              <w:rPr>
                <w:lang w:val="it-IT"/>
              </w:rPr>
            </w:pPr>
            <w:r>
              <w:rPr>
                <w:lang w:val="it-IT"/>
              </w:rPr>
              <w:t>OIC 20.52</w:t>
            </w:r>
          </w:p>
        </w:tc>
        <w:tc>
          <w:tcPr>
            <w:tcW w:w="7060" w:type="dxa"/>
            <w:tcMar>
              <w:left w:w="108" w:type="dxa"/>
            </w:tcMar>
          </w:tcPr>
          <w:p w:rsidR="0073099A" w:rsidRPr="00DE38DC" w:rsidRDefault="0073099A" w:rsidP="00D73E98">
            <w:pPr>
              <w:rPr>
                <w:lang w:val="it-IT"/>
              </w:rPr>
            </w:pPr>
            <w:r w:rsidRPr="004C4CE6">
              <w:rPr>
                <w:lang w:val="it-IT"/>
              </w:rPr>
              <w:t>Il tasso di interesse effettivo determinato in sede di rilevazione iniziale non è successivamente ricalcolato ed è applicato fino all’estinzione del titolo, ad eccezione d</w:t>
            </w:r>
            <w:r>
              <w:rPr>
                <w:lang w:val="it-IT"/>
              </w:rPr>
              <w:t>i quanto previsto in caso di tassi contrattuali variabili?</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Pr="00E37A7E"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20.53</w:t>
            </w:r>
          </w:p>
        </w:tc>
        <w:tc>
          <w:tcPr>
            <w:tcW w:w="7060" w:type="dxa"/>
            <w:tcMar>
              <w:left w:w="108" w:type="dxa"/>
            </w:tcMar>
          </w:tcPr>
          <w:p w:rsidR="0073099A" w:rsidRPr="004C4CE6" w:rsidRDefault="0073099A" w:rsidP="00D73E98">
            <w:pPr>
              <w:pStyle w:val="Commentiriquadro"/>
            </w:pPr>
            <w:r w:rsidRPr="004C4CE6">
              <w:t xml:space="preserve">Quando il tasso di interesse nominale contrattuale è variabile e parametrato ai tassi di mercato, i flussi finanziari futuri sono rideterminati periodicamente per riflettere le variazioni del tasso di interesse e il tasso di interesse effettivo è ricalcolato con decorrenza dalla data in cui gli interessi sono stati rilevati in base al contratto. Nel ricalcolare il tasso di interesse effettivo, in alternativa all’utilizzo della curva dei tassi attesi, si può proiettare l’ultimo tasso disponibile. Non occorre ricalcolare il tasso di interesse effettivo quando il tasso di interesse nominale aumenta o diminuisce in modo prestabilito dalle previsioni contrattuali e le sue variazioni non sono dovute a indicizzazioni legate a parametri di mercato; può essere il caso delle clausole contrattuali di </w:t>
            </w:r>
            <w:r w:rsidRPr="004C4CE6">
              <w:rPr>
                <w:i/>
              </w:rPr>
              <w:t xml:space="preserve">“step-up” </w:t>
            </w:r>
            <w:r w:rsidRPr="004C4CE6">
              <w:t xml:space="preserve">o di </w:t>
            </w:r>
            <w:r w:rsidRPr="004C4CE6">
              <w:rPr>
                <w:i/>
              </w:rPr>
              <w:t xml:space="preserve">“step-down” </w:t>
            </w:r>
            <w:r w:rsidRPr="004C4CE6">
              <w:t>che prevedono incrementi o decrementi prestabiliti del tasso di interesse nominale (es.: il tasso del 4% per il primo anno, del 6% per il secondo e dell’8% dal terzo anno e fino alla data di scadenza).</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E37A7E" w:rsidRDefault="0073099A" w:rsidP="00D73E98">
            <w:pPr>
              <w:jc w:val="center"/>
              <w:rPr>
                <w:b/>
                <w:lang w:val="it-IT"/>
              </w:rPr>
            </w:pPr>
            <w:r w:rsidRPr="00E37A7E">
              <w:rPr>
                <w:b/>
                <w:lang w:val="it-IT"/>
              </w:rPr>
              <w:t>32)</w:t>
            </w:r>
          </w:p>
        </w:tc>
        <w:tc>
          <w:tcPr>
            <w:tcW w:w="851" w:type="dxa"/>
            <w:tcMar>
              <w:left w:w="108" w:type="dxa"/>
              <w:right w:w="0" w:type="dxa"/>
            </w:tcMar>
          </w:tcPr>
          <w:p w:rsidR="0073099A" w:rsidRDefault="0073099A" w:rsidP="00D73E98">
            <w:pPr>
              <w:pStyle w:val="PrincCont"/>
              <w:jc w:val="left"/>
              <w:rPr>
                <w:lang w:val="it-IT"/>
              </w:rPr>
            </w:pPr>
            <w:r>
              <w:rPr>
                <w:lang w:val="it-IT"/>
              </w:rPr>
              <w:t>OIC 20.53</w:t>
            </w:r>
          </w:p>
        </w:tc>
        <w:tc>
          <w:tcPr>
            <w:tcW w:w="7060" w:type="dxa"/>
            <w:tcMar>
              <w:left w:w="108" w:type="dxa"/>
            </w:tcMar>
          </w:tcPr>
          <w:p w:rsidR="0073099A" w:rsidRPr="00DE38DC" w:rsidRDefault="0073099A" w:rsidP="00D73E98">
            <w:pPr>
              <w:rPr>
                <w:lang w:val="it-IT"/>
              </w:rPr>
            </w:pPr>
            <w:r w:rsidRPr="0032556A">
              <w:rPr>
                <w:lang w:val="it-IT"/>
              </w:rPr>
              <w:t>In caso di tasso contrattuale variabile i flussi finanziari futuri e il tasso di interesse effettivo sono stati ricalcolati con decorrenza dalla data in cui gli interessi sono stati rilevati in base al contratto?</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7957B4" w:rsidTr="00D73E98">
        <w:trPr>
          <w:cantSplit/>
          <w:trHeight w:val="20"/>
        </w:trPr>
        <w:tc>
          <w:tcPr>
            <w:tcW w:w="680" w:type="dxa"/>
          </w:tcPr>
          <w:p w:rsidR="0073099A" w:rsidRPr="00E37A7E" w:rsidRDefault="0073099A" w:rsidP="00D73E98">
            <w:pPr>
              <w:jc w:val="center"/>
              <w:rPr>
                <w:b/>
                <w:lang w:val="it-IT"/>
              </w:rPr>
            </w:pPr>
            <w:r w:rsidRPr="00E37A7E">
              <w:rPr>
                <w:b/>
                <w:lang w:val="it-IT"/>
              </w:rPr>
              <w:t>33)</w:t>
            </w:r>
          </w:p>
        </w:tc>
        <w:tc>
          <w:tcPr>
            <w:tcW w:w="851" w:type="dxa"/>
            <w:tcMar>
              <w:left w:w="108" w:type="dxa"/>
              <w:right w:w="0" w:type="dxa"/>
            </w:tcMar>
          </w:tcPr>
          <w:p w:rsidR="0073099A" w:rsidRDefault="0073099A" w:rsidP="00D73E98">
            <w:pPr>
              <w:pStyle w:val="PrincCont"/>
              <w:jc w:val="left"/>
              <w:rPr>
                <w:lang w:val="it-IT"/>
              </w:rPr>
            </w:pPr>
            <w:r>
              <w:rPr>
                <w:lang w:val="it-IT"/>
              </w:rPr>
              <w:t>OIC 20.54</w:t>
            </w:r>
          </w:p>
        </w:tc>
        <w:tc>
          <w:tcPr>
            <w:tcW w:w="7060" w:type="dxa"/>
            <w:tcMar>
              <w:left w:w="108" w:type="dxa"/>
            </w:tcMar>
          </w:tcPr>
          <w:p w:rsidR="0073099A" w:rsidRPr="00DE38DC" w:rsidRDefault="0073099A" w:rsidP="00D73E98">
            <w:pPr>
              <w:rPr>
                <w:lang w:val="it-IT"/>
              </w:rPr>
            </w:pPr>
            <w:r w:rsidRPr="0032556A">
              <w:rPr>
                <w:lang w:val="it-IT"/>
              </w:rPr>
              <w:t>I titoli di debito, quotati o non quotati, in quanto immobilizzati sono valutati titolo per titolo</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7957B4" w:rsidTr="00D73E98">
        <w:trPr>
          <w:cantSplit/>
          <w:trHeight w:val="20"/>
        </w:trPr>
        <w:tc>
          <w:tcPr>
            <w:tcW w:w="680" w:type="dxa"/>
          </w:tcPr>
          <w:p w:rsidR="0073099A" w:rsidRPr="00E37A7E" w:rsidRDefault="0073099A" w:rsidP="00D73E98">
            <w:pPr>
              <w:jc w:val="center"/>
              <w:rPr>
                <w:b/>
                <w:lang w:val="it-IT"/>
              </w:rPr>
            </w:pPr>
            <w:r w:rsidRPr="00E37A7E">
              <w:rPr>
                <w:b/>
                <w:lang w:val="it-IT"/>
              </w:rPr>
              <w:t>34)</w:t>
            </w:r>
          </w:p>
        </w:tc>
        <w:tc>
          <w:tcPr>
            <w:tcW w:w="851" w:type="dxa"/>
            <w:tcMar>
              <w:left w:w="108" w:type="dxa"/>
              <w:right w:w="0" w:type="dxa"/>
            </w:tcMar>
          </w:tcPr>
          <w:p w:rsidR="0073099A" w:rsidRDefault="0073099A" w:rsidP="00D73E98">
            <w:pPr>
              <w:pStyle w:val="PrincCont"/>
              <w:jc w:val="left"/>
              <w:rPr>
                <w:lang w:val="it-IT"/>
              </w:rPr>
            </w:pPr>
            <w:r>
              <w:rPr>
                <w:lang w:val="it-IT"/>
              </w:rPr>
              <w:t>OIC 20.54</w:t>
            </w:r>
          </w:p>
        </w:tc>
        <w:tc>
          <w:tcPr>
            <w:tcW w:w="7060" w:type="dxa"/>
            <w:tcMar>
              <w:left w:w="108" w:type="dxa"/>
            </w:tcMar>
          </w:tcPr>
          <w:p w:rsidR="0073099A" w:rsidRPr="00DE38DC" w:rsidRDefault="0073099A" w:rsidP="00D73E98">
            <w:pPr>
              <w:rPr>
                <w:lang w:val="it-IT"/>
              </w:rPr>
            </w:pPr>
            <w:r w:rsidRPr="00413B17">
              <w:rPr>
                <w:lang w:val="it-IT"/>
              </w:rPr>
              <w:t>In caso di cessione di una parte di un portafoglio titoli acquistato in date diverse a prezzi diversi, il riferimento per la definizione del costo dei titoli ceduti è il costo specifico</w:t>
            </w:r>
            <w:r>
              <w:rPr>
                <w:lang w:val="it-IT"/>
              </w:rPr>
              <w:t xml:space="preserve"> o uno dei m</w:t>
            </w:r>
            <w:r w:rsidRPr="00413B17">
              <w:rPr>
                <w:lang w:val="it-IT"/>
              </w:rPr>
              <w:t>etodi previsti dall’art</w:t>
            </w:r>
            <w:r>
              <w:rPr>
                <w:lang w:val="it-IT"/>
              </w:rPr>
              <w:t>.</w:t>
            </w:r>
            <w:r w:rsidRPr="00413B17">
              <w:rPr>
                <w:lang w:val="it-IT"/>
              </w:rPr>
              <w:t xml:space="preserve"> 2426, n</w:t>
            </w:r>
            <w:r>
              <w:rPr>
                <w:lang w:val="it-IT"/>
              </w:rPr>
              <w:t>.</w:t>
            </w:r>
            <w:r w:rsidRPr="00413B17">
              <w:rPr>
                <w:lang w:val="it-IT"/>
              </w:rPr>
              <w:t>10</w:t>
            </w:r>
            <w:r>
              <w:rPr>
                <w:lang w:val="it-IT"/>
              </w:rPr>
              <w:t xml:space="preserve"> CC</w:t>
            </w:r>
            <w:r w:rsidRPr="00413B17">
              <w:rPr>
                <w:lang w:val="it-IT"/>
              </w:rPr>
              <w:t xml:space="preserve"> (FIFO, LIFO e costo medio ponderato)</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p>
        </w:tc>
        <w:tc>
          <w:tcPr>
            <w:tcW w:w="7060" w:type="dxa"/>
            <w:tcMar>
              <w:left w:w="108" w:type="dxa"/>
            </w:tcMar>
          </w:tcPr>
          <w:p w:rsidR="0073099A" w:rsidRPr="00413B17" w:rsidRDefault="0073099A" w:rsidP="00D73E98">
            <w:pPr>
              <w:pStyle w:val="Titolo3"/>
              <w:rPr>
                <w:lang w:val="it-IT"/>
              </w:rPr>
            </w:pPr>
            <w:r w:rsidRPr="00413B17">
              <w:rPr>
                <w:lang w:val="it-IT"/>
              </w:rPr>
              <w:t>Titoli immobilizzati: perdita durevole di valore</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DE38DC" w:rsidRDefault="0073099A" w:rsidP="00D73E98">
            <w:pPr>
              <w:jc w:val="center"/>
              <w:rPr>
                <w:lang w:val="it-IT"/>
              </w:rPr>
            </w:pPr>
          </w:p>
        </w:tc>
        <w:tc>
          <w:tcPr>
            <w:tcW w:w="570" w:type="dxa"/>
            <w:tcMar>
              <w:left w:w="108" w:type="dxa"/>
            </w:tcMar>
            <w:vAlign w:val="center"/>
          </w:tcPr>
          <w:p w:rsidR="0073099A" w:rsidRPr="00DE38DC" w:rsidRDefault="0073099A" w:rsidP="00D73E98">
            <w:pPr>
              <w:jc w:val="center"/>
              <w:rPr>
                <w:lang w:val="it-IT"/>
              </w:rPr>
            </w:pPr>
          </w:p>
        </w:tc>
      </w:tr>
      <w:tr w:rsidR="0073099A" w:rsidRPr="00CC242B"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r>
              <w:rPr>
                <w:lang w:val="it-IT"/>
              </w:rPr>
              <w:t>OIC 20.55</w:t>
            </w:r>
          </w:p>
        </w:tc>
        <w:tc>
          <w:tcPr>
            <w:tcW w:w="7060" w:type="dxa"/>
            <w:tcMar>
              <w:left w:w="108" w:type="dxa"/>
            </w:tcMar>
          </w:tcPr>
          <w:p w:rsidR="0073099A" w:rsidRDefault="0073099A" w:rsidP="00D73E98">
            <w:pPr>
              <w:pStyle w:val="Commentiriquadro"/>
            </w:pPr>
            <w:r w:rsidRPr="00445663">
              <w:t>La perdita durevole di valore di un titolo immobilizzato si ha quando, per ragioni legate alla capacità di rimborso dell’emittente, la società ritenga con ragionevolezza e fondatezza di non poter più incassare integralmente i flussi di cassa – in linea capitale o interessi – previsti dal contratto.</w:t>
            </w:r>
          </w:p>
          <w:p w:rsidR="0073099A" w:rsidRDefault="0073099A" w:rsidP="00D73E98">
            <w:pPr>
              <w:pStyle w:val="Commentiriquadro"/>
            </w:pPr>
            <w:r w:rsidRPr="00445663">
              <w:t>Indicatori di una situazione di deterioramento duraturo della situazione di solvibilità dell’emittente sono, ad esempio, i seguenti:</w:t>
            </w:r>
          </w:p>
          <w:p w:rsidR="0073099A" w:rsidRDefault="0073099A" w:rsidP="00D73E98">
            <w:pPr>
              <w:pStyle w:val="Commentiriquadro"/>
              <w:ind w:left="176" w:hanging="119"/>
            </w:pPr>
            <w:r>
              <w:t xml:space="preserve">- </w:t>
            </w:r>
            <w:r>
              <w:tab/>
            </w:r>
            <w:r w:rsidRPr="00445663">
              <w:t>ritardato o mancato pagamento di quote capitale o interessi (ad eccezione del caso in cui sia previsto contrattualmente che l’emittente abbia il diritto di ritardare o non pagare quote interessi senza che ciò costituisca “inadempimento contrattuale”);</w:t>
            </w:r>
          </w:p>
          <w:p w:rsidR="0073099A" w:rsidRPr="00445663" w:rsidRDefault="0073099A" w:rsidP="00D73E98">
            <w:pPr>
              <w:pStyle w:val="Commentiriquadro"/>
              <w:ind w:left="176" w:hanging="119"/>
            </w:pPr>
            <w:r w:rsidRPr="00445663">
              <w:t xml:space="preserve">- </w:t>
            </w:r>
            <w:r>
              <w:tab/>
            </w:r>
            <w:r w:rsidRPr="00445663">
              <w:t>ristrutturazione del debito;</w:t>
            </w:r>
          </w:p>
          <w:p w:rsidR="0073099A" w:rsidRDefault="0073099A" w:rsidP="00D73E98">
            <w:pPr>
              <w:pStyle w:val="Commentiriquadro"/>
              <w:ind w:left="176" w:hanging="119"/>
            </w:pPr>
            <w:r>
              <w:t xml:space="preserve">- </w:t>
            </w:r>
            <w:r>
              <w:tab/>
            </w:r>
            <w:r w:rsidRPr="00445663">
              <w:t>valore di mercato del titolo persistentemente inferiore al valore di iscrizione in bilancio. In proposito va precisato che, trattandosi di titoli immobilizzati, non può essere considerato motivo di automatico abbattimento del costo un improvviso e generalizzato ribasso del valore</w:t>
            </w:r>
            <w:r>
              <w:t xml:space="preserve"> </w:t>
            </w:r>
            <w:r w:rsidRPr="00445663">
              <w:t xml:space="preserve">di mercato. È necessario che il ribasso, per la sua entità relativa e/o per la sua durevolezza, esprima un significativo e sostanzialmente permanente peggioramento del merito creditizio dell’emittente. Ai fini dell’analisi del merito creditizio di un emittente quotato può essere utile effettuare anche un’analisi dei prezzi e degli spread espressi dal mercato obbligazionario ed eventualmente dei </w:t>
            </w:r>
            <w:r w:rsidRPr="00445663">
              <w:rPr>
                <w:i/>
              </w:rPr>
              <w:t>Credit Default Swap</w:t>
            </w:r>
            <w:r w:rsidRPr="00445663">
              <w:t xml:space="preserve">, con l’obiettivo di evidenziare eventuali criticità legate allo specifico emittente e non al mercato di riferimento nella sua genericità. In tale ambito possono assumere rilievo le seguenti circostanze, purché corroborate con altri elementi informativi: a) repentino e significativo abbassamento del </w:t>
            </w:r>
            <w:r w:rsidRPr="00445663">
              <w:rPr>
                <w:i/>
              </w:rPr>
              <w:t xml:space="preserve">rating </w:t>
            </w:r>
            <w:r w:rsidRPr="00445663">
              <w:t xml:space="preserve">(c.d. </w:t>
            </w:r>
            <w:r w:rsidRPr="00445663">
              <w:rPr>
                <w:i/>
              </w:rPr>
              <w:t>downgrade</w:t>
            </w:r>
            <w:r w:rsidRPr="00445663">
              <w:t xml:space="preserve">); b) repentina scomparsa di mercato attivo o significativo innalzamento delle quotazioni di </w:t>
            </w:r>
            <w:r w:rsidRPr="00445663">
              <w:rPr>
                <w:i/>
              </w:rPr>
              <w:t>Credit Default Swap</w:t>
            </w:r>
            <w:r w:rsidRPr="00445663">
              <w:t>;</w:t>
            </w:r>
          </w:p>
          <w:p w:rsidR="0073099A" w:rsidRPr="00445663" w:rsidRDefault="0073099A" w:rsidP="00D73E98">
            <w:pPr>
              <w:pStyle w:val="Commentiriquadro"/>
              <w:ind w:left="176" w:hanging="119"/>
            </w:pPr>
            <w:r>
              <w:t xml:space="preserve">- </w:t>
            </w:r>
            <w:r w:rsidRPr="00445663">
              <w:t>indicatori economico-patrimoniali e finanziari dell’emittente che facciano ritenere probabile un non integrale pagamento dei flussi finanziari del titolo in termini di interessi e/o di rimborso del capitale alla scadenza. Ciò vale soprattutto per i titoli non quotati. Per questi vanno utilizzati tutti i dati e le informazioni disponibili allo scopo di accertare se si sia o meno verificato un deterioramento duraturo delle condizioni economico-patrimoniali e finanziari della società emittente con connessi rischi di illiquidità o di insolvenza della stessa, che possono compromettere la capacità della stessa di corrispondere gli interessi e di rimborsare i titoli alla scadenza o che possano compromettere il realizzo dei titoli senza perdita per la società;</w:t>
            </w:r>
          </w:p>
          <w:p w:rsidR="0073099A" w:rsidRPr="009673DF" w:rsidRDefault="0073099A" w:rsidP="00D73E98">
            <w:pPr>
              <w:pStyle w:val="Commentiriquadro"/>
              <w:ind w:left="176" w:hanging="119"/>
              <w:rPr>
                <w:i/>
              </w:rPr>
            </w:pPr>
            <w:r>
              <w:t xml:space="preserve">- </w:t>
            </w:r>
            <w:r>
              <w:tab/>
            </w:r>
            <w:r w:rsidRPr="009673DF">
              <w:t xml:space="preserve">evento di </w:t>
            </w:r>
            <w:r w:rsidRPr="009673DF">
              <w:rPr>
                <w:i/>
              </w:rPr>
              <w:t>default;</w:t>
            </w:r>
          </w:p>
          <w:p w:rsidR="0073099A" w:rsidRPr="00445663" w:rsidRDefault="0073099A" w:rsidP="00D73E98">
            <w:pPr>
              <w:pStyle w:val="Commentiriquadro"/>
              <w:ind w:left="176" w:hanging="119"/>
            </w:pPr>
            <w:r w:rsidRPr="009673DF">
              <w:rPr>
                <w:i/>
              </w:rPr>
              <w:t>-</w:t>
            </w:r>
            <w:r w:rsidRPr="009673DF">
              <w:rPr>
                <w:i/>
              </w:rPr>
              <w:tab/>
            </w:r>
            <w:r w:rsidRPr="00241DC6">
              <w:t>ammissione a procedure concorsuali</w:t>
            </w:r>
            <w:r w:rsidRPr="009673DF">
              <w:rPr>
                <w:i/>
              </w:rPr>
              <w:t>.</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617BAA" w:rsidTr="00D73E98">
        <w:trPr>
          <w:cantSplit/>
          <w:trHeight w:val="20"/>
        </w:trPr>
        <w:tc>
          <w:tcPr>
            <w:tcW w:w="680" w:type="dxa"/>
          </w:tcPr>
          <w:p w:rsidR="0073099A" w:rsidRPr="0043728B" w:rsidRDefault="0073099A" w:rsidP="00D73E98">
            <w:pPr>
              <w:jc w:val="center"/>
              <w:rPr>
                <w:b/>
                <w:lang w:val="it-IT"/>
              </w:rPr>
            </w:pPr>
            <w:r w:rsidRPr="0043728B">
              <w:rPr>
                <w:b/>
                <w:lang w:val="it-IT"/>
              </w:rPr>
              <w:t>35)</w:t>
            </w:r>
          </w:p>
        </w:tc>
        <w:tc>
          <w:tcPr>
            <w:tcW w:w="851" w:type="dxa"/>
            <w:tcMar>
              <w:left w:w="108" w:type="dxa"/>
              <w:right w:w="0" w:type="dxa"/>
            </w:tcMar>
          </w:tcPr>
          <w:p w:rsidR="0073099A" w:rsidRPr="008A0F36" w:rsidRDefault="0073099A" w:rsidP="00D73E98">
            <w:pPr>
              <w:pStyle w:val="PrincCont"/>
              <w:jc w:val="left"/>
              <w:rPr>
                <w:lang w:val="it-IT"/>
              </w:rPr>
            </w:pPr>
            <w:r>
              <w:rPr>
                <w:lang w:val="it-IT"/>
              </w:rPr>
              <w:t>OIC 20.56</w:t>
            </w:r>
          </w:p>
        </w:tc>
        <w:tc>
          <w:tcPr>
            <w:tcW w:w="7060" w:type="dxa"/>
            <w:tcMar>
              <w:left w:w="108" w:type="dxa"/>
            </w:tcMar>
          </w:tcPr>
          <w:p w:rsidR="0073099A" w:rsidRPr="00AD6E2D" w:rsidRDefault="0073099A" w:rsidP="00D73E98">
            <w:pPr>
              <w:spacing w:line="240" w:lineRule="exact"/>
              <w:rPr>
                <w:lang w:val="it-IT"/>
              </w:rPr>
            </w:pPr>
            <w:r>
              <w:rPr>
                <w:lang w:val="it-IT"/>
              </w:rPr>
              <w:t xml:space="preserve">La </w:t>
            </w:r>
            <w:r w:rsidRPr="00B01258">
              <w:rPr>
                <w:lang w:val="it-IT"/>
              </w:rPr>
              <w:t>perdita d</w:t>
            </w:r>
            <w:r>
              <w:rPr>
                <w:lang w:val="it-IT"/>
              </w:rPr>
              <w:t>i valore rilevata alla data di bilancio</w:t>
            </w:r>
            <w:r w:rsidRPr="00B01258">
              <w:rPr>
                <w:lang w:val="it-IT"/>
              </w:rPr>
              <w:t xml:space="preserve"> </w:t>
            </w:r>
            <w:r>
              <w:rPr>
                <w:lang w:val="it-IT"/>
              </w:rPr>
              <w:t xml:space="preserve">è pari alla </w:t>
            </w:r>
            <w:r w:rsidRPr="00B01258">
              <w:rPr>
                <w:lang w:val="it-IT"/>
              </w:rPr>
              <w:t>differenza tra il valore contabile in assenza di riduzione di valore e il valore attuale dei flussi finanziari futuri stimati, ridotti degli importi che si stima di non incassare, determinato utilizzando il tasso di interesse effettivo originario</w:t>
            </w:r>
            <w:r>
              <w:rPr>
                <w:lang w:val="it-IT"/>
              </w:rP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617BAA" w:rsidTr="00D73E98">
        <w:trPr>
          <w:cantSplit/>
          <w:trHeight w:val="20"/>
        </w:trPr>
        <w:tc>
          <w:tcPr>
            <w:tcW w:w="680" w:type="dxa"/>
          </w:tcPr>
          <w:p w:rsidR="0073099A" w:rsidRPr="0043728B" w:rsidRDefault="0073099A" w:rsidP="00D73E98">
            <w:pPr>
              <w:jc w:val="center"/>
              <w:rPr>
                <w:b/>
                <w:lang w:val="it-IT"/>
              </w:rPr>
            </w:pPr>
            <w:r w:rsidRPr="0043728B">
              <w:rPr>
                <w:b/>
                <w:lang w:val="it-IT"/>
              </w:rPr>
              <w:t>36)</w:t>
            </w:r>
          </w:p>
        </w:tc>
        <w:tc>
          <w:tcPr>
            <w:tcW w:w="851" w:type="dxa"/>
            <w:tcMar>
              <w:left w:w="108" w:type="dxa"/>
              <w:right w:w="0" w:type="dxa"/>
            </w:tcMar>
          </w:tcPr>
          <w:p w:rsidR="0073099A" w:rsidRPr="008A0F36" w:rsidRDefault="0073099A" w:rsidP="00D73E98">
            <w:pPr>
              <w:pStyle w:val="PrincCont"/>
              <w:jc w:val="left"/>
              <w:rPr>
                <w:lang w:val="it-IT"/>
              </w:rPr>
            </w:pPr>
            <w:r>
              <w:rPr>
                <w:lang w:val="it-IT"/>
              </w:rPr>
              <w:t>OIC 20.57</w:t>
            </w:r>
          </w:p>
        </w:tc>
        <w:tc>
          <w:tcPr>
            <w:tcW w:w="7060" w:type="dxa"/>
            <w:tcMar>
              <w:left w:w="108" w:type="dxa"/>
            </w:tcMar>
          </w:tcPr>
          <w:p w:rsidR="0073099A" w:rsidRPr="00AD6E2D" w:rsidRDefault="0073099A" w:rsidP="00D73E98">
            <w:pPr>
              <w:spacing w:line="240" w:lineRule="exact"/>
              <w:rPr>
                <w:lang w:val="it-IT"/>
              </w:rPr>
            </w:pPr>
            <w:r w:rsidRPr="00B01258">
              <w:rPr>
                <w:lang w:val="it-IT"/>
              </w:rPr>
              <w:t>La rettifica per perdita durevole di valore è interamente imputata all’esercizio in cui è rilevata nella voce D19b) “</w:t>
            </w:r>
            <w:r w:rsidRPr="00B01258">
              <w:rPr>
                <w:i/>
                <w:lang w:val="it-IT"/>
              </w:rPr>
              <w:t>svalutazioni di immobilizzazioni finanziarie che non costituiscono partecipazioni</w:t>
            </w:r>
            <w:r w:rsidRPr="00B01258">
              <w:rPr>
                <w:lang w:val="it-IT"/>
              </w:rPr>
              <w:t>”</w:t>
            </w:r>
            <w:r>
              <w:rPr>
                <w:lang w:val="it-IT"/>
              </w:rP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617BAA" w:rsidTr="00D73E98">
        <w:trPr>
          <w:cantSplit/>
          <w:trHeight w:val="20"/>
        </w:trPr>
        <w:tc>
          <w:tcPr>
            <w:tcW w:w="680" w:type="dxa"/>
          </w:tcPr>
          <w:p w:rsidR="0073099A" w:rsidRPr="0043728B" w:rsidRDefault="0073099A" w:rsidP="00D73E98">
            <w:pPr>
              <w:jc w:val="center"/>
              <w:rPr>
                <w:b/>
                <w:lang w:val="it-IT"/>
              </w:rPr>
            </w:pPr>
            <w:r w:rsidRPr="0043728B">
              <w:rPr>
                <w:b/>
                <w:lang w:val="it-IT"/>
              </w:rPr>
              <w:t>37)</w:t>
            </w:r>
          </w:p>
        </w:tc>
        <w:tc>
          <w:tcPr>
            <w:tcW w:w="851" w:type="dxa"/>
            <w:tcMar>
              <w:left w:w="108" w:type="dxa"/>
              <w:right w:w="0" w:type="dxa"/>
            </w:tcMar>
          </w:tcPr>
          <w:p w:rsidR="0073099A" w:rsidRPr="008A0F36" w:rsidRDefault="0073099A" w:rsidP="00D73E98">
            <w:pPr>
              <w:pStyle w:val="PrincCont"/>
              <w:jc w:val="left"/>
              <w:rPr>
                <w:lang w:val="it-IT"/>
              </w:rPr>
            </w:pPr>
            <w:r>
              <w:rPr>
                <w:lang w:val="it-IT"/>
              </w:rPr>
              <w:t>OIC 20.57</w:t>
            </w:r>
          </w:p>
        </w:tc>
        <w:tc>
          <w:tcPr>
            <w:tcW w:w="7060" w:type="dxa"/>
            <w:tcMar>
              <w:left w:w="108" w:type="dxa"/>
            </w:tcMar>
          </w:tcPr>
          <w:p w:rsidR="0073099A" w:rsidRPr="00AD6E2D" w:rsidRDefault="0073099A" w:rsidP="00D73E98">
            <w:pPr>
              <w:spacing w:line="230" w:lineRule="exact"/>
              <w:rPr>
                <w:lang w:val="it-IT"/>
              </w:rPr>
            </w:pPr>
            <w:r w:rsidRPr="00B01258">
              <w:rPr>
                <w:lang w:val="it-IT"/>
              </w:rPr>
              <w:t xml:space="preserve">La determinazione </w:t>
            </w:r>
            <w:r>
              <w:rPr>
                <w:lang w:val="it-IT"/>
              </w:rPr>
              <w:t xml:space="preserve">delle perdite di valore è stata </w:t>
            </w:r>
            <w:r w:rsidRPr="00B01258">
              <w:rPr>
                <w:lang w:val="it-IT"/>
              </w:rPr>
              <w:t>effettua</w:t>
            </w:r>
            <w:r>
              <w:rPr>
                <w:lang w:val="it-IT"/>
              </w:rPr>
              <w:t>ta</w:t>
            </w:r>
            <w:r w:rsidRPr="00B01258">
              <w:rPr>
                <w:lang w:val="it-IT"/>
              </w:rPr>
              <w:t xml:space="preserve"> avvalendosi di tutti gli elementi utili anche se conosciuti dopo la chiusura </w:t>
            </w:r>
            <w:r>
              <w:rPr>
                <w:lang w:val="it-IT"/>
              </w:rPr>
              <w:t>dell’esercizio?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Pr="0043728B" w:rsidRDefault="0073099A" w:rsidP="00D73E98">
            <w:pPr>
              <w:jc w:val="center"/>
              <w:rPr>
                <w:b/>
                <w:lang w:val="it-IT"/>
              </w:rPr>
            </w:pPr>
          </w:p>
        </w:tc>
        <w:tc>
          <w:tcPr>
            <w:tcW w:w="851" w:type="dxa"/>
            <w:tcMar>
              <w:left w:w="108" w:type="dxa"/>
              <w:right w:w="0" w:type="dxa"/>
            </w:tcMar>
          </w:tcPr>
          <w:p w:rsidR="0073099A" w:rsidRPr="008A0F36" w:rsidRDefault="0073099A" w:rsidP="00D73E98">
            <w:pPr>
              <w:pStyle w:val="PrincCont"/>
              <w:jc w:val="left"/>
              <w:rPr>
                <w:lang w:val="it-IT"/>
              </w:rPr>
            </w:pPr>
          </w:p>
        </w:tc>
        <w:tc>
          <w:tcPr>
            <w:tcW w:w="7060" w:type="dxa"/>
            <w:tcMar>
              <w:left w:w="108" w:type="dxa"/>
            </w:tcMar>
          </w:tcPr>
          <w:p w:rsidR="0073099A" w:rsidRPr="00B01258" w:rsidRDefault="0073099A" w:rsidP="00D73E98">
            <w:pPr>
              <w:pStyle w:val="Titolo3"/>
              <w:rPr>
                <w:lang w:val="it-IT"/>
              </w:rPr>
            </w:pPr>
            <w:r w:rsidRPr="00B01258">
              <w:rPr>
                <w:lang w:val="it-IT"/>
              </w:rPr>
              <w:t>Titoli immobilizzati: ripristino di valore</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617BAA" w:rsidTr="00D73E98">
        <w:trPr>
          <w:cantSplit/>
          <w:trHeight w:val="20"/>
        </w:trPr>
        <w:tc>
          <w:tcPr>
            <w:tcW w:w="680" w:type="dxa"/>
          </w:tcPr>
          <w:p w:rsidR="0073099A" w:rsidRPr="0043728B" w:rsidRDefault="0073099A" w:rsidP="00D73E98">
            <w:pPr>
              <w:jc w:val="center"/>
              <w:rPr>
                <w:b/>
                <w:lang w:val="it-IT"/>
              </w:rPr>
            </w:pPr>
            <w:r w:rsidRPr="0043728B">
              <w:rPr>
                <w:b/>
                <w:lang w:val="it-IT"/>
              </w:rPr>
              <w:t>38)</w:t>
            </w:r>
          </w:p>
        </w:tc>
        <w:tc>
          <w:tcPr>
            <w:tcW w:w="851" w:type="dxa"/>
            <w:tcMar>
              <w:left w:w="108" w:type="dxa"/>
              <w:right w:w="0" w:type="dxa"/>
            </w:tcMar>
          </w:tcPr>
          <w:p w:rsidR="0073099A" w:rsidRPr="008A0F36" w:rsidRDefault="0073099A" w:rsidP="00D73E98">
            <w:pPr>
              <w:pStyle w:val="PrincCont"/>
              <w:jc w:val="left"/>
              <w:rPr>
                <w:lang w:val="it-IT"/>
              </w:rPr>
            </w:pPr>
            <w:r>
              <w:rPr>
                <w:lang w:val="it-IT"/>
              </w:rPr>
              <w:t>OIC 20.58</w:t>
            </w:r>
          </w:p>
        </w:tc>
        <w:tc>
          <w:tcPr>
            <w:tcW w:w="7060" w:type="dxa"/>
            <w:tcMar>
              <w:left w:w="108" w:type="dxa"/>
            </w:tcMar>
          </w:tcPr>
          <w:p w:rsidR="0073099A" w:rsidRPr="00AD6E2D" w:rsidRDefault="0073099A" w:rsidP="00D73E98">
            <w:pPr>
              <w:spacing w:line="230" w:lineRule="exact"/>
              <w:rPr>
                <w:lang w:val="it-IT"/>
              </w:rPr>
            </w:pPr>
            <w:r w:rsidRPr="00B01258">
              <w:rPr>
                <w:lang w:val="it-IT"/>
              </w:rPr>
              <w:t>Nel caso in cui vengano meno le ragioni che avevano indotto a rettificare il valore di libro dei titoli immobilizzati, i</w:t>
            </w:r>
            <w:r>
              <w:rPr>
                <w:lang w:val="it-IT"/>
              </w:rPr>
              <w:t>l</w:t>
            </w:r>
            <w:r w:rsidRPr="00B01258">
              <w:rPr>
                <w:lang w:val="it-IT"/>
              </w:rPr>
              <w:t xml:space="preserve"> valore del titolo </w:t>
            </w:r>
            <w:r>
              <w:rPr>
                <w:lang w:val="it-IT"/>
              </w:rPr>
              <w:t xml:space="preserve">è stato ripristinato </w:t>
            </w:r>
            <w:r w:rsidRPr="00B01258">
              <w:rPr>
                <w:lang w:val="it-IT"/>
              </w:rPr>
              <w:t xml:space="preserve">nei limiti del costo ammortizzato determinato in assenza della svalutazione precedentemente </w:t>
            </w:r>
            <w:r>
              <w:rPr>
                <w:lang w:val="it-IT"/>
              </w:rPr>
              <w:t>apportata?</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Pr="0043728B" w:rsidRDefault="0073099A" w:rsidP="00D73E98">
            <w:pPr>
              <w:jc w:val="center"/>
              <w:rPr>
                <w:b/>
                <w:lang w:val="it-IT"/>
              </w:rPr>
            </w:pPr>
          </w:p>
        </w:tc>
        <w:tc>
          <w:tcPr>
            <w:tcW w:w="851" w:type="dxa"/>
            <w:tcMar>
              <w:left w:w="108" w:type="dxa"/>
              <w:right w:w="0" w:type="dxa"/>
            </w:tcMar>
          </w:tcPr>
          <w:p w:rsidR="0073099A" w:rsidRPr="008A0F36" w:rsidRDefault="0073099A" w:rsidP="00D73E98">
            <w:pPr>
              <w:pStyle w:val="PrincCont"/>
              <w:jc w:val="left"/>
              <w:rPr>
                <w:lang w:val="it-IT"/>
              </w:rPr>
            </w:pPr>
          </w:p>
        </w:tc>
        <w:tc>
          <w:tcPr>
            <w:tcW w:w="7060" w:type="dxa"/>
            <w:tcMar>
              <w:left w:w="108" w:type="dxa"/>
            </w:tcMar>
          </w:tcPr>
          <w:p w:rsidR="0073099A" w:rsidRPr="00B01258" w:rsidRDefault="0073099A" w:rsidP="00D73E98">
            <w:pPr>
              <w:pStyle w:val="Titolo3"/>
              <w:rPr>
                <w:lang w:val="it-IT"/>
              </w:rPr>
            </w:pPr>
            <w:r w:rsidRPr="00B01258">
              <w:rPr>
                <w:lang w:val="it-IT"/>
              </w:rPr>
              <w:t>Titoli non immobilizzati: profili generali</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617BAA" w:rsidTr="00D73E98">
        <w:trPr>
          <w:cantSplit/>
          <w:trHeight w:val="20"/>
        </w:trPr>
        <w:tc>
          <w:tcPr>
            <w:tcW w:w="680" w:type="dxa"/>
          </w:tcPr>
          <w:p w:rsidR="0073099A" w:rsidRPr="0043728B" w:rsidRDefault="0073099A" w:rsidP="00D73E98">
            <w:pPr>
              <w:jc w:val="center"/>
              <w:rPr>
                <w:b/>
                <w:lang w:val="it-IT"/>
              </w:rPr>
            </w:pPr>
            <w:r w:rsidRPr="0043728B">
              <w:rPr>
                <w:b/>
                <w:lang w:val="it-IT"/>
              </w:rPr>
              <w:t>39)</w:t>
            </w:r>
          </w:p>
        </w:tc>
        <w:tc>
          <w:tcPr>
            <w:tcW w:w="851" w:type="dxa"/>
            <w:tcMar>
              <w:left w:w="108" w:type="dxa"/>
              <w:right w:w="0" w:type="dxa"/>
            </w:tcMar>
          </w:tcPr>
          <w:p w:rsidR="0073099A" w:rsidRPr="008A0F36" w:rsidRDefault="0073099A" w:rsidP="00D73E98">
            <w:pPr>
              <w:pStyle w:val="PrincCont"/>
              <w:jc w:val="left"/>
              <w:rPr>
                <w:lang w:val="it-IT"/>
              </w:rPr>
            </w:pPr>
            <w:r>
              <w:rPr>
                <w:lang w:val="it-IT"/>
              </w:rPr>
              <w:t>OIC 20.59</w:t>
            </w:r>
          </w:p>
        </w:tc>
        <w:tc>
          <w:tcPr>
            <w:tcW w:w="7060" w:type="dxa"/>
            <w:tcMar>
              <w:left w:w="108" w:type="dxa"/>
            </w:tcMar>
          </w:tcPr>
          <w:p w:rsidR="0073099A" w:rsidRPr="00AD6E2D" w:rsidRDefault="0073099A" w:rsidP="00D73E98">
            <w:pPr>
              <w:rPr>
                <w:lang w:val="it-IT"/>
              </w:rPr>
            </w:pPr>
            <w:r w:rsidRPr="006C58B5">
              <w:rPr>
                <w:lang w:val="it-IT"/>
              </w:rPr>
              <w:t xml:space="preserve">I titoli non immobilizzati sono </w:t>
            </w:r>
            <w:r>
              <w:rPr>
                <w:lang w:val="it-IT"/>
              </w:rPr>
              <w:t xml:space="preserve">stati </w:t>
            </w:r>
            <w:r w:rsidRPr="006C58B5">
              <w:rPr>
                <w:lang w:val="it-IT"/>
              </w:rPr>
              <w:t>valutati in base al minor valore fra il costo ammortizzato, così come determinato ai sensi del paragrafo 60</w:t>
            </w:r>
            <w:r>
              <w:rPr>
                <w:lang w:val="it-IT"/>
              </w:rPr>
              <w:t xml:space="preserve"> dell’OIC 20</w:t>
            </w:r>
            <w:r w:rsidRPr="006C58B5">
              <w:rPr>
                <w:lang w:val="it-IT"/>
              </w:rPr>
              <w:t xml:space="preserve">, e il valore di realizzazione desumibile dall'andamento del </w:t>
            </w:r>
            <w:r>
              <w:rPr>
                <w:lang w:val="it-IT"/>
              </w:rPr>
              <w:t>mercato?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r>
              <w:rPr>
                <w:lang w:val="it-IT"/>
              </w:rPr>
              <w:t>OIC 20.60</w:t>
            </w:r>
          </w:p>
        </w:tc>
        <w:tc>
          <w:tcPr>
            <w:tcW w:w="7060" w:type="dxa"/>
            <w:tcMar>
              <w:left w:w="108" w:type="dxa"/>
            </w:tcMar>
          </w:tcPr>
          <w:p w:rsidR="0073099A" w:rsidRDefault="0073099A" w:rsidP="00D73E98">
            <w:pPr>
              <w:pStyle w:val="Commentiriquadro"/>
            </w:pPr>
            <w:r w:rsidRPr="006C58B5">
              <w:t>Il procedimento per determinare, successivamente alla rilevazione iniziale, il valore dei titoli valutati al costo ammortizzato da iscrivere in bilancio è il seguente:</w:t>
            </w:r>
          </w:p>
          <w:p w:rsidR="0073099A" w:rsidRDefault="0073099A" w:rsidP="00D73E98">
            <w:pPr>
              <w:pStyle w:val="Commentiriquadro"/>
              <w:spacing w:line="180" w:lineRule="exact"/>
              <w:ind w:left="176" w:hanging="119"/>
            </w:pPr>
            <w:r>
              <w:t xml:space="preserve">a) </w:t>
            </w:r>
            <w:r>
              <w:tab/>
            </w:r>
            <w:r w:rsidRPr="006C58B5">
              <w:t xml:space="preserve">determinare l’ammontare degli interessi calcolati con il criterio del tasso di interesse effettivo sul valore contabile </w:t>
            </w:r>
            <w:r>
              <w:tab/>
            </w:r>
            <w:r w:rsidRPr="006C58B5">
              <w:t>del titolo all’inizio dell’esercizio, o alla più recente data di rilevazione iniziale;</w:t>
            </w:r>
          </w:p>
          <w:p w:rsidR="0073099A" w:rsidRDefault="0073099A" w:rsidP="00D73E98">
            <w:pPr>
              <w:pStyle w:val="Commentiriquadro"/>
              <w:spacing w:line="180" w:lineRule="exact"/>
              <w:ind w:left="176" w:hanging="119"/>
            </w:pPr>
            <w:r>
              <w:t xml:space="preserve">b) </w:t>
            </w:r>
            <w:r>
              <w:tab/>
            </w:r>
            <w:r w:rsidRPr="006C58B5">
              <w:t>aggiungere l’ammontare degli interessi così ottenuto al precedente valore contabile del titolo;</w:t>
            </w:r>
          </w:p>
          <w:p w:rsidR="0073099A" w:rsidRDefault="0073099A" w:rsidP="00D73E98">
            <w:pPr>
              <w:pStyle w:val="Commentiriquadro"/>
              <w:spacing w:line="180" w:lineRule="exact"/>
              <w:ind w:left="176" w:hanging="119"/>
            </w:pPr>
            <w:r>
              <w:t xml:space="preserve">c) </w:t>
            </w:r>
            <w:r>
              <w:tab/>
            </w:r>
            <w:r w:rsidRPr="00DC2CEB">
              <w:t>sottrarre gli incassi per interessi e capitale intervenuti nel periodo;</w:t>
            </w:r>
          </w:p>
          <w:p w:rsidR="0073099A" w:rsidRPr="00DC2CEB" w:rsidRDefault="0073099A" w:rsidP="00D73E98">
            <w:pPr>
              <w:pStyle w:val="Commentiriquadro"/>
              <w:spacing w:line="180" w:lineRule="exact"/>
              <w:ind w:left="176" w:hanging="119"/>
            </w:pPr>
            <w:r>
              <w:t xml:space="preserve">d) </w:t>
            </w:r>
            <w:r>
              <w:tab/>
            </w:r>
            <w:r w:rsidRPr="00DC2CEB">
              <w:t>sottrarre le eventuali svalutazioni sui titoli.</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CC242B"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r>
              <w:rPr>
                <w:lang w:val="it-IT"/>
              </w:rPr>
              <w:t>OIC 20.61</w:t>
            </w:r>
          </w:p>
        </w:tc>
        <w:tc>
          <w:tcPr>
            <w:tcW w:w="7060" w:type="dxa"/>
            <w:tcMar>
              <w:left w:w="108" w:type="dxa"/>
            </w:tcMar>
          </w:tcPr>
          <w:p w:rsidR="0073099A" w:rsidRPr="00DC2CEB" w:rsidRDefault="0073099A" w:rsidP="00D73E98">
            <w:pPr>
              <w:pStyle w:val="Commentiriquadro"/>
            </w:pPr>
            <w:r w:rsidRPr="00DC2CEB">
              <w:t>Il metodo generale per la valutazione dei titoli è quello del costo specifico, che presuppone l’individuazione e l'attribuzione ai singoli titoli dei costi specificamente sostenuti per l'acquisto dei medesimi. L'art</w:t>
            </w:r>
            <w:r>
              <w:t>.</w:t>
            </w:r>
            <w:r w:rsidRPr="00DC2CEB">
              <w:t xml:space="preserve"> 2426, n.10</w:t>
            </w:r>
            <w:r>
              <w:t xml:space="preserve"> CC</w:t>
            </w:r>
            <w:r w:rsidRPr="00DC2CEB">
              <w:t xml:space="preserve"> prevede che “</w:t>
            </w:r>
            <w:r w:rsidRPr="00DC2CEB">
              <w:rPr>
                <w:i/>
              </w:rPr>
              <w:t xml:space="preserve">Il costo dei beni fungibili può essere calcolato col metodo della media ponderata o con quelli «primo entrato, primo uscito”; o “ultimo entrato, primo uscito»; se il valore così ottenuto differisce in misura apprezzabile dai costi correnti alla chiusura dell'esercizio, la differenza deve essere indicata, per categoria di beni, nella </w:t>
            </w:r>
            <w:r w:rsidR="00871879">
              <w:rPr>
                <w:i/>
              </w:rPr>
              <w:t xml:space="preserve"> Nota Integrativa</w:t>
            </w:r>
            <w:r w:rsidRPr="00DC2CEB">
              <w:t>”. Pertanto, è possibile per i titoli fungibili, in alternativa al costo specifico, utilizzare uno dei seguenti metodi di calcolo del costo: media ponderata, LIFO e FIFO. I predetti metodi sono trattati nell’OIC 13 “Rimanenze”. I titoli fungibili sono titoli che incorporano gli stessi diritti, sono fra loro scambiabili e hanno un unico codice ISIN.</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CC242B"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p>
        </w:tc>
        <w:tc>
          <w:tcPr>
            <w:tcW w:w="7060" w:type="dxa"/>
            <w:tcMar>
              <w:left w:w="108" w:type="dxa"/>
            </w:tcMar>
          </w:tcPr>
          <w:p w:rsidR="0073099A" w:rsidRPr="00AD6E2D" w:rsidRDefault="0073099A" w:rsidP="00D73E98">
            <w:pPr>
              <w:pStyle w:val="Titolo3"/>
              <w:rPr>
                <w:lang w:val="it-IT"/>
              </w:rPr>
            </w:pPr>
            <w:r w:rsidRPr="00DC2CEB">
              <w:rPr>
                <w:lang w:val="it-IT"/>
              </w:rPr>
              <w:t>Titoli non immobilizzati: il valore di realizzazione desumibile dall’andamento del mercato</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CC242B"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r>
              <w:rPr>
                <w:lang w:val="it-IT"/>
              </w:rPr>
              <w:t>OIC 20.62</w:t>
            </w:r>
          </w:p>
        </w:tc>
        <w:tc>
          <w:tcPr>
            <w:tcW w:w="7060" w:type="dxa"/>
            <w:tcMar>
              <w:left w:w="108" w:type="dxa"/>
            </w:tcMar>
          </w:tcPr>
          <w:p w:rsidR="0073099A" w:rsidRPr="00AD6E2D" w:rsidRDefault="0073099A" w:rsidP="00D73E98">
            <w:pPr>
              <w:pStyle w:val="Commentiriquadro"/>
            </w:pPr>
            <w:r w:rsidRPr="00DC2CEB">
              <w:t>Il codice civile non fornisce indicazioni specifiche circa l'identificazione del mercato di riferimento e le modalità di determinazione del valore di realizzazione desumibile dall’andamento del mercato. Questi aspetti sono affrontati nel seguito per dare contenuti tecnici al concetto generale enunciato dalla norma.</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CC242B"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r>
              <w:rPr>
                <w:lang w:val="it-IT"/>
              </w:rPr>
              <w:t>OIC 20.63</w:t>
            </w:r>
          </w:p>
        </w:tc>
        <w:tc>
          <w:tcPr>
            <w:tcW w:w="7060" w:type="dxa"/>
            <w:tcMar>
              <w:left w:w="108" w:type="dxa"/>
            </w:tcMar>
          </w:tcPr>
          <w:p w:rsidR="0073099A" w:rsidRDefault="0073099A" w:rsidP="00D73E98">
            <w:pPr>
              <w:pStyle w:val="Commentiriquadro"/>
            </w:pPr>
            <w:r w:rsidRPr="00A003C8">
              <w:t>Il mercato, con riferimento alla valutazione del singolo titolo, esprime valori diversi nel corso del tempo. Occorre perciò stabilire il riferimento temporale espressivo di un “andamento” del mercato alla data di bilancio.</w:t>
            </w:r>
          </w:p>
          <w:p w:rsidR="0073099A" w:rsidRPr="00A003C8" w:rsidRDefault="0073099A" w:rsidP="00D73E98">
            <w:pPr>
              <w:pStyle w:val="Commentiriquadro"/>
            </w:pPr>
            <w:r w:rsidRPr="00A003C8">
              <w:t>Si possono considerare in astratto due riferimenti temporali: uno fisso, cioè la data di fine esercizio (o quella di quotazione più prossima); l’altro rappresentato dalla media delle quotazioni del titolo relative a un determinato periodo, più o meno ampio.</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CC242B"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r>
              <w:rPr>
                <w:lang w:val="it-IT"/>
              </w:rPr>
              <w:t>OIC 20.64</w:t>
            </w:r>
          </w:p>
        </w:tc>
        <w:tc>
          <w:tcPr>
            <w:tcW w:w="7060" w:type="dxa"/>
            <w:tcMar>
              <w:left w:w="108" w:type="dxa"/>
            </w:tcMar>
          </w:tcPr>
          <w:p w:rsidR="0073099A" w:rsidRPr="00A003C8" w:rsidRDefault="0073099A" w:rsidP="00D73E98">
            <w:pPr>
              <w:pStyle w:val="Commentiriquadro"/>
            </w:pPr>
            <w:r w:rsidRPr="00A003C8">
              <w:t>Il dato puntuale di fine esercizio rappresenta la scelta che meno è influenzata da fattori soggettivi. Tuttavia la quotazione di una giornata può essere influenzata da fattori spesso esogeni, relativi a situazioni transitorie riferibili al singolo titolo o al mercato mobiliare nel suo complesso o addirittura alla variabilità dei volumi trattati. Per queste ragioni le quotazioni di una singola giornata non sono in genere considerate rappresentative dell’“andamento del mercato”. Occorre – piuttosto – assumere un valore che, pur dovendosi riferire concettualmente alla chiusura dell’esercizio, possa ritenersi consolidato ovvero sufficientemente scevro da perturbazioni temporanee. In questo senso la media delle quotazioni passate, per un periodo ritenuto congruo rispetto alle finalità valutative, quale l'ultimo mese, può ritenersi maggiormente rappresentativa. La scelta del periodo temporale cui fare riferimento va operata con giudizio, avendo presente l’obiettivo generale imposto dal codice civile. Ad esempio, in un mercato caratterizzato da quotazioni fortemente in flessione, il ricorso alla media aritmetica dei valori registrati nell'ultimo</w:t>
            </w:r>
            <w:r w:rsidRPr="00A003C8">
              <w:rPr>
                <w:rFonts w:ascii="Times New Roman" w:hAnsi="Times New Roman"/>
                <w:sz w:val="22"/>
                <w:szCs w:val="22"/>
              </w:rPr>
              <w:t xml:space="preserve"> </w:t>
            </w:r>
            <w:r w:rsidRPr="00A003C8">
              <w:t>mese potrebbe non esprimere l’andamento del mercato; occorre allora tenere conto di valori medi inferiori riferiti ad un arco temporale inferiore.</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617BAA" w:rsidTr="00D73E98">
        <w:trPr>
          <w:cantSplit/>
          <w:trHeight w:val="20"/>
        </w:trPr>
        <w:tc>
          <w:tcPr>
            <w:tcW w:w="680" w:type="dxa"/>
          </w:tcPr>
          <w:p w:rsidR="0073099A" w:rsidRPr="0043728B" w:rsidRDefault="0073099A" w:rsidP="00D73E98">
            <w:pPr>
              <w:jc w:val="center"/>
              <w:rPr>
                <w:b/>
                <w:lang w:val="it-IT"/>
              </w:rPr>
            </w:pPr>
            <w:r w:rsidRPr="0043728B">
              <w:rPr>
                <w:b/>
                <w:lang w:val="it-IT"/>
              </w:rPr>
              <w:t>4</w:t>
            </w:r>
            <w:r>
              <w:rPr>
                <w:b/>
                <w:lang w:val="it-IT"/>
              </w:rPr>
              <w:t>0</w:t>
            </w:r>
            <w:r w:rsidRPr="0043728B">
              <w:rPr>
                <w:b/>
                <w:lang w:val="it-IT"/>
              </w:rPr>
              <w:t>)</w:t>
            </w:r>
          </w:p>
        </w:tc>
        <w:tc>
          <w:tcPr>
            <w:tcW w:w="851" w:type="dxa"/>
            <w:tcMar>
              <w:left w:w="108" w:type="dxa"/>
              <w:right w:w="0" w:type="dxa"/>
            </w:tcMar>
          </w:tcPr>
          <w:p w:rsidR="0073099A" w:rsidRPr="008A0F36" w:rsidRDefault="0073099A" w:rsidP="00D73E98">
            <w:pPr>
              <w:pStyle w:val="PrincCont"/>
              <w:jc w:val="left"/>
              <w:rPr>
                <w:lang w:val="it-IT"/>
              </w:rPr>
            </w:pPr>
            <w:r>
              <w:rPr>
                <w:lang w:val="it-IT"/>
              </w:rPr>
              <w:t>OIC 20.65</w:t>
            </w:r>
          </w:p>
        </w:tc>
        <w:tc>
          <w:tcPr>
            <w:tcW w:w="7060" w:type="dxa"/>
            <w:tcMar>
              <w:left w:w="108" w:type="dxa"/>
            </w:tcMar>
          </w:tcPr>
          <w:p w:rsidR="0073099A" w:rsidRPr="00AD6E2D" w:rsidRDefault="0073099A" w:rsidP="00D73E98">
            <w:pPr>
              <w:spacing w:line="230" w:lineRule="exact"/>
              <w:rPr>
                <w:lang w:val="it-IT"/>
              </w:rPr>
            </w:pPr>
            <w:r w:rsidRPr="00627EC6">
              <w:rPr>
                <w:lang w:val="it-IT"/>
              </w:rPr>
              <w:t>Se non esiste un mercato di riferimento per la determinazione del valore di presumibile realizzazione sono state utilizzate tecniche valutative che consentano di individuare un valore espressivo dell’importo al quale potrebbe perfezionarsi una ipotetica vendita del titolo alla data di riferimento del bilancio?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617BAA" w:rsidTr="00D73E98">
        <w:trPr>
          <w:cantSplit/>
          <w:trHeight w:val="20"/>
        </w:trPr>
        <w:tc>
          <w:tcPr>
            <w:tcW w:w="680" w:type="dxa"/>
          </w:tcPr>
          <w:p w:rsidR="0073099A" w:rsidRPr="0043728B" w:rsidRDefault="0073099A" w:rsidP="00D73E98">
            <w:pPr>
              <w:jc w:val="center"/>
              <w:rPr>
                <w:b/>
                <w:lang w:val="it-IT"/>
              </w:rPr>
            </w:pPr>
            <w:r w:rsidRPr="0043728B">
              <w:rPr>
                <w:b/>
                <w:lang w:val="it-IT"/>
              </w:rPr>
              <w:t>4</w:t>
            </w:r>
            <w:r>
              <w:rPr>
                <w:b/>
                <w:lang w:val="it-IT"/>
              </w:rPr>
              <w:t>1</w:t>
            </w:r>
            <w:r w:rsidRPr="0043728B">
              <w:rPr>
                <w:b/>
                <w:lang w:val="it-IT"/>
              </w:rPr>
              <w:t>)</w:t>
            </w:r>
          </w:p>
        </w:tc>
        <w:tc>
          <w:tcPr>
            <w:tcW w:w="851" w:type="dxa"/>
            <w:tcMar>
              <w:left w:w="108" w:type="dxa"/>
              <w:right w:w="0" w:type="dxa"/>
            </w:tcMar>
          </w:tcPr>
          <w:p w:rsidR="0073099A" w:rsidRPr="008A0F36" w:rsidRDefault="0073099A" w:rsidP="00D73E98">
            <w:pPr>
              <w:pStyle w:val="PrincCont"/>
              <w:jc w:val="left"/>
              <w:rPr>
                <w:lang w:val="it-IT"/>
              </w:rPr>
            </w:pPr>
            <w:r>
              <w:rPr>
                <w:lang w:val="it-IT"/>
              </w:rPr>
              <w:t>OIC 20.66</w:t>
            </w:r>
          </w:p>
        </w:tc>
        <w:tc>
          <w:tcPr>
            <w:tcW w:w="7060" w:type="dxa"/>
            <w:tcMar>
              <w:left w:w="108" w:type="dxa"/>
            </w:tcMar>
          </w:tcPr>
          <w:p w:rsidR="0073099A" w:rsidRPr="000F4161" w:rsidRDefault="0073099A" w:rsidP="00D73E98">
            <w:pPr>
              <w:spacing w:line="230" w:lineRule="exact"/>
              <w:rPr>
                <w:lang w:val="it-IT"/>
              </w:rPr>
            </w:pPr>
            <w:r>
              <w:rPr>
                <w:lang w:val="it-IT"/>
              </w:rPr>
              <w:t>L</w:t>
            </w:r>
            <w:r w:rsidRPr="00627EC6">
              <w:rPr>
                <w:lang w:val="it-IT"/>
              </w:rPr>
              <w:t>a svalutazione dei titoli al minor valore di realizzazione è effettuata singolarmente, per ogni specie di titolo, e non per aggregati</w:t>
            </w:r>
            <w:r>
              <w:rPr>
                <w:lang w:val="it-IT"/>
              </w:rPr>
              <w:t>?</w:t>
            </w:r>
          </w:p>
        </w:tc>
        <w:tc>
          <w:tcPr>
            <w:tcW w:w="586" w:type="dxa"/>
            <w:tcMar>
              <w:left w:w="85" w:type="dxa"/>
              <w:right w:w="85" w:type="dxa"/>
            </w:tcMar>
            <w:vAlign w:val="center"/>
          </w:tcPr>
          <w:p w:rsidR="0073099A" w:rsidRPr="00F0679B"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F0679B"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F0679B"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Pr="0043728B" w:rsidRDefault="0073099A" w:rsidP="00D73E98">
            <w:pPr>
              <w:jc w:val="center"/>
              <w:rPr>
                <w:b/>
                <w:lang w:val="it-IT"/>
              </w:rPr>
            </w:pPr>
          </w:p>
        </w:tc>
        <w:tc>
          <w:tcPr>
            <w:tcW w:w="851" w:type="dxa"/>
            <w:tcMar>
              <w:left w:w="108" w:type="dxa"/>
              <w:right w:w="0" w:type="dxa"/>
            </w:tcMar>
          </w:tcPr>
          <w:p w:rsidR="0073099A" w:rsidRPr="000F4161" w:rsidRDefault="0073099A" w:rsidP="00D73E98">
            <w:pPr>
              <w:pStyle w:val="PrincCont"/>
              <w:jc w:val="left"/>
              <w:rPr>
                <w:lang w:val="it-IT"/>
              </w:rPr>
            </w:pPr>
            <w:r>
              <w:rPr>
                <w:lang w:val="it-IT"/>
              </w:rPr>
              <w:t>OIC 20.67</w:t>
            </w:r>
          </w:p>
        </w:tc>
        <w:tc>
          <w:tcPr>
            <w:tcW w:w="7060" w:type="dxa"/>
            <w:tcMar>
              <w:left w:w="108" w:type="dxa"/>
            </w:tcMar>
          </w:tcPr>
          <w:p w:rsidR="0073099A" w:rsidRPr="005330CC" w:rsidRDefault="0073099A" w:rsidP="00D73E98">
            <w:pPr>
              <w:pStyle w:val="Commentiriquadro"/>
            </w:pPr>
            <w:r w:rsidRPr="005330CC">
              <w:t>Il valore del titolo così rettificato sostituisce il valore di costo e rappresenta il valore contabile cui far riferimento nelle successive rilevazioni per determinare il risultato economico della vendita o per contribuire a formare il nuovo costo secondo la configurazione adottata (media ponderata, LIFO, FIFO).</w:t>
            </w:r>
          </w:p>
        </w:tc>
        <w:tc>
          <w:tcPr>
            <w:tcW w:w="586" w:type="dxa"/>
            <w:tcMar>
              <w:left w:w="85" w:type="dxa"/>
              <w:right w:w="85" w:type="dxa"/>
            </w:tcMar>
            <w:vAlign w:val="center"/>
          </w:tcPr>
          <w:p w:rsidR="0073099A" w:rsidRPr="000F4161" w:rsidRDefault="0073099A" w:rsidP="00D73E98">
            <w:pPr>
              <w:jc w:val="center"/>
              <w:rPr>
                <w:lang w:val="it-IT"/>
              </w:rPr>
            </w:pPr>
          </w:p>
        </w:tc>
        <w:tc>
          <w:tcPr>
            <w:tcW w:w="573" w:type="dxa"/>
            <w:tcMar>
              <w:left w:w="108" w:type="dxa"/>
            </w:tcMar>
            <w:vAlign w:val="center"/>
          </w:tcPr>
          <w:p w:rsidR="0073099A" w:rsidRPr="00627EC6" w:rsidRDefault="0073099A" w:rsidP="00D73E98">
            <w:pPr>
              <w:jc w:val="center"/>
              <w:rPr>
                <w:lang w:val="it-IT"/>
              </w:rPr>
            </w:pPr>
          </w:p>
        </w:tc>
        <w:tc>
          <w:tcPr>
            <w:tcW w:w="570" w:type="dxa"/>
            <w:tcMar>
              <w:left w:w="108" w:type="dxa"/>
            </w:tcMar>
            <w:vAlign w:val="center"/>
          </w:tcPr>
          <w:p w:rsidR="0073099A" w:rsidRPr="00627EC6" w:rsidRDefault="0073099A" w:rsidP="00D73E98">
            <w:pPr>
              <w:jc w:val="center"/>
              <w:rPr>
                <w:lang w:val="it-IT"/>
              </w:rPr>
            </w:pPr>
          </w:p>
        </w:tc>
      </w:tr>
      <w:tr w:rsidR="0073099A" w:rsidRPr="00627EC6" w:rsidTr="00D73E98">
        <w:trPr>
          <w:cantSplit/>
          <w:trHeight w:val="20"/>
        </w:trPr>
        <w:tc>
          <w:tcPr>
            <w:tcW w:w="680" w:type="dxa"/>
          </w:tcPr>
          <w:p w:rsidR="0073099A" w:rsidRPr="0043728B" w:rsidRDefault="0073099A" w:rsidP="00D73E98">
            <w:pPr>
              <w:jc w:val="center"/>
              <w:rPr>
                <w:b/>
                <w:lang w:val="it-IT"/>
              </w:rPr>
            </w:pPr>
            <w:r w:rsidRPr="0043728B">
              <w:rPr>
                <w:b/>
                <w:lang w:val="it-IT"/>
              </w:rPr>
              <w:t>4</w:t>
            </w:r>
            <w:r>
              <w:rPr>
                <w:b/>
                <w:lang w:val="it-IT"/>
              </w:rPr>
              <w:t>2</w:t>
            </w:r>
            <w:r w:rsidRPr="0043728B">
              <w:rPr>
                <w:b/>
                <w:lang w:val="it-IT"/>
              </w:rPr>
              <w:t>)</w:t>
            </w:r>
          </w:p>
        </w:tc>
        <w:tc>
          <w:tcPr>
            <w:tcW w:w="851" w:type="dxa"/>
            <w:tcMar>
              <w:left w:w="108" w:type="dxa"/>
              <w:right w:w="0" w:type="dxa"/>
            </w:tcMar>
          </w:tcPr>
          <w:p w:rsidR="0073099A" w:rsidRPr="00627EC6" w:rsidRDefault="0073099A" w:rsidP="00D73E98">
            <w:pPr>
              <w:pStyle w:val="PrincCont"/>
              <w:jc w:val="left"/>
              <w:rPr>
                <w:lang w:val="it-IT"/>
              </w:rPr>
            </w:pPr>
            <w:r>
              <w:rPr>
                <w:lang w:val="it-IT"/>
              </w:rPr>
              <w:t>OIC 20.68</w:t>
            </w:r>
          </w:p>
        </w:tc>
        <w:tc>
          <w:tcPr>
            <w:tcW w:w="7060" w:type="dxa"/>
            <w:tcMar>
              <w:left w:w="108" w:type="dxa"/>
            </w:tcMar>
          </w:tcPr>
          <w:p w:rsidR="0073099A" w:rsidRPr="00AD6E2D" w:rsidRDefault="0073099A" w:rsidP="00D73E98">
            <w:pPr>
              <w:spacing w:line="230" w:lineRule="exact"/>
              <w:rPr>
                <w:lang w:val="it-IT"/>
              </w:rPr>
            </w:pPr>
            <w:r w:rsidRPr="005330CC">
              <w:rPr>
                <w:lang w:val="it-IT"/>
              </w:rPr>
              <w:t>Se vengono meno, in tutto o in parte, i presupposti della rettifica (o anche di più rettifiche in anni precedenti) per effetto della ripresa del valore di mercato, la rettifica stessa è annullata fino, ma non oltre, al ripristino del costo ammortizzato</w:t>
            </w:r>
            <w:r>
              <w:rPr>
                <w:lang w:val="it-IT"/>
              </w:rPr>
              <w:t>?</w:t>
            </w:r>
          </w:p>
        </w:tc>
        <w:tc>
          <w:tcPr>
            <w:tcW w:w="586" w:type="dxa"/>
            <w:tcMar>
              <w:left w:w="85" w:type="dxa"/>
              <w:right w:w="85"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DE38DC"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DE38DC"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A31605"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AD6E2D" w:rsidRDefault="0073099A" w:rsidP="00D73E98">
            <w:pPr>
              <w:pStyle w:val="Titolo3"/>
              <w:rPr>
                <w:lang w:eastAsia="it-IT"/>
              </w:rPr>
            </w:pPr>
            <w:r w:rsidRPr="00F47AA9">
              <w:rPr>
                <w:lang w:val="en-US" w:eastAsia="it-IT"/>
              </w:rPr>
              <w:t>Cambiamento di destinazione</w:t>
            </w:r>
          </w:p>
        </w:tc>
        <w:tc>
          <w:tcPr>
            <w:tcW w:w="586" w:type="dxa"/>
            <w:tcMar>
              <w:left w:w="85" w:type="dxa"/>
              <w:right w:w="85" w:type="dxa"/>
            </w:tcMar>
            <w:vAlign w:val="center"/>
          </w:tcPr>
          <w:p w:rsidR="0073099A" w:rsidRPr="00AD6E2D" w:rsidRDefault="0073099A" w:rsidP="00D73E98">
            <w:pPr>
              <w:jc w:val="center"/>
              <w:rPr>
                <w:lang w:val="it-IT"/>
              </w:rPr>
            </w:pPr>
          </w:p>
        </w:tc>
        <w:tc>
          <w:tcPr>
            <w:tcW w:w="573" w:type="dxa"/>
            <w:tcMar>
              <w:left w:w="108" w:type="dxa"/>
            </w:tcMar>
            <w:vAlign w:val="center"/>
          </w:tcPr>
          <w:p w:rsidR="0073099A" w:rsidRPr="00AD6E2D" w:rsidRDefault="0073099A" w:rsidP="00D73E98">
            <w:pPr>
              <w:jc w:val="center"/>
              <w:rPr>
                <w:lang w:val="it-IT"/>
              </w:rPr>
            </w:pPr>
          </w:p>
        </w:tc>
        <w:tc>
          <w:tcPr>
            <w:tcW w:w="570" w:type="dxa"/>
            <w:tcMar>
              <w:left w:w="108" w:type="dxa"/>
            </w:tcMar>
            <w:vAlign w:val="center"/>
          </w:tcPr>
          <w:p w:rsidR="0073099A" w:rsidRPr="00AD6E2D" w:rsidRDefault="0073099A" w:rsidP="00D73E98">
            <w:pPr>
              <w:jc w:val="center"/>
              <w:rPr>
                <w:lang w:val="it-IT"/>
              </w:rPr>
            </w:pPr>
          </w:p>
        </w:tc>
      </w:tr>
      <w:tr w:rsidR="0073099A" w:rsidRPr="00CC242B"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20.69</w:t>
            </w:r>
          </w:p>
        </w:tc>
        <w:tc>
          <w:tcPr>
            <w:tcW w:w="7060" w:type="dxa"/>
            <w:tcMar>
              <w:left w:w="108" w:type="dxa"/>
            </w:tcMar>
          </w:tcPr>
          <w:p w:rsidR="0073099A" w:rsidRPr="00F47AA9" w:rsidRDefault="0073099A" w:rsidP="00D73E98">
            <w:pPr>
              <w:pStyle w:val="Commentiriquadro"/>
            </w:pPr>
            <w:r w:rsidRPr="00F47AA9">
              <w:t>In circostanze presumibilmente rare, i titoli possono essere oggetto, durante il periodo di possesso da parte dell'impresa, di una destinazione economica diversa rispetto a quella originariamente loro attribuita dall'organo amministrativo; nel senso che un titolo, inizialmente iscritto nel bilancio tra le attività finanziarie non immobilizzate, in un esercizio successivo può essere successivamente destinato a un investimento durevole e quindi riclassificato tra le immobilizzazioni finanziarie; oppure, al contrario, un titolo in precedenza classificato tra le immobilizzazioni finanziarie viene iscritto tra le attività finanziarie non immobilizzate.</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DE38DC" w:rsidRDefault="0073099A" w:rsidP="00D73E98">
            <w:pPr>
              <w:jc w:val="center"/>
              <w:rPr>
                <w:lang w:val="it-IT"/>
              </w:rPr>
            </w:pPr>
          </w:p>
        </w:tc>
        <w:tc>
          <w:tcPr>
            <w:tcW w:w="570" w:type="dxa"/>
            <w:tcMar>
              <w:left w:w="108" w:type="dxa"/>
            </w:tcMar>
            <w:vAlign w:val="center"/>
          </w:tcPr>
          <w:p w:rsidR="0073099A" w:rsidRPr="00DE38DC" w:rsidRDefault="0073099A" w:rsidP="00D73E98">
            <w:pPr>
              <w:jc w:val="center"/>
              <w:rPr>
                <w:lang w:val="it-IT"/>
              </w:rPr>
            </w:pPr>
          </w:p>
        </w:tc>
      </w:tr>
      <w:tr w:rsidR="0073099A" w:rsidRPr="00CC242B"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20.70</w:t>
            </w:r>
          </w:p>
        </w:tc>
        <w:tc>
          <w:tcPr>
            <w:tcW w:w="7060" w:type="dxa"/>
            <w:tcMar>
              <w:left w:w="108" w:type="dxa"/>
            </w:tcMar>
          </w:tcPr>
          <w:p w:rsidR="0073099A" w:rsidRPr="00F47AA9" w:rsidRDefault="0073099A" w:rsidP="00D73E98">
            <w:pPr>
              <w:pStyle w:val="Commentiriquadro"/>
              <w:rPr>
                <w:lang w:eastAsia="it-IT"/>
              </w:rPr>
            </w:pPr>
            <w:r w:rsidRPr="00F47AA9">
              <w:rPr>
                <w:lang w:eastAsia="it-IT"/>
              </w:rPr>
              <w:t>Il passaggio da titolo rientrante nelle attività finanziarie non immobilizzate alle immobilizzazioni può discendere da varie ragioni, tra le quali ad esempio il mutamento di strategia aziendale realizzato in seguito al rinnovo dell'organo amministrativo, ovvero al cambiamento di proprietà dell’azienda; il trasferimento non può in ogni caso essere giustificato da politiche di bilancio finalizzate ad obiettivi legati al risultato d'esercizio o dall’andamento del mercato.</w:t>
            </w:r>
          </w:p>
        </w:tc>
        <w:tc>
          <w:tcPr>
            <w:tcW w:w="586" w:type="dxa"/>
            <w:tcMar>
              <w:left w:w="85" w:type="dxa"/>
              <w:right w:w="85" w:type="dxa"/>
            </w:tcMar>
            <w:vAlign w:val="center"/>
          </w:tcPr>
          <w:p w:rsidR="0073099A" w:rsidRPr="00AD6E2D" w:rsidRDefault="0073099A" w:rsidP="00D73E98">
            <w:pPr>
              <w:jc w:val="center"/>
              <w:rPr>
                <w:lang w:val="it-IT"/>
              </w:rPr>
            </w:pPr>
          </w:p>
        </w:tc>
        <w:tc>
          <w:tcPr>
            <w:tcW w:w="573" w:type="dxa"/>
            <w:tcMar>
              <w:left w:w="108" w:type="dxa"/>
            </w:tcMar>
            <w:vAlign w:val="center"/>
          </w:tcPr>
          <w:p w:rsidR="0073099A" w:rsidRPr="00AD6E2D" w:rsidRDefault="0073099A" w:rsidP="00D73E98">
            <w:pPr>
              <w:jc w:val="center"/>
              <w:rPr>
                <w:lang w:val="it-IT"/>
              </w:rPr>
            </w:pPr>
          </w:p>
        </w:tc>
        <w:tc>
          <w:tcPr>
            <w:tcW w:w="570" w:type="dxa"/>
            <w:tcMar>
              <w:left w:w="108" w:type="dxa"/>
            </w:tcMar>
            <w:vAlign w:val="center"/>
          </w:tcPr>
          <w:p w:rsidR="0073099A" w:rsidRPr="00AD6E2D" w:rsidRDefault="0073099A" w:rsidP="00D73E98">
            <w:pPr>
              <w:jc w:val="center"/>
              <w:rPr>
                <w:lang w:val="it-IT"/>
              </w:rPr>
            </w:pPr>
          </w:p>
        </w:tc>
      </w:tr>
      <w:tr w:rsidR="0073099A" w:rsidRPr="008C1C9A" w:rsidTr="00D73E98">
        <w:trPr>
          <w:cantSplit/>
          <w:trHeight w:val="20"/>
        </w:trPr>
        <w:tc>
          <w:tcPr>
            <w:tcW w:w="680" w:type="dxa"/>
          </w:tcPr>
          <w:p w:rsidR="0073099A" w:rsidRPr="0043728B" w:rsidRDefault="0073099A" w:rsidP="00D73E98">
            <w:pPr>
              <w:jc w:val="center"/>
              <w:rPr>
                <w:b/>
                <w:lang w:val="it-IT"/>
              </w:rPr>
            </w:pPr>
            <w:r w:rsidRPr="0043728B">
              <w:rPr>
                <w:b/>
                <w:lang w:val="it-IT"/>
              </w:rPr>
              <w:t>4</w:t>
            </w:r>
            <w:r>
              <w:rPr>
                <w:b/>
                <w:lang w:val="it-IT"/>
              </w:rPr>
              <w:t>3</w:t>
            </w:r>
            <w:r w:rsidRPr="0043728B">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20.71</w:t>
            </w:r>
          </w:p>
        </w:tc>
        <w:tc>
          <w:tcPr>
            <w:tcW w:w="7060" w:type="dxa"/>
            <w:tcMar>
              <w:left w:w="108" w:type="dxa"/>
            </w:tcMar>
          </w:tcPr>
          <w:p w:rsidR="0073099A" w:rsidRPr="00793CE4" w:rsidRDefault="0073099A" w:rsidP="00D73E98">
            <w:pPr>
              <w:spacing w:line="230" w:lineRule="exact"/>
              <w:rPr>
                <w:lang w:val="it-IT"/>
              </w:rPr>
            </w:pPr>
            <w:r w:rsidRPr="00F47AA9">
              <w:rPr>
                <w:lang w:val="it-IT"/>
              </w:rPr>
              <w:t xml:space="preserve">Il trasferimento dei titoli è rilevato in base al valore risultante dall’applicazione – al momento del trasferimento stesso – dei criteri valutativi del portafoglio di provenienza. </w:t>
            </w:r>
            <w:r w:rsidRPr="00F47AA9">
              <w:rPr>
                <w:lang w:val="en-US"/>
              </w:rPr>
              <w:t>Pertanto:</w:t>
            </w:r>
          </w:p>
        </w:tc>
        <w:tc>
          <w:tcPr>
            <w:tcW w:w="586" w:type="dxa"/>
            <w:tcMar>
              <w:left w:w="85" w:type="dxa"/>
              <w:right w:w="85" w:type="dxa"/>
            </w:tcMar>
            <w:vAlign w:val="center"/>
          </w:tcPr>
          <w:p w:rsidR="0073099A" w:rsidRPr="00793CE4" w:rsidRDefault="0073099A" w:rsidP="00D73E98">
            <w:pPr>
              <w:jc w:val="center"/>
              <w:rPr>
                <w:lang w:val="it-IT"/>
              </w:rPr>
            </w:pPr>
          </w:p>
        </w:tc>
        <w:tc>
          <w:tcPr>
            <w:tcW w:w="573" w:type="dxa"/>
            <w:tcMar>
              <w:left w:w="108" w:type="dxa"/>
            </w:tcMar>
            <w:vAlign w:val="center"/>
          </w:tcPr>
          <w:p w:rsidR="0073099A" w:rsidRPr="00793CE4" w:rsidRDefault="0073099A" w:rsidP="00D73E98">
            <w:pPr>
              <w:jc w:val="center"/>
              <w:rPr>
                <w:lang w:val="it-IT"/>
              </w:rPr>
            </w:pPr>
          </w:p>
        </w:tc>
        <w:tc>
          <w:tcPr>
            <w:tcW w:w="570" w:type="dxa"/>
            <w:tcMar>
              <w:left w:w="108" w:type="dxa"/>
            </w:tcMar>
            <w:vAlign w:val="center"/>
          </w:tcPr>
          <w:p w:rsidR="0073099A" w:rsidRPr="00793CE4" w:rsidRDefault="0073099A" w:rsidP="00D73E98">
            <w:pPr>
              <w:jc w:val="center"/>
              <w:rPr>
                <w:lang w:val="it-IT"/>
              </w:rPr>
            </w:pPr>
          </w:p>
        </w:tc>
      </w:tr>
      <w:tr w:rsidR="0073099A" w:rsidRPr="00A31605" w:rsidTr="00D73E98">
        <w:trPr>
          <w:cantSplit/>
          <w:trHeight w:val="20"/>
        </w:trPr>
        <w:tc>
          <w:tcPr>
            <w:tcW w:w="680" w:type="dxa"/>
          </w:tcPr>
          <w:p w:rsidR="0073099A" w:rsidRPr="0043728B"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793CE4" w:rsidRDefault="0073099A" w:rsidP="00840B93">
            <w:pPr>
              <w:pStyle w:val="rientrotrattinook"/>
              <w:rPr>
                <w:lang w:eastAsia="it-IT"/>
              </w:rPr>
            </w:pPr>
            <w:r w:rsidRPr="00F47AA9">
              <w:rPr>
                <w:lang w:eastAsia="it-IT"/>
              </w:rPr>
              <w:t>il trasferimento di titoli immobilizzati alle attività circolanti va rilevato in base al costo ammortizzato, eventualmente rettificato per le perdite durature di valore</w:t>
            </w:r>
            <w:r>
              <w:rPr>
                <w:lang w:eastAsia="it-IT"/>
              </w:rPr>
              <w:t>?</w:t>
            </w:r>
          </w:p>
        </w:tc>
        <w:tc>
          <w:tcPr>
            <w:tcW w:w="586" w:type="dxa"/>
            <w:tcMar>
              <w:left w:w="85" w:type="dxa"/>
              <w:right w:w="85" w:type="dxa"/>
            </w:tcMar>
            <w:vAlign w:val="center"/>
          </w:tcPr>
          <w:p w:rsidR="0073099A" w:rsidRPr="00793CE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3CE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3CE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8C1C9A" w:rsidTr="00D73E98">
        <w:trPr>
          <w:cantSplit/>
          <w:trHeight w:val="20"/>
        </w:trPr>
        <w:tc>
          <w:tcPr>
            <w:tcW w:w="680" w:type="dxa"/>
          </w:tcPr>
          <w:p w:rsidR="0073099A" w:rsidRPr="0043728B"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793CE4" w:rsidRDefault="0073099A" w:rsidP="00840B93">
            <w:pPr>
              <w:pStyle w:val="rientrotrattinook"/>
            </w:pPr>
            <w:r w:rsidRPr="00F47AA9">
              <w:t>il trasferimento di titoli non immobilizzati alle immobilizzazioni finanziarie va rilevato in base al minor valore fra il costo ammortizzato e il valore di realizzazione desumibile dall’andamento di mercato</w:t>
            </w:r>
            <w:r>
              <w:t>?</w:t>
            </w:r>
          </w:p>
        </w:tc>
        <w:tc>
          <w:tcPr>
            <w:tcW w:w="586" w:type="dxa"/>
            <w:tcMar>
              <w:left w:w="85" w:type="dxa"/>
              <w:right w:w="85" w:type="dxa"/>
            </w:tcMar>
            <w:vAlign w:val="center"/>
          </w:tcPr>
          <w:p w:rsidR="0073099A" w:rsidRPr="00793CE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793CE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793CE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F0679B" w:rsidTr="00D73E98">
        <w:trPr>
          <w:cantSplit/>
          <w:trHeight w:val="20"/>
        </w:trPr>
        <w:tc>
          <w:tcPr>
            <w:tcW w:w="680" w:type="dxa"/>
          </w:tcPr>
          <w:p w:rsidR="0073099A" w:rsidRPr="0043728B" w:rsidRDefault="0073099A" w:rsidP="00D73E98">
            <w:pPr>
              <w:jc w:val="center"/>
              <w:rPr>
                <w:b/>
                <w:lang w:val="it-IT"/>
              </w:rPr>
            </w:pPr>
            <w:r w:rsidRPr="0043728B">
              <w:rPr>
                <w:b/>
                <w:lang w:val="it-IT"/>
              </w:rPr>
              <w:t>4</w:t>
            </w:r>
            <w:r>
              <w:rPr>
                <w:b/>
                <w:lang w:val="it-IT"/>
              </w:rPr>
              <w:t>4</w:t>
            </w:r>
            <w:r w:rsidRPr="0043728B">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20.72</w:t>
            </w:r>
          </w:p>
        </w:tc>
        <w:tc>
          <w:tcPr>
            <w:tcW w:w="7060" w:type="dxa"/>
            <w:tcMar>
              <w:left w:w="108" w:type="dxa"/>
            </w:tcMar>
          </w:tcPr>
          <w:p w:rsidR="0073099A" w:rsidRPr="00793CE4" w:rsidRDefault="0073099A" w:rsidP="00D73E98">
            <w:pPr>
              <w:spacing w:line="230" w:lineRule="exact"/>
              <w:rPr>
                <w:lang w:val="it-IT"/>
              </w:rPr>
            </w:pPr>
            <w:r w:rsidRPr="00631451">
              <w:rPr>
                <w:lang w:val="it-IT"/>
              </w:rPr>
              <w:t xml:space="preserve">Alla fine dell’esercizio in cui avviene il cambiamento di destinazione si </w:t>
            </w:r>
            <w:r>
              <w:rPr>
                <w:lang w:val="it-IT"/>
              </w:rPr>
              <w:t xml:space="preserve">è </w:t>
            </w:r>
            <w:r w:rsidRPr="00631451">
              <w:rPr>
                <w:lang w:val="it-IT"/>
              </w:rPr>
              <w:t>proced</w:t>
            </w:r>
            <w:r>
              <w:rPr>
                <w:lang w:val="it-IT"/>
              </w:rPr>
              <w:t>uto</w:t>
            </w:r>
            <w:r w:rsidRPr="00631451">
              <w:rPr>
                <w:lang w:val="it-IT"/>
              </w:rPr>
              <w:t xml:space="preserve"> alla valutazione del titolo con il criterio previsto per la sua nuova classificazione, considerando come costo</w:t>
            </w:r>
            <w:r w:rsidRPr="00631451">
              <w:rPr>
                <w:rFonts w:ascii="Times New Roman" w:hAnsi="Times New Roman"/>
                <w:sz w:val="22"/>
                <w:szCs w:val="22"/>
                <w:lang w:val="it-IT"/>
              </w:rPr>
              <w:t xml:space="preserve"> </w:t>
            </w:r>
            <w:r w:rsidRPr="00631451">
              <w:rPr>
                <w:lang w:val="it-IT"/>
              </w:rPr>
              <w:t>iniziale il valore di trasferimento al nuovo comparto</w:t>
            </w:r>
            <w:r>
              <w:rPr>
                <w:lang w:val="it-IT"/>
              </w:rPr>
              <w:t>?</w:t>
            </w:r>
          </w:p>
        </w:tc>
        <w:tc>
          <w:tcPr>
            <w:tcW w:w="586" w:type="dxa"/>
            <w:tcMar>
              <w:left w:w="85" w:type="dxa"/>
              <w:right w:w="85"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DE38DC"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DE38DC"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793CE4" w:rsidRDefault="0073099A" w:rsidP="00D73E98">
            <w:pPr>
              <w:pStyle w:val="Titolo3"/>
              <w:rPr>
                <w:lang w:val="it-IT"/>
              </w:rPr>
            </w:pPr>
            <w:r w:rsidRPr="00631451">
              <w:rPr>
                <w:lang w:val="it-IT"/>
              </w:rPr>
              <w:t>Valutazione successiva dei titoli di debito non valutati al costo ammortizzato n</w:t>
            </w:r>
            <w:r>
              <w:rPr>
                <w:lang w:val="it-IT"/>
              </w:rPr>
              <w:t>el bilancio in forma abbreviata</w:t>
            </w:r>
          </w:p>
        </w:tc>
        <w:tc>
          <w:tcPr>
            <w:tcW w:w="586" w:type="dxa"/>
            <w:tcMar>
              <w:left w:w="85" w:type="dxa"/>
              <w:right w:w="85" w:type="dxa"/>
            </w:tcMar>
            <w:vAlign w:val="center"/>
          </w:tcPr>
          <w:p w:rsidR="0073099A" w:rsidRPr="00793CE4" w:rsidRDefault="0073099A" w:rsidP="00D73E98">
            <w:pPr>
              <w:jc w:val="center"/>
              <w:rPr>
                <w:lang w:val="it-IT"/>
              </w:rPr>
            </w:pPr>
          </w:p>
        </w:tc>
        <w:tc>
          <w:tcPr>
            <w:tcW w:w="573" w:type="dxa"/>
            <w:tcMar>
              <w:left w:w="108" w:type="dxa"/>
            </w:tcMar>
            <w:vAlign w:val="center"/>
          </w:tcPr>
          <w:p w:rsidR="0073099A" w:rsidRPr="00793CE4" w:rsidRDefault="0073099A" w:rsidP="00D73E98">
            <w:pPr>
              <w:jc w:val="center"/>
              <w:rPr>
                <w:lang w:val="it-IT"/>
              </w:rPr>
            </w:pPr>
          </w:p>
        </w:tc>
        <w:tc>
          <w:tcPr>
            <w:tcW w:w="570" w:type="dxa"/>
            <w:tcMar>
              <w:left w:w="108" w:type="dxa"/>
            </w:tcMar>
            <w:vAlign w:val="center"/>
          </w:tcPr>
          <w:p w:rsidR="0073099A" w:rsidRPr="00793CE4" w:rsidRDefault="0073099A" w:rsidP="00D73E98">
            <w:pPr>
              <w:jc w:val="center"/>
              <w:rPr>
                <w:lang w:val="it-IT"/>
              </w:rPr>
            </w:pPr>
          </w:p>
        </w:tc>
      </w:tr>
      <w:tr w:rsidR="0073099A" w:rsidRPr="00F0679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AD6E2D" w:rsidRDefault="0073099A" w:rsidP="00D73E98">
            <w:pPr>
              <w:pStyle w:val="Titolo4"/>
            </w:pPr>
            <w:r w:rsidRPr="00631451">
              <w:rPr>
                <w:lang w:val="en-US"/>
              </w:rPr>
              <w:t>Titoli immobilizzati</w:t>
            </w:r>
          </w:p>
        </w:tc>
        <w:tc>
          <w:tcPr>
            <w:tcW w:w="586" w:type="dxa"/>
            <w:tcMar>
              <w:left w:w="85" w:type="dxa"/>
              <w:right w:w="85" w:type="dxa"/>
            </w:tcMar>
            <w:vAlign w:val="center"/>
          </w:tcPr>
          <w:p w:rsidR="0073099A" w:rsidRDefault="0073099A" w:rsidP="00D73E98">
            <w:pPr>
              <w:jc w:val="center"/>
            </w:pPr>
          </w:p>
        </w:tc>
        <w:tc>
          <w:tcPr>
            <w:tcW w:w="573" w:type="dxa"/>
            <w:tcMar>
              <w:left w:w="108" w:type="dxa"/>
            </w:tcMar>
            <w:vAlign w:val="center"/>
          </w:tcPr>
          <w:p w:rsidR="0073099A" w:rsidRPr="007477DE" w:rsidRDefault="0073099A" w:rsidP="00D73E98">
            <w:pPr>
              <w:jc w:val="center"/>
            </w:pPr>
          </w:p>
        </w:tc>
        <w:tc>
          <w:tcPr>
            <w:tcW w:w="570" w:type="dxa"/>
            <w:tcMar>
              <w:left w:w="108" w:type="dxa"/>
            </w:tcMar>
            <w:vAlign w:val="center"/>
          </w:tcPr>
          <w:p w:rsidR="0073099A" w:rsidRPr="007477DE" w:rsidRDefault="0073099A" w:rsidP="00D73E98">
            <w:pPr>
              <w:jc w:val="center"/>
            </w:pPr>
          </w:p>
        </w:tc>
      </w:tr>
      <w:tr w:rsidR="0073099A" w:rsidRPr="00CC242B" w:rsidTr="00D73E98">
        <w:trPr>
          <w:cantSplit/>
          <w:trHeight w:val="20"/>
        </w:trPr>
        <w:tc>
          <w:tcPr>
            <w:tcW w:w="680" w:type="dxa"/>
          </w:tcPr>
          <w:p w:rsidR="0073099A" w:rsidRPr="00B8621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20.73</w:t>
            </w:r>
          </w:p>
        </w:tc>
        <w:tc>
          <w:tcPr>
            <w:tcW w:w="7060" w:type="dxa"/>
            <w:tcMar>
              <w:left w:w="108" w:type="dxa"/>
            </w:tcMar>
          </w:tcPr>
          <w:p w:rsidR="0073099A" w:rsidRPr="00631451" w:rsidRDefault="0073099A" w:rsidP="00D73E98">
            <w:pPr>
              <w:pStyle w:val="Commentiriquadro"/>
            </w:pPr>
            <w:r w:rsidRPr="00631451">
              <w:t>Nel bilancio in forma abbreviata redatto ai sensi dell’art. 2435-</w:t>
            </w:r>
            <w:r w:rsidRPr="00241DC6">
              <w:t>bis</w:t>
            </w:r>
            <w:r>
              <w:t xml:space="preserve"> CC</w:t>
            </w:r>
            <w:r w:rsidRPr="00631451">
              <w:t>, i titoli rimangono iscritti al costo rilevato al momento dell’iscrizione iniziale. Tale costo non può essere mantenuto, in conformità a quanto dispone l’art</w:t>
            </w:r>
            <w:r>
              <w:t>.</w:t>
            </w:r>
            <w:r w:rsidRPr="00631451">
              <w:t xml:space="preserve"> 2426, n</w:t>
            </w:r>
            <w:r>
              <w:t>.</w:t>
            </w:r>
            <w:r w:rsidRPr="00631451">
              <w:t>3</w:t>
            </w:r>
            <w:r>
              <w:t xml:space="preserve"> CC</w:t>
            </w:r>
            <w:r w:rsidRPr="00631451">
              <w:t>, se il titolo alla data di chiusura dell’esercizio risulta durevolmente di valore inferiore al valore di costo.</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4</w:t>
            </w:r>
            <w:r>
              <w:rPr>
                <w:b/>
                <w:lang w:val="it-IT"/>
              </w:rPr>
              <w:t>5</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20.73</w:t>
            </w:r>
          </w:p>
        </w:tc>
        <w:tc>
          <w:tcPr>
            <w:tcW w:w="7060" w:type="dxa"/>
            <w:tcMar>
              <w:left w:w="108" w:type="dxa"/>
            </w:tcMar>
          </w:tcPr>
          <w:p w:rsidR="0073099A" w:rsidRPr="00AD6E2D" w:rsidRDefault="0073099A" w:rsidP="00D73E98">
            <w:pPr>
              <w:spacing w:line="230" w:lineRule="exact"/>
              <w:rPr>
                <w:lang w:val="it-IT"/>
              </w:rPr>
            </w:pPr>
            <w:r>
              <w:rPr>
                <w:lang w:val="it-IT"/>
              </w:rPr>
              <w:t xml:space="preserve">I titoli immobilizzati sono mantenuti </w:t>
            </w:r>
            <w:r w:rsidRPr="00631451">
              <w:rPr>
                <w:lang w:val="it-IT"/>
              </w:rPr>
              <w:t>al costo rilevato al momento dell’iscrizione iniziale</w:t>
            </w:r>
            <w:r>
              <w:rPr>
                <w:lang w:val="it-IT"/>
              </w:rPr>
              <w:t xml:space="preserve"> ridotto per perdite durevoli di valore?</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20.74</w:t>
            </w:r>
          </w:p>
        </w:tc>
        <w:tc>
          <w:tcPr>
            <w:tcW w:w="7060" w:type="dxa"/>
            <w:tcMar>
              <w:left w:w="108" w:type="dxa"/>
            </w:tcMar>
          </w:tcPr>
          <w:p w:rsidR="0073099A" w:rsidRPr="00057AC2" w:rsidRDefault="0073099A" w:rsidP="00D73E98">
            <w:pPr>
              <w:pStyle w:val="Commentiriquadro"/>
            </w:pPr>
            <w:r w:rsidRPr="00057AC2">
              <w:t>I titoli di debito, quotati o non quotati, in quanto immobilizzati sono valutati titolo per titolo, ossia attribuendo a ciascun titolo il costo specificamente sostenuto. In caso di cessione di una parte di un portafoglio titoli acquistato in date diverse a prezzi diversi, il riferimento per la definizione del costo dei titoli ceduti è il costo specifico. Tuttavia, è ammesso il ricorso ai metodi previsti dall’art</w:t>
            </w:r>
            <w:r>
              <w:t>.</w:t>
            </w:r>
            <w:r w:rsidRPr="00057AC2">
              <w:t xml:space="preserve"> 2426, n</w:t>
            </w:r>
            <w:r>
              <w:t>.</w:t>
            </w:r>
            <w:r w:rsidRPr="00057AC2">
              <w:t>10 (FIFO, LIFO e costo medio ponderato).</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4</w:t>
            </w:r>
            <w:r>
              <w:rPr>
                <w:b/>
                <w:lang w:val="it-IT"/>
              </w:rPr>
              <w:t>6</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20.74</w:t>
            </w:r>
          </w:p>
        </w:tc>
        <w:tc>
          <w:tcPr>
            <w:tcW w:w="7060" w:type="dxa"/>
            <w:tcMar>
              <w:left w:w="108" w:type="dxa"/>
            </w:tcMar>
          </w:tcPr>
          <w:p w:rsidR="0073099A" w:rsidRPr="00AD6E2D" w:rsidRDefault="0073099A" w:rsidP="00D73E98">
            <w:pPr>
              <w:rPr>
                <w:lang w:val="it-IT"/>
              </w:rPr>
            </w:pPr>
            <w:r w:rsidRPr="00057AC2">
              <w:rPr>
                <w:lang w:val="it-IT"/>
              </w:rPr>
              <w:t>I titoli di debito, quotati o non quotati, in quanto immobilizzati sono valutati titolo per titolo, ossia attribuendo a ciascun titolo il costo specificamente sostenuto</w:t>
            </w:r>
            <w:r>
              <w:rPr>
                <w:lang w:val="it-IT"/>
              </w:rPr>
              <w:t>?</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057AC2" w:rsidRDefault="0073099A" w:rsidP="00D73E98">
            <w:pPr>
              <w:pStyle w:val="Titolo4"/>
            </w:pPr>
            <w:r w:rsidRPr="00057AC2">
              <w:t>Titoli immobilizzati: rilevazione degli interessi – premi di negoziazione/scarti di emissione</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CC242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20.75</w:t>
            </w:r>
          </w:p>
        </w:tc>
        <w:tc>
          <w:tcPr>
            <w:tcW w:w="7060" w:type="dxa"/>
            <w:tcMar>
              <w:left w:w="108" w:type="dxa"/>
            </w:tcMar>
          </w:tcPr>
          <w:p w:rsidR="0073099A" w:rsidRPr="00057AC2" w:rsidRDefault="0073099A" w:rsidP="00D73E98">
            <w:pPr>
              <w:pStyle w:val="Commentiriquadro"/>
            </w:pPr>
            <w:r w:rsidRPr="00057AC2">
              <w:t xml:space="preserve">Gli interessi che maturano sul titolo sono rilevati secondo il principio della competenza economica. Nel caso di titoli che prevedono clausole di </w:t>
            </w:r>
            <w:r w:rsidRPr="00057AC2">
              <w:rPr>
                <w:i/>
              </w:rPr>
              <w:t xml:space="preserve">step-up </w:t>
            </w:r>
            <w:r w:rsidRPr="00057AC2">
              <w:t xml:space="preserve">o di </w:t>
            </w:r>
            <w:r w:rsidRPr="00057AC2">
              <w:rPr>
                <w:i/>
              </w:rPr>
              <w:t xml:space="preserve">step-down </w:t>
            </w:r>
            <w:r w:rsidRPr="00057AC2">
              <w:t>(ad esempio, titoli con cedola pari all’X% per i primi n anni e poi pari all’X% +/- Y% per i restanti anni) gli interessi sono rilevati in bilancio in quote costanti. Nel caso di titoli che prevedono per i primi n anni una cedola fissa e per i restanti una cedola a tasso variabile, gli interessi si calcolano sul tasso di volta in volta applicabile.</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4</w:t>
            </w:r>
            <w:r>
              <w:rPr>
                <w:b/>
                <w:lang w:val="it-IT"/>
              </w:rPr>
              <w:t>7</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20.75</w:t>
            </w:r>
          </w:p>
        </w:tc>
        <w:tc>
          <w:tcPr>
            <w:tcW w:w="7060" w:type="dxa"/>
            <w:tcMar>
              <w:left w:w="108" w:type="dxa"/>
            </w:tcMar>
          </w:tcPr>
          <w:p w:rsidR="0073099A" w:rsidRPr="00AD6E2D" w:rsidRDefault="0073099A" w:rsidP="00D73E98">
            <w:pPr>
              <w:spacing w:line="230" w:lineRule="exact"/>
              <w:rPr>
                <w:lang w:val="it-IT"/>
              </w:rPr>
            </w:pPr>
            <w:r w:rsidRPr="00057AC2">
              <w:rPr>
                <w:lang w:val="it-IT"/>
              </w:rPr>
              <w:t>Gli interessi che maturano sul titolo sono rilevati secondo il principio della competenza economica</w:t>
            </w:r>
            <w:r>
              <w:rPr>
                <w:lang w:val="it-IT"/>
              </w:rPr>
              <w:t>?</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4</w:t>
            </w:r>
            <w:r>
              <w:rPr>
                <w:b/>
                <w:lang w:val="it-IT"/>
              </w:rPr>
              <w:t>8</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20.75</w:t>
            </w:r>
          </w:p>
        </w:tc>
        <w:tc>
          <w:tcPr>
            <w:tcW w:w="7060" w:type="dxa"/>
            <w:tcMar>
              <w:left w:w="108" w:type="dxa"/>
            </w:tcMar>
          </w:tcPr>
          <w:p w:rsidR="0073099A" w:rsidRPr="00057AC2" w:rsidRDefault="0073099A" w:rsidP="00D73E98">
            <w:pPr>
              <w:spacing w:line="230" w:lineRule="exact"/>
              <w:rPr>
                <w:lang w:val="it-IT"/>
              </w:rPr>
            </w:pPr>
            <w:r w:rsidRPr="00057AC2">
              <w:rPr>
                <w:lang w:val="it-IT"/>
              </w:rPr>
              <w:t xml:space="preserve">Nel caso di titoli che prevedono clausole di </w:t>
            </w:r>
            <w:r w:rsidRPr="00057AC2">
              <w:rPr>
                <w:i/>
                <w:lang w:val="it-IT"/>
              </w:rPr>
              <w:t xml:space="preserve">step-up </w:t>
            </w:r>
            <w:r w:rsidRPr="00057AC2">
              <w:rPr>
                <w:lang w:val="it-IT"/>
              </w:rPr>
              <w:t xml:space="preserve">o di </w:t>
            </w:r>
            <w:r w:rsidRPr="00057AC2">
              <w:rPr>
                <w:i/>
                <w:lang w:val="it-IT"/>
              </w:rPr>
              <w:t>step-down</w:t>
            </w:r>
            <w:r w:rsidRPr="00057AC2">
              <w:rPr>
                <w:rFonts w:ascii="Times New Roman" w:hAnsi="Times New Roman"/>
                <w:sz w:val="22"/>
                <w:szCs w:val="22"/>
                <w:lang w:val="it-IT"/>
              </w:rPr>
              <w:t xml:space="preserve"> </w:t>
            </w:r>
            <w:r w:rsidRPr="00241DC6">
              <w:rPr>
                <w:lang w:val="it-IT"/>
              </w:rPr>
              <w:t>gli interessi sono rilevati in bilancio in quote costanti?</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631451" w:rsidTr="00D73E98">
        <w:trPr>
          <w:cantSplit/>
          <w:trHeight w:val="20"/>
        </w:trPr>
        <w:tc>
          <w:tcPr>
            <w:tcW w:w="680" w:type="dxa"/>
          </w:tcPr>
          <w:p w:rsidR="0073099A" w:rsidRPr="0009103C" w:rsidRDefault="0073099A" w:rsidP="00D73E98">
            <w:pPr>
              <w:jc w:val="center"/>
              <w:rPr>
                <w:b/>
                <w:lang w:val="it-IT"/>
              </w:rPr>
            </w:pPr>
            <w:r>
              <w:rPr>
                <w:b/>
                <w:lang w:val="it-IT"/>
              </w:rPr>
              <w:t>49</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20.76  OIC 20.77</w:t>
            </w:r>
          </w:p>
        </w:tc>
        <w:tc>
          <w:tcPr>
            <w:tcW w:w="7060" w:type="dxa"/>
            <w:tcMar>
              <w:left w:w="108" w:type="dxa"/>
            </w:tcMar>
          </w:tcPr>
          <w:p w:rsidR="0073099A" w:rsidRPr="003965A2" w:rsidRDefault="0073099A" w:rsidP="00D73E98">
            <w:pPr>
              <w:spacing w:line="230" w:lineRule="exact"/>
              <w:rPr>
                <w:lang w:val="it-IT"/>
              </w:rPr>
            </w:pPr>
            <w:r w:rsidRPr="003965A2">
              <w:rPr>
                <w:lang w:val="it-IT"/>
              </w:rPr>
              <w:t xml:space="preserve">Il premio </w:t>
            </w:r>
            <w:r>
              <w:rPr>
                <w:lang w:val="it-IT"/>
              </w:rPr>
              <w:t xml:space="preserve">e lo scarto </w:t>
            </w:r>
            <w:r w:rsidRPr="003965A2">
              <w:rPr>
                <w:lang w:val="it-IT"/>
              </w:rPr>
              <w:t>di sottoscrizione (negoziazione) partecipa</w:t>
            </w:r>
            <w:r>
              <w:rPr>
                <w:lang w:val="it-IT"/>
              </w:rPr>
              <w:t>no</w:t>
            </w:r>
            <w:r w:rsidRPr="003965A2">
              <w:rPr>
                <w:lang w:val="it-IT"/>
              </w:rPr>
              <w:t xml:space="preserve"> alla formazione del risultato di esercizio secondo competenza economica e</w:t>
            </w:r>
            <w:r>
              <w:rPr>
                <w:lang w:val="it-IT"/>
              </w:rPr>
              <w:t xml:space="preserve"> sono</w:t>
            </w:r>
            <w:r w:rsidRPr="003965A2">
              <w:rPr>
                <w:lang w:val="it-IT"/>
              </w:rPr>
              <w:t xml:space="preserve"> quindi rilevat</w:t>
            </w:r>
            <w:r>
              <w:rPr>
                <w:lang w:val="it-IT"/>
              </w:rPr>
              <w:t>i</w:t>
            </w:r>
            <w:r w:rsidRPr="003965A2">
              <w:rPr>
                <w:lang w:val="it-IT"/>
              </w:rPr>
              <w:t xml:space="preserve"> in rate costanti per la durata di possesso del titolo</w:t>
            </w:r>
            <w:r>
              <w:rPr>
                <w:lang w:val="it-IT"/>
              </w:rPr>
              <w:t>?</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5</w:t>
            </w:r>
            <w:r>
              <w:rPr>
                <w:b/>
                <w:lang w:val="it-IT"/>
              </w:rPr>
              <w:t>0</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20.76  OIC 20.77</w:t>
            </w:r>
          </w:p>
        </w:tc>
        <w:tc>
          <w:tcPr>
            <w:tcW w:w="7060" w:type="dxa"/>
            <w:tcMar>
              <w:left w:w="108" w:type="dxa"/>
            </w:tcMar>
          </w:tcPr>
          <w:p w:rsidR="0073099A" w:rsidRPr="003965A2" w:rsidRDefault="0073099A" w:rsidP="00D73E98">
            <w:pPr>
              <w:spacing w:line="230" w:lineRule="exact"/>
              <w:rPr>
                <w:lang w:val="it-IT"/>
              </w:rPr>
            </w:pPr>
            <w:r w:rsidRPr="003965A2">
              <w:rPr>
                <w:lang w:val="it-IT"/>
              </w:rPr>
              <w:t xml:space="preserve">L’importo del premio </w:t>
            </w:r>
            <w:r>
              <w:rPr>
                <w:lang w:val="it-IT"/>
              </w:rPr>
              <w:t xml:space="preserve">o scarto </w:t>
            </w:r>
            <w:r w:rsidRPr="003965A2">
              <w:rPr>
                <w:lang w:val="it-IT"/>
              </w:rPr>
              <w:t>di sottoscrizione (negoziazione) di competenza dell’esercizio, è rilevato in diretta contropartita del valore di bilancio del titolo</w:t>
            </w:r>
            <w:r>
              <w:rPr>
                <w:lang w:val="it-IT"/>
              </w:rPr>
              <w:t>?</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5</w:t>
            </w:r>
            <w:r>
              <w:rPr>
                <w:b/>
                <w:lang w:val="it-IT"/>
              </w:rPr>
              <w:t>1</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20.78</w:t>
            </w:r>
          </w:p>
        </w:tc>
        <w:tc>
          <w:tcPr>
            <w:tcW w:w="7060" w:type="dxa"/>
            <w:tcMar>
              <w:left w:w="108" w:type="dxa"/>
            </w:tcMar>
          </w:tcPr>
          <w:p w:rsidR="0073099A" w:rsidRPr="003965A2" w:rsidRDefault="0073099A" w:rsidP="00D73E98">
            <w:pPr>
              <w:spacing w:line="230" w:lineRule="exact"/>
              <w:rPr>
                <w:lang w:val="it-IT"/>
              </w:rPr>
            </w:pPr>
            <w:r w:rsidRPr="003965A2">
              <w:rPr>
                <w:lang w:val="it-IT"/>
              </w:rPr>
              <w:t>Per i titoli senza cedola (zero coupon), il provento finanziario dell’investimento, pari alla differenza tra il costo d’acquisto del titolo e il valore di rimborso finale, è contabilizzato</w:t>
            </w:r>
            <w:r>
              <w:rPr>
                <w:lang w:val="it-IT"/>
              </w:rPr>
              <w:t xml:space="preserve"> a quote costanti e rilevato in diretta contropartita del valore di bilancio del titolo?</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5</w:t>
            </w:r>
            <w:r>
              <w:rPr>
                <w:b/>
                <w:lang w:val="it-IT"/>
              </w:rPr>
              <w:t>2</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20.79</w:t>
            </w:r>
          </w:p>
        </w:tc>
        <w:tc>
          <w:tcPr>
            <w:tcW w:w="7060" w:type="dxa"/>
            <w:tcMar>
              <w:left w:w="108" w:type="dxa"/>
            </w:tcMar>
          </w:tcPr>
          <w:p w:rsidR="0073099A" w:rsidRPr="003965A2" w:rsidRDefault="0073099A" w:rsidP="00445E6B">
            <w:pPr>
              <w:spacing w:line="240" w:lineRule="exact"/>
              <w:rPr>
                <w:lang w:val="it-IT"/>
              </w:rPr>
            </w:pPr>
            <w:r w:rsidRPr="00E54699">
              <w:rPr>
                <w:lang w:val="it-IT"/>
              </w:rPr>
              <w:t>La differenza tra il costo d’acquisto del titolo e il valore di rimborso finale è rilevata fra gli interessi attivi</w:t>
            </w:r>
            <w:r>
              <w:rPr>
                <w:lang w:val="it-IT"/>
              </w:rPr>
              <w:t>?</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E54699" w:rsidRDefault="0073099A" w:rsidP="00D73E98">
            <w:pPr>
              <w:pStyle w:val="Titolo4"/>
            </w:pPr>
            <w:r w:rsidRPr="00E54699">
              <w:t>Titoli immobilizzati: perdita durevole di valore</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CC242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20.80</w:t>
            </w:r>
          </w:p>
        </w:tc>
        <w:tc>
          <w:tcPr>
            <w:tcW w:w="7060" w:type="dxa"/>
            <w:tcMar>
              <w:left w:w="108" w:type="dxa"/>
            </w:tcMar>
          </w:tcPr>
          <w:p w:rsidR="0073099A" w:rsidRPr="00E54699" w:rsidRDefault="0073099A" w:rsidP="00D73E98">
            <w:pPr>
              <w:pStyle w:val="Commentiriquadro"/>
            </w:pPr>
            <w:r w:rsidRPr="00E54699">
              <w:t>Per quanto riguarda la presenza di eventuali indicatori di deterioramento duraturo della solvibilità dell’emittente, si rimanda al paragrafo dal 55. Per le società che redigono il bilancio in forma abbreviata ai sensi dell’art. 2435-</w:t>
            </w:r>
            <w:r w:rsidRPr="00241DC6">
              <w:t>bis</w:t>
            </w:r>
            <w:r>
              <w:t>,</w:t>
            </w:r>
            <w:r w:rsidRPr="00E54699">
              <w:rPr>
                <w:i/>
              </w:rPr>
              <w:t xml:space="preserve"> </w:t>
            </w:r>
            <w:r w:rsidRPr="00E54699">
              <w:t>la perdita di valore è determinata dalla differenza tra valore di iscrizione del titolo, comprensivo degli eventuali ratei iscritti ai sensi del paragrafo 30, ed il minor valore determinato sulla base di quanto indicato al paragrafo 55.</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5</w:t>
            </w:r>
            <w:r>
              <w:rPr>
                <w:b/>
                <w:lang w:val="it-IT"/>
              </w:rPr>
              <w:t>3</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20.80</w:t>
            </w:r>
          </w:p>
        </w:tc>
        <w:tc>
          <w:tcPr>
            <w:tcW w:w="7060" w:type="dxa"/>
            <w:tcMar>
              <w:left w:w="108" w:type="dxa"/>
            </w:tcMar>
          </w:tcPr>
          <w:p w:rsidR="0073099A" w:rsidRPr="003965A2" w:rsidRDefault="0073099A" w:rsidP="00D73E98">
            <w:pPr>
              <w:spacing w:line="230" w:lineRule="exact"/>
              <w:rPr>
                <w:lang w:val="it-IT"/>
              </w:rPr>
            </w:pPr>
            <w:r>
              <w:rPr>
                <w:lang w:val="it-IT"/>
              </w:rPr>
              <w:t>L</w:t>
            </w:r>
            <w:r w:rsidRPr="00E54699">
              <w:rPr>
                <w:lang w:val="it-IT"/>
              </w:rPr>
              <w:t>a perdita di valore è determinata dalla differenza tra valore di iscrizione del titolo, comprensivo degli eventuali ratei iscritti ai sensi del paragrafo 30, ed il minor valore determinato</w:t>
            </w:r>
            <w:r>
              <w:rPr>
                <w:lang w:val="it-IT"/>
              </w:rPr>
              <w:t xml:space="preserve"> come previsto dal paragrafo 55 dell’OIC 20?</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E54699" w:rsidRDefault="0073099A" w:rsidP="00D73E98">
            <w:pPr>
              <w:pStyle w:val="Titolo4"/>
            </w:pPr>
            <w:r w:rsidRPr="00E54699">
              <w:t>Titoli immobilizzati: ripristino di valore</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5</w:t>
            </w:r>
            <w:r>
              <w:rPr>
                <w:b/>
                <w:lang w:val="it-IT"/>
              </w:rPr>
              <w:t>4</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20.81</w:t>
            </w:r>
          </w:p>
        </w:tc>
        <w:tc>
          <w:tcPr>
            <w:tcW w:w="7060" w:type="dxa"/>
            <w:tcMar>
              <w:left w:w="108" w:type="dxa"/>
            </w:tcMar>
          </w:tcPr>
          <w:p w:rsidR="0073099A" w:rsidRPr="00AD6E2D" w:rsidRDefault="0073099A" w:rsidP="00D73E98">
            <w:pPr>
              <w:spacing w:line="240" w:lineRule="exact"/>
              <w:rPr>
                <w:lang w:val="it-IT"/>
              </w:rPr>
            </w:pPr>
            <w:r w:rsidRPr="00E54699">
              <w:rPr>
                <w:lang w:val="it-IT"/>
              </w:rPr>
              <w:t xml:space="preserve">Nel caso in cui </w:t>
            </w:r>
            <w:r>
              <w:rPr>
                <w:lang w:val="it-IT"/>
              </w:rPr>
              <w:t xml:space="preserve">siano </w:t>
            </w:r>
            <w:r w:rsidRPr="00E54699">
              <w:rPr>
                <w:lang w:val="it-IT"/>
              </w:rPr>
              <w:t>ven</w:t>
            </w:r>
            <w:r>
              <w:rPr>
                <w:lang w:val="it-IT"/>
              </w:rPr>
              <w:t>ute</w:t>
            </w:r>
            <w:r w:rsidRPr="00E54699">
              <w:rPr>
                <w:lang w:val="it-IT"/>
              </w:rPr>
              <w:t xml:space="preserve"> meno le ragioni che avevano indotto a rettificare il valore di libro dei titoli immobilizzati, si </w:t>
            </w:r>
            <w:r>
              <w:rPr>
                <w:lang w:val="it-IT"/>
              </w:rPr>
              <w:t xml:space="preserve">è </w:t>
            </w:r>
            <w:r w:rsidRPr="00E54699">
              <w:rPr>
                <w:lang w:val="it-IT"/>
              </w:rPr>
              <w:t>proced</w:t>
            </w:r>
            <w:r>
              <w:rPr>
                <w:lang w:val="it-IT"/>
              </w:rPr>
              <w:t>uto</w:t>
            </w:r>
            <w:r w:rsidRPr="00E54699">
              <w:rPr>
                <w:lang w:val="it-IT"/>
              </w:rPr>
              <w:t xml:space="preserve"> al ripristino di valore del titolo fino a concorrenza, al massimo, del costo originario, tenendo conto degli eventuali scarti o premi di sotto</w:t>
            </w:r>
            <w:r>
              <w:rPr>
                <w:lang w:val="it-IT"/>
              </w:rPr>
              <w:t>scrizione/negoziazione maturati?</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631451"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AD6E2D" w:rsidRDefault="0073099A" w:rsidP="00D73E98">
            <w:pPr>
              <w:pStyle w:val="Titolo4"/>
              <w:spacing w:line="240" w:lineRule="exact"/>
            </w:pPr>
            <w:r w:rsidRPr="00385A79">
              <w:rPr>
                <w:lang w:val="en-US"/>
              </w:rPr>
              <w:t>Titoli non immobilizzati</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5</w:t>
            </w:r>
            <w:r>
              <w:rPr>
                <w:b/>
                <w:lang w:val="it-IT"/>
              </w:rPr>
              <w:t>5</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20.82</w:t>
            </w:r>
          </w:p>
        </w:tc>
        <w:tc>
          <w:tcPr>
            <w:tcW w:w="7060" w:type="dxa"/>
            <w:tcMar>
              <w:left w:w="108" w:type="dxa"/>
            </w:tcMar>
          </w:tcPr>
          <w:p w:rsidR="0073099A" w:rsidRPr="00AD6E2D" w:rsidRDefault="0073099A" w:rsidP="00445E6B">
            <w:pPr>
              <w:spacing w:line="240" w:lineRule="exact"/>
              <w:rPr>
                <w:lang w:val="it-IT"/>
              </w:rPr>
            </w:pPr>
            <w:r w:rsidRPr="00385A79">
              <w:rPr>
                <w:lang w:val="it-IT"/>
              </w:rPr>
              <w:t>I titoli non immobilizzati sono valutati in base al minor valore fra il costo d’acquisto, e il valore di realizzazione desumi</w:t>
            </w:r>
            <w:r>
              <w:rPr>
                <w:lang w:val="it-IT"/>
              </w:rPr>
              <w:t>bile dall'andamento del mercato?</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5</w:t>
            </w:r>
            <w:r>
              <w:rPr>
                <w:b/>
                <w:lang w:val="it-IT"/>
              </w:rPr>
              <w:t>6</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20.82</w:t>
            </w:r>
          </w:p>
        </w:tc>
        <w:tc>
          <w:tcPr>
            <w:tcW w:w="7060" w:type="dxa"/>
            <w:tcMar>
              <w:left w:w="108" w:type="dxa"/>
            </w:tcMar>
          </w:tcPr>
          <w:p w:rsidR="0073099A" w:rsidRPr="00AD6E2D" w:rsidRDefault="0073099A" w:rsidP="00445E6B">
            <w:pPr>
              <w:spacing w:line="240" w:lineRule="exact"/>
              <w:rPr>
                <w:lang w:val="it-IT"/>
              </w:rPr>
            </w:pPr>
            <w:r>
              <w:rPr>
                <w:lang w:val="it-IT"/>
              </w:rPr>
              <w:t>G</w:t>
            </w:r>
            <w:r w:rsidRPr="00385A79">
              <w:rPr>
                <w:lang w:val="it-IT"/>
              </w:rPr>
              <w:t xml:space="preserve">li interessi che maturano sui titoli non immobilizzati </w:t>
            </w:r>
            <w:r>
              <w:rPr>
                <w:lang w:val="it-IT"/>
              </w:rPr>
              <w:t xml:space="preserve">sono rilevati per competenza </w:t>
            </w:r>
            <w:r w:rsidRPr="00385A79">
              <w:rPr>
                <w:lang w:val="it-IT"/>
              </w:rPr>
              <w:t>segue</w:t>
            </w:r>
            <w:r>
              <w:rPr>
                <w:lang w:val="it-IT"/>
              </w:rPr>
              <w:t>ndo</w:t>
            </w:r>
            <w:r w:rsidRPr="00385A79">
              <w:rPr>
                <w:lang w:val="it-IT"/>
              </w:rPr>
              <w:t xml:space="preserve"> le regole dettate nei paragrafi 75-79</w:t>
            </w:r>
            <w:r>
              <w:rPr>
                <w:lang w:val="it-IT"/>
              </w:rPr>
              <w:t xml:space="preserve"> dell’OIC 20?</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5</w:t>
            </w:r>
            <w:r>
              <w:rPr>
                <w:b/>
                <w:lang w:val="it-IT"/>
              </w:rPr>
              <w:t>7</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20.82</w:t>
            </w:r>
          </w:p>
        </w:tc>
        <w:tc>
          <w:tcPr>
            <w:tcW w:w="7060" w:type="dxa"/>
            <w:tcMar>
              <w:left w:w="108" w:type="dxa"/>
            </w:tcMar>
          </w:tcPr>
          <w:p w:rsidR="0073099A" w:rsidRPr="00AD6E2D" w:rsidRDefault="0073099A" w:rsidP="00445E6B">
            <w:pPr>
              <w:spacing w:line="240" w:lineRule="exact"/>
              <w:rPr>
                <w:lang w:val="it-IT"/>
              </w:rPr>
            </w:pPr>
            <w:r>
              <w:rPr>
                <w:lang w:val="it-IT"/>
              </w:rPr>
              <w:t>I</w:t>
            </w:r>
            <w:r w:rsidRPr="00385A79">
              <w:rPr>
                <w:lang w:val="it-IT"/>
              </w:rPr>
              <w:t xml:space="preserve"> premi e </w:t>
            </w:r>
            <w:r>
              <w:rPr>
                <w:lang w:val="it-IT"/>
              </w:rPr>
              <w:t xml:space="preserve">gli </w:t>
            </w:r>
            <w:r w:rsidRPr="00385A79">
              <w:rPr>
                <w:lang w:val="it-IT"/>
              </w:rPr>
              <w:t xml:space="preserve">scarti di sottoscrizione (negoziazione) </w:t>
            </w:r>
            <w:r>
              <w:rPr>
                <w:lang w:val="it-IT"/>
              </w:rPr>
              <w:t xml:space="preserve">sono rilevati per competenza </w:t>
            </w:r>
            <w:r w:rsidRPr="00385A79">
              <w:rPr>
                <w:lang w:val="it-IT"/>
              </w:rPr>
              <w:t>segue</w:t>
            </w:r>
            <w:r>
              <w:rPr>
                <w:lang w:val="it-IT"/>
              </w:rPr>
              <w:t>ndo</w:t>
            </w:r>
            <w:r w:rsidRPr="00385A79">
              <w:rPr>
                <w:lang w:val="it-IT"/>
              </w:rPr>
              <w:t xml:space="preserve"> le regol</w:t>
            </w:r>
            <w:r>
              <w:rPr>
                <w:lang w:val="it-IT"/>
              </w:rPr>
              <w:t>e</w:t>
            </w:r>
            <w:r w:rsidRPr="00385A79">
              <w:rPr>
                <w:lang w:val="it-IT"/>
              </w:rPr>
              <w:t xml:space="preserve"> dettate nei paragrafi 76-77</w:t>
            </w:r>
            <w:r>
              <w:rPr>
                <w:lang w:val="it-IT"/>
              </w:rPr>
              <w:t xml:space="preserve"> dell’OIC 20?</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631451"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20.83</w:t>
            </w:r>
          </w:p>
        </w:tc>
        <w:tc>
          <w:tcPr>
            <w:tcW w:w="7060" w:type="dxa"/>
            <w:tcMar>
              <w:left w:w="108" w:type="dxa"/>
            </w:tcMar>
          </w:tcPr>
          <w:p w:rsidR="0073099A" w:rsidRPr="00AD6E2D" w:rsidRDefault="0073099A" w:rsidP="00D73E98">
            <w:pPr>
              <w:pStyle w:val="Commentiriquadro"/>
            </w:pPr>
            <w:r w:rsidRPr="00385A79">
              <w:t>Il metodo generale per la valutazione dei titoli è quello del costo specifico, che presuppone l'individuazione e l'attribuzione ai singoli titoli dei costi specificamente sostenuti per l'acquisto dei medesimi. L'art</w:t>
            </w:r>
            <w:r>
              <w:t>.</w:t>
            </w:r>
            <w:r w:rsidRPr="00385A79">
              <w:t xml:space="preserve"> 2426, n.10</w:t>
            </w:r>
            <w:r>
              <w:t xml:space="preserve"> CC</w:t>
            </w:r>
            <w:r w:rsidRPr="00385A79">
              <w:t xml:space="preserve"> prevede che “</w:t>
            </w:r>
            <w:r w:rsidRPr="00385A79">
              <w:rPr>
                <w:i/>
              </w:rPr>
              <w:t xml:space="preserve">Il costo dei beni fungibili può essere calcolato col metodo della media ponderata o con quelli «primo entrato, primo uscito”; o “ultimo entrato, primo uscito»; se il valore così ottenuto differisce in misura apprezzabile dai costi correnti alla chiusura dell'esercizio, la differenza deve essere indicata, per categoria di beni, nella </w:t>
            </w:r>
            <w:r>
              <w:rPr>
                <w:i/>
              </w:rPr>
              <w:t>Nota Integrativa</w:t>
            </w:r>
            <w:r w:rsidRPr="00385A79">
              <w:t xml:space="preserve">”. Pertanto, è possibile per i titoli, in alternativa al costo specifico, utilizzare uno dei seguenti metodi di calcolo del costo: media ponderata, LIFO e FIFO. </w:t>
            </w:r>
            <w:r w:rsidRPr="00385A79">
              <w:rPr>
                <w:lang w:val="en-US"/>
              </w:rPr>
              <w:t>I predetti metodi sono trattati nell’OIC 13 “Rimanenze”.</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5</w:t>
            </w:r>
            <w:r>
              <w:rPr>
                <w:b/>
                <w:lang w:val="it-IT"/>
              </w:rPr>
              <w:t>8</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20.83</w:t>
            </w:r>
          </w:p>
        </w:tc>
        <w:tc>
          <w:tcPr>
            <w:tcW w:w="7060" w:type="dxa"/>
            <w:tcMar>
              <w:left w:w="108" w:type="dxa"/>
            </w:tcMar>
          </w:tcPr>
          <w:p w:rsidR="0073099A" w:rsidRPr="00AD6E2D" w:rsidRDefault="0073099A" w:rsidP="00D73E98">
            <w:pPr>
              <w:spacing w:line="240" w:lineRule="exact"/>
              <w:rPr>
                <w:lang w:val="it-IT"/>
              </w:rPr>
            </w:pPr>
            <w:r w:rsidRPr="00385A79">
              <w:rPr>
                <w:lang w:val="it-IT"/>
              </w:rPr>
              <w:t>I titoli di debito sono valutati titolo per titolo, ossia attribuendo a ciascun titolo il costo specificamente sostenuto</w:t>
            </w:r>
            <w:r>
              <w:rPr>
                <w:lang w:val="it-IT"/>
              </w:rPr>
              <w:t>?</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Pr="00B8621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1A3AA7" w:rsidRDefault="0073099A" w:rsidP="00D73E98">
            <w:pPr>
              <w:pStyle w:val="Titolo4"/>
              <w:spacing w:line="230" w:lineRule="exact"/>
            </w:pPr>
            <w:r w:rsidRPr="001A3AA7">
              <w:t>Titoli non immobilizzati: il valore di realizzazione desumibile dall’andamento del mercato</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631451" w:rsidTr="00D73E98">
        <w:trPr>
          <w:cantSplit/>
          <w:trHeight w:val="20"/>
        </w:trPr>
        <w:tc>
          <w:tcPr>
            <w:tcW w:w="680" w:type="dxa"/>
          </w:tcPr>
          <w:p w:rsidR="0073099A" w:rsidRPr="0009103C" w:rsidRDefault="0073099A" w:rsidP="00D73E98">
            <w:pPr>
              <w:jc w:val="center"/>
              <w:rPr>
                <w:b/>
                <w:lang w:val="it-IT"/>
              </w:rPr>
            </w:pPr>
            <w:r>
              <w:rPr>
                <w:b/>
                <w:lang w:val="it-IT"/>
              </w:rPr>
              <w:t>59</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20.84</w:t>
            </w:r>
          </w:p>
        </w:tc>
        <w:tc>
          <w:tcPr>
            <w:tcW w:w="7060" w:type="dxa"/>
            <w:tcMar>
              <w:left w:w="108" w:type="dxa"/>
            </w:tcMar>
          </w:tcPr>
          <w:p w:rsidR="0073099A" w:rsidRPr="00AD6E2D" w:rsidRDefault="0073099A" w:rsidP="00D73E98">
            <w:pPr>
              <w:spacing w:line="240" w:lineRule="exact"/>
              <w:rPr>
                <w:lang w:val="it-IT"/>
              </w:rPr>
            </w:pPr>
            <w:r w:rsidRPr="001A3AA7">
              <w:rPr>
                <w:lang w:val="it-IT"/>
              </w:rPr>
              <w:t xml:space="preserve">Per quanto riguarda l’identificazione del mercato di riferimento e le modalità di determinazione del valore di realizzazione </w:t>
            </w:r>
            <w:r>
              <w:rPr>
                <w:lang w:val="it-IT"/>
              </w:rPr>
              <w:t>sono state applicate le regole contenute n</w:t>
            </w:r>
            <w:r w:rsidRPr="001A3AA7">
              <w:rPr>
                <w:lang w:val="it-IT"/>
              </w:rPr>
              <w:t>ei paragrafi dal 62 al 68</w:t>
            </w:r>
            <w:r>
              <w:rPr>
                <w:lang w:val="it-IT"/>
              </w:rPr>
              <w:t xml:space="preserve"> dell’OIC 20?</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631451"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AD6E2D" w:rsidRDefault="0073099A" w:rsidP="00D73E98">
            <w:pPr>
              <w:pStyle w:val="Titolo2"/>
              <w:rPr>
                <w:lang w:val="it-IT"/>
              </w:rPr>
            </w:pPr>
            <w:r>
              <w:rPr>
                <w:lang w:val="it-IT"/>
              </w:rPr>
              <w:t>Nota Integrativa</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CC242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DD4394" w:rsidRDefault="0073099A" w:rsidP="00D73E98">
            <w:pPr>
              <w:pStyle w:val="Titolo3"/>
              <w:rPr>
                <w:lang w:val="it-IT"/>
              </w:rPr>
            </w:pPr>
            <w:r w:rsidRPr="00DD4394">
              <w:rPr>
                <w:lang w:val="it-IT"/>
              </w:rPr>
              <w:t>Informazioni relative alle società che redigono il bilancio in forma ordinaria</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F0679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AD6E2D" w:rsidRDefault="0073099A" w:rsidP="00D73E98">
            <w:pPr>
              <w:pStyle w:val="Titolo4"/>
            </w:pPr>
            <w:r>
              <w:t>Titoli immobilizzati</w:t>
            </w:r>
          </w:p>
        </w:tc>
        <w:tc>
          <w:tcPr>
            <w:tcW w:w="586" w:type="dxa"/>
            <w:tcMar>
              <w:left w:w="85" w:type="dxa"/>
              <w:right w:w="85"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DE38DC"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73099A" w:rsidRPr="00DE38DC"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73099A" w:rsidRPr="00CC242B" w:rsidTr="00D73E98">
        <w:trPr>
          <w:cantSplit/>
          <w:trHeight w:val="20"/>
        </w:trPr>
        <w:tc>
          <w:tcPr>
            <w:tcW w:w="680" w:type="dxa"/>
          </w:tcPr>
          <w:p w:rsidR="0073099A" w:rsidRPr="0009103C" w:rsidRDefault="0073099A" w:rsidP="00D73E98">
            <w:pPr>
              <w:jc w:val="center"/>
              <w:rPr>
                <w:b/>
                <w:lang w:val="it-IT"/>
              </w:rPr>
            </w:pPr>
            <w:r w:rsidRPr="0009103C">
              <w:rPr>
                <w:b/>
                <w:lang w:val="it-IT"/>
              </w:rPr>
              <w:t>6</w:t>
            </w:r>
            <w:r>
              <w:rPr>
                <w:b/>
                <w:lang w:val="it-IT"/>
              </w:rPr>
              <w:t>0</w:t>
            </w:r>
            <w:r w:rsidRPr="0009103C">
              <w:rPr>
                <w:b/>
                <w:lang w:val="it-IT"/>
              </w:rPr>
              <w:t>)</w:t>
            </w:r>
          </w:p>
        </w:tc>
        <w:tc>
          <w:tcPr>
            <w:tcW w:w="851" w:type="dxa"/>
            <w:tcMar>
              <w:left w:w="108" w:type="dxa"/>
              <w:right w:w="0" w:type="dxa"/>
            </w:tcMar>
          </w:tcPr>
          <w:p w:rsidR="0073099A" w:rsidRPr="008A0F36" w:rsidRDefault="0073099A" w:rsidP="00D73E98">
            <w:pPr>
              <w:pStyle w:val="PrincCont"/>
              <w:jc w:val="left"/>
              <w:rPr>
                <w:lang w:val="it-IT"/>
              </w:rPr>
            </w:pPr>
            <w:r>
              <w:rPr>
                <w:lang w:val="it-IT"/>
              </w:rPr>
              <w:t>Art .2427, c.1 CC             OIC 20.85</w:t>
            </w:r>
          </w:p>
        </w:tc>
        <w:tc>
          <w:tcPr>
            <w:tcW w:w="7060" w:type="dxa"/>
            <w:tcMar>
              <w:left w:w="108" w:type="dxa"/>
            </w:tcMar>
            <w:vAlign w:val="center"/>
          </w:tcPr>
          <w:p w:rsidR="0073099A" w:rsidRPr="00B94B6C" w:rsidRDefault="0073099A" w:rsidP="00445E6B">
            <w:pPr>
              <w:spacing w:line="240" w:lineRule="exact"/>
              <w:rPr>
                <w:rFonts w:ascii="Times New Roman" w:hAnsi="Times New Roman"/>
                <w:sz w:val="22"/>
                <w:szCs w:val="22"/>
                <w:lang w:val="it-IT" w:eastAsia="it-IT"/>
              </w:rPr>
            </w:pPr>
            <w:r>
              <w:rPr>
                <w:lang w:val="it-IT"/>
              </w:rPr>
              <w:t>L</w:t>
            </w:r>
            <w:r w:rsidRPr="008516E9">
              <w:rPr>
                <w:lang w:val="it-IT"/>
              </w:rPr>
              <w:t xml:space="preserve">a </w:t>
            </w:r>
            <w:r>
              <w:rPr>
                <w:lang w:val="it-IT"/>
              </w:rPr>
              <w:t>Nota Integrativa</w:t>
            </w:r>
            <w:r w:rsidRPr="008516E9">
              <w:rPr>
                <w:lang w:val="it-IT"/>
              </w:rPr>
              <w:t xml:space="preserve"> </w:t>
            </w:r>
            <w:r>
              <w:rPr>
                <w:lang w:val="it-IT"/>
              </w:rPr>
              <w:t>contiene</w:t>
            </w:r>
            <w:r w:rsidRPr="008516E9">
              <w:rPr>
                <w:lang w:val="it-IT"/>
              </w:rPr>
              <w:t xml:space="preserve"> le seguenti informazioni</w:t>
            </w:r>
            <w:r>
              <w:rPr>
                <w:lang w:val="it-IT"/>
              </w:rPr>
              <w:t>:</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FF19F7" w:rsidRDefault="0073099A" w:rsidP="00D73E98">
            <w:pPr>
              <w:jc w:val="center"/>
              <w:rPr>
                <w:lang w:val="it-IT"/>
              </w:rPr>
            </w:pPr>
          </w:p>
        </w:tc>
        <w:tc>
          <w:tcPr>
            <w:tcW w:w="570" w:type="dxa"/>
            <w:tcMar>
              <w:left w:w="108" w:type="dxa"/>
            </w:tcMar>
            <w:vAlign w:val="center"/>
          </w:tcPr>
          <w:p w:rsidR="0073099A" w:rsidRPr="00FF19F7" w:rsidRDefault="0073099A" w:rsidP="00D73E98">
            <w:pPr>
              <w:jc w:val="center"/>
              <w:rPr>
                <w:lang w:val="it-IT"/>
              </w:rPr>
            </w:pPr>
          </w:p>
        </w:tc>
      </w:tr>
      <w:tr w:rsidR="0073099A" w:rsidRPr="00EA46C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Art. 2427, c.1, n.1 CC</w:t>
            </w:r>
          </w:p>
        </w:tc>
        <w:tc>
          <w:tcPr>
            <w:tcW w:w="7060" w:type="dxa"/>
            <w:tcMar>
              <w:left w:w="108" w:type="dxa"/>
            </w:tcMar>
          </w:tcPr>
          <w:p w:rsidR="0073099A" w:rsidRPr="008516E9" w:rsidRDefault="00445E6B" w:rsidP="00445E6B">
            <w:pPr>
              <w:pStyle w:val="rientrotrattinook"/>
              <w:numPr>
                <w:ilvl w:val="0"/>
                <w:numId w:val="0"/>
              </w:numPr>
              <w:spacing w:line="240" w:lineRule="exact"/>
              <w:ind w:left="460" w:hanging="284"/>
            </w:pPr>
            <w:r>
              <w:t>-</w:t>
            </w:r>
            <w:r>
              <w:tab/>
            </w:r>
            <w:r w:rsidR="0073099A" w:rsidRPr="008516E9">
              <w:t>il criterio applicato nella valutazione, nelle rettifiche di valore e nella conversione dei valori non espressi all'origine in moneta avente corso legale nello Stato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Art. 2427, c.1, n.2 CC</w:t>
            </w:r>
          </w:p>
        </w:tc>
        <w:tc>
          <w:tcPr>
            <w:tcW w:w="7060" w:type="dxa"/>
            <w:tcMar>
              <w:left w:w="108" w:type="dxa"/>
            </w:tcMar>
          </w:tcPr>
          <w:p w:rsidR="0073099A" w:rsidRPr="0081642F" w:rsidRDefault="00445E6B" w:rsidP="00445E6B">
            <w:pPr>
              <w:pStyle w:val="rientrotrattinook"/>
              <w:numPr>
                <w:ilvl w:val="0"/>
                <w:numId w:val="0"/>
              </w:numPr>
              <w:spacing w:line="240" w:lineRule="exact"/>
              <w:ind w:left="460" w:hanging="284"/>
              <w:rPr>
                <w:rFonts w:ascii="Times New Roman" w:hAnsi="Times New Roman"/>
                <w:sz w:val="22"/>
                <w:szCs w:val="22"/>
                <w:lang w:eastAsia="it-IT"/>
              </w:rPr>
            </w:pPr>
            <w:r>
              <w:t>-</w:t>
            </w:r>
            <w:r>
              <w:tab/>
            </w:r>
            <w:r w:rsidR="0073099A" w:rsidRPr="008516E9">
              <w:t>i movimenti delle immobilizzazioni, specificando per ciascuna voce</w:t>
            </w:r>
            <w:r w:rsidR="0073099A">
              <w:t xml:space="preserve">: </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EA46C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1642F" w:rsidRDefault="0073099A" w:rsidP="00445E6B">
            <w:pPr>
              <w:pStyle w:val="Paragrafoelenco"/>
              <w:numPr>
                <w:ilvl w:val="0"/>
                <w:numId w:val="20"/>
              </w:numPr>
              <w:spacing w:line="240" w:lineRule="exact"/>
              <w:ind w:left="743" w:hanging="283"/>
              <w:rPr>
                <w:lang w:val="it-IT"/>
              </w:rPr>
            </w:pPr>
            <w:r>
              <w:rPr>
                <w:lang w:val="it-IT"/>
              </w:rPr>
              <w:t>il costo,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EA46C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1642F" w:rsidRDefault="0073099A" w:rsidP="00445E6B">
            <w:pPr>
              <w:pStyle w:val="Paragrafoelenco"/>
              <w:numPr>
                <w:ilvl w:val="0"/>
                <w:numId w:val="20"/>
              </w:numPr>
              <w:spacing w:line="240" w:lineRule="exact"/>
              <w:ind w:left="743" w:hanging="283"/>
              <w:rPr>
                <w:lang w:val="it-IT"/>
              </w:rPr>
            </w:pPr>
            <w:r w:rsidRPr="0081642F">
              <w:rPr>
                <w:lang w:val="it-IT"/>
              </w:rPr>
              <w:t>le precedent</w:t>
            </w:r>
            <w:r>
              <w:rPr>
                <w:lang w:val="it-IT"/>
              </w:rPr>
              <w:t>i svalutazioni e rivalutazioni,</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EA46C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1642F" w:rsidRDefault="0073099A" w:rsidP="00445E6B">
            <w:pPr>
              <w:pStyle w:val="Paragrafoelenco"/>
              <w:numPr>
                <w:ilvl w:val="0"/>
                <w:numId w:val="20"/>
              </w:numPr>
              <w:spacing w:line="240" w:lineRule="exact"/>
              <w:ind w:left="743" w:hanging="283"/>
              <w:rPr>
                <w:lang w:val="it-IT"/>
              </w:rPr>
            </w:pPr>
            <w:r w:rsidRPr="0081642F">
              <w:rPr>
                <w:lang w:val="it-IT"/>
              </w:rPr>
              <w:t xml:space="preserve">le acquisizioni, </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EA46C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1642F" w:rsidRDefault="0073099A" w:rsidP="00445E6B">
            <w:pPr>
              <w:pStyle w:val="Paragrafoelenco"/>
              <w:numPr>
                <w:ilvl w:val="0"/>
                <w:numId w:val="20"/>
              </w:numPr>
              <w:spacing w:line="240" w:lineRule="exact"/>
              <w:ind w:left="743" w:hanging="283"/>
              <w:rPr>
                <w:lang w:val="it-IT"/>
              </w:rPr>
            </w:pPr>
            <w:r w:rsidRPr="0081642F">
              <w:rPr>
                <w:lang w:val="it-IT"/>
              </w:rPr>
              <w:t xml:space="preserve">gli spostamenti da una ad altra voce, </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EA46C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1642F" w:rsidRDefault="0073099A" w:rsidP="00445E6B">
            <w:pPr>
              <w:pStyle w:val="Paragrafoelenco"/>
              <w:numPr>
                <w:ilvl w:val="0"/>
                <w:numId w:val="20"/>
              </w:numPr>
              <w:spacing w:line="240" w:lineRule="exact"/>
              <w:ind w:left="743" w:hanging="283"/>
              <w:rPr>
                <w:lang w:val="it-IT"/>
              </w:rPr>
            </w:pPr>
            <w:r w:rsidRPr="0081642F">
              <w:rPr>
                <w:lang w:val="it-IT"/>
              </w:rPr>
              <w:t xml:space="preserve">le alienazioni avvenute nell'esercizio, </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EA46C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1642F" w:rsidRDefault="0073099A" w:rsidP="00445E6B">
            <w:pPr>
              <w:pStyle w:val="Paragrafoelenco"/>
              <w:numPr>
                <w:ilvl w:val="0"/>
                <w:numId w:val="20"/>
              </w:numPr>
              <w:spacing w:line="240" w:lineRule="exact"/>
              <w:ind w:left="743" w:hanging="283"/>
              <w:rPr>
                <w:lang w:val="it-IT"/>
              </w:rPr>
            </w:pPr>
            <w:r w:rsidRPr="0081642F">
              <w:rPr>
                <w:lang w:val="it-IT"/>
              </w:rPr>
              <w:t>le svalutazioni e le rivalutazioni effettuate nell'ese</w:t>
            </w:r>
            <w:r>
              <w:rPr>
                <w:lang w:val="it-IT"/>
              </w:rPr>
              <w:t>rcizio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EA46C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A222E5" w:rsidRDefault="0073099A" w:rsidP="00445E6B">
            <w:pPr>
              <w:pStyle w:val="Paragrafoelenco"/>
              <w:numPr>
                <w:ilvl w:val="0"/>
                <w:numId w:val="20"/>
              </w:numPr>
              <w:spacing w:line="240" w:lineRule="exact"/>
              <w:ind w:left="743" w:hanging="283"/>
              <w:rPr>
                <w:rFonts w:ascii="Times New Roman" w:hAnsi="Times New Roman"/>
                <w:sz w:val="22"/>
                <w:szCs w:val="22"/>
                <w:lang w:val="it-IT" w:eastAsia="it-IT"/>
              </w:rPr>
            </w:pPr>
            <w:r>
              <w:rPr>
                <w:lang w:val="it-IT"/>
              </w:rPr>
              <w:t xml:space="preserve">il totale </w:t>
            </w:r>
            <w:r w:rsidRPr="00A222E5">
              <w:rPr>
                <w:lang w:val="it-IT"/>
              </w:rPr>
              <w:t>delle rivalutazioni riguardanti le immobilizzazioni esistenti alla chiusura dell’esercizio (per quanto riguarda i titoli classificati tra le immobilizzazioni finanziarie)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A31605"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Pr="002C2E63" w:rsidRDefault="0073099A" w:rsidP="00D73E98">
            <w:pPr>
              <w:pStyle w:val="PrincCont"/>
              <w:jc w:val="left"/>
            </w:pPr>
          </w:p>
        </w:tc>
        <w:tc>
          <w:tcPr>
            <w:tcW w:w="7060" w:type="dxa"/>
            <w:tcMar>
              <w:left w:w="108" w:type="dxa"/>
            </w:tcMar>
          </w:tcPr>
          <w:p w:rsidR="0073099A" w:rsidRPr="008516E9" w:rsidRDefault="00445E6B" w:rsidP="00445E6B">
            <w:pPr>
              <w:pStyle w:val="rientrotrattinook"/>
              <w:numPr>
                <w:ilvl w:val="0"/>
                <w:numId w:val="0"/>
              </w:numPr>
              <w:spacing w:line="240" w:lineRule="exact"/>
              <w:ind w:left="460" w:hanging="284"/>
            </w:pPr>
            <w:r>
              <w:t>-</w:t>
            </w:r>
            <w:r>
              <w:tab/>
            </w:r>
            <w:r w:rsidR="0073099A" w:rsidRPr="00B71A6E">
              <w:t>le variazioni intervenute nella consistenza delle altre voci dell’attivo e del passivo; in particolare, per le voci del patrimonio netto, per i fondi e per il trattamento di fine rapporto, la formazione e le utilizzazioni;”.</w:t>
            </w:r>
          </w:p>
        </w:tc>
        <w:tc>
          <w:tcPr>
            <w:tcW w:w="586" w:type="dxa"/>
            <w:tcMar>
              <w:left w:w="85" w:type="dxa"/>
              <w:right w:w="85"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314"/>
        </w:trPr>
        <w:tc>
          <w:tcPr>
            <w:tcW w:w="680" w:type="dxa"/>
          </w:tcPr>
          <w:p w:rsidR="0073099A" w:rsidRPr="0009103C" w:rsidRDefault="0073099A" w:rsidP="00D73E98">
            <w:pPr>
              <w:jc w:val="center"/>
              <w:rPr>
                <w:b/>
                <w:lang w:val="it-IT"/>
              </w:rPr>
            </w:pPr>
            <w:r w:rsidRPr="0009103C">
              <w:rPr>
                <w:b/>
                <w:lang w:val="it-IT"/>
              </w:rPr>
              <w:t>6</w:t>
            </w:r>
            <w:r>
              <w:rPr>
                <w:b/>
                <w:lang w:val="it-IT"/>
              </w:rPr>
              <w:t>1</w:t>
            </w:r>
            <w:r w:rsidRPr="0009103C">
              <w:rPr>
                <w:b/>
                <w:lang w:val="it-IT"/>
              </w:rPr>
              <w:t>)</w:t>
            </w:r>
          </w:p>
        </w:tc>
        <w:tc>
          <w:tcPr>
            <w:tcW w:w="851" w:type="dxa"/>
            <w:tcMar>
              <w:left w:w="108" w:type="dxa"/>
              <w:right w:w="0" w:type="dxa"/>
            </w:tcMar>
          </w:tcPr>
          <w:p w:rsidR="0073099A" w:rsidRPr="008A0F36" w:rsidRDefault="0073099A" w:rsidP="00D73E98">
            <w:pPr>
              <w:pStyle w:val="PrincCont"/>
              <w:jc w:val="left"/>
              <w:rPr>
                <w:lang w:val="it-IT"/>
              </w:rPr>
            </w:pPr>
            <w:r>
              <w:rPr>
                <w:lang w:val="it-IT"/>
              </w:rPr>
              <w:t>Art. 2427, n.1 CC             OIC 20.85</w:t>
            </w:r>
          </w:p>
        </w:tc>
        <w:tc>
          <w:tcPr>
            <w:tcW w:w="7060" w:type="dxa"/>
            <w:tcMar>
              <w:left w:w="108" w:type="dxa"/>
            </w:tcMar>
            <w:vAlign w:val="center"/>
          </w:tcPr>
          <w:p w:rsidR="0073099A" w:rsidRPr="00907D1A" w:rsidRDefault="0073099A" w:rsidP="00D73E98">
            <w:pPr>
              <w:spacing w:line="230" w:lineRule="exact"/>
              <w:rPr>
                <w:lang w:val="it-IT"/>
              </w:rPr>
            </w:pPr>
            <w:r w:rsidRPr="00907D1A">
              <w:rPr>
                <w:lang w:val="it-IT"/>
              </w:rPr>
              <w:t>Nel fornire le informazioni d</w:t>
            </w:r>
            <w:r>
              <w:rPr>
                <w:lang w:val="it-IT"/>
              </w:rPr>
              <w:t>i cui al n.1, c.1, dell’art.</w:t>
            </w:r>
            <w:r w:rsidRPr="00907D1A">
              <w:rPr>
                <w:lang w:val="it-IT"/>
              </w:rPr>
              <w:t xml:space="preserve"> 2427</w:t>
            </w:r>
            <w:r>
              <w:rPr>
                <w:lang w:val="it-IT"/>
              </w:rPr>
              <w:t xml:space="preserve"> CC</w:t>
            </w:r>
            <w:r w:rsidRPr="00907D1A">
              <w:rPr>
                <w:lang w:val="it-IT"/>
              </w:rPr>
              <w:t xml:space="preserve">, la </w:t>
            </w:r>
            <w:r>
              <w:rPr>
                <w:lang w:val="it-IT"/>
              </w:rPr>
              <w:t>Nota Integrativa</w:t>
            </w:r>
            <w:r w:rsidRPr="00907D1A">
              <w:rPr>
                <w:lang w:val="it-IT"/>
              </w:rPr>
              <w:t xml:space="preserve"> illustra:</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rPr>
                <w:lang w:val="it-IT"/>
              </w:rPr>
            </w:pPr>
          </w:p>
        </w:tc>
        <w:tc>
          <w:tcPr>
            <w:tcW w:w="570" w:type="dxa"/>
            <w:tcMar>
              <w:left w:w="108" w:type="dxa"/>
            </w:tcMar>
            <w:vAlign w:val="center"/>
          </w:tcPr>
          <w:p w:rsidR="0073099A" w:rsidRPr="00A32A16" w:rsidRDefault="0073099A" w:rsidP="00D73E98">
            <w:pPr>
              <w:rPr>
                <w:lang w:val="it-IT"/>
              </w:rPr>
            </w:pPr>
          </w:p>
        </w:tc>
      </w:tr>
      <w:tr w:rsidR="0073099A" w:rsidRPr="008516E9" w:rsidTr="00D73E98">
        <w:trPr>
          <w:cantSplit/>
          <w:trHeight w:val="314"/>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907D1A" w:rsidRDefault="00246CF2" w:rsidP="00246CF2">
            <w:pPr>
              <w:pStyle w:val="rientrotrattinook"/>
              <w:numPr>
                <w:ilvl w:val="0"/>
                <w:numId w:val="0"/>
              </w:numPr>
              <w:ind w:left="460" w:hanging="284"/>
            </w:pPr>
            <w:r>
              <w:t>-</w:t>
            </w:r>
            <w:r>
              <w:tab/>
            </w:r>
            <w:r w:rsidR="0073099A" w:rsidRPr="00907D1A">
              <w:t>le ragioni, nel caso di “perdita durevole” di valore del titolo, dell'adozione di un valore inferiore al costo o al valore contabile precedente e gli elementi che hanno costituito base o riferimento p</w:t>
            </w:r>
            <w:r w:rsidR="0073099A">
              <w:t>er l'adozione del valore minore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73099A" w:rsidRPr="008516E9" w:rsidTr="00D73E98">
        <w:trPr>
          <w:cantSplit/>
          <w:trHeight w:val="314"/>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907D1A" w:rsidRDefault="00246CF2" w:rsidP="00246CF2">
            <w:pPr>
              <w:pStyle w:val="rientrotrattinook"/>
              <w:numPr>
                <w:ilvl w:val="0"/>
                <w:numId w:val="0"/>
              </w:numPr>
              <w:ind w:left="460" w:hanging="284"/>
            </w:pPr>
            <w:r>
              <w:t>-</w:t>
            </w:r>
            <w:r>
              <w:tab/>
            </w:r>
            <w:r w:rsidR="0073099A" w:rsidRPr="00907D1A">
              <w:t>le ragioni che hanno indotto a ripristinare il costo precedentemente svalutato a causa di</w:t>
            </w:r>
            <w:r w:rsidR="0073099A">
              <w:t xml:space="preserve"> una perdita durevole di valore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73099A" w:rsidRPr="008516E9" w:rsidTr="00D73E98">
        <w:trPr>
          <w:cantSplit/>
          <w:trHeight w:val="314"/>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907D1A" w:rsidRDefault="00246CF2" w:rsidP="00246CF2">
            <w:pPr>
              <w:pStyle w:val="rientrotrattinook"/>
              <w:numPr>
                <w:ilvl w:val="0"/>
                <w:numId w:val="0"/>
              </w:numPr>
              <w:ind w:left="460" w:hanging="284"/>
            </w:pPr>
            <w:r>
              <w:t>-</w:t>
            </w:r>
            <w:r>
              <w:tab/>
            </w:r>
            <w:r w:rsidR="0073099A" w:rsidRPr="00907D1A">
              <w:t>il trattamento contabile del premio o dell'onere per il sottoscrittore di titoli immobilizz</w:t>
            </w:r>
            <w:r w:rsidR="0073099A">
              <w:t>ati e dello scarto di emissione?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73099A" w:rsidRPr="00CC242B" w:rsidTr="00D73E98">
        <w:trPr>
          <w:cantSplit/>
          <w:trHeight w:val="314"/>
        </w:trPr>
        <w:tc>
          <w:tcPr>
            <w:tcW w:w="680" w:type="dxa"/>
          </w:tcPr>
          <w:p w:rsidR="0073099A" w:rsidRPr="0009103C" w:rsidRDefault="0073099A" w:rsidP="00D73E98">
            <w:pPr>
              <w:jc w:val="center"/>
              <w:rPr>
                <w:b/>
                <w:lang w:val="it-IT"/>
              </w:rPr>
            </w:pPr>
            <w:r w:rsidRPr="0009103C">
              <w:rPr>
                <w:b/>
                <w:lang w:val="it-IT"/>
              </w:rPr>
              <w:t>6</w:t>
            </w:r>
            <w:r>
              <w:rPr>
                <w:b/>
                <w:lang w:val="it-IT"/>
              </w:rPr>
              <w:t>2</w:t>
            </w:r>
            <w:r w:rsidRPr="0009103C">
              <w:rPr>
                <w:b/>
                <w:lang w:val="it-IT"/>
              </w:rPr>
              <w:t>)</w:t>
            </w:r>
          </w:p>
        </w:tc>
        <w:tc>
          <w:tcPr>
            <w:tcW w:w="851" w:type="dxa"/>
            <w:tcMar>
              <w:left w:w="108" w:type="dxa"/>
              <w:right w:w="0" w:type="dxa"/>
            </w:tcMar>
          </w:tcPr>
          <w:p w:rsidR="0073099A" w:rsidRPr="00293B7D" w:rsidRDefault="0073099A" w:rsidP="00D73E98">
            <w:pPr>
              <w:pStyle w:val="PrincCont"/>
              <w:jc w:val="left"/>
            </w:pPr>
            <w:r w:rsidRPr="00293B7D">
              <w:t>Art. 2427, c.1, n.2</w:t>
            </w:r>
            <w:r>
              <w:t xml:space="preserve"> </w:t>
            </w:r>
            <w:r w:rsidRPr="00293B7D">
              <w:t>CC</w:t>
            </w:r>
            <w:r>
              <w:t xml:space="preserve">       </w:t>
            </w:r>
            <w:r w:rsidRPr="00293B7D">
              <w:t>OIC 20.</w:t>
            </w:r>
            <w:r>
              <w:t>8</w:t>
            </w:r>
            <w:r w:rsidRPr="00293B7D">
              <w:t>5</w:t>
            </w:r>
          </w:p>
        </w:tc>
        <w:tc>
          <w:tcPr>
            <w:tcW w:w="7060" w:type="dxa"/>
            <w:tcMar>
              <w:left w:w="108" w:type="dxa"/>
            </w:tcMar>
          </w:tcPr>
          <w:p w:rsidR="0073099A" w:rsidRPr="00216D43" w:rsidRDefault="0073099A" w:rsidP="00D73E98">
            <w:pPr>
              <w:spacing w:line="230" w:lineRule="exact"/>
              <w:rPr>
                <w:lang w:val="it-IT"/>
              </w:rPr>
            </w:pPr>
            <w:r w:rsidRPr="00216D43">
              <w:rPr>
                <w:lang w:val="it-IT"/>
              </w:rPr>
              <w:t>Le informazioni d</w:t>
            </w:r>
            <w:r>
              <w:rPr>
                <w:lang w:val="it-IT"/>
              </w:rPr>
              <w:t>i cui al n.2, c.1, dell’art.</w:t>
            </w:r>
            <w:r w:rsidRPr="00216D43">
              <w:rPr>
                <w:lang w:val="it-IT"/>
              </w:rPr>
              <w:t xml:space="preserve"> 2427</w:t>
            </w:r>
            <w:r>
              <w:rPr>
                <w:lang w:val="it-IT"/>
              </w:rPr>
              <w:t xml:space="preserve"> CC</w:t>
            </w:r>
            <w:r w:rsidRPr="00216D43">
              <w:rPr>
                <w:lang w:val="it-IT"/>
              </w:rPr>
              <w:t xml:space="preserve">, sono </w:t>
            </w:r>
            <w:r>
              <w:rPr>
                <w:lang w:val="it-IT"/>
              </w:rPr>
              <w:t xml:space="preserve">state </w:t>
            </w:r>
            <w:r w:rsidRPr="00216D43">
              <w:rPr>
                <w:lang w:val="it-IT"/>
              </w:rPr>
              <w:t>corredate dalle seguenti indicazioni:</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rPr>
                <w:lang w:val="it-IT"/>
              </w:rPr>
            </w:pPr>
          </w:p>
        </w:tc>
        <w:tc>
          <w:tcPr>
            <w:tcW w:w="570" w:type="dxa"/>
            <w:tcMar>
              <w:left w:w="108" w:type="dxa"/>
            </w:tcMar>
            <w:vAlign w:val="center"/>
          </w:tcPr>
          <w:p w:rsidR="0073099A" w:rsidRPr="00A32A16" w:rsidRDefault="0073099A" w:rsidP="00D73E98">
            <w:pPr>
              <w:rPr>
                <w:lang w:val="it-IT"/>
              </w:rPr>
            </w:pPr>
          </w:p>
        </w:tc>
      </w:tr>
      <w:tr w:rsidR="0073099A" w:rsidRPr="008516E9" w:rsidTr="00D73E98">
        <w:trPr>
          <w:cantSplit/>
          <w:trHeight w:val="314"/>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907D1A" w:rsidRDefault="00246CF2" w:rsidP="00246CF2">
            <w:pPr>
              <w:pStyle w:val="rientrotrattinook"/>
              <w:numPr>
                <w:ilvl w:val="0"/>
                <w:numId w:val="0"/>
              </w:numPr>
              <w:ind w:left="460" w:hanging="284"/>
            </w:pPr>
            <w:r>
              <w:t>--</w:t>
            </w:r>
            <w:r>
              <w:tab/>
            </w:r>
            <w:r w:rsidR="0073099A" w:rsidRPr="00216D43">
              <w:t xml:space="preserve">nel caso di “ripristino di valore”, </w:t>
            </w:r>
            <w:r w:rsidR="0073099A">
              <w:t>l'ammontare della rivalutazione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73099A" w:rsidRPr="008516E9" w:rsidTr="00D73E98">
        <w:trPr>
          <w:cantSplit/>
          <w:trHeight w:val="314"/>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216D43" w:rsidRDefault="00246CF2" w:rsidP="00246CF2">
            <w:pPr>
              <w:pStyle w:val="rientrotrattinook"/>
              <w:numPr>
                <w:ilvl w:val="0"/>
                <w:numId w:val="0"/>
              </w:numPr>
              <w:ind w:left="460" w:hanging="284"/>
            </w:pPr>
            <w:r>
              <w:t>--</w:t>
            </w:r>
            <w:r>
              <w:tab/>
            </w:r>
            <w:r w:rsidR="0073099A" w:rsidRPr="00216D43">
              <w:t>i titoli, con relativo importo, che hanno costituito oggetto di cambiamento di destinazione e le rela</w:t>
            </w:r>
            <w:r w:rsidR="0073099A">
              <w:t>tive ragioni e</w:t>
            </w:r>
            <w:r w:rsidR="0073099A" w:rsidRPr="00216D43">
              <w:t xml:space="preserve"> l’influenza del cambiamento sulla rappresentazione del</w:t>
            </w:r>
            <w:r w:rsidR="0073099A">
              <w:t>la</w:t>
            </w:r>
            <w:r w:rsidR="0073099A" w:rsidRPr="00216D43">
              <w:t xml:space="preserve"> situazione patrimoniale e finanzi</w:t>
            </w:r>
            <w:r w:rsidR="0073099A">
              <w:t>aria e del risultato economico?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73099A" w:rsidRPr="00CC242B" w:rsidTr="00D73E98">
        <w:trPr>
          <w:cantSplit/>
          <w:trHeight w:val="314"/>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20.86</w:t>
            </w:r>
          </w:p>
        </w:tc>
        <w:tc>
          <w:tcPr>
            <w:tcW w:w="7060" w:type="dxa"/>
            <w:tcMar>
              <w:left w:w="108" w:type="dxa"/>
            </w:tcMar>
          </w:tcPr>
          <w:p w:rsidR="0073099A" w:rsidRPr="007A1AEC" w:rsidRDefault="0073099A" w:rsidP="00D73E98">
            <w:pPr>
              <w:pStyle w:val="Commentiriquadro"/>
            </w:pPr>
            <w:r w:rsidRPr="007A1AEC">
              <w:t>L’art</w:t>
            </w:r>
            <w:r>
              <w:t>.</w:t>
            </w:r>
            <w:r w:rsidRPr="007A1AEC">
              <w:t xml:space="preserve"> 2423, c</w:t>
            </w:r>
            <w:r>
              <w:t>.</w:t>
            </w:r>
            <w:r w:rsidRPr="007A1AEC">
              <w:t>4</w:t>
            </w:r>
            <w:r>
              <w:t xml:space="preserve"> CC</w:t>
            </w:r>
            <w:r w:rsidRPr="007A1AEC">
              <w:t xml:space="preserve"> prevede che: “</w:t>
            </w:r>
            <w:r w:rsidRPr="007A1AEC">
              <w:rPr>
                <w:i/>
              </w:rPr>
              <w:t xml:space="preserve">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w:t>
            </w:r>
            <w:r>
              <w:rPr>
                <w:i/>
              </w:rPr>
              <w:t>Nota Integrativa</w:t>
            </w:r>
            <w:r w:rsidRPr="007A1AEC">
              <w:rPr>
                <w:i/>
              </w:rPr>
              <w:t xml:space="preserve"> i criteri con i quali hanno dato attuazione alla presente disposizione.</w:t>
            </w:r>
            <w:r w:rsidRPr="007A1AEC">
              <w:t xml:space="preserve">” Se, ad esempio, una società tenuta all’applicazione del criterio del costo ammortizzato decide di non utilizzarlo per titoli di debito immobilizzati con costi di transazione e ogni altra differenza tra valore iniziale e valore a scadenza di scarso rilievo, la società ai sensi di tale normativa illustra in </w:t>
            </w:r>
            <w:r>
              <w:t>Nota Integrativa</w:t>
            </w:r>
            <w:r w:rsidRPr="007A1AEC">
              <w:t xml:space="preserve"> le politiche contabili adottate.</w:t>
            </w:r>
          </w:p>
        </w:tc>
        <w:tc>
          <w:tcPr>
            <w:tcW w:w="586" w:type="dxa"/>
            <w:tcMar>
              <w:left w:w="85" w:type="dxa"/>
              <w:right w:w="85" w:type="dxa"/>
            </w:tcMar>
            <w:vAlign w:val="center"/>
          </w:tcPr>
          <w:p w:rsidR="0073099A" w:rsidRPr="00096C17" w:rsidRDefault="0073099A" w:rsidP="00D73E98">
            <w:pPr>
              <w:jc w:val="center"/>
              <w:rPr>
                <w:lang w:val="it-IT"/>
              </w:rPr>
            </w:pPr>
          </w:p>
        </w:tc>
        <w:tc>
          <w:tcPr>
            <w:tcW w:w="573" w:type="dxa"/>
            <w:tcMar>
              <w:left w:w="108" w:type="dxa"/>
            </w:tcMar>
            <w:vAlign w:val="center"/>
          </w:tcPr>
          <w:p w:rsidR="0073099A" w:rsidRPr="00096C17" w:rsidRDefault="0073099A" w:rsidP="00D73E98">
            <w:pPr>
              <w:jc w:val="center"/>
              <w:rPr>
                <w:lang w:val="it-IT"/>
              </w:rPr>
            </w:pPr>
          </w:p>
        </w:tc>
        <w:tc>
          <w:tcPr>
            <w:tcW w:w="570" w:type="dxa"/>
            <w:tcMar>
              <w:left w:w="108" w:type="dxa"/>
            </w:tcMar>
            <w:vAlign w:val="center"/>
          </w:tcPr>
          <w:p w:rsidR="0073099A" w:rsidRPr="00096C17" w:rsidRDefault="0073099A" w:rsidP="00D73E98">
            <w:pPr>
              <w:jc w:val="center"/>
              <w:rPr>
                <w:lang w:val="it-IT"/>
              </w:rPr>
            </w:pPr>
          </w:p>
        </w:tc>
      </w:tr>
      <w:tr w:rsidR="0073099A" w:rsidRPr="00A31605" w:rsidTr="00D73E98">
        <w:trPr>
          <w:cantSplit/>
          <w:trHeight w:val="20"/>
        </w:trPr>
        <w:tc>
          <w:tcPr>
            <w:tcW w:w="680" w:type="dxa"/>
          </w:tcPr>
          <w:p w:rsidR="0073099A" w:rsidRPr="0009103C" w:rsidRDefault="0073099A" w:rsidP="00D73E98">
            <w:pPr>
              <w:jc w:val="center"/>
              <w:rPr>
                <w:b/>
                <w:lang w:val="it-IT"/>
              </w:rPr>
            </w:pPr>
            <w:r w:rsidRPr="0009103C">
              <w:rPr>
                <w:b/>
                <w:lang w:val="it-IT"/>
              </w:rPr>
              <w:t>6</w:t>
            </w:r>
            <w:r>
              <w:rPr>
                <w:b/>
                <w:lang w:val="it-IT"/>
              </w:rPr>
              <w:t>3</w:t>
            </w:r>
            <w:r w:rsidRPr="0009103C">
              <w:rPr>
                <w:b/>
                <w:lang w:val="it-IT"/>
              </w:rPr>
              <w:t>)</w:t>
            </w:r>
          </w:p>
        </w:tc>
        <w:tc>
          <w:tcPr>
            <w:tcW w:w="851" w:type="dxa"/>
            <w:tcMar>
              <w:left w:w="108" w:type="dxa"/>
              <w:right w:w="0" w:type="dxa"/>
            </w:tcMar>
          </w:tcPr>
          <w:p w:rsidR="0073099A" w:rsidRPr="00B71A6E" w:rsidRDefault="0073099A" w:rsidP="00D73E98">
            <w:pPr>
              <w:pStyle w:val="PrincCont"/>
              <w:jc w:val="left"/>
              <w:rPr>
                <w:lang w:val="it-IT"/>
              </w:rPr>
            </w:pPr>
            <w:r>
              <w:rPr>
                <w:lang w:val="it-IT"/>
              </w:rPr>
              <w:t>OIC 20.86</w:t>
            </w:r>
          </w:p>
        </w:tc>
        <w:tc>
          <w:tcPr>
            <w:tcW w:w="7060" w:type="dxa"/>
            <w:tcMar>
              <w:left w:w="108" w:type="dxa"/>
            </w:tcMar>
          </w:tcPr>
          <w:p w:rsidR="0073099A" w:rsidRPr="004706A8" w:rsidRDefault="0073099A" w:rsidP="00D73E98">
            <w:pPr>
              <w:spacing w:line="230" w:lineRule="exact"/>
              <w:rPr>
                <w:lang w:val="it-IT"/>
              </w:rPr>
            </w:pPr>
            <w:r w:rsidRPr="004706A8">
              <w:rPr>
                <w:lang w:val="it-IT"/>
              </w:rPr>
              <w:t xml:space="preserve">La </w:t>
            </w:r>
            <w:r>
              <w:rPr>
                <w:lang w:val="it-IT"/>
              </w:rPr>
              <w:t>Nota Integrativa</w:t>
            </w:r>
            <w:r w:rsidRPr="004706A8">
              <w:rPr>
                <w:lang w:val="it-IT"/>
              </w:rPr>
              <w:t xml:space="preserve"> illustra le politiche contabili adottate e in particolare i criteri con i quali è stata data attuazione alla disposizione dell’art</w:t>
            </w:r>
            <w:r>
              <w:rPr>
                <w:lang w:val="it-IT"/>
              </w:rPr>
              <w:t>.</w:t>
            </w:r>
            <w:r w:rsidRPr="004706A8">
              <w:rPr>
                <w:lang w:val="it-IT"/>
              </w:rPr>
              <w:t xml:space="preserve"> 2423, c</w:t>
            </w:r>
            <w:r>
              <w:rPr>
                <w:lang w:val="it-IT"/>
              </w:rPr>
              <w:t>.</w:t>
            </w:r>
            <w:r w:rsidRPr="004706A8">
              <w:rPr>
                <w:lang w:val="it-IT"/>
              </w:rPr>
              <w:t>4</w:t>
            </w:r>
            <w:r>
              <w:rPr>
                <w:lang w:val="it-IT"/>
              </w:rPr>
              <w:t xml:space="preserve"> CC per quanto riguarda i titoli immobilizzati</w:t>
            </w:r>
            <w:r w:rsidRPr="004706A8">
              <w:rPr>
                <w:lang w:val="it-IT"/>
              </w:rPr>
              <w:t>?</w:t>
            </w:r>
          </w:p>
        </w:tc>
        <w:tc>
          <w:tcPr>
            <w:tcW w:w="586" w:type="dxa"/>
            <w:tcMar>
              <w:left w:w="85" w:type="dxa"/>
              <w:right w:w="85"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09103C" w:rsidRDefault="0073099A" w:rsidP="00D73E98">
            <w:pPr>
              <w:jc w:val="center"/>
              <w:rPr>
                <w:b/>
                <w:lang w:val="it-IT"/>
              </w:rPr>
            </w:pPr>
            <w:r w:rsidRPr="0009103C">
              <w:rPr>
                <w:b/>
                <w:lang w:val="it-IT"/>
              </w:rPr>
              <w:t>6</w:t>
            </w:r>
            <w:r>
              <w:rPr>
                <w:b/>
                <w:lang w:val="it-IT"/>
              </w:rPr>
              <w:t>4</w:t>
            </w:r>
            <w:r w:rsidRPr="0009103C">
              <w:rPr>
                <w:b/>
                <w:lang w:val="it-IT"/>
              </w:rPr>
              <w:t>)</w:t>
            </w:r>
          </w:p>
        </w:tc>
        <w:tc>
          <w:tcPr>
            <w:tcW w:w="851" w:type="dxa"/>
            <w:tcMar>
              <w:left w:w="108" w:type="dxa"/>
              <w:right w:w="0" w:type="dxa"/>
            </w:tcMar>
          </w:tcPr>
          <w:p w:rsidR="0073099A" w:rsidRPr="002C2E63" w:rsidRDefault="0073099A" w:rsidP="00D73E98">
            <w:pPr>
              <w:pStyle w:val="PrincCont"/>
              <w:jc w:val="left"/>
            </w:pPr>
            <w:r w:rsidRPr="002C2E63">
              <w:t>Art. 2427-bis, c.</w:t>
            </w:r>
            <w:r>
              <w:t xml:space="preserve">1, </w:t>
            </w:r>
            <w:r w:rsidRPr="002C2E63">
              <w:t>n.</w:t>
            </w:r>
            <w:r>
              <w:t>2</w:t>
            </w:r>
            <w:r w:rsidRPr="002C2E63">
              <w:t xml:space="preserve"> CC</w:t>
            </w:r>
            <w:r>
              <w:t xml:space="preserve"> OIC 20.87</w:t>
            </w:r>
          </w:p>
        </w:tc>
        <w:tc>
          <w:tcPr>
            <w:tcW w:w="7060" w:type="dxa"/>
            <w:tcMar>
              <w:left w:w="108" w:type="dxa"/>
            </w:tcMar>
          </w:tcPr>
          <w:p w:rsidR="0073099A" w:rsidRPr="004706A8" w:rsidRDefault="0073099A" w:rsidP="00D73E98">
            <w:pPr>
              <w:spacing w:line="230" w:lineRule="exact"/>
              <w:rPr>
                <w:lang w:val="it-IT"/>
              </w:rPr>
            </w:pPr>
            <w:r w:rsidRPr="004706A8">
              <w:rPr>
                <w:lang w:val="it-IT"/>
              </w:rPr>
              <w:t xml:space="preserve">Per le immobilizzazioni finanziarie iscritte a un valore superiore al loro </w:t>
            </w:r>
            <w:r w:rsidRPr="004706A8">
              <w:rPr>
                <w:i/>
                <w:lang w:val="it-IT"/>
              </w:rPr>
              <w:t>fair value</w:t>
            </w:r>
            <w:r w:rsidRPr="004706A8">
              <w:rPr>
                <w:lang w:val="it-IT"/>
              </w:rPr>
              <w:t xml:space="preserve"> la </w:t>
            </w:r>
            <w:r>
              <w:rPr>
                <w:lang w:val="it-IT"/>
              </w:rPr>
              <w:t>Nota Integrativa</w:t>
            </w:r>
            <w:r w:rsidRPr="004706A8">
              <w:rPr>
                <w:lang w:val="it-IT"/>
              </w:rPr>
              <w:t xml:space="preserve"> indica:</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FF19F7" w:rsidRDefault="0073099A" w:rsidP="00D73E98">
            <w:pPr>
              <w:jc w:val="center"/>
              <w:rPr>
                <w:lang w:val="it-IT"/>
              </w:rPr>
            </w:pPr>
          </w:p>
        </w:tc>
        <w:tc>
          <w:tcPr>
            <w:tcW w:w="570" w:type="dxa"/>
            <w:tcMar>
              <w:left w:w="108" w:type="dxa"/>
            </w:tcMar>
            <w:vAlign w:val="center"/>
          </w:tcPr>
          <w:p w:rsidR="0073099A" w:rsidRPr="00FF19F7" w:rsidRDefault="0073099A" w:rsidP="00D73E98">
            <w:pPr>
              <w:jc w:val="center"/>
              <w:rPr>
                <w:lang w:val="it-IT"/>
              </w:rPr>
            </w:pPr>
          </w:p>
        </w:tc>
      </w:tr>
      <w:tr w:rsidR="0073099A" w:rsidRPr="00EA46C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516E9" w:rsidRDefault="0073099A" w:rsidP="004E27C2">
            <w:pPr>
              <w:pStyle w:val="Paragrafoelenco"/>
              <w:numPr>
                <w:ilvl w:val="0"/>
                <w:numId w:val="19"/>
              </w:numPr>
              <w:overflowPunct/>
              <w:spacing w:before="0" w:after="0" w:line="230" w:lineRule="exact"/>
              <w:ind w:left="460" w:hanging="284"/>
              <w:textAlignment w:val="auto"/>
              <w:rPr>
                <w:lang w:val="it-IT" w:eastAsia="it-IT"/>
              </w:rPr>
            </w:pPr>
            <w:r w:rsidRPr="008516E9">
              <w:rPr>
                <w:lang w:val="it-IT" w:eastAsia="it-IT"/>
              </w:rPr>
              <w:t xml:space="preserve">il valore contabile e il </w:t>
            </w:r>
            <w:r w:rsidRPr="00907D1A">
              <w:rPr>
                <w:i/>
                <w:lang w:val="it-IT" w:eastAsia="it-IT"/>
              </w:rPr>
              <w:t>fair value</w:t>
            </w:r>
            <w:r w:rsidRPr="008516E9">
              <w:rPr>
                <w:lang w:val="it-IT" w:eastAsia="it-IT"/>
              </w:rPr>
              <w:t xml:space="preserve"> dei singoli titoli, o di appropriati </w:t>
            </w:r>
            <w:r>
              <w:rPr>
                <w:lang w:val="it-IT" w:eastAsia="it-IT"/>
              </w:rPr>
              <w:t>raggruppamenti di tali attività</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EA46C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516E9" w:rsidRDefault="0073099A" w:rsidP="004E27C2">
            <w:pPr>
              <w:pStyle w:val="Paragrafoelenco"/>
              <w:numPr>
                <w:ilvl w:val="0"/>
                <w:numId w:val="19"/>
              </w:numPr>
              <w:overflowPunct/>
              <w:spacing w:before="0" w:after="0" w:line="230" w:lineRule="exact"/>
              <w:ind w:left="460" w:hanging="284"/>
              <w:textAlignment w:val="auto"/>
              <w:rPr>
                <w:lang w:val="it-IT" w:eastAsia="it-IT"/>
              </w:rPr>
            </w:pPr>
            <w:r w:rsidRPr="008516E9">
              <w:rPr>
                <w:lang w:val="it-IT" w:eastAsia="it-IT"/>
              </w:rPr>
              <w:t>i motivi per i quali il valore contabile non è stato ridotto, inclusa la natura degli elementi sostanziali sui quali si basa il convincimento che tale valore possa essere</w:t>
            </w:r>
            <w:r>
              <w:rPr>
                <w:lang w:val="it-IT" w:eastAsia="it-IT"/>
              </w:rPr>
              <w:t xml:space="preserve"> recuperato?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20.87</w:t>
            </w:r>
          </w:p>
        </w:tc>
        <w:tc>
          <w:tcPr>
            <w:tcW w:w="7060" w:type="dxa"/>
            <w:tcMar>
              <w:left w:w="108" w:type="dxa"/>
            </w:tcMar>
          </w:tcPr>
          <w:p w:rsidR="0073099A" w:rsidRPr="004706A8" w:rsidRDefault="0073099A" w:rsidP="00D73E98">
            <w:pPr>
              <w:pStyle w:val="Commentiriquadro"/>
              <w:rPr>
                <w:lang w:eastAsia="it-IT"/>
              </w:rPr>
            </w:pPr>
            <w:r w:rsidRPr="004706A8">
              <w:rPr>
                <w:lang w:eastAsia="it-IT"/>
              </w:rPr>
              <w:t xml:space="preserve">Per la determinazione del </w:t>
            </w:r>
            <w:r w:rsidRPr="004706A8">
              <w:rPr>
                <w:i/>
                <w:lang w:eastAsia="it-IT"/>
              </w:rPr>
              <w:t xml:space="preserve">fair value </w:t>
            </w:r>
            <w:r w:rsidRPr="004706A8">
              <w:rPr>
                <w:lang w:eastAsia="it-IT"/>
              </w:rPr>
              <w:t xml:space="preserve">dei titoli classificati tra le immobilizzazioni finanziarie occorre verificare se per i titoli oggetto di valutazione esiste un mercato attivo di riferimento; se esiste il prezzo rilevabile sul mercato è la miglior rappresentazione del </w:t>
            </w:r>
            <w:r w:rsidRPr="004706A8">
              <w:rPr>
                <w:i/>
                <w:lang w:eastAsia="it-IT"/>
              </w:rPr>
              <w:t>fair value</w:t>
            </w:r>
            <w:r w:rsidRPr="004706A8">
              <w:rPr>
                <w:lang w:eastAsia="it-IT"/>
              </w:rPr>
              <w:t>. In assenza di tale valore è necessario verificare la presenza di transazioni di mercato su titoli simili a quelli oggetto di valutazione oppure ricorrere alla definizione di modelli valutativi interni che tengano conto di tutti i fattori di rischio impliciti nello strumento da valutare.</w:t>
            </w:r>
          </w:p>
        </w:tc>
        <w:tc>
          <w:tcPr>
            <w:tcW w:w="586" w:type="dxa"/>
            <w:tcMar>
              <w:left w:w="85" w:type="dxa"/>
              <w:right w:w="85" w:type="dxa"/>
            </w:tcMar>
            <w:vAlign w:val="center"/>
          </w:tcPr>
          <w:p w:rsidR="0073099A" w:rsidRPr="004706A8" w:rsidRDefault="0073099A" w:rsidP="00D73E98">
            <w:pPr>
              <w:jc w:val="center"/>
              <w:rPr>
                <w:lang w:val="it-IT"/>
              </w:rPr>
            </w:pPr>
          </w:p>
        </w:tc>
        <w:tc>
          <w:tcPr>
            <w:tcW w:w="573" w:type="dxa"/>
            <w:tcMar>
              <w:left w:w="108" w:type="dxa"/>
            </w:tcMar>
            <w:vAlign w:val="center"/>
          </w:tcPr>
          <w:p w:rsidR="0073099A" w:rsidRPr="004706A8" w:rsidRDefault="0073099A" w:rsidP="00D73E98">
            <w:pPr>
              <w:jc w:val="center"/>
              <w:rPr>
                <w:lang w:val="it-IT"/>
              </w:rPr>
            </w:pPr>
          </w:p>
        </w:tc>
        <w:tc>
          <w:tcPr>
            <w:tcW w:w="570" w:type="dxa"/>
            <w:tcMar>
              <w:left w:w="108" w:type="dxa"/>
            </w:tcMar>
            <w:vAlign w:val="center"/>
          </w:tcPr>
          <w:p w:rsidR="0073099A" w:rsidRPr="004706A8" w:rsidRDefault="0073099A" w:rsidP="00D73E98">
            <w:pPr>
              <w:jc w:val="center"/>
              <w:rPr>
                <w:lang w:val="it-IT"/>
              </w:rPr>
            </w:pPr>
          </w:p>
        </w:tc>
      </w:tr>
      <w:tr w:rsidR="0073099A" w:rsidRPr="00A31605" w:rsidTr="00D73E98">
        <w:trPr>
          <w:cantSplit/>
          <w:trHeight w:val="314"/>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907D1A" w:rsidRDefault="0073099A" w:rsidP="00D73E98">
            <w:pPr>
              <w:pStyle w:val="Titolo4"/>
            </w:pPr>
            <w:r w:rsidRPr="00C7233A">
              <w:rPr>
                <w:lang w:val="en-US"/>
              </w:rPr>
              <w:t>Titoli non immobilizzati</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rPr>
                <w:lang w:val="it-IT"/>
              </w:rPr>
            </w:pPr>
          </w:p>
        </w:tc>
        <w:tc>
          <w:tcPr>
            <w:tcW w:w="570" w:type="dxa"/>
            <w:tcMar>
              <w:left w:w="108" w:type="dxa"/>
            </w:tcMar>
            <w:vAlign w:val="center"/>
          </w:tcPr>
          <w:p w:rsidR="0073099A" w:rsidRPr="00A32A16" w:rsidRDefault="0073099A" w:rsidP="00D73E98">
            <w:pPr>
              <w:rPr>
                <w:lang w:val="it-IT"/>
              </w:rPr>
            </w:pPr>
          </w:p>
        </w:tc>
      </w:tr>
      <w:tr w:rsidR="0073099A" w:rsidRPr="00CC242B" w:rsidTr="00D73E98">
        <w:trPr>
          <w:cantSplit/>
          <w:trHeight w:val="20"/>
        </w:trPr>
        <w:tc>
          <w:tcPr>
            <w:tcW w:w="680" w:type="dxa"/>
          </w:tcPr>
          <w:p w:rsidR="0073099A" w:rsidRPr="00177E56" w:rsidRDefault="0073099A" w:rsidP="00D73E98">
            <w:pPr>
              <w:jc w:val="center"/>
              <w:rPr>
                <w:b/>
                <w:lang w:val="it-IT"/>
              </w:rPr>
            </w:pPr>
            <w:r w:rsidRPr="00177E56">
              <w:rPr>
                <w:b/>
                <w:lang w:val="it-IT"/>
              </w:rPr>
              <w:t>6</w:t>
            </w:r>
            <w:r>
              <w:rPr>
                <w:b/>
                <w:lang w:val="it-IT"/>
              </w:rPr>
              <w:t>5</w:t>
            </w:r>
            <w:r w:rsidRPr="00177E56">
              <w:rPr>
                <w:b/>
                <w:lang w:val="it-IT"/>
              </w:rPr>
              <w:t>)</w:t>
            </w:r>
          </w:p>
        </w:tc>
        <w:tc>
          <w:tcPr>
            <w:tcW w:w="851" w:type="dxa"/>
            <w:tcMar>
              <w:left w:w="108" w:type="dxa"/>
              <w:right w:w="0" w:type="dxa"/>
            </w:tcMar>
          </w:tcPr>
          <w:p w:rsidR="0073099A" w:rsidRPr="008A0F36" w:rsidRDefault="0073099A" w:rsidP="00D73E98">
            <w:pPr>
              <w:pStyle w:val="PrincCont"/>
              <w:jc w:val="left"/>
              <w:rPr>
                <w:lang w:val="it-IT"/>
              </w:rPr>
            </w:pPr>
            <w:r>
              <w:rPr>
                <w:lang w:val="it-IT"/>
              </w:rPr>
              <w:t>Artt. 2426 e 2427 CC    OIC 20.88</w:t>
            </w:r>
          </w:p>
        </w:tc>
        <w:tc>
          <w:tcPr>
            <w:tcW w:w="7060" w:type="dxa"/>
            <w:tcMar>
              <w:left w:w="108" w:type="dxa"/>
            </w:tcMar>
            <w:vAlign w:val="center"/>
          </w:tcPr>
          <w:p w:rsidR="0073099A" w:rsidRPr="00216D43" w:rsidRDefault="0073099A" w:rsidP="00D73E98">
            <w:pPr>
              <w:spacing w:line="230" w:lineRule="exact"/>
              <w:rPr>
                <w:rFonts w:ascii="Times New Roman" w:hAnsi="Times New Roman"/>
                <w:sz w:val="22"/>
                <w:szCs w:val="22"/>
                <w:lang w:val="it-IT" w:eastAsia="it-IT"/>
              </w:rPr>
            </w:pPr>
            <w:r>
              <w:rPr>
                <w:lang w:val="it-IT"/>
              </w:rPr>
              <w:t>N</w:t>
            </w:r>
            <w:r w:rsidRPr="00216D43">
              <w:rPr>
                <w:lang w:val="it-IT"/>
              </w:rPr>
              <w:t xml:space="preserve">ella </w:t>
            </w:r>
            <w:r>
              <w:rPr>
                <w:lang w:val="it-IT"/>
              </w:rPr>
              <w:t>Nota Integrativa</w:t>
            </w:r>
            <w:r w:rsidRPr="00216D43">
              <w:rPr>
                <w:lang w:val="it-IT"/>
              </w:rPr>
              <w:t xml:space="preserve"> sono</w:t>
            </w:r>
            <w:r>
              <w:rPr>
                <w:lang w:val="it-IT"/>
              </w:rPr>
              <w:t xml:space="preserve"> state</w:t>
            </w:r>
            <w:r w:rsidRPr="00216D43">
              <w:rPr>
                <w:lang w:val="it-IT"/>
              </w:rPr>
              <w:t xml:space="preserve"> fornite le seguenti informazioni:</w:t>
            </w:r>
          </w:p>
        </w:tc>
        <w:tc>
          <w:tcPr>
            <w:tcW w:w="586" w:type="dxa"/>
            <w:tcMar>
              <w:left w:w="85" w:type="dxa"/>
              <w:right w:w="85" w:type="dxa"/>
            </w:tcMar>
            <w:vAlign w:val="center"/>
          </w:tcPr>
          <w:p w:rsidR="0073099A" w:rsidRPr="00216D43" w:rsidRDefault="0073099A" w:rsidP="00D73E98">
            <w:pPr>
              <w:jc w:val="center"/>
              <w:rPr>
                <w:lang w:val="it-IT"/>
              </w:rPr>
            </w:pPr>
          </w:p>
        </w:tc>
        <w:tc>
          <w:tcPr>
            <w:tcW w:w="573" w:type="dxa"/>
            <w:tcMar>
              <w:left w:w="108" w:type="dxa"/>
            </w:tcMar>
            <w:vAlign w:val="center"/>
          </w:tcPr>
          <w:p w:rsidR="0073099A" w:rsidRPr="00216D43" w:rsidRDefault="0073099A" w:rsidP="00D73E98">
            <w:pPr>
              <w:jc w:val="center"/>
              <w:rPr>
                <w:lang w:val="it-IT"/>
              </w:rPr>
            </w:pPr>
          </w:p>
        </w:tc>
        <w:tc>
          <w:tcPr>
            <w:tcW w:w="570" w:type="dxa"/>
            <w:tcMar>
              <w:left w:w="108" w:type="dxa"/>
            </w:tcMar>
            <w:vAlign w:val="center"/>
          </w:tcPr>
          <w:p w:rsidR="0073099A" w:rsidRPr="00216D43" w:rsidRDefault="0073099A" w:rsidP="00D73E98">
            <w:pPr>
              <w:jc w:val="center"/>
              <w:rPr>
                <w:lang w:val="it-IT"/>
              </w:rPr>
            </w:pPr>
          </w:p>
        </w:tc>
      </w:tr>
      <w:tr w:rsidR="0073099A" w:rsidRPr="00216D43" w:rsidTr="00D73E98">
        <w:trPr>
          <w:cantSplit/>
          <w:trHeight w:val="20"/>
        </w:trPr>
        <w:tc>
          <w:tcPr>
            <w:tcW w:w="680" w:type="dxa"/>
          </w:tcPr>
          <w:p w:rsidR="0073099A" w:rsidRPr="00177E56"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Art. 2427, c.1, n.1 CC</w:t>
            </w:r>
          </w:p>
        </w:tc>
        <w:tc>
          <w:tcPr>
            <w:tcW w:w="7060" w:type="dxa"/>
            <w:tcMar>
              <w:left w:w="108" w:type="dxa"/>
            </w:tcMar>
          </w:tcPr>
          <w:p w:rsidR="0073099A" w:rsidRPr="000D7673" w:rsidRDefault="00246CF2" w:rsidP="00246CF2">
            <w:pPr>
              <w:pStyle w:val="rientrotrattinook"/>
              <w:numPr>
                <w:ilvl w:val="0"/>
                <w:numId w:val="0"/>
              </w:numPr>
              <w:ind w:left="460" w:hanging="284"/>
            </w:pPr>
            <w:r>
              <w:t>-</w:t>
            </w:r>
            <w:r>
              <w:tab/>
            </w:r>
            <w:r w:rsidR="0073099A" w:rsidRPr="000D7673">
              <w:t>il criterio adottato per la loro valutazione, nonché quello per le rettifiche di valore e per la conversione dei valori n</w:t>
            </w:r>
            <w:r w:rsidR="0073099A">
              <w:t>on espressi all'origine in euro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73099A" w:rsidRPr="00216D43" w:rsidTr="00D73E98">
        <w:trPr>
          <w:cantSplit/>
          <w:trHeight w:val="20"/>
        </w:trPr>
        <w:tc>
          <w:tcPr>
            <w:tcW w:w="680" w:type="dxa"/>
          </w:tcPr>
          <w:p w:rsidR="0073099A" w:rsidRPr="00177E56"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Art. 2427, c.1, n.4 CC</w:t>
            </w:r>
          </w:p>
        </w:tc>
        <w:tc>
          <w:tcPr>
            <w:tcW w:w="7060" w:type="dxa"/>
            <w:tcMar>
              <w:left w:w="108" w:type="dxa"/>
            </w:tcMar>
          </w:tcPr>
          <w:p w:rsidR="0073099A" w:rsidRPr="000D7673" w:rsidRDefault="00246CF2" w:rsidP="00246CF2">
            <w:pPr>
              <w:pStyle w:val="rientrotrattinook"/>
              <w:numPr>
                <w:ilvl w:val="0"/>
                <w:numId w:val="0"/>
              </w:numPr>
              <w:ind w:left="460" w:hanging="284"/>
            </w:pPr>
            <w:r>
              <w:t>-</w:t>
            </w:r>
            <w:r>
              <w:tab/>
            </w:r>
            <w:r w:rsidR="0073099A" w:rsidRPr="000D7673">
              <w:t>le variazioni intervenute, da un esercizio all'altr</w:t>
            </w:r>
            <w:r w:rsidR="0073099A">
              <w:t>o, nella consistenza delle voci?</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73099A" w:rsidRPr="00CC242B" w:rsidTr="00D73E98">
        <w:trPr>
          <w:cantSplit/>
          <w:trHeight w:val="314"/>
        </w:trPr>
        <w:tc>
          <w:tcPr>
            <w:tcW w:w="680" w:type="dxa"/>
          </w:tcPr>
          <w:p w:rsidR="0073099A" w:rsidRPr="00177E56"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20.89</w:t>
            </w:r>
          </w:p>
        </w:tc>
        <w:tc>
          <w:tcPr>
            <w:tcW w:w="7060" w:type="dxa"/>
            <w:tcMar>
              <w:left w:w="108" w:type="dxa"/>
            </w:tcMar>
          </w:tcPr>
          <w:p w:rsidR="0073099A" w:rsidRPr="007A1AEC" w:rsidRDefault="0073099A" w:rsidP="00D73E98">
            <w:pPr>
              <w:pStyle w:val="Commentiriquadro"/>
            </w:pPr>
            <w:r w:rsidRPr="007A1AEC">
              <w:t>L’art</w:t>
            </w:r>
            <w:r>
              <w:t>.</w:t>
            </w:r>
            <w:r w:rsidRPr="007A1AEC">
              <w:t xml:space="preserve"> 2423, c</w:t>
            </w:r>
            <w:r>
              <w:t>.</w:t>
            </w:r>
            <w:r w:rsidRPr="007A1AEC">
              <w:t>4</w:t>
            </w:r>
            <w:r>
              <w:t xml:space="preserve"> CC</w:t>
            </w:r>
            <w:r w:rsidRPr="007A1AEC">
              <w:t xml:space="preserve"> prevede che: “</w:t>
            </w:r>
            <w:r w:rsidRPr="007A1AEC">
              <w:rPr>
                <w:i/>
              </w:rPr>
              <w:t xml:space="preserve">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w:t>
            </w:r>
            <w:r>
              <w:rPr>
                <w:i/>
              </w:rPr>
              <w:t>Nota Integrativa</w:t>
            </w:r>
            <w:r w:rsidRPr="007A1AEC">
              <w:rPr>
                <w:i/>
              </w:rPr>
              <w:t xml:space="preserve"> i criteri con i quali hanno dato attuazione alla presente disposizione.</w:t>
            </w:r>
            <w:r w:rsidRPr="007A1AEC">
              <w:t xml:space="preserve">” </w:t>
            </w:r>
            <w:r w:rsidRPr="00C7233A">
              <w:t xml:space="preserve">Se, ad esempio, una società tenuta all’applicazione del criterio del costo ammortizzato decide di non utilizzarlo per i titoli non immobilizzati detenuti in portafoglio per un periodo inferiore ai 12 mesi, la società ai sensi di tale normativa illustra in </w:t>
            </w:r>
            <w:r>
              <w:t>Nota Integrativa</w:t>
            </w:r>
            <w:r w:rsidRPr="00C7233A">
              <w:t xml:space="preserve"> le politiche contabili adottate.</w:t>
            </w:r>
          </w:p>
        </w:tc>
        <w:tc>
          <w:tcPr>
            <w:tcW w:w="586" w:type="dxa"/>
            <w:tcMar>
              <w:left w:w="85" w:type="dxa"/>
              <w:right w:w="85" w:type="dxa"/>
            </w:tcMar>
            <w:vAlign w:val="center"/>
          </w:tcPr>
          <w:p w:rsidR="0073099A" w:rsidRPr="00096C17" w:rsidRDefault="0073099A" w:rsidP="00D73E98">
            <w:pPr>
              <w:jc w:val="center"/>
              <w:rPr>
                <w:lang w:val="it-IT"/>
              </w:rPr>
            </w:pPr>
          </w:p>
        </w:tc>
        <w:tc>
          <w:tcPr>
            <w:tcW w:w="573" w:type="dxa"/>
            <w:tcMar>
              <w:left w:w="108" w:type="dxa"/>
            </w:tcMar>
            <w:vAlign w:val="center"/>
          </w:tcPr>
          <w:p w:rsidR="0073099A" w:rsidRPr="00096C17" w:rsidRDefault="0073099A" w:rsidP="00D73E98">
            <w:pPr>
              <w:jc w:val="center"/>
              <w:rPr>
                <w:lang w:val="it-IT"/>
              </w:rPr>
            </w:pPr>
          </w:p>
        </w:tc>
        <w:tc>
          <w:tcPr>
            <w:tcW w:w="570" w:type="dxa"/>
            <w:tcMar>
              <w:left w:w="108" w:type="dxa"/>
            </w:tcMar>
            <w:vAlign w:val="center"/>
          </w:tcPr>
          <w:p w:rsidR="0073099A" w:rsidRPr="00096C17" w:rsidRDefault="0073099A" w:rsidP="00D73E98">
            <w:pPr>
              <w:jc w:val="center"/>
              <w:rPr>
                <w:lang w:val="it-IT"/>
              </w:rPr>
            </w:pPr>
          </w:p>
        </w:tc>
      </w:tr>
      <w:tr w:rsidR="0073099A" w:rsidRPr="00A31605" w:rsidTr="00D73E98">
        <w:trPr>
          <w:cantSplit/>
          <w:trHeight w:val="20"/>
        </w:trPr>
        <w:tc>
          <w:tcPr>
            <w:tcW w:w="680" w:type="dxa"/>
          </w:tcPr>
          <w:p w:rsidR="0073099A" w:rsidRPr="00177E56" w:rsidRDefault="0073099A" w:rsidP="00D73E98">
            <w:pPr>
              <w:jc w:val="center"/>
              <w:rPr>
                <w:b/>
                <w:lang w:val="it-IT"/>
              </w:rPr>
            </w:pPr>
            <w:r w:rsidRPr="00177E56">
              <w:rPr>
                <w:b/>
                <w:lang w:val="it-IT"/>
              </w:rPr>
              <w:t>6</w:t>
            </w:r>
            <w:r>
              <w:rPr>
                <w:b/>
                <w:lang w:val="it-IT"/>
              </w:rPr>
              <w:t>6</w:t>
            </w:r>
            <w:r w:rsidRPr="00177E56">
              <w:rPr>
                <w:b/>
                <w:lang w:val="it-IT"/>
              </w:rPr>
              <w:t>)</w:t>
            </w:r>
          </w:p>
        </w:tc>
        <w:tc>
          <w:tcPr>
            <w:tcW w:w="851" w:type="dxa"/>
            <w:tcMar>
              <w:left w:w="108" w:type="dxa"/>
              <w:right w:w="0" w:type="dxa"/>
            </w:tcMar>
          </w:tcPr>
          <w:p w:rsidR="0073099A" w:rsidRPr="00B71A6E" w:rsidRDefault="0073099A" w:rsidP="00D73E98">
            <w:pPr>
              <w:pStyle w:val="PrincCont"/>
              <w:jc w:val="left"/>
              <w:rPr>
                <w:lang w:val="it-IT"/>
              </w:rPr>
            </w:pPr>
            <w:r>
              <w:rPr>
                <w:lang w:val="it-IT"/>
              </w:rPr>
              <w:t>OIC 20.89</w:t>
            </w:r>
          </w:p>
        </w:tc>
        <w:tc>
          <w:tcPr>
            <w:tcW w:w="7060" w:type="dxa"/>
            <w:tcMar>
              <w:left w:w="108" w:type="dxa"/>
            </w:tcMar>
          </w:tcPr>
          <w:p w:rsidR="0073099A" w:rsidRPr="004706A8" w:rsidRDefault="0073099A" w:rsidP="00D73E98">
            <w:pPr>
              <w:spacing w:line="230" w:lineRule="exact"/>
              <w:rPr>
                <w:lang w:val="it-IT"/>
              </w:rPr>
            </w:pPr>
            <w:r w:rsidRPr="004706A8">
              <w:rPr>
                <w:lang w:val="it-IT"/>
              </w:rPr>
              <w:t xml:space="preserve">La </w:t>
            </w:r>
            <w:r>
              <w:rPr>
                <w:lang w:val="it-IT"/>
              </w:rPr>
              <w:t>Nota Integrativa</w:t>
            </w:r>
            <w:r w:rsidRPr="004706A8">
              <w:rPr>
                <w:lang w:val="it-IT"/>
              </w:rPr>
              <w:t xml:space="preserve"> illustra le politiche contabili adottate e in particolare i criteri con i quali è stata data attuazione alla disposizione dell’art</w:t>
            </w:r>
            <w:r>
              <w:rPr>
                <w:lang w:val="it-IT"/>
              </w:rPr>
              <w:t>.</w:t>
            </w:r>
            <w:r w:rsidRPr="004706A8">
              <w:rPr>
                <w:lang w:val="it-IT"/>
              </w:rPr>
              <w:t xml:space="preserve"> 2423, c</w:t>
            </w:r>
            <w:r>
              <w:rPr>
                <w:lang w:val="it-IT"/>
              </w:rPr>
              <w:t>.</w:t>
            </w:r>
            <w:r w:rsidRPr="004706A8">
              <w:rPr>
                <w:lang w:val="it-IT"/>
              </w:rPr>
              <w:t>4</w:t>
            </w:r>
            <w:r>
              <w:rPr>
                <w:lang w:val="it-IT"/>
              </w:rPr>
              <w:t xml:space="preserve"> CC per quanto riguarda i titoli non immobilizzati</w:t>
            </w:r>
            <w:r w:rsidRPr="004706A8">
              <w:rPr>
                <w:lang w:val="it-IT"/>
              </w:rPr>
              <w:t>?</w:t>
            </w:r>
          </w:p>
        </w:tc>
        <w:tc>
          <w:tcPr>
            <w:tcW w:w="586" w:type="dxa"/>
            <w:tcMar>
              <w:left w:w="85" w:type="dxa"/>
              <w:right w:w="85"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73099A" w:rsidRPr="00AB7B36" w:rsidTr="00D73E98">
        <w:trPr>
          <w:cantSplit/>
          <w:trHeight w:val="20"/>
        </w:trPr>
        <w:tc>
          <w:tcPr>
            <w:tcW w:w="680" w:type="dxa"/>
          </w:tcPr>
          <w:p w:rsidR="0073099A" w:rsidRPr="00177E56" w:rsidRDefault="0073099A" w:rsidP="00D73E98">
            <w:pPr>
              <w:jc w:val="center"/>
              <w:rPr>
                <w:b/>
                <w:lang w:val="it-IT"/>
              </w:rPr>
            </w:pPr>
            <w:r w:rsidRPr="00177E56">
              <w:rPr>
                <w:b/>
                <w:lang w:val="it-IT"/>
              </w:rPr>
              <w:t>6</w:t>
            </w:r>
            <w:r>
              <w:rPr>
                <w:b/>
                <w:lang w:val="it-IT"/>
              </w:rPr>
              <w:t>7</w:t>
            </w:r>
            <w:r w:rsidRPr="00177E56">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Art. 2426 CC OIC 20.90</w:t>
            </w:r>
          </w:p>
        </w:tc>
        <w:tc>
          <w:tcPr>
            <w:tcW w:w="7060" w:type="dxa"/>
            <w:tcMar>
              <w:left w:w="108" w:type="dxa"/>
            </w:tcMar>
          </w:tcPr>
          <w:p w:rsidR="0073099A" w:rsidRDefault="0073099A" w:rsidP="00D73E98">
            <w:pPr>
              <w:spacing w:line="230" w:lineRule="exact"/>
              <w:rPr>
                <w:lang w:val="it-IT"/>
              </w:rPr>
            </w:pPr>
            <w:r>
              <w:rPr>
                <w:lang w:val="it-IT"/>
              </w:rPr>
              <w:t>N</w:t>
            </w:r>
            <w:r w:rsidRPr="00AB7B36">
              <w:rPr>
                <w:lang w:val="it-IT"/>
              </w:rPr>
              <w:t xml:space="preserve">ella </w:t>
            </w:r>
            <w:r>
              <w:rPr>
                <w:lang w:val="it-IT"/>
              </w:rPr>
              <w:t>Nota Integrativa</w:t>
            </w:r>
            <w:r w:rsidRPr="00AB7B36">
              <w:rPr>
                <w:lang w:val="it-IT"/>
              </w:rPr>
              <w:t xml:space="preserve"> sono fornite le seguenti informazioni in relazione ai titoli che non costituiscono immobilizzazioni finanziarie</w:t>
            </w:r>
            <w:r>
              <w:rPr>
                <w:lang w:val="it-IT"/>
              </w:rPr>
              <w:t>:</w:t>
            </w:r>
          </w:p>
          <w:p w:rsidR="0073099A" w:rsidRPr="008A465D" w:rsidRDefault="0073099A" w:rsidP="0073099A">
            <w:pPr>
              <w:pStyle w:val="Puntoelenco"/>
              <w:tabs>
                <w:tab w:val="clear" w:pos="704"/>
              </w:tabs>
              <w:spacing w:line="230" w:lineRule="exact"/>
              <w:ind w:left="460" w:hanging="284"/>
            </w:pPr>
            <w:r w:rsidRPr="00AB7B36">
              <w:t xml:space="preserve">la differenza, se apprezzabile, fra valore di bilancio (determinato con il criterio del costo specifico, o con i metodi LIFO, FIFO o costo medio ponderato) e valori correnti (costi correnti </w:t>
            </w:r>
            <w:r w:rsidRPr="00AB7B36">
              <w:rPr>
                <w:i/>
              </w:rPr>
              <w:t xml:space="preserve">ex </w:t>
            </w:r>
            <w:r w:rsidRPr="00AB7B36">
              <w:t>art</w:t>
            </w:r>
            <w:r>
              <w:t>.</w:t>
            </w:r>
            <w:r w:rsidRPr="00AB7B36">
              <w:t xml:space="preserve"> 2426, n</w:t>
            </w:r>
            <w:r>
              <w:t>.</w:t>
            </w:r>
            <w:r w:rsidRPr="00AB7B36">
              <w:t>10)</w:t>
            </w:r>
            <w:r>
              <w:t>?</w:t>
            </w:r>
          </w:p>
        </w:tc>
        <w:tc>
          <w:tcPr>
            <w:tcW w:w="586" w:type="dxa"/>
            <w:tcMar>
              <w:left w:w="85" w:type="dxa"/>
              <w:right w:w="85"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177E56"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20.90</w:t>
            </w:r>
          </w:p>
        </w:tc>
        <w:tc>
          <w:tcPr>
            <w:tcW w:w="7060" w:type="dxa"/>
            <w:tcMar>
              <w:left w:w="108" w:type="dxa"/>
            </w:tcMar>
          </w:tcPr>
          <w:p w:rsidR="0073099A" w:rsidRPr="008A465D" w:rsidRDefault="0073099A" w:rsidP="00D73E98">
            <w:pPr>
              <w:pStyle w:val="Commentiriquadro"/>
            </w:pPr>
            <w:r w:rsidRPr="00AB7B36">
              <w:t xml:space="preserve">A questo riguardo, la </w:t>
            </w:r>
            <w:r>
              <w:t>Nota Integrativa</w:t>
            </w:r>
            <w:r w:rsidRPr="00AB7B36">
              <w:t xml:space="preserve"> evidenzia i casi nei quali si utilizza il costo specifico per la determinazione del costo di titoli fungibili</w:t>
            </w:r>
          </w:p>
        </w:tc>
        <w:tc>
          <w:tcPr>
            <w:tcW w:w="586" w:type="dxa"/>
            <w:tcMar>
              <w:left w:w="85" w:type="dxa"/>
              <w:right w:w="85" w:type="dxa"/>
            </w:tcMar>
            <w:vAlign w:val="center"/>
          </w:tcPr>
          <w:p w:rsidR="0073099A" w:rsidRPr="00AB7B36" w:rsidRDefault="0073099A" w:rsidP="00D73E98">
            <w:pPr>
              <w:jc w:val="center"/>
              <w:rPr>
                <w:lang w:val="it-IT"/>
              </w:rPr>
            </w:pPr>
          </w:p>
        </w:tc>
        <w:tc>
          <w:tcPr>
            <w:tcW w:w="573" w:type="dxa"/>
            <w:tcMar>
              <w:left w:w="108" w:type="dxa"/>
            </w:tcMar>
            <w:vAlign w:val="center"/>
          </w:tcPr>
          <w:p w:rsidR="0073099A" w:rsidRPr="00AB7B36" w:rsidRDefault="0073099A" w:rsidP="00D73E98">
            <w:pPr>
              <w:jc w:val="center"/>
              <w:rPr>
                <w:lang w:val="it-IT"/>
              </w:rPr>
            </w:pPr>
          </w:p>
        </w:tc>
        <w:tc>
          <w:tcPr>
            <w:tcW w:w="570" w:type="dxa"/>
            <w:tcMar>
              <w:left w:w="108" w:type="dxa"/>
            </w:tcMar>
            <w:vAlign w:val="center"/>
          </w:tcPr>
          <w:p w:rsidR="0073099A" w:rsidRPr="00AB7B36" w:rsidRDefault="0073099A" w:rsidP="00D73E98">
            <w:pPr>
              <w:jc w:val="center"/>
              <w:rPr>
                <w:lang w:val="it-IT"/>
              </w:rPr>
            </w:pPr>
          </w:p>
        </w:tc>
      </w:tr>
      <w:tr w:rsidR="0073099A" w:rsidRPr="00CC242B" w:rsidTr="00D73E98">
        <w:trPr>
          <w:cantSplit/>
          <w:trHeight w:val="20"/>
        </w:trPr>
        <w:tc>
          <w:tcPr>
            <w:tcW w:w="680" w:type="dxa"/>
          </w:tcPr>
          <w:p w:rsidR="0073099A" w:rsidRPr="00177E56"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20.91</w:t>
            </w:r>
          </w:p>
        </w:tc>
        <w:tc>
          <w:tcPr>
            <w:tcW w:w="7060" w:type="dxa"/>
            <w:tcMar>
              <w:left w:w="108" w:type="dxa"/>
            </w:tcMar>
          </w:tcPr>
          <w:p w:rsidR="0073099A" w:rsidRPr="008A465D" w:rsidRDefault="0073099A" w:rsidP="00D73E98">
            <w:pPr>
              <w:pStyle w:val="Commentiriquadro"/>
            </w:pPr>
            <w:r w:rsidRPr="00AB7B36">
              <w:t>Nel fornire le informazioni di cui al numero 10) dell’art</w:t>
            </w:r>
            <w:r>
              <w:t>.</w:t>
            </w:r>
            <w:r w:rsidRPr="00AB7B36">
              <w:t xml:space="preserve"> 2426, la </w:t>
            </w:r>
            <w:r>
              <w:t>Nota Integrativa</w:t>
            </w:r>
            <w:r w:rsidRPr="00AB7B36">
              <w:t xml:space="preserve"> illustra il mercato cui si è fatto riferimento per comparare il costo.</w:t>
            </w:r>
          </w:p>
        </w:tc>
        <w:tc>
          <w:tcPr>
            <w:tcW w:w="586" w:type="dxa"/>
            <w:tcMar>
              <w:left w:w="85" w:type="dxa"/>
              <w:right w:w="85" w:type="dxa"/>
            </w:tcMar>
            <w:vAlign w:val="center"/>
          </w:tcPr>
          <w:p w:rsidR="0073099A" w:rsidRPr="00AB7B36" w:rsidRDefault="0073099A" w:rsidP="00D73E98">
            <w:pPr>
              <w:jc w:val="center"/>
              <w:rPr>
                <w:lang w:val="it-IT"/>
              </w:rPr>
            </w:pPr>
          </w:p>
        </w:tc>
        <w:tc>
          <w:tcPr>
            <w:tcW w:w="573" w:type="dxa"/>
            <w:tcMar>
              <w:left w:w="108" w:type="dxa"/>
            </w:tcMar>
            <w:vAlign w:val="center"/>
          </w:tcPr>
          <w:p w:rsidR="0073099A" w:rsidRPr="00AB7B36" w:rsidRDefault="0073099A" w:rsidP="00D73E98">
            <w:pPr>
              <w:jc w:val="center"/>
              <w:rPr>
                <w:lang w:val="it-IT"/>
              </w:rPr>
            </w:pPr>
          </w:p>
        </w:tc>
        <w:tc>
          <w:tcPr>
            <w:tcW w:w="570" w:type="dxa"/>
            <w:tcMar>
              <w:left w:w="108" w:type="dxa"/>
            </w:tcMar>
            <w:vAlign w:val="center"/>
          </w:tcPr>
          <w:p w:rsidR="0073099A" w:rsidRPr="00AB7B36" w:rsidRDefault="0073099A" w:rsidP="00D73E98">
            <w:pPr>
              <w:jc w:val="center"/>
              <w:rPr>
                <w:lang w:val="it-IT"/>
              </w:rPr>
            </w:pPr>
          </w:p>
        </w:tc>
      </w:tr>
      <w:tr w:rsidR="0073099A" w:rsidRPr="00CC242B" w:rsidTr="00D73E98">
        <w:trPr>
          <w:cantSplit/>
          <w:trHeight w:val="20"/>
        </w:trPr>
        <w:tc>
          <w:tcPr>
            <w:tcW w:w="680" w:type="dxa"/>
          </w:tcPr>
          <w:p w:rsidR="0073099A" w:rsidRPr="00177E56"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A465D" w:rsidRDefault="0073099A" w:rsidP="00D73E98">
            <w:pPr>
              <w:pStyle w:val="Titolo3"/>
              <w:rPr>
                <w:lang w:val="it-IT"/>
              </w:rPr>
            </w:pPr>
            <w:bookmarkStart w:id="4" w:name="_TOC_250003"/>
            <w:r w:rsidRPr="00AB7B36">
              <w:rPr>
                <w:lang w:val="it-IT"/>
              </w:rPr>
              <w:t>Informazioni relative alle società che redigono il bilancio in forma abbreviata</w:t>
            </w:r>
            <w:bookmarkEnd w:id="4"/>
          </w:p>
        </w:tc>
        <w:tc>
          <w:tcPr>
            <w:tcW w:w="586" w:type="dxa"/>
            <w:tcMar>
              <w:left w:w="85" w:type="dxa"/>
              <w:right w:w="85" w:type="dxa"/>
            </w:tcMar>
            <w:vAlign w:val="center"/>
          </w:tcPr>
          <w:p w:rsidR="0073099A" w:rsidRPr="00AB7B36" w:rsidRDefault="0073099A" w:rsidP="00D73E98">
            <w:pPr>
              <w:jc w:val="center"/>
              <w:rPr>
                <w:lang w:val="it-IT"/>
              </w:rPr>
            </w:pPr>
          </w:p>
        </w:tc>
        <w:tc>
          <w:tcPr>
            <w:tcW w:w="573" w:type="dxa"/>
            <w:tcMar>
              <w:left w:w="108" w:type="dxa"/>
            </w:tcMar>
            <w:vAlign w:val="center"/>
          </w:tcPr>
          <w:p w:rsidR="0073099A" w:rsidRPr="00AB7B36" w:rsidRDefault="0073099A" w:rsidP="00D73E98">
            <w:pPr>
              <w:jc w:val="center"/>
              <w:rPr>
                <w:lang w:val="it-IT"/>
              </w:rPr>
            </w:pPr>
          </w:p>
        </w:tc>
        <w:tc>
          <w:tcPr>
            <w:tcW w:w="570" w:type="dxa"/>
            <w:tcMar>
              <w:left w:w="108" w:type="dxa"/>
            </w:tcMar>
            <w:vAlign w:val="center"/>
          </w:tcPr>
          <w:p w:rsidR="0073099A" w:rsidRPr="00AB7B36" w:rsidRDefault="0073099A" w:rsidP="00D73E98">
            <w:pPr>
              <w:jc w:val="center"/>
              <w:rPr>
                <w:lang w:val="it-IT"/>
              </w:rPr>
            </w:pPr>
          </w:p>
        </w:tc>
      </w:tr>
      <w:tr w:rsidR="0073099A" w:rsidRPr="00CC242B" w:rsidTr="00D73E98">
        <w:trPr>
          <w:cantSplit/>
          <w:trHeight w:val="20"/>
        </w:trPr>
        <w:tc>
          <w:tcPr>
            <w:tcW w:w="680" w:type="dxa"/>
          </w:tcPr>
          <w:p w:rsidR="0073099A" w:rsidRPr="00177E56" w:rsidRDefault="0073099A" w:rsidP="00D73E98">
            <w:pPr>
              <w:jc w:val="center"/>
              <w:rPr>
                <w:b/>
                <w:lang w:val="it-IT"/>
              </w:rPr>
            </w:pPr>
            <w:r w:rsidRPr="00177E56">
              <w:rPr>
                <w:b/>
                <w:lang w:val="it-IT"/>
              </w:rPr>
              <w:t>6</w:t>
            </w:r>
            <w:r>
              <w:rPr>
                <w:b/>
                <w:lang w:val="it-IT"/>
              </w:rPr>
              <w:t>8</w:t>
            </w:r>
            <w:r w:rsidRPr="00177E56">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Art. 2427, c.1 CC             OIC 20.92</w:t>
            </w:r>
          </w:p>
        </w:tc>
        <w:tc>
          <w:tcPr>
            <w:tcW w:w="7060" w:type="dxa"/>
            <w:tcMar>
              <w:left w:w="108" w:type="dxa"/>
            </w:tcMar>
          </w:tcPr>
          <w:p w:rsidR="0073099A" w:rsidRPr="008A465D" w:rsidRDefault="0073099A" w:rsidP="00D73E98">
            <w:pPr>
              <w:spacing w:line="224" w:lineRule="exact"/>
              <w:rPr>
                <w:lang w:val="it-IT"/>
              </w:rPr>
            </w:pPr>
            <w:r w:rsidRPr="00AB7B36">
              <w:rPr>
                <w:lang w:val="it-IT"/>
              </w:rPr>
              <w:t xml:space="preserve">Con riferimento ai titoli di debito, nella </w:t>
            </w:r>
            <w:r>
              <w:rPr>
                <w:lang w:val="it-IT"/>
              </w:rPr>
              <w:t>Nota Integrativa</w:t>
            </w:r>
            <w:r w:rsidRPr="00AB7B36">
              <w:rPr>
                <w:lang w:val="it-IT"/>
              </w:rPr>
              <w:t xml:space="preserve"> del bilancio in forma abbreviata sono fornite le seguenti informazioni richieste dall’art</w:t>
            </w:r>
            <w:r>
              <w:rPr>
                <w:lang w:val="it-IT"/>
              </w:rPr>
              <w:t>.</w:t>
            </w:r>
            <w:r w:rsidRPr="00AB7B36">
              <w:rPr>
                <w:lang w:val="it-IT"/>
              </w:rPr>
              <w:t xml:space="preserve"> 2427, c</w:t>
            </w:r>
            <w:r>
              <w:rPr>
                <w:lang w:val="it-IT"/>
              </w:rPr>
              <w:t>.</w:t>
            </w:r>
            <w:r w:rsidRPr="00AB7B36">
              <w:rPr>
                <w:lang w:val="it-IT"/>
              </w:rPr>
              <w:t>1</w:t>
            </w:r>
            <w:r>
              <w:rPr>
                <w:lang w:val="it-IT"/>
              </w:rPr>
              <w:t xml:space="preserve"> CC</w:t>
            </w:r>
            <w:r w:rsidRPr="00AB7B36">
              <w:rPr>
                <w:lang w:val="it-IT"/>
              </w:rPr>
              <w:t>:</w:t>
            </w:r>
          </w:p>
        </w:tc>
        <w:tc>
          <w:tcPr>
            <w:tcW w:w="586" w:type="dxa"/>
            <w:tcMar>
              <w:left w:w="85" w:type="dxa"/>
              <w:right w:w="85" w:type="dxa"/>
            </w:tcMar>
            <w:vAlign w:val="center"/>
          </w:tcPr>
          <w:p w:rsidR="0073099A" w:rsidRPr="00AB7B36" w:rsidRDefault="0073099A" w:rsidP="00D73E98">
            <w:pPr>
              <w:jc w:val="center"/>
              <w:rPr>
                <w:lang w:val="it-IT"/>
              </w:rPr>
            </w:pPr>
          </w:p>
        </w:tc>
        <w:tc>
          <w:tcPr>
            <w:tcW w:w="573" w:type="dxa"/>
            <w:tcMar>
              <w:left w:w="108" w:type="dxa"/>
            </w:tcMar>
            <w:vAlign w:val="center"/>
          </w:tcPr>
          <w:p w:rsidR="0073099A" w:rsidRPr="00AB7B36" w:rsidRDefault="0073099A" w:rsidP="00D73E98">
            <w:pPr>
              <w:jc w:val="center"/>
              <w:rPr>
                <w:lang w:val="it-IT"/>
              </w:rPr>
            </w:pPr>
          </w:p>
        </w:tc>
        <w:tc>
          <w:tcPr>
            <w:tcW w:w="570" w:type="dxa"/>
            <w:tcMar>
              <w:left w:w="108" w:type="dxa"/>
            </w:tcMar>
            <w:vAlign w:val="center"/>
          </w:tcPr>
          <w:p w:rsidR="0073099A" w:rsidRPr="00AB7B36" w:rsidRDefault="0073099A" w:rsidP="00D73E98">
            <w:pPr>
              <w:jc w:val="center"/>
              <w:rPr>
                <w:lang w:val="it-IT"/>
              </w:rPr>
            </w:pPr>
          </w:p>
        </w:tc>
      </w:tr>
      <w:tr w:rsidR="0073099A" w:rsidRPr="00AB7B36"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A465D" w:rsidRDefault="0073099A" w:rsidP="0073099A">
            <w:pPr>
              <w:pStyle w:val="trattinosottoa"/>
              <w:tabs>
                <w:tab w:val="clear" w:pos="704"/>
              </w:tabs>
              <w:spacing w:line="226" w:lineRule="exact"/>
              <w:ind w:left="460" w:hanging="284"/>
            </w:pPr>
            <w:r w:rsidRPr="00AB7B36">
              <w:t>i criteri applicati nella valutazione delle voci del bilancio, nelle rettifiche di valore e nella conversione dei valori non espressi all'origine in moneta avente corso legale nello Stato;</w:t>
            </w:r>
          </w:p>
        </w:tc>
        <w:tc>
          <w:tcPr>
            <w:tcW w:w="586" w:type="dxa"/>
            <w:tcMar>
              <w:left w:w="85" w:type="dxa"/>
              <w:right w:w="85"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73099A" w:rsidRPr="00AB7B36"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A465D" w:rsidRDefault="0073099A" w:rsidP="0073099A">
            <w:pPr>
              <w:pStyle w:val="trattinosottoa"/>
              <w:tabs>
                <w:tab w:val="clear" w:pos="704"/>
              </w:tabs>
              <w:spacing w:line="220" w:lineRule="exact"/>
              <w:ind w:left="460" w:hanging="284"/>
            </w:pPr>
            <w:r w:rsidRPr="001D7A69">
              <w:t>i movimenti delle immobilizzazioni, specificando per ciascuna voce: il costo; le precedenti rivalutazioni, ammortamenti e svalutazioni; le acquisizioni, gli spostamenti da una ad altra voce, le alienazioni avvenuti nell’esercizio; le rivalutazioni, gli ammortamenti e le svalutazioni effettuati nell’esercizio; il totale delle rivalutazioni riguardanti le immobilizzazioni esistenti alla chiusura dell’esercizio (per quanto riguarda i titoli classificati tra le immobilizzazioni finanziarie)”.</w:t>
            </w:r>
          </w:p>
        </w:tc>
        <w:tc>
          <w:tcPr>
            <w:tcW w:w="586" w:type="dxa"/>
            <w:tcMar>
              <w:left w:w="85" w:type="dxa"/>
              <w:right w:w="85"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73099A" w:rsidRPr="00AB7B36" w:rsidTr="00D73E98">
        <w:trPr>
          <w:cantSplit/>
          <w:trHeight w:val="20"/>
        </w:trPr>
        <w:tc>
          <w:tcPr>
            <w:tcW w:w="680" w:type="dxa"/>
          </w:tcPr>
          <w:p w:rsidR="0073099A" w:rsidRPr="00177E56" w:rsidRDefault="0073099A" w:rsidP="00D73E98">
            <w:pPr>
              <w:jc w:val="center"/>
              <w:rPr>
                <w:b/>
                <w:lang w:val="it-IT"/>
              </w:rPr>
            </w:pPr>
            <w:r>
              <w:rPr>
                <w:b/>
                <w:lang w:val="it-IT"/>
              </w:rPr>
              <w:t>69</w:t>
            </w:r>
            <w:r w:rsidRPr="00177E56">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20.93</w:t>
            </w:r>
          </w:p>
        </w:tc>
        <w:tc>
          <w:tcPr>
            <w:tcW w:w="7060" w:type="dxa"/>
            <w:tcMar>
              <w:left w:w="108" w:type="dxa"/>
            </w:tcMar>
          </w:tcPr>
          <w:p w:rsidR="0073099A" w:rsidRPr="008A465D" w:rsidRDefault="0073099A" w:rsidP="00D73E98">
            <w:pPr>
              <w:spacing w:line="226" w:lineRule="exact"/>
              <w:rPr>
                <w:lang w:val="it-IT"/>
              </w:rPr>
            </w:pPr>
            <w:r>
              <w:rPr>
                <w:lang w:val="it-IT"/>
              </w:rPr>
              <w:t xml:space="preserve">Se </w:t>
            </w:r>
            <w:r w:rsidRPr="001D7A69">
              <w:rPr>
                <w:lang w:val="it-IT"/>
              </w:rPr>
              <w:t>l</w:t>
            </w:r>
            <w:r>
              <w:rPr>
                <w:lang w:val="it-IT"/>
              </w:rPr>
              <w:t>’</w:t>
            </w:r>
            <w:r w:rsidRPr="001D7A69">
              <w:rPr>
                <w:lang w:val="it-IT"/>
              </w:rPr>
              <w:t>impres</w:t>
            </w:r>
            <w:r>
              <w:rPr>
                <w:lang w:val="it-IT"/>
              </w:rPr>
              <w:t>a</w:t>
            </w:r>
            <w:r w:rsidRPr="001D7A69">
              <w:rPr>
                <w:lang w:val="it-IT"/>
              </w:rPr>
              <w:t xml:space="preserve"> che redig</w:t>
            </w:r>
            <w:r>
              <w:rPr>
                <w:lang w:val="it-IT"/>
              </w:rPr>
              <w:t>e</w:t>
            </w:r>
            <w:r w:rsidRPr="001D7A69">
              <w:rPr>
                <w:lang w:val="it-IT"/>
              </w:rPr>
              <w:t xml:space="preserve"> il bilancio in forma abbreviata ai sensi dell’art. 2435-</w:t>
            </w:r>
            <w:r w:rsidRPr="006869DB">
              <w:rPr>
                <w:lang w:val="it-IT"/>
              </w:rPr>
              <w:t>bis</w:t>
            </w:r>
            <w:r>
              <w:rPr>
                <w:lang w:val="it-IT"/>
              </w:rPr>
              <w:t xml:space="preserve"> CC</w:t>
            </w:r>
            <w:r w:rsidRPr="001D7A69">
              <w:rPr>
                <w:lang w:val="it-IT"/>
              </w:rPr>
              <w:t xml:space="preserve"> si </w:t>
            </w:r>
            <w:r>
              <w:rPr>
                <w:lang w:val="it-IT"/>
              </w:rPr>
              <w:t xml:space="preserve">è </w:t>
            </w:r>
            <w:r w:rsidRPr="001D7A69">
              <w:rPr>
                <w:lang w:val="it-IT"/>
              </w:rPr>
              <w:t>avval</w:t>
            </w:r>
            <w:r>
              <w:rPr>
                <w:lang w:val="it-IT"/>
              </w:rPr>
              <w:t>sa</w:t>
            </w:r>
            <w:r w:rsidRPr="001D7A69">
              <w:rPr>
                <w:lang w:val="it-IT"/>
              </w:rPr>
              <w:t xml:space="preserve"> della facoltà di valutare i titoli di debito al costo di acquisto e quindi non applicare il criterio del costo ammortizzato, ne </w:t>
            </w:r>
            <w:r>
              <w:rPr>
                <w:lang w:val="it-IT"/>
              </w:rPr>
              <w:t xml:space="preserve">ha </w:t>
            </w:r>
            <w:r w:rsidRPr="001D7A69">
              <w:rPr>
                <w:lang w:val="it-IT"/>
              </w:rPr>
              <w:t>da</w:t>
            </w:r>
            <w:r>
              <w:rPr>
                <w:lang w:val="it-IT"/>
              </w:rPr>
              <w:t>to</w:t>
            </w:r>
            <w:r w:rsidRPr="001D7A69">
              <w:rPr>
                <w:lang w:val="it-IT"/>
              </w:rPr>
              <w:t xml:space="preserve"> menzione in </w:t>
            </w:r>
            <w:r>
              <w:rPr>
                <w:lang w:val="it-IT"/>
              </w:rPr>
              <w:t>Nota Integrativa?</w:t>
            </w:r>
          </w:p>
        </w:tc>
        <w:tc>
          <w:tcPr>
            <w:tcW w:w="586" w:type="dxa"/>
            <w:tcMar>
              <w:left w:w="85" w:type="dxa"/>
              <w:right w:w="85"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73099A" w:rsidRPr="00CC242B" w:rsidTr="00D73E98">
        <w:trPr>
          <w:cantSplit/>
          <w:trHeight w:val="314"/>
        </w:trPr>
        <w:tc>
          <w:tcPr>
            <w:tcW w:w="680" w:type="dxa"/>
          </w:tcPr>
          <w:p w:rsidR="0073099A" w:rsidRPr="00177E56"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20.94</w:t>
            </w:r>
          </w:p>
        </w:tc>
        <w:tc>
          <w:tcPr>
            <w:tcW w:w="7060" w:type="dxa"/>
            <w:tcMar>
              <w:left w:w="108" w:type="dxa"/>
            </w:tcMar>
          </w:tcPr>
          <w:p w:rsidR="0073099A" w:rsidRPr="007A1AEC" w:rsidRDefault="0073099A" w:rsidP="00D73E98">
            <w:pPr>
              <w:pStyle w:val="Commentiriquadro"/>
            </w:pPr>
            <w:r w:rsidRPr="007A1AEC">
              <w:t>L’art</w:t>
            </w:r>
            <w:r>
              <w:t>.</w:t>
            </w:r>
            <w:r w:rsidRPr="007A1AEC">
              <w:t xml:space="preserve"> 2423, c</w:t>
            </w:r>
            <w:r>
              <w:t>.</w:t>
            </w:r>
            <w:r w:rsidRPr="007A1AEC">
              <w:t>4</w:t>
            </w:r>
            <w:r>
              <w:t xml:space="preserve"> CC</w:t>
            </w:r>
            <w:r w:rsidRPr="007A1AEC">
              <w:t xml:space="preserve"> prevede che: “</w:t>
            </w:r>
            <w:r w:rsidRPr="007A1AEC">
              <w:rPr>
                <w:i/>
              </w:rPr>
              <w:t xml:space="preserve">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w:t>
            </w:r>
            <w:r>
              <w:rPr>
                <w:i/>
              </w:rPr>
              <w:t>Nota Integrativa</w:t>
            </w:r>
            <w:r w:rsidRPr="007A1AEC">
              <w:rPr>
                <w:i/>
              </w:rPr>
              <w:t xml:space="preserve"> i criteri con i quali hanno dato attuazione alla presente disposizione.</w:t>
            </w:r>
            <w:r w:rsidRPr="007A1AEC">
              <w:t>”</w:t>
            </w:r>
          </w:p>
        </w:tc>
        <w:tc>
          <w:tcPr>
            <w:tcW w:w="586" w:type="dxa"/>
            <w:tcMar>
              <w:left w:w="85" w:type="dxa"/>
              <w:right w:w="85" w:type="dxa"/>
            </w:tcMar>
            <w:vAlign w:val="center"/>
          </w:tcPr>
          <w:p w:rsidR="0073099A" w:rsidRPr="00096C17" w:rsidRDefault="0073099A" w:rsidP="00D73E98">
            <w:pPr>
              <w:jc w:val="center"/>
              <w:rPr>
                <w:lang w:val="it-IT"/>
              </w:rPr>
            </w:pPr>
          </w:p>
        </w:tc>
        <w:tc>
          <w:tcPr>
            <w:tcW w:w="573" w:type="dxa"/>
            <w:tcMar>
              <w:left w:w="108" w:type="dxa"/>
            </w:tcMar>
            <w:vAlign w:val="center"/>
          </w:tcPr>
          <w:p w:rsidR="0073099A" w:rsidRPr="00096C17" w:rsidRDefault="0073099A" w:rsidP="00D73E98">
            <w:pPr>
              <w:jc w:val="center"/>
              <w:rPr>
                <w:lang w:val="it-IT"/>
              </w:rPr>
            </w:pPr>
          </w:p>
        </w:tc>
        <w:tc>
          <w:tcPr>
            <w:tcW w:w="570" w:type="dxa"/>
            <w:tcMar>
              <w:left w:w="108" w:type="dxa"/>
            </w:tcMar>
            <w:vAlign w:val="center"/>
          </w:tcPr>
          <w:p w:rsidR="0073099A" w:rsidRPr="00096C17" w:rsidRDefault="0073099A" w:rsidP="00D73E98">
            <w:pPr>
              <w:jc w:val="center"/>
              <w:rPr>
                <w:lang w:val="it-IT"/>
              </w:rPr>
            </w:pPr>
          </w:p>
        </w:tc>
      </w:tr>
      <w:tr w:rsidR="0073099A" w:rsidRPr="00A31605" w:rsidTr="00D73E98">
        <w:trPr>
          <w:cantSplit/>
          <w:trHeight w:val="20"/>
        </w:trPr>
        <w:tc>
          <w:tcPr>
            <w:tcW w:w="680" w:type="dxa"/>
          </w:tcPr>
          <w:p w:rsidR="0073099A" w:rsidRPr="00177E56" w:rsidRDefault="0073099A" w:rsidP="00D73E98">
            <w:pPr>
              <w:jc w:val="center"/>
              <w:rPr>
                <w:b/>
                <w:lang w:val="it-IT"/>
              </w:rPr>
            </w:pPr>
            <w:r w:rsidRPr="00177E56">
              <w:rPr>
                <w:b/>
                <w:lang w:val="it-IT"/>
              </w:rPr>
              <w:t>7</w:t>
            </w:r>
            <w:r>
              <w:rPr>
                <w:b/>
                <w:lang w:val="it-IT"/>
              </w:rPr>
              <w:t>0</w:t>
            </w:r>
            <w:r w:rsidRPr="00177E56">
              <w:rPr>
                <w:b/>
                <w:lang w:val="it-IT"/>
              </w:rPr>
              <w:t>)</w:t>
            </w:r>
          </w:p>
        </w:tc>
        <w:tc>
          <w:tcPr>
            <w:tcW w:w="851" w:type="dxa"/>
            <w:tcMar>
              <w:left w:w="108" w:type="dxa"/>
              <w:right w:w="0" w:type="dxa"/>
            </w:tcMar>
          </w:tcPr>
          <w:p w:rsidR="0073099A" w:rsidRPr="00B71A6E" w:rsidRDefault="0073099A" w:rsidP="00D73E98">
            <w:pPr>
              <w:pStyle w:val="PrincCont"/>
              <w:jc w:val="left"/>
              <w:rPr>
                <w:lang w:val="it-IT"/>
              </w:rPr>
            </w:pPr>
            <w:r>
              <w:rPr>
                <w:lang w:val="it-IT"/>
              </w:rPr>
              <w:t>OIC 20.94</w:t>
            </w:r>
          </w:p>
        </w:tc>
        <w:tc>
          <w:tcPr>
            <w:tcW w:w="7060" w:type="dxa"/>
            <w:tcMar>
              <w:left w:w="108" w:type="dxa"/>
            </w:tcMar>
          </w:tcPr>
          <w:p w:rsidR="0073099A" w:rsidRPr="004706A8" w:rsidRDefault="0073099A" w:rsidP="00D73E98">
            <w:pPr>
              <w:rPr>
                <w:lang w:val="it-IT"/>
              </w:rPr>
            </w:pPr>
            <w:r w:rsidRPr="004706A8">
              <w:rPr>
                <w:lang w:val="it-IT"/>
              </w:rPr>
              <w:t xml:space="preserve">La </w:t>
            </w:r>
            <w:r>
              <w:rPr>
                <w:lang w:val="it-IT"/>
              </w:rPr>
              <w:t>Nota Integrativa</w:t>
            </w:r>
            <w:r w:rsidRPr="004706A8">
              <w:rPr>
                <w:lang w:val="it-IT"/>
              </w:rPr>
              <w:t xml:space="preserve"> illustra le politiche contabili adottate e in particolare i criteri con i quali è stata data attuazione alla disposizione dell’art</w:t>
            </w:r>
            <w:r>
              <w:rPr>
                <w:lang w:val="it-IT"/>
              </w:rPr>
              <w:t>.</w:t>
            </w:r>
            <w:r w:rsidRPr="004706A8">
              <w:rPr>
                <w:lang w:val="it-IT"/>
              </w:rPr>
              <w:t xml:space="preserve"> 2423, c</w:t>
            </w:r>
            <w:r>
              <w:rPr>
                <w:lang w:val="it-IT"/>
              </w:rPr>
              <w:t>.</w:t>
            </w:r>
            <w:r w:rsidRPr="004706A8">
              <w:rPr>
                <w:lang w:val="it-IT"/>
              </w:rPr>
              <w:t>4</w:t>
            </w:r>
            <w:r>
              <w:rPr>
                <w:lang w:val="it-IT"/>
              </w:rPr>
              <w:t xml:space="preserve"> CC</w:t>
            </w:r>
            <w:r w:rsidRPr="004706A8">
              <w:rPr>
                <w:lang w:val="it-IT"/>
              </w:rPr>
              <w:t>,</w:t>
            </w:r>
            <w:r>
              <w:rPr>
                <w:lang w:val="it-IT"/>
              </w:rPr>
              <w:t xml:space="preserve"> per quanto riguarda i titoli di debito</w:t>
            </w:r>
            <w:r w:rsidRPr="004706A8">
              <w:rPr>
                <w:lang w:val="it-IT"/>
              </w:rPr>
              <w:t>?</w:t>
            </w:r>
          </w:p>
        </w:tc>
        <w:tc>
          <w:tcPr>
            <w:tcW w:w="586" w:type="dxa"/>
            <w:tcMar>
              <w:left w:w="85" w:type="dxa"/>
              <w:right w:w="85"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73099A" w:rsidRPr="00AB7B36"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A465D" w:rsidRDefault="0073099A" w:rsidP="00D73E98">
            <w:pPr>
              <w:pStyle w:val="Titolo2"/>
              <w:rPr>
                <w:lang w:val="it-IT"/>
              </w:rPr>
            </w:pPr>
            <w:r w:rsidRPr="001D7A69">
              <w:rPr>
                <w:lang w:val="en-US"/>
              </w:rPr>
              <w:t>Disposizioni di prima applicazione</w:t>
            </w:r>
          </w:p>
        </w:tc>
        <w:tc>
          <w:tcPr>
            <w:tcW w:w="586" w:type="dxa"/>
            <w:tcMar>
              <w:left w:w="85" w:type="dxa"/>
              <w:right w:w="85" w:type="dxa"/>
            </w:tcMar>
            <w:vAlign w:val="center"/>
          </w:tcPr>
          <w:p w:rsidR="0073099A" w:rsidRPr="00AB7B36" w:rsidRDefault="0073099A" w:rsidP="00D73E98">
            <w:pPr>
              <w:jc w:val="center"/>
              <w:rPr>
                <w:lang w:val="it-IT"/>
              </w:rPr>
            </w:pPr>
          </w:p>
        </w:tc>
        <w:tc>
          <w:tcPr>
            <w:tcW w:w="573" w:type="dxa"/>
            <w:tcMar>
              <w:left w:w="108" w:type="dxa"/>
            </w:tcMar>
            <w:vAlign w:val="center"/>
          </w:tcPr>
          <w:p w:rsidR="0073099A" w:rsidRPr="00AB7B36" w:rsidRDefault="0073099A" w:rsidP="00D73E98">
            <w:pPr>
              <w:jc w:val="center"/>
              <w:rPr>
                <w:lang w:val="it-IT"/>
              </w:rPr>
            </w:pPr>
          </w:p>
        </w:tc>
        <w:tc>
          <w:tcPr>
            <w:tcW w:w="570" w:type="dxa"/>
            <w:tcMar>
              <w:left w:w="108" w:type="dxa"/>
            </w:tcMar>
            <w:vAlign w:val="center"/>
          </w:tcPr>
          <w:p w:rsidR="0073099A" w:rsidRPr="00AB7B36" w:rsidRDefault="0073099A" w:rsidP="00D73E98">
            <w:pPr>
              <w:jc w:val="center"/>
              <w:rPr>
                <w:lang w:val="it-IT"/>
              </w:rPr>
            </w:pPr>
          </w:p>
        </w:tc>
      </w:tr>
      <w:tr w:rsidR="0073099A" w:rsidRPr="00AB7B36" w:rsidTr="00D73E98">
        <w:trPr>
          <w:cantSplit/>
          <w:trHeight w:val="20"/>
        </w:trPr>
        <w:tc>
          <w:tcPr>
            <w:tcW w:w="680" w:type="dxa"/>
          </w:tcPr>
          <w:p w:rsidR="0073099A" w:rsidRPr="005B1DEC" w:rsidRDefault="0073099A" w:rsidP="00D73E98">
            <w:pPr>
              <w:jc w:val="center"/>
              <w:rPr>
                <w:b/>
                <w:lang w:val="it-IT"/>
              </w:rPr>
            </w:pPr>
            <w:r w:rsidRPr="005B1DEC">
              <w:rPr>
                <w:b/>
                <w:lang w:val="it-IT"/>
              </w:rPr>
              <w:t>7</w:t>
            </w:r>
            <w:r>
              <w:rPr>
                <w:b/>
                <w:lang w:val="it-IT"/>
              </w:rPr>
              <w:t>1</w:t>
            </w:r>
            <w:r w:rsidRPr="005B1DE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20.98</w:t>
            </w:r>
          </w:p>
        </w:tc>
        <w:tc>
          <w:tcPr>
            <w:tcW w:w="7060" w:type="dxa"/>
            <w:tcMar>
              <w:left w:w="108" w:type="dxa"/>
            </w:tcMar>
          </w:tcPr>
          <w:p w:rsidR="0073099A" w:rsidRPr="008A465D" w:rsidRDefault="0073099A" w:rsidP="00D73E98">
            <w:pPr>
              <w:spacing w:line="230" w:lineRule="exact"/>
              <w:rPr>
                <w:lang w:val="it-IT"/>
              </w:rPr>
            </w:pPr>
            <w:r w:rsidRPr="001D7A69">
              <w:rPr>
                <w:lang w:val="it-IT"/>
              </w:rPr>
              <w:t>Gli effetti derivanti dall’applicazione delle modifiche apportate alla precedente versione dell’OIC 20 in tema di riclassificazione degli oneri e proventi straordinari sono applicati retroattivamente, ai soli fini riclassificatori</w:t>
            </w:r>
            <w:r>
              <w:rPr>
                <w:lang w:val="it-IT"/>
              </w:rPr>
              <w:t>?</w:t>
            </w:r>
          </w:p>
        </w:tc>
        <w:tc>
          <w:tcPr>
            <w:tcW w:w="586" w:type="dxa"/>
            <w:tcMar>
              <w:left w:w="85" w:type="dxa"/>
              <w:right w:w="85"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5B1DE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20.99</w:t>
            </w:r>
          </w:p>
        </w:tc>
        <w:tc>
          <w:tcPr>
            <w:tcW w:w="7060" w:type="dxa"/>
            <w:tcMar>
              <w:left w:w="108" w:type="dxa"/>
            </w:tcMar>
          </w:tcPr>
          <w:p w:rsidR="0073099A" w:rsidRPr="008A465D" w:rsidRDefault="0073099A" w:rsidP="00D73E98">
            <w:pPr>
              <w:pStyle w:val="Commentiriquadro"/>
            </w:pPr>
            <w:r w:rsidRPr="00657CE7">
              <w:t>L’art</w:t>
            </w:r>
            <w:r>
              <w:t>.</w:t>
            </w:r>
            <w:r w:rsidRPr="00657CE7">
              <w:t xml:space="preserve"> 12</w:t>
            </w:r>
            <w:r>
              <w:t>,</w:t>
            </w:r>
            <w:r w:rsidRPr="00657CE7">
              <w:t xml:space="preserve"> c</w:t>
            </w:r>
            <w:r>
              <w:t>.</w:t>
            </w:r>
            <w:r w:rsidRPr="00657CE7">
              <w:t>2 del D.lgs. 139/2015 prevede che le modificazioni previste all’art</w:t>
            </w:r>
            <w:r>
              <w:t>.</w:t>
            </w:r>
            <w:r w:rsidRPr="00657CE7">
              <w:t xml:space="preserve"> 2426, c</w:t>
            </w:r>
            <w:r>
              <w:t>.</w:t>
            </w:r>
            <w:r w:rsidRPr="00657CE7">
              <w:t>1, n</w:t>
            </w:r>
            <w:r>
              <w:t>.</w:t>
            </w:r>
            <w:r w:rsidRPr="00657CE7">
              <w:t>8</w:t>
            </w:r>
            <w:r>
              <w:t xml:space="preserve"> CC</w:t>
            </w:r>
            <w:r w:rsidRPr="00657CE7">
              <w:t xml:space="preserve"> (criterio del costo ammortizzato) “</w:t>
            </w:r>
            <w:r w:rsidRPr="00657CE7">
              <w:rPr>
                <w:i/>
              </w:rPr>
              <w:t>possono non essere applicate alle componenti delle voci riferite ad operazioni che non hanno ancora esaurito i loro effetti in bilancio</w:t>
            </w:r>
            <w:r w:rsidRPr="00657CE7">
              <w:t xml:space="preserve">”. Qualora si usufruisca di tale facoltà la società applica il costo ammortizzato esclusivamente ai titoli di debito rilevati in bilancio successivamente all’esercizio avente inizio a partire dal 1° gennaio 2016 e dell’esercizio della facoltà occorre farne menzione in </w:t>
            </w:r>
            <w:r>
              <w:t>Nota Integrativa</w:t>
            </w:r>
            <w:r w:rsidRPr="00657CE7">
              <w:t>.</w:t>
            </w:r>
          </w:p>
        </w:tc>
        <w:tc>
          <w:tcPr>
            <w:tcW w:w="586" w:type="dxa"/>
            <w:tcMar>
              <w:left w:w="85" w:type="dxa"/>
              <w:right w:w="85" w:type="dxa"/>
            </w:tcMar>
            <w:vAlign w:val="center"/>
          </w:tcPr>
          <w:p w:rsidR="0073099A" w:rsidRPr="00AB7B36" w:rsidRDefault="0073099A" w:rsidP="00D73E98">
            <w:pPr>
              <w:jc w:val="center"/>
              <w:rPr>
                <w:lang w:val="it-IT"/>
              </w:rPr>
            </w:pPr>
          </w:p>
        </w:tc>
        <w:tc>
          <w:tcPr>
            <w:tcW w:w="573" w:type="dxa"/>
            <w:tcMar>
              <w:left w:w="108" w:type="dxa"/>
            </w:tcMar>
            <w:vAlign w:val="center"/>
          </w:tcPr>
          <w:p w:rsidR="0073099A" w:rsidRPr="00AB7B36" w:rsidRDefault="0073099A" w:rsidP="00D73E98">
            <w:pPr>
              <w:jc w:val="center"/>
              <w:rPr>
                <w:lang w:val="it-IT"/>
              </w:rPr>
            </w:pPr>
          </w:p>
        </w:tc>
        <w:tc>
          <w:tcPr>
            <w:tcW w:w="570" w:type="dxa"/>
            <w:tcMar>
              <w:left w:w="108" w:type="dxa"/>
            </w:tcMar>
            <w:vAlign w:val="center"/>
          </w:tcPr>
          <w:p w:rsidR="0073099A" w:rsidRPr="00AB7B36" w:rsidRDefault="0073099A" w:rsidP="00D73E98">
            <w:pPr>
              <w:jc w:val="center"/>
              <w:rPr>
                <w:lang w:val="it-IT"/>
              </w:rPr>
            </w:pPr>
          </w:p>
        </w:tc>
      </w:tr>
      <w:tr w:rsidR="0073099A" w:rsidRPr="00AB7B36" w:rsidTr="00D73E98">
        <w:trPr>
          <w:cantSplit/>
          <w:trHeight w:val="20"/>
        </w:trPr>
        <w:tc>
          <w:tcPr>
            <w:tcW w:w="680" w:type="dxa"/>
          </w:tcPr>
          <w:p w:rsidR="0073099A" w:rsidRPr="005B1DEC" w:rsidRDefault="0073099A" w:rsidP="00D73E98">
            <w:pPr>
              <w:jc w:val="center"/>
              <w:rPr>
                <w:b/>
                <w:lang w:val="it-IT"/>
              </w:rPr>
            </w:pPr>
            <w:r w:rsidRPr="005B1DEC">
              <w:rPr>
                <w:b/>
                <w:lang w:val="it-IT"/>
              </w:rPr>
              <w:t>7</w:t>
            </w:r>
            <w:r>
              <w:rPr>
                <w:b/>
                <w:lang w:val="it-IT"/>
              </w:rPr>
              <w:t>2</w:t>
            </w:r>
            <w:r w:rsidRPr="005B1DE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20.100</w:t>
            </w:r>
          </w:p>
        </w:tc>
        <w:tc>
          <w:tcPr>
            <w:tcW w:w="7060" w:type="dxa"/>
            <w:tcMar>
              <w:left w:w="108" w:type="dxa"/>
            </w:tcMar>
          </w:tcPr>
          <w:p w:rsidR="0073099A" w:rsidRPr="008A465D" w:rsidRDefault="0073099A" w:rsidP="00D73E98">
            <w:pPr>
              <w:spacing w:line="224" w:lineRule="exact"/>
              <w:rPr>
                <w:lang w:val="it-IT"/>
              </w:rPr>
            </w:pPr>
            <w:r w:rsidRPr="00657CE7">
              <w:rPr>
                <w:lang w:val="it-IT"/>
              </w:rPr>
              <w:t xml:space="preserve">Nel caso in cui la società non si </w:t>
            </w:r>
            <w:r>
              <w:rPr>
                <w:lang w:val="it-IT"/>
              </w:rPr>
              <w:t xml:space="preserve">sia </w:t>
            </w:r>
            <w:r w:rsidRPr="00657CE7">
              <w:rPr>
                <w:lang w:val="it-IT"/>
              </w:rPr>
              <w:t>avval</w:t>
            </w:r>
            <w:r>
              <w:rPr>
                <w:lang w:val="it-IT"/>
              </w:rPr>
              <w:t>s</w:t>
            </w:r>
            <w:r w:rsidRPr="00657CE7">
              <w:rPr>
                <w:lang w:val="it-IT"/>
              </w:rPr>
              <w:t xml:space="preserve">a della facoltà di cui al paragrafo 99, il criterio del costo ammortizzato per i titoli di debito </w:t>
            </w:r>
            <w:r>
              <w:rPr>
                <w:lang w:val="it-IT"/>
              </w:rPr>
              <w:t>è stato</w:t>
            </w:r>
            <w:r w:rsidRPr="00657CE7">
              <w:rPr>
                <w:lang w:val="it-IT"/>
              </w:rPr>
              <w:t xml:space="preserve"> applicato a tutti i titoli retroattivamente</w:t>
            </w:r>
            <w:r>
              <w:rPr>
                <w:lang w:val="it-IT"/>
              </w:rPr>
              <w:t>?</w:t>
            </w:r>
          </w:p>
        </w:tc>
        <w:tc>
          <w:tcPr>
            <w:tcW w:w="586" w:type="dxa"/>
            <w:tcMar>
              <w:left w:w="85" w:type="dxa"/>
              <w:right w:w="85"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73099A" w:rsidRPr="00AB7B36" w:rsidTr="00D73E98">
        <w:trPr>
          <w:cantSplit/>
          <w:trHeight w:val="20"/>
        </w:trPr>
        <w:tc>
          <w:tcPr>
            <w:tcW w:w="680" w:type="dxa"/>
          </w:tcPr>
          <w:p w:rsidR="0073099A" w:rsidRPr="005B1DEC" w:rsidRDefault="0073099A" w:rsidP="00D73E98">
            <w:pPr>
              <w:jc w:val="center"/>
              <w:rPr>
                <w:b/>
                <w:lang w:val="it-IT"/>
              </w:rPr>
            </w:pPr>
            <w:r w:rsidRPr="005B1DEC">
              <w:rPr>
                <w:b/>
                <w:lang w:val="it-IT"/>
              </w:rPr>
              <w:t>7</w:t>
            </w:r>
            <w:r>
              <w:rPr>
                <w:b/>
                <w:lang w:val="it-IT"/>
              </w:rPr>
              <w:t>3</w:t>
            </w:r>
            <w:r w:rsidRPr="005B1DE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20.100</w:t>
            </w:r>
          </w:p>
        </w:tc>
        <w:tc>
          <w:tcPr>
            <w:tcW w:w="7060" w:type="dxa"/>
            <w:tcMar>
              <w:left w:w="108" w:type="dxa"/>
            </w:tcMar>
          </w:tcPr>
          <w:p w:rsidR="0073099A" w:rsidRPr="008A465D" w:rsidRDefault="0073099A" w:rsidP="00D73E98">
            <w:pPr>
              <w:spacing w:line="224" w:lineRule="exact"/>
              <w:rPr>
                <w:lang w:val="it-IT"/>
              </w:rPr>
            </w:pPr>
            <w:r w:rsidRPr="00657CE7">
              <w:rPr>
                <w:lang w:val="it-IT"/>
              </w:rPr>
              <w:t xml:space="preserve">Gli effetti derivanti dalla differenza tra il valore del titolo iscritto nel bilancio dell’esercizio precedente alla data del bilancio in cui si applica la nuova disciplina (nella normalità dei casi 31 dicembre 2015) e il valore del titolo calcolato al costo ammortizzato all’inizio dell’esercizio di prima applicazione di questa disciplina (nella normalità dei casi il 1° gennaio 2016) sono </w:t>
            </w:r>
            <w:r>
              <w:rPr>
                <w:lang w:val="it-IT"/>
              </w:rPr>
              <w:t xml:space="preserve">stati </w:t>
            </w:r>
            <w:r w:rsidRPr="00657CE7">
              <w:rPr>
                <w:lang w:val="it-IT"/>
              </w:rPr>
              <w:t>imputati agli utili (perdite) portati a nuovo del patrimonio netto, al netto dell’effetto fiscale.</w:t>
            </w:r>
          </w:p>
        </w:tc>
        <w:tc>
          <w:tcPr>
            <w:tcW w:w="586" w:type="dxa"/>
            <w:tcMar>
              <w:left w:w="85" w:type="dxa"/>
              <w:right w:w="85"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73099A" w:rsidRPr="00AB7B36" w:rsidTr="00D73E98">
        <w:trPr>
          <w:cantSplit/>
          <w:trHeight w:val="20"/>
        </w:trPr>
        <w:tc>
          <w:tcPr>
            <w:tcW w:w="680" w:type="dxa"/>
          </w:tcPr>
          <w:p w:rsidR="0073099A" w:rsidRPr="005B1DEC" w:rsidRDefault="0073099A" w:rsidP="00D73E98">
            <w:pPr>
              <w:jc w:val="center"/>
              <w:rPr>
                <w:b/>
                <w:lang w:val="it-IT"/>
              </w:rPr>
            </w:pPr>
            <w:r w:rsidRPr="005B1DEC">
              <w:rPr>
                <w:b/>
                <w:lang w:val="it-IT"/>
              </w:rPr>
              <w:t>7</w:t>
            </w:r>
            <w:r>
              <w:rPr>
                <w:b/>
                <w:lang w:val="it-IT"/>
              </w:rPr>
              <w:t>4</w:t>
            </w:r>
            <w:r w:rsidRPr="005B1DE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20.100</w:t>
            </w:r>
          </w:p>
        </w:tc>
        <w:tc>
          <w:tcPr>
            <w:tcW w:w="7060" w:type="dxa"/>
            <w:tcMar>
              <w:left w:w="108" w:type="dxa"/>
            </w:tcMar>
          </w:tcPr>
          <w:p w:rsidR="0073099A" w:rsidRPr="008A465D" w:rsidRDefault="0073099A" w:rsidP="00D73E98">
            <w:pPr>
              <w:spacing w:line="224" w:lineRule="exact"/>
              <w:rPr>
                <w:lang w:val="it-IT"/>
              </w:rPr>
            </w:pPr>
            <w:r w:rsidRPr="00657CE7">
              <w:rPr>
                <w:lang w:val="it-IT"/>
              </w:rPr>
              <w:t>Gli effetti sorti nel corso dell’esercizio sono imputati al conto economico dell’esercizio in corso</w:t>
            </w:r>
            <w:r>
              <w:rPr>
                <w:lang w:val="it-IT"/>
              </w:rPr>
              <w:t>?</w:t>
            </w:r>
          </w:p>
        </w:tc>
        <w:tc>
          <w:tcPr>
            <w:tcW w:w="586" w:type="dxa"/>
            <w:tcMar>
              <w:left w:w="85" w:type="dxa"/>
              <w:right w:w="85"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5B1DE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20.100</w:t>
            </w:r>
          </w:p>
        </w:tc>
        <w:tc>
          <w:tcPr>
            <w:tcW w:w="7060" w:type="dxa"/>
            <w:tcMar>
              <w:left w:w="108" w:type="dxa"/>
            </w:tcMar>
          </w:tcPr>
          <w:p w:rsidR="0073099A" w:rsidRPr="008A465D" w:rsidRDefault="0073099A" w:rsidP="00D73E98">
            <w:pPr>
              <w:pStyle w:val="Commentiriquadro"/>
            </w:pPr>
            <w:r w:rsidRPr="00657CE7">
              <w:t>L’art. 2423-ter</w:t>
            </w:r>
            <w:r>
              <w:t>,</w:t>
            </w:r>
            <w:r w:rsidRPr="00657CE7">
              <w:t xml:space="preserve"> c</w:t>
            </w:r>
            <w:r>
              <w:t>.</w:t>
            </w:r>
            <w:r w:rsidRPr="00657CE7">
              <w:t>5</w:t>
            </w:r>
            <w:r>
              <w:t xml:space="preserve"> CC</w:t>
            </w:r>
            <w:r w:rsidRPr="00657CE7">
              <w:t xml:space="preserve"> prevede che “Per ogni voce dello stato patrimoniale e del conto economico deve essere indicato l’importo della voce corrispondente dell’esercizio precedente. Se le voci non sono comparabili, quelle relative all’esercizio precedente devono essere adattate; la non comparabilità e l’adattamento o l’impossibilità di questo devono essere segnalati e commentati nella </w:t>
            </w:r>
            <w:r>
              <w:t>Nota Integrativa</w:t>
            </w:r>
            <w:r w:rsidRPr="00657CE7">
              <w:t>”.</w:t>
            </w:r>
          </w:p>
        </w:tc>
        <w:tc>
          <w:tcPr>
            <w:tcW w:w="586" w:type="dxa"/>
            <w:tcMar>
              <w:left w:w="85" w:type="dxa"/>
              <w:right w:w="85" w:type="dxa"/>
            </w:tcMar>
            <w:vAlign w:val="center"/>
          </w:tcPr>
          <w:p w:rsidR="0073099A" w:rsidRPr="00AB7B36" w:rsidRDefault="0073099A" w:rsidP="00D73E98">
            <w:pPr>
              <w:jc w:val="center"/>
              <w:rPr>
                <w:lang w:val="it-IT"/>
              </w:rPr>
            </w:pPr>
          </w:p>
        </w:tc>
        <w:tc>
          <w:tcPr>
            <w:tcW w:w="573" w:type="dxa"/>
            <w:tcMar>
              <w:left w:w="108" w:type="dxa"/>
            </w:tcMar>
            <w:vAlign w:val="center"/>
          </w:tcPr>
          <w:p w:rsidR="0073099A" w:rsidRPr="00AB7B36" w:rsidRDefault="0073099A" w:rsidP="00D73E98">
            <w:pPr>
              <w:jc w:val="center"/>
              <w:rPr>
                <w:lang w:val="it-IT"/>
              </w:rPr>
            </w:pPr>
          </w:p>
        </w:tc>
        <w:tc>
          <w:tcPr>
            <w:tcW w:w="570" w:type="dxa"/>
            <w:tcMar>
              <w:left w:w="108" w:type="dxa"/>
            </w:tcMar>
            <w:vAlign w:val="center"/>
          </w:tcPr>
          <w:p w:rsidR="0073099A" w:rsidRPr="00AB7B36" w:rsidRDefault="0073099A" w:rsidP="00D73E98">
            <w:pPr>
              <w:jc w:val="center"/>
              <w:rPr>
                <w:lang w:val="it-IT"/>
              </w:rPr>
            </w:pPr>
          </w:p>
        </w:tc>
      </w:tr>
      <w:tr w:rsidR="0073099A" w:rsidRPr="00CC242B" w:rsidTr="00D73E98">
        <w:trPr>
          <w:cantSplit/>
          <w:trHeight w:val="20"/>
        </w:trPr>
        <w:tc>
          <w:tcPr>
            <w:tcW w:w="680" w:type="dxa"/>
          </w:tcPr>
          <w:p w:rsidR="0073099A" w:rsidRPr="005B1DEC" w:rsidRDefault="0073099A" w:rsidP="00D73E98">
            <w:pPr>
              <w:jc w:val="center"/>
              <w:rPr>
                <w:b/>
                <w:lang w:val="it-IT"/>
              </w:rPr>
            </w:pPr>
            <w:r w:rsidRPr="005B1DEC">
              <w:rPr>
                <w:b/>
                <w:lang w:val="it-IT"/>
              </w:rPr>
              <w:t>7</w:t>
            </w:r>
            <w:r>
              <w:rPr>
                <w:b/>
                <w:lang w:val="it-IT"/>
              </w:rPr>
              <w:t>5</w:t>
            </w:r>
            <w:r w:rsidRPr="005B1DE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20.100</w:t>
            </w:r>
          </w:p>
        </w:tc>
        <w:tc>
          <w:tcPr>
            <w:tcW w:w="7060" w:type="dxa"/>
            <w:tcMar>
              <w:left w:w="108" w:type="dxa"/>
            </w:tcMar>
          </w:tcPr>
          <w:p w:rsidR="0073099A" w:rsidRPr="008A465D" w:rsidRDefault="0073099A" w:rsidP="00D73E98">
            <w:pPr>
              <w:spacing w:line="224" w:lineRule="exact"/>
              <w:rPr>
                <w:lang w:val="it-IT"/>
              </w:rPr>
            </w:pPr>
            <w:r w:rsidRPr="00657CE7">
              <w:rPr>
                <w:lang w:val="it-IT"/>
              </w:rPr>
              <w:t>Pertanto, ai soli fini comparativi, la differenza che è rilevata all’inizio dell’esercizio di prima applicazione di questa disciplina (nella normalità dei casi il 1° gennaio 2016) è rappresentata nel comparativo evidenziando separatamente:</w:t>
            </w:r>
          </w:p>
        </w:tc>
        <w:tc>
          <w:tcPr>
            <w:tcW w:w="586" w:type="dxa"/>
            <w:tcMar>
              <w:left w:w="85" w:type="dxa"/>
              <w:right w:w="85" w:type="dxa"/>
            </w:tcMar>
            <w:vAlign w:val="center"/>
          </w:tcPr>
          <w:p w:rsidR="0073099A" w:rsidRPr="00AB7B36" w:rsidRDefault="0073099A" w:rsidP="00D73E98">
            <w:pPr>
              <w:jc w:val="center"/>
              <w:rPr>
                <w:lang w:val="it-IT"/>
              </w:rPr>
            </w:pPr>
          </w:p>
        </w:tc>
        <w:tc>
          <w:tcPr>
            <w:tcW w:w="573" w:type="dxa"/>
            <w:tcMar>
              <w:left w:w="108" w:type="dxa"/>
            </w:tcMar>
            <w:vAlign w:val="center"/>
          </w:tcPr>
          <w:p w:rsidR="0073099A" w:rsidRPr="00AB7B36" w:rsidRDefault="0073099A" w:rsidP="00D73E98">
            <w:pPr>
              <w:jc w:val="center"/>
              <w:rPr>
                <w:lang w:val="it-IT"/>
              </w:rPr>
            </w:pPr>
          </w:p>
        </w:tc>
        <w:tc>
          <w:tcPr>
            <w:tcW w:w="570" w:type="dxa"/>
            <w:tcMar>
              <w:left w:w="108" w:type="dxa"/>
            </w:tcMar>
            <w:vAlign w:val="center"/>
          </w:tcPr>
          <w:p w:rsidR="0073099A" w:rsidRPr="00AB7B36" w:rsidRDefault="0073099A" w:rsidP="00D73E98">
            <w:pPr>
              <w:jc w:val="center"/>
              <w:rPr>
                <w:lang w:val="it-IT"/>
              </w:rPr>
            </w:pPr>
          </w:p>
        </w:tc>
      </w:tr>
      <w:tr w:rsidR="0073099A" w:rsidRPr="00AB7B36"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A465D" w:rsidRDefault="0073099A" w:rsidP="0073099A">
            <w:pPr>
              <w:pStyle w:val="trattinosottoa"/>
              <w:tabs>
                <w:tab w:val="clear" w:pos="704"/>
              </w:tabs>
              <w:spacing w:line="224" w:lineRule="exact"/>
              <w:ind w:left="460" w:hanging="284"/>
            </w:pPr>
            <w:r w:rsidRPr="00657CE7">
              <w:t>negli utili (perdite) portati a nuovo del patrimonio netto l’effetto cumulato derivante dal cambio di principio alla data di apertura dell’esercizio precedente (nella normalità dei casi 1° gennaio 2015);</w:t>
            </w:r>
          </w:p>
        </w:tc>
        <w:tc>
          <w:tcPr>
            <w:tcW w:w="586" w:type="dxa"/>
            <w:tcMar>
              <w:left w:w="85" w:type="dxa"/>
              <w:right w:w="85"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73099A" w:rsidRPr="00AB7B36"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A465D" w:rsidRDefault="0073099A" w:rsidP="0073099A">
            <w:pPr>
              <w:pStyle w:val="trattinosottoa"/>
              <w:tabs>
                <w:tab w:val="clear" w:pos="704"/>
              </w:tabs>
              <w:spacing w:line="224" w:lineRule="exact"/>
              <w:ind w:left="460" w:hanging="284"/>
            </w:pPr>
            <w:r w:rsidRPr="00657CE7">
              <w:t>nel risultato dell’esercizio precedente la quota relativa agli effetti sorti nel corso dell’esercizio precedente</w:t>
            </w:r>
            <w:r>
              <w:t>?</w:t>
            </w:r>
          </w:p>
        </w:tc>
        <w:tc>
          <w:tcPr>
            <w:tcW w:w="586" w:type="dxa"/>
            <w:tcMar>
              <w:left w:w="85" w:type="dxa"/>
              <w:right w:w="85"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20.101</w:t>
            </w:r>
          </w:p>
        </w:tc>
        <w:tc>
          <w:tcPr>
            <w:tcW w:w="7060" w:type="dxa"/>
            <w:tcMar>
              <w:left w:w="108" w:type="dxa"/>
            </w:tcMar>
          </w:tcPr>
          <w:p w:rsidR="0073099A" w:rsidRPr="008A465D" w:rsidRDefault="0073099A" w:rsidP="00D73E98">
            <w:pPr>
              <w:pStyle w:val="Commentiriquadro"/>
            </w:pPr>
            <w:r w:rsidRPr="00657CE7">
              <w:t>Nel caso in cui una società che redige il bilancio in forma abbreviata decida di optare per il criterio del costo ammortizzato, si applicano i paragrafi 99-100. Tali paragrafi si applicano anche nel caso in cui una società che redige il bilancio in forma abbreviata diventi una società che redige il bilancio in forma ordinaria.</w:t>
            </w:r>
          </w:p>
        </w:tc>
        <w:tc>
          <w:tcPr>
            <w:tcW w:w="586" w:type="dxa"/>
            <w:tcMar>
              <w:left w:w="85" w:type="dxa"/>
              <w:right w:w="85" w:type="dxa"/>
            </w:tcMar>
            <w:vAlign w:val="center"/>
          </w:tcPr>
          <w:p w:rsidR="0073099A" w:rsidRPr="00AB7B36" w:rsidRDefault="0073099A" w:rsidP="00D73E98">
            <w:pPr>
              <w:jc w:val="center"/>
              <w:rPr>
                <w:lang w:val="it-IT"/>
              </w:rPr>
            </w:pPr>
          </w:p>
        </w:tc>
        <w:tc>
          <w:tcPr>
            <w:tcW w:w="573" w:type="dxa"/>
            <w:tcMar>
              <w:left w:w="108" w:type="dxa"/>
            </w:tcMar>
            <w:vAlign w:val="center"/>
          </w:tcPr>
          <w:p w:rsidR="0073099A" w:rsidRPr="00AB7B36" w:rsidRDefault="0073099A" w:rsidP="00D73E98">
            <w:pPr>
              <w:jc w:val="center"/>
              <w:rPr>
                <w:lang w:val="it-IT"/>
              </w:rPr>
            </w:pPr>
          </w:p>
        </w:tc>
        <w:tc>
          <w:tcPr>
            <w:tcW w:w="570" w:type="dxa"/>
            <w:tcMar>
              <w:left w:w="108" w:type="dxa"/>
            </w:tcMar>
            <w:vAlign w:val="center"/>
          </w:tcPr>
          <w:p w:rsidR="0073099A" w:rsidRPr="00AB7B36"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20.102</w:t>
            </w:r>
          </w:p>
        </w:tc>
        <w:tc>
          <w:tcPr>
            <w:tcW w:w="7060" w:type="dxa"/>
            <w:tcMar>
              <w:left w:w="108" w:type="dxa"/>
            </w:tcMar>
          </w:tcPr>
          <w:p w:rsidR="0073099A" w:rsidRPr="008A465D" w:rsidRDefault="0073099A" w:rsidP="00D73E98">
            <w:pPr>
              <w:pStyle w:val="Commentiriquadro"/>
            </w:pPr>
            <w:r w:rsidRPr="00657CE7">
              <w:t>Eventuali effetti derivanti dall’applicazione delle altre modifiche apportate alla precedente versione dell’OIC 20 possono essere rilevati in bilancio prospetticamente ai sensi dell’OIC 29. Pertanto le componenti delle voci riferite ad operazioni che non hanno ancora esaurito i loro effetti in bilancio possono continuare ad essere contabilizzate in conformità al precedente principio.</w:t>
            </w:r>
          </w:p>
        </w:tc>
        <w:tc>
          <w:tcPr>
            <w:tcW w:w="586" w:type="dxa"/>
            <w:tcMar>
              <w:left w:w="85" w:type="dxa"/>
              <w:right w:w="85" w:type="dxa"/>
            </w:tcMar>
            <w:vAlign w:val="center"/>
          </w:tcPr>
          <w:p w:rsidR="0073099A" w:rsidRPr="00AB7B36" w:rsidRDefault="0073099A" w:rsidP="00D73E98">
            <w:pPr>
              <w:jc w:val="center"/>
              <w:rPr>
                <w:lang w:val="it-IT"/>
              </w:rPr>
            </w:pPr>
          </w:p>
        </w:tc>
        <w:tc>
          <w:tcPr>
            <w:tcW w:w="573" w:type="dxa"/>
            <w:tcMar>
              <w:left w:w="108" w:type="dxa"/>
            </w:tcMar>
            <w:vAlign w:val="center"/>
          </w:tcPr>
          <w:p w:rsidR="0073099A" w:rsidRPr="00AB7B36" w:rsidRDefault="0073099A" w:rsidP="00D73E98">
            <w:pPr>
              <w:jc w:val="center"/>
              <w:rPr>
                <w:lang w:val="it-IT"/>
              </w:rPr>
            </w:pPr>
          </w:p>
        </w:tc>
        <w:tc>
          <w:tcPr>
            <w:tcW w:w="570" w:type="dxa"/>
            <w:tcMar>
              <w:left w:w="108" w:type="dxa"/>
            </w:tcMar>
            <w:vAlign w:val="center"/>
          </w:tcPr>
          <w:p w:rsidR="0073099A" w:rsidRPr="00AB7B36" w:rsidRDefault="0073099A" w:rsidP="00D73E98">
            <w:pPr>
              <w:jc w:val="center"/>
              <w:rPr>
                <w:lang w:val="it-IT"/>
              </w:rPr>
            </w:pPr>
          </w:p>
        </w:tc>
      </w:tr>
    </w:tbl>
    <w:p w:rsidR="0073099A" w:rsidRDefault="0073099A" w:rsidP="00A43012">
      <w:pPr>
        <w:rPr>
          <w:lang w:val="it-IT"/>
        </w:rPr>
        <w:sectPr w:rsidR="0073099A" w:rsidSect="008E5F3E">
          <w:headerReference w:type="default" r:id="rId29"/>
          <w:footerReference w:type="default" r:id="rId30"/>
          <w:pgSz w:w="11906" w:h="16838" w:code="9"/>
          <w:pgMar w:top="1134" w:right="851" w:bottom="851" w:left="851" w:header="709" w:footer="567" w:gutter="0"/>
          <w:cols w:space="708"/>
          <w:docGrid w:linePitch="360"/>
        </w:sectPr>
      </w:pPr>
    </w:p>
    <w:p w:rsidR="0073099A" w:rsidRPr="00655A70" w:rsidRDefault="0073099A" w:rsidP="0073099A">
      <w:pPr>
        <w:rPr>
          <w:lang w:val="it-IT"/>
        </w:rPr>
      </w:pPr>
    </w:p>
    <w:p w:rsidR="0073099A" w:rsidRPr="004C0C7A" w:rsidRDefault="0073099A" w:rsidP="0073099A">
      <w:pPr>
        <w:tabs>
          <w:tab w:val="left" w:pos="1890"/>
        </w:tabs>
        <w:spacing w:line="260" w:lineRule="exact"/>
        <w:ind w:left="990" w:hanging="990"/>
        <w:jc w:val="left"/>
        <w:rPr>
          <w:b/>
          <w:color w:val="0070C0"/>
        </w:rPr>
      </w:pPr>
      <w:r w:rsidRPr="004C0C7A">
        <w:rPr>
          <w:b/>
          <w:color w:val="0070C0"/>
          <w:sz w:val="28"/>
        </w:rPr>
        <w:t xml:space="preserve">Partecipazioni </w:t>
      </w:r>
    </w:p>
    <w:p w:rsidR="0073099A" w:rsidRDefault="0073099A" w:rsidP="0073099A"/>
    <w:p w:rsidR="0073099A" w:rsidRDefault="0073099A" w:rsidP="0073099A"/>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73099A" w:rsidRPr="008A0F36" w:rsidTr="00D73E98">
        <w:trPr>
          <w:cantSplit/>
          <w:trHeight w:val="20"/>
          <w:tblHeader/>
        </w:trPr>
        <w:tc>
          <w:tcPr>
            <w:tcW w:w="680" w:type="dxa"/>
            <w:shd w:val="clear" w:color="auto" w:fill="F2F2F2" w:themeFill="background1" w:themeFillShade="F2"/>
          </w:tcPr>
          <w:p w:rsidR="0073099A" w:rsidRPr="008A0F36" w:rsidRDefault="0073099A" w:rsidP="00D73E98">
            <w:pPr>
              <w:jc w:val="center"/>
              <w:rPr>
                <w:lang w:val="it-IT"/>
              </w:rPr>
            </w:pPr>
          </w:p>
        </w:tc>
        <w:tc>
          <w:tcPr>
            <w:tcW w:w="851" w:type="dxa"/>
            <w:shd w:val="clear" w:color="auto" w:fill="F2F2F2" w:themeFill="background1" w:themeFillShade="F2"/>
            <w:tcMar>
              <w:left w:w="108" w:type="dxa"/>
              <w:right w:w="0" w:type="dxa"/>
            </w:tcMar>
          </w:tcPr>
          <w:p w:rsidR="0073099A" w:rsidRPr="008A0F36" w:rsidRDefault="0073099A" w:rsidP="00D73E98">
            <w:pPr>
              <w:jc w:val="left"/>
              <w:rPr>
                <w:b/>
                <w:lang w:val="it-IT"/>
              </w:rPr>
            </w:pPr>
          </w:p>
        </w:tc>
        <w:tc>
          <w:tcPr>
            <w:tcW w:w="7060" w:type="dxa"/>
            <w:shd w:val="clear" w:color="auto" w:fill="F2F2F2" w:themeFill="background1" w:themeFillShade="F2"/>
            <w:tcMar>
              <w:left w:w="108" w:type="dxa"/>
            </w:tcMar>
          </w:tcPr>
          <w:p w:rsidR="0073099A" w:rsidRPr="008A0F36" w:rsidRDefault="0073099A" w:rsidP="00D73E98">
            <w:pPr>
              <w:jc w:val="center"/>
              <w:rPr>
                <w:b/>
                <w:lang w:val="it-IT"/>
              </w:rPr>
            </w:pPr>
          </w:p>
        </w:tc>
        <w:tc>
          <w:tcPr>
            <w:tcW w:w="586" w:type="dxa"/>
            <w:shd w:val="clear" w:color="auto" w:fill="F2F2F2" w:themeFill="background1" w:themeFillShade="F2"/>
            <w:tcMar>
              <w:left w:w="85" w:type="dxa"/>
              <w:right w:w="85" w:type="dxa"/>
            </w:tcMar>
            <w:vAlign w:val="bottom"/>
          </w:tcPr>
          <w:p w:rsidR="0073099A" w:rsidRPr="008A0F36" w:rsidRDefault="0073099A" w:rsidP="00D73E98">
            <w:pPr>
              <w:jc w:val="center"/>
              <w:rPr>
                <w:b/>
                <w:lang w:val="it-IT"/>
              </w:rPr>
            </w:pPr>
            <w:r w:rsidRPr="008A0F36">
              <w:rPr>
                <w:b/>
                <w:lang w:val="it-IT"/>
              </w:rPr>
              <w:t>SI</w:t>
            </w:r>
          </w:p>
        </w:tc>
        <w:tc>
          <w:tcPr>
            <w:tcW w:w="573" w:type="dxa"/>
            <w:shd w:val="clear" w:color="auto" w:fill="F2F2F2" w:themeFill="background1" w:themeFillShade="F2"/>
            <w:tcMar>
              <w:left w:w="108" w:type="dxa"/>
            </w:tcMar>
            <w:vAlign w:val="bottom"/>
          </w:tcPr>
          <w:p w:rsidR="0073099A" w:rsidRPr="008A0F36" w:rsidRDefault="0073099A" w:rsidP="00D73E98">
            <w:pPr>
              <w:jc w:val="center"/>
              <w:rPr>
                <w:b/>
                <w:lang w:val="it-IT"/>
              </w:rPr>
            </w:pPr>
            <w:r w:rsidRPr="008A0F36">
              <w:rPr>
                <w:b/>
                <w:lang w:val="it-IT"/>
              </w:rPr>
              <w:t>NO</w:t>
            </w:r>
          </w:p>
        </w:tc>
        <w:tc>
          <w:tcPr>
            <w:tcW w:w="570" w:type="dxa"/>
            <w:shd w:val="clear" w:color="auto" w:fill="F2F2F2" w:themeFill="background1" w:themeFillShade="F2"/>
            <w:tcMar>
              <w:left w:w="108" w:type="dxa"/>
            </w:tcMar>
            <w:vAlign w:val="bottom"/>
          </w:tcPr>
          <w:p w:rsidR="0073099A" w:rsidRPr="008A0F36" w:rsidRDefault="0073099A" w:rsidP="00D73E98">
            <w:pPr>
              <w:jc w:val="center"/>
              <w:rPr>
                <w:b/>
                <w:lang w:val="it-IT"/>
              </w:rPr>
            </w:pPr>
            <w:r w:rsidRPr="008A0F36">
              <w:rPr>
                <w:b/>
                <w:lang w:val="it-IT"/>
              </w:rPr>
              <w:t>N/A</w:t>
            </w:r>
          </w:p>
        </w:tc>
      </w:tr>
      <w:tr w:rsidR="0073099A" w:rsidRPr="008A0F36" w:rsidTr="00D73E98">
        <w:trPr>
          <w:cantSplit/>
          <w:trHeight w:val="20"/>
        </w:trPr>
        <w:tc>
          <w:tcPr>
            <w:tcW w:w="680" w:type="dxa"/>
            <w:vAlign w:val="center"/>
          </w:tcPr>
          <w:p w:rsidR="0073099A" w:rsidRPr="008A0F36" w:rsidRDefault="0073099A" w:rsidP="00D73E98">
            <w:pPr>
              <w:jc w:val="center"/>
              <w:rPr>
                <w:lang w:val="it-IT"/>
              </w:rPr>
            </w:pPr>
          </w:p>
        </w:tc>
        <w:tc>
          <w:tcPr>
            <w:tcW w:w="851" w:type="dxa"/>
            <w:tcMar>
              <w:left w:w="108" w:type="dxa"/>
              <w:right w:w="0" w:type="dxa"/>
            </w:tcMar>
            <w:vAlign w:val="center"/>
          </w:tcPr>
          <w:p w:rsidR="0073099A" w:rsidRPr="008A0F36" w:rsidRDefault="0073099A" w:rsidP="00D73E98">
            <w:pPr>
              <w:pStyle w:val="PrincCont"/>
              <w:jc w:val="left"/>
              <w:rPr>
                <w:lang w:val="it-IT"/>
              </w:rPr>
            </w:pPr>
          </w:p>
        </w:tc>
        <w:tc>
          <w:tcPr>
            <w:tcW w:w="7060" w:type="dxa"/>
            <w:tcMar>
              <w:left w:w="108" w:type="dxa"/>
            </w:tcMar>
            <w:vAlign w:val="center"/>
          </w:tcPr>
          <w:p w:rsidR="0073099A" w:rsidRPr="00DA6A25" w:rsidRDefault="0073099A" w:rsidP="00D73E98">
            <w:pPr>
              <w:pStyle w:val="Titolo1"/>
            </w:pPr>
            <w:r w:rsidRPr="00DA6A25">
              <w:t xml:space="preserve">partecipazioni </w:t>
            </w:r>
          </w:p>
        </w:tc>
        <w:tc>
          <w:tcPr>
            <w:tcW w:w="586" w:type="dxa"/>
            <w:tcMar>
              <w:left w:w="85" w:type="dxa"/>
              <w:right w:w="85" w:type="dxa"/>
            </w:tcMar>
            <w:vAlign w:val="center"/>
          </w:tcPr>
          <w:p w:rsidR="0073099A" w:rsidRPr="008A0F36" w:rsidRDefault="0073099A" w:rsidP="00D73E98">
            <w:pPr>
              <w:jc w:val="left"/>
              <w:rPr>
                <w:lang w:val="it-IT"/>
              </w:rPr>
            </w:pPr>
          </w:p>
        </w:tc>
        <w:tc>
          <w:tcPr>
            <w:tcW w:w="573" w:type="dxa"/>
            <w:tcMar>
              <w:left w:w="108" w:type="dxa"/>
            </w:tcMar>
            <w:vAlign w:val="center"/>
          </w:tcPr>
          <w:p w:rsidR="0073099A" w:rsidRPr="008A0F36" w:rsidRDefault="0073099A" w:rsidP="00D73E98">
            <w:pPr>
              <w:jc w:val="left"/>
              <w:rPr>
                <w:lang w:val="it-IT"/>
              </w:rPr>
            </w:pPr>
          </w:p>
        </w:tc>
        <w:tc>
          <w:tcPr>
            <w:tcW w:w="570" w:type="dxa"/>
            <w:tcMar>
              <w:left w:w="108" w:type="dxa"/>
            </w:tcMar>
            <w:vAlign w:val="center"/>
          </w:tcPr>
          <w:p w:rsidR="0073099A" w:rsidRPr="008A0F36" w:rsidRDefault="0073099A" w:rsidP="00D73E98">
            <w:pPr>
              <w:jc w:val="left"/>
              <w:rPr>
                <w:lang w:val="it-IT"/>
              </w:rPr>
            </w:pPr>
          </w:p>
        </w:tc>
      </w:tr>
      <w:tr w:rsidR="0073099A" w:rsidRPr="00E95B37" w:rsidTr="00D73E98">
        <w:trPr>
          <w:cantSplit/>
          <w:trHeight w:val="34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A568A4" w:rsidRDefault="0073099A" w:rsidP="00D73E98">
            <w:pPr>
              <w:pStyle w:val="Titolo2"/>
            </w:pPr>
            <w:r w:rsidRPr="00A568A4">
              <w:rPr>
                <w:lang w:val="it-IT"/>
              </w:rPr>
              <w:t>Definizioni</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FF19F7" w:rsidRDefault="0073099A" w:rsidP="00D73E98">
            <w:pPr>
              <w:jc w:val="center"/>
              <w:rPr>
                <w:lang w:val="it-IT"/>
              </w:rPr>
            </w:pPr>
          </w:p>
        </w:tc>
        <w:tc>
          <w:tcPr>
            <w:tcW w:w="570" w:type="dxa"/>
            <w:tcMar>
              <w:left w:w="108" w:type="dxa"/>
            </w:tcMar>
            <w:vAlign w:val="center"/>
          </w:tcPr>
          <w:p w:rsidR="0073099A" w:rsidRPr="00FF19F7" w:rsidRDefault="0073099A" w:rsidP="00D73E98">
            <w:pPr>
              <w:jc w:val="center"/>
              <w:rPr>
                <w:lang w:val="it-IT"/>
              </w:rPr>
            </w:pPr>
          </w:p>
        </w:tc>
      </w:tr>
      <w:tr w:rsidR="0073099A" w:rsidRPr="00CC242B" w:rsidTr="00D73E98">
        <w:trPr>
          <w:cantSplit/>
          <w:trHeight w:val="34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r>
              <w:rPr>
                <w:lang w:val="it-IT"/>
              </w:rPr>
              <w:t>OIC 21.4</w:t>
            </w:r>
          </w:p>
        </w:tc>
        <w:tc>
          <w:tcPr>
            <w:tcW w:w="7060" w:type="dxa"/>
            <w:tcMar>
              <w:left w:w="108" w:type="dxa"/>
            </w:tcMar>
          </w:tcPr>
          <w:p w:rsidR="0073099A" w:rsidRPr="00F60821" w:rsidRDefault="0073099A" w:rsidP="00D73E98">
            <w:pPr>
              <w:pStyle w:val="Commentiriquadro"/>
            </w:pPr>
            <w:r>
              <w:t xml:space="preserve">Le </w:t>
            </w:r>
            <w:r w:rsidRPr="00D03623">
              <w:rPr>
                <w:i/>
              </w:rPr>
              <w:t>partecipazioni</w:t>
            </w:r>
            <w:r w:rsidRPr="00F60821">
              <w:t xml:space="preserve"> costituiscono investimenti nel capitale di altre imprese.</w:t>
            </w:r>
            <w:r>
              <w:t xml:space="preserve"> </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FF19F7" w:rsidRDefault="0073099A" w:rsidP="00D73E98">
            <w:pPr>
              <w:jc w:val="center"/>
              <w:rPr>
                <w:lang w:val="it-IT"/>
              </w:rPr>
            </w:pPr>
          </w:p>
        </w:tc>
        <w:tc>
          <w:tcPr>
            <w:tcW w:w="570" w:type="dxa"/>
            <w:tcMar>
              <w:left w:w="108" w:type="dxa"/>
            </w:tcMar>
            <w:vAlign w:val="center"/>
          </w:tcPr>
          <w:p w:rsidR="0073099A" w:rsidRPr="00FF19F7" w:rsidRDefault="0073099A" w:rsidP="00D73E98">
            <w:pPr>
              <w:jc w:val="center"/>
              <w:rPr>
                <w:lang w:val="it-IT"/>
              </w:rPr>
            </w:pPr>
          </w:p>
        </w:tc>
      </w:tr>
      <w:tr w:rsidR="0073099A" w:rsidRPr="00CC242B" w:rsidTr="00D73E98">
        <w:trPr>
          <w:cantSplit/>
          <w:trHeight w:val="34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21.5</w:t>
            </w:r>
          </w:p>
        </w:tc>
        <w:tc>
          <w:tcPr>
            <w:tcW w:w="7060" w:type="dxa"/>
            <w:tcMar>
              <w:left w:w="108" w:type="dxa"/>
            </w:tcMar>
          </w:tcPr>
          <w:p w:rsidR="0073099A" w:rsidRPr="00F60821" w:rsidRDefault="0073099A" w:rsidP="00D73E98">
            <w:pPr>
              <w:pStyle w:val="Commentiriquadro"/>
            </w:pPr>
            <w:r>
              <w:rPr>
                <w:lang w:eastAsia="it-IT"/>
              </w:rPr>
              <w:t xml:space="preserve">Il </w:t>
            </w:r>
            <w:r>
              <w:rPr>
                <w:i/>
                <w:iCs/>
                <w:lang w:eastAsia="it-IT"/>
              </w:rPr>
              <w:t xml:space="preserve">costo di acquisto o di costituzione </w:t>
            </w:r>
            <w:r>
              <w:rPr>
                <w:lang w:eastAsia="it-IT"/>
              </w:rPr>
              <w:t>di una partecipazione è costituito dal prezzo pagato, al quale sono aggiunti i costi accessori direttamente imputabili all’operazione di acquisto o di costituzione.</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FF19F7" w:rsidRDefault="0073099A" w:rsidP="00D73E98">
            <w:pPr>
              <w:jc w:val="center"/>
              <w:rPr>
                <w:lang w:val="it-IT"/>
              </w:rPr>
            </w:pPr>
          </w:p>
        </w:tc>
        <w:tc>
          <w:tcPr>
            <w:tcW w:w="570" w:type="dxa"/>
            <w:tcMar>
              <w:left w:w="108" w:type="dxa"/>
            </w:tcMar>
            <w:vAlign w:val="center"/>
          </w:tcPr>
          <w:p w:rsidR="0073099A" w:rsidRPr="00FF19F7" w:rsidRDefault="0073099A" w:rsidP="00D73E98">
            <w:pPr>
              <w:jc w:val="center"/>
              <w:rPr>
                <w:lang w:val="it-IT"/>
              </w:rPr>
            </w:pPr>
          </w:p>
        </w:tc>
      </w:tr>
      <w:tr w:rsidR="0073099A" w:rsidRPr="00CC242B" w:rsidTr="00D73E98">
        <w:trPr>
          <w:cantSplit/>
          <w:trHeight w:val="34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21.6</w:t>
            </w:r>
          </w:p>
        </w:tc>
        <w:tc>
          <w:tcPr>
            <w:tcW w:w="7060" w:type="dxa"/>
            <w:tcMar>
              <w:left w:w="108" w:type="dxa"/>
            </w:tcMar>
          </w:tcPr>
          <w:p w:rsidR="0073099A" w:rsidRPr="00F60821" w:rsidRDefault="0073099A" w:rsidP="00D73E98">
            <w:pPr>
              <w:pStyle w:val="Commentiriquadro"/>
            </w:pPr>
            <w:r>
              <w:rPr>
                <w:lang w:eastAsia="it-IT"/>
              </w:rPr>
              <w:t xml:space="preserve">I </w:t>
            </w:r>
            <w:r>
              <w:rPr>
                <w:i/>
                <w:iCs/>
                <w:lang w:eastAsia="it-IT"/>
              </w:rPr>
              <w:t xml:space="preserve">costi accessori </w:t>
            </w:r>
            <w:r>
              <w:rPr>
                <w:lang w:eastAsia="it-IT"/>
              </w:rPr>
              <w:t>sono costituiti da costi direttamente imputabili all’operazione, quali, ad esempio, i costi di intermediazione bancaria e finanziaria, le commissioni, le spese e le imposte. Possono comprendere costi di consulenza corrisposti a professionisti per la predisposizione di contratti e di studi di convenienza all’acquisto.</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FF19F7" w:rsidRDefault="0073099A" w:rsidP="00D73E98">
            <w:pPr>
              <w:jc w:val="center"/>
              <w:rPr>
                <w:lang w:val="it-IT"/>
              </w:rPr>
            </w:pPr>
          </w:p>
        </w:tc>
        <w:tc>
          <w:tcPr>
            <w:tcW w:w="570" w:type="dxa"/>
            <w:tcMar>
              <w:left w:w="108" w:type="dxa"/>
            </w:tcMar>
            <w:vAlign w:val="center"/>
          </w:tcPr>
          <w:p w:rsidR="0073099A" w:rsidRPr="00FF19F7" w:rsidRDefault="0073099A" w:rsidP="00D73E98">
            <w:pPr>
              <w:jc w:val="center"/>
              <w:rPr>
                <w:lang w:val="it-IT"/>
              </w:rPr>
            </w:pPr>
          </w:p>
        </w:tc>
      </w:tr>
      <w:tr w:rsidR="0073099A" w:rsidRPr="00CC242B" w:rsidTr="00D73E98">
        <w:trPr>
          <w:cantSplit/>
          <w:trHeight w:val="34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F60821" w:rsidRDefault="0073099A" w:rsidP="00D73E98">
            <w:pPr>
              <w:pStyle w:val="Titolo2"/>
              <w:rPr>
                <w:lang w:val="it-IT"/>
              </w:rPr>
            </w:pPr>
            <w:r w:rsidRPr="00492518">
              <w:rPr>
                <w:lang w:val="it-IT"/>
              </w:rPr>
              <w:t>Classificazione e contenuto delle voci</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FF19F7" w:rsidRDefault="0073099A" w:rsidP="00D73E98">
            <w:pPr>
              <w:jc w:val="center"/>
              <w:rPr>
                <w:lang w:val="it-IT"/>
              </w:rPr>
            </w:pPr>
          </w:p>
        </w:tc>
        <w:tc>
          <w:tcPr>
            <w:tcW w:w="570" w:type="dxa"/>
            <w:tcMar>
              <w:left w:w="108" w:type="dxa"/>
            </w:tcMar>
            <w:vAlign w:val="center"/>
          </w:tcPr>
          <w:p w:rsidR="0073099A" w:rsidRPr="00FF19F7" w:rsidRDefault="0073099A" w:rsidP="00D73E98">
            <w:pPr>
              <w:jc w:val="center"/>
              <w:rPr>
                <w:lang w:val="it-IT"/>
              </w:rPr>
            </w:pPr>
          </w:p>
        </w:tc>
      </w:tr>
      <w:tr w:rsidR="0073099A" w:rsidRPr="00F60821" w:rsidTr="00D73E98">
        <w:trPr>
          <w:cantSplit/>
          <w:trHeight w:val="229"/>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492518" w:rsidRDefault="0073099A" w:rsidP="00D73E98">
            <w:pPr>
              <w:pStyle w:val="Titolo3"/>
              <w:rPr>
                <w:lang w:val="it-IT"/>
              </w:rPr>
            </w:pPr>
            <w:r>
              <w:t>Stato patrimoniale</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FF19F7" w:rsidRDefault="0073099A" w:rsidP="00D73E98">
            <w:pPr>
              <w:jc w:val="center"/>
              <w:rPr>
                <w:lang w:val="it-IT"/>
              </w:rPr>
            </w:pPr>
          </w:p>
        </w:tc>
        <w:tc>
          <w:tcPr>
            <w:tcW w:w="570" w:type="dxa"/>
            <w:tcMar>
              <w:left w:w="108" w:type="dxa"/>
            </w:tcMar>
            <w:vAlign w:val="center"/>
          </w:tcPr>
          <w:p w:rsidR="0073099A" w:rsidRPr="00FF19F7" w:rsidRDefault="0073099A" w:rsidP="00D73E98">
            <w:pPr>
              <w:jc w:val="center"/>
              <w:rPr>
                <w:lang w:val="it-IT"/>
              </w:rPr>
            </w:pPr>
          </w:p>
        </w:tc>
      </w:tr>
      <w:tr w:rsidR="0073099A" w:rsidRPr="00CC242B" w:rsidTr="00D73E98">
        <w:trPr>
          <w:cantSplit/>
          <w:trHeight w:val="20"/>
        </w:trPr>
        <w:tc>
          <w:tcPr>
            <w:tcW w:w="680" w:type="dxa"/>
          </w:tcPr>
          <w:p w:rsidR="0073099A" w:rsidRPr="005B2DDF" w:rsidRDefault="0073099A" w:rsidP="00D73E98">
            <w:pPr>
              <w:jc w:val="center"/>
              <w:rPr>
                <w:b/>
                <w:lang w:val="it-IT"/>
              </w:rPr>
            </w:pPr>
            <w:r w:rsidRPr="005B2DDF">
              <w:rPr>
                <w:b/>
                <w:lang w:val="it-IT"/>
              </w:rPr>
              <w:t>1)</w:t>
            </w:r>
          </w:p>
        </w:tc>
        <w:tc>
          <w:tcPr>
            <w:tcW w:w="851" w:type="dxa"/>
            <w:tcMar>
              <w:left w:w="108" w:type="dxa"/>
              <w:right w:w="0" w:type="dxa"/>
            </w:tcMar>
          </w:tcPr>
          <w:p w:rsidR="0073099A" w:rsidRPr="00B84B5E" w:rsidRDefault="0073099A" w:rsidP="00D73E98">
            <w:pPr>
              <w:pStyle w:val="PrincCont"/>
              <w:jc w:val="left"/>
            </w:pPr>
            <w:r>
              <w:t>Art. 2424</w:t>
            </w:r>
            <w:r w:rsidRPr="00B84B5E">
              <w:t xml:space="preserve"> CC</w:t>
            </w:r>
            <w:r>
              <w:t xml:space="preserve">    OIC 21.8    OIC 21.9</w:t>
            </w:r>
          </w:p>
        </w:tc>
        <w:tc>
          <w:tcPr>
            <w:tcW w:w="7060" w:type="dxa"/>
            <w:tcMar>
              <w:left w:w="108" w:type="dxa"/>
            </w:tcMar>
          </w:tcPr>
          <w:p w:rsidR="0073099A" w:rsidRPr="00EB5CF9" w:rsidRDefault="0073099A" w:rsidP="00D73E98">
            <w:pPr>
              <w:spacing w:line="230" w:lineRule="exact"/>
              <w:jc w:val="left"/>
              <w:rPr>
                <w:lang w:val="it-IT"/>
              </w:rPr>
            </w:pPr>
            <w:r>
              <w:rPr>
                <w:lang w:val="it-IT"/>
              </w:rPr>
              <w:t>Le partecipazioni sono state classificate nelle seguenti voci:</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CC242B"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304A53" w:rsidRDefault="0073099A" w:rsidP="00D73E98">
            <w:pPr>
              <w:overflowPunct/>
              <w:spacing w:line="230" w:lineRule="exact"/>
              <w:textAlignment w:val="auto"/>
              <w:rPr>
                <w:lang w:val="it-IT" w:eastAsia="it-IT"/>
              </w:rPr>
            </w:pPr>
            <w:r w:rsidRPr="00304A53">
              <w:rPr>
                <w:lang w:val="it-IT" w:eastAsia="it-IT"/>
              </w:rPr>
              <w:t>Per le partecipazioni immobilizzate:</w:t>
            </w:r>
          </w:p>
          <w:p w:rsidR="0073099A" w:rsidRPr="001A7633" w:rsidRDefault="0073099A" w:rsidP="00D73E98">
            <w:pPr>
              <w:pStyle w:val="Paragrafoelenco"/>
              <w:spacing w:line="230" w:lineRule="exact"/>
              <w:ind w:left="35"/>
              <w:rPr>
                <w:i/>
                <w:lang w:val="it-IT" w:eastAsia="it-IT"/>
              </w:rPr>
            </w:pPr>
            <w:r>
              <w:rPr>
                <w:lang w:val="it-IT" w:eastAsia="it-IT"/>
              </w:rPr>
              <w:t xml:space="preserve">BIII) </w:t>
            </w:r>
            <w:r w:rsidRPr="004D5D34">
              <w:rPr>
                <w:i/>
                <w:lang w:val="it-IT" w:eastAsia="it-IT"/>
              </w:rPr>
              <w:t>Immobilizzazioni finanziarie</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BD07F7"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Default="0073099A" w:rsidP="004E27C2">
            <w:pPr>
              <w:pStyle w:val="Paragrafoelenco"/>
              <w:numPr>
                <w:ilvl w:val="0"/>
                <w:numId w:val="25"/>
              </w:numPr>
              <w:spacing w:line="230" w:lineRule="exact"/>
              <w:ind w:left="602" w:hanging="284"/>
              <w:rPr>
                <w:lang w:val="it-IT" w:eastAsia="it-IT"/>
              </w:rPr>
            </w:pPr>
            <w:r>
              <w:rPr>
                <w:lang w:val="it-IT" w:eastAsia="it-IT"/>
              </w:rPr>
              <w:t>Partecipazioni in:</w:t>
            </w:r>
          </w:p>
        </w:tc>
        <w:tc>
          <w:tcPr>
            <w:tcW w:w="586" w:type="dxa"/>
            <w:tcMar>
              <w:left w:w="85" w:type="dxa"/>
              <w:right w:w="85" w:type="dxa"/>
            </w:tcMar>
            <w:vAlign w:val="center"/>
          </w:tcPr>
          <w:p w:rsidR="0073099A" w:rsidRDefault="0073099A" w:rsidP="00D73E98">
            <w:pPr>
              <w:jc w:val="center"/>
            </w:pPr>
          </w:p>
        </w:tc>
        <w:tc>
          <w:tcPr>
            <w:tcW w:w="573" w:type="dxa"/>
            <w:tcMar>
              <w:left w:w="108" w:type="dxa"/>
            </w:tcMar>
            <w:vAlign w:val="center"/>
          </w:tcPr>
          <w:p w:rsidR="0073099A" w:rsidRDefault="0073099A" w:rsidP="00D73E98">
            <w:pPr>
              <w:jc w:val="center"/>
            </w:pPr>
          </w:p>
        </w:tc>
        <w:tc>
          <w:tcPr>
            <w:tcW w:w="570" w:type="dxa"/>
            <w:tcMar>
              <w:left w:w="108" w:type="dxa"/>
            </w:tcMar>
            <w:vAlign w:val="center"/>
          </w:tcPr>
          <w:p w:rsidR="0073099A" w:rsidRDefault="0073099A" w:rsidP="00D73E98">
            <w:pPr>
              <w:jc w:val="center"/>
            </w:pPr>
          </w:p>
        </w:tc>
      </w:tr>
      <w:tr w:rsidR="0073099A" w:rsidRPr="00BD07F7"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1A7633" w:rsidRDefault="0073099A" w:rsidP="004E27C2">
            <w:pPr>
              <w:pStyle w:val="Paragrafoelenco"/>
              <w:numPr>
                <w:ilvl w:val="0"/>
                <w:numId w:val="24"/>
              </w:numPr>
              <w:spacing w:line="230" w:lineRule="exact"/>
              <w:ind w:left="885" w:hanging="283"/>
              <w:rPr>
                <w:lang w:val="it-IT"/>
              </w:rPr>
            </w:pPr>
            <w:r>
              <w:rPr>
                <w:lang w:val="it-IT" w:eastAsia="it-IT"/>
              </w:rPr>
              <w:t>imprese controllate</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BD07F7"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1A7633" w:rsidRDefault="0073099A" w:rsidP="004E27C2">
            <w:pPr>
              <w:pStyle w:val="Paragrafoelenco"/>
              <w:numPr>
                <w:ilvl w:val="0"/>
                <w:numId w:val="24"/>
              </w:numPr>
              <w:spacing w:line="230" w:lineRule="exact"/>
              <w:ind w:left="885" w:hanging="283"/>
              <w:rPr>
                <w:lang w:val="it-IT"/>
              </w:rPr>
            </w:pPr>
            <w:r>
              <w:rPr>
                <w:lang w:val="it-IT" w:eastAsia="it-IT"/>
              </w:rPr>
              <w:t>imprese collegate</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BD07F7"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65514A" w:rsidRDefault="0073099A" w:rsidP="004E27C2">
            <w:pPr>
              <w:pStyle w:val="Paragrafoelenco"/>
              <w:numPr>
                <w:ilvl w:val="0"/>
                <w:numId w:val="24"/>
              </w:numPr>
              <w:overflowPunct/>
              <w:spacing w:line="230" w:lineRule="exact"/>
              <w:ind w:left="885" w:hanging="283"/>
              <w:textAlignment w:val="auto"/>
              <w:rPr>
                <w:lang w:val="it-IT" w:eastAsia="it-IT"/>
              </w:rPr>
            </w:pPr>
            <w:r>
              <w:rPr>
                <w:lang w:val="it-IT" w:eastAsia="it-IT"/>
              </w:rPr>
              <w:t>imprese controllanti</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BD07F7"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65514A" w:rsidRDefault="0073099A" w:rsidP="004E27C2">
            <w:pPr>
              <w:pStyle w:val="Paragrafoelenco"/>
              <w:numPr>
                <w:ilvl w:val="0"/>
                <w:numId w:val="24"/>
              </w:numPr>
              <w:overflowPunct/>
              <w:spacing w:line="230" w:lineRule="exact"/>
              <w:ind w:left="885" w:hanging="283"/>
              <w:textAlignment w:val="auto"/>
              <w:rPr>
                <w:lang w:val="it-IT" w:eastAsia="it-IT"/>
              </w:rPr>
            </w:pPr>
            <w:r>
              <w:rPr>
                <w:lang w:val="it-IT" w:eastAsia="it-IT"/>
              </w:rPr>
              <w:t>imprese sottoposte al controllo delle controllanti</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E95B37"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jc w:val="center"/>
              <w:rPr>
                <w:lang w:val="it-IT"/>
              </w:rPr>
            </w:pPr>
          </w:p>
        </w:tc>
        <w:tc>
          <w:tcPr>
            <w:tcW w:w="7060" w:type="dxa"/>
            <w:tcMar>
              <w:left w:w="108" w:type="dxa"/>
            </w:tcMar>
          </w:tcPr>
          <w:p w:rsidR="0073099A" w:rsidRPr="008A4024" w:rsidRDefault="0073099A" w:rsidP="00D73E98">
            <w:pPr>
              <w:pStyle w:val="Rientroisottoa"/>
              <w:tabs>
                <w:tab w:val="left" w:pos="318"/>
                <w:tab w:val="left" w:pos="885"/>
              </w:tabs>
              <w:spacing w:line="230" w:lineRule="exact"/>
              <w:ind w:left="0" w:firstLine="0"/>
              <w:rPr>
                <w:lang w:eastAsia="it-IT"/>
              </w:rPr>
            </w:pPr>
            <w:r>
              <w:rPr>
                <w:lang w:eastAsia="it-IT"/>
              </w:rPr>
              <w:tab/>
            </w:r>
            <w:r w:rsidRPr="008A4024">
              <w:rPr>
                <w:lang w:eastAsia="it-IT"/>
              </w:rPr>
              <w:t xml:space="preserve">d.bis) </w:t>
            </w:r>
            <w:r>
              <w:rPr>
                <w:lang w:eastAsia="it-IT"/>
              </w:rPr>
              <w:tab/>
              <w:t>a</w:t>
            </w:r>
            <w:r w:rsidRPr="008A4024">
              <w:rPr>
                <w:lang w:eastAsia="it-IT"/>
              </w:rPr>
              <w:t>ltre imprese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304A53" w:rsidRDefault="0073099A" w:rsidP="00D73E98">
            <w:pPr>
              <w:overflowPunct/>
              <w:spacing w:line="230" w:lineRule="exact"/>
              <w:textAlignment w:val="auto"/>
              <w:rPr>
                <w:lang w:val="it-IT" w:eastAsia="it-IT"/>
              </w:rPr>
            </w:pPr>
            <w:r w:rsidRPr="00304A53">
              <w:rPr>
                <w:lang w:val="it-IT" w:eastAsia="it-IT"/>
              </w:rPr>
              <w:t>Per le partecipazioni iscritte nell’attivo circolante:</w:t>
            </w:r>
          </w:p>
          <w:p w:rsidR="0073099A" w:rsidRPr="001A7633" w:rsidRDefault="0073099A" w:rsidP="00D73E98">
            <w:pPr>
              <w:pStyle w:val="Paragrafoelenco"/>
              <w:spacing w:line="230" w:lineRule="exact"/>
              <w:ind w:left="35"/>
              <w:rPr>
                <w:i/>
                <w:lang w:val="it-IT" w:eastAsia="it-IT"/>
              </w:rPr>
            </w:pPr>
            <w:r>
              <w:rPr>
                <w:lang w:val="it-IT" w:eastAsia="it-IT"/>
              </w:rPr>
              <w:t xml:space="preserve">CIII) </w:t>
            </w:r>
            <w:r w:rsidRPr="004D5D34">
              <w:rPr>
                <w:i/>
                <w:lang w:val="it-IT" w:eastAsia="it-IT"/>
              </w:rPr>
              <w:t>Attività finanziarie che non costituiscono</w:t>
            </w:r>
            <w:r>
              <w:rPr>
                <w:lang w:val="it-IT" w:eastAsia="it-IT"/>
              </w:rPr>
              <w:t xml:space="preserve"> </w:t>
            </w:r>
            <w:r w:rsidRPr="00D03623">
              <w:rPr>
                <w:i/>
                <w:lang w:val="it-IT" w:eastAsia="it-IT"/>
              </w:rPr>
              <w:t>i</w:t>
            </w:r>
            <w:r>
              <w:rPr>
                <w:i/>
                <w:lang w:val="it-IT" w:eastAsia="it-IT"/>
              </w:rPr>
              <w:t xml:space="preserve">mmobilizzazioni </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C12700" w:rsidRDefault="0073099A" w:rsidP="004E27C2">
            <w:pPr>
              <w:pStyle w:val="Paragrafoelenco"/>
              <w:numPr>
                <w:ilvl w:val="0"/>
                <w:numId w:val="26"/>
              </w:numPr>
              <w:spacing w:line="230" w:lineRule="exact"/>
              <w:ind w:left="602" w:hanging="284"/>
              <w:rPr>
                <w:lang w:val="it-IT"/>
              </w:rPr>
            </w:pPr>
            <w:r>
              <w:rPr>
                <w:lang w:val="it-IT" w:eastAsia="it-IT"/>
              </w:rPr>
              <w:t>partecipazioni in i</w:t>
            </w:r>
            <w:r w:rsidRPr="00C12700">
              <w:rPr>
                <w:lang w:val="it-IT" w:eastAsia="it-IT"/>
              </w:rPr>
              <w:t>mprese controllate</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C12700" w:rsidRDefault="0073099A" w:rsidP="004E27C2">
            <w:pPr>
              <w:pStyle w:val="Paragrafoelenco"/>
              <w:numPr>
                <w:ilvl w:val="0"/>
                <w:numId w:val="26"/>
              </w:numPr>
              <w:spacing w:line="230" w:lineRule="exact"/>
              <w:ind w:left="602" w:hanging="284"/>
              <w:rPr>
                <w:lang w:val="it-IT"/>
              </w:rPr>
            </w:pPr>
            <w:r>
              <w:rPr>
                <w:lang w:val="it-IT" w:eastAsia="it-IT"/>
              </w:rPr>
              <w:t>partecipazioni in i</w:t>
            </w:r>
            <w:r w:rsidRPr="00C12700">
              <w:rPr>
                <w:lang w:val="it-IT" w:eastAsia="it-IT"/>
              </w:rPr>
              <w:t>mprese collegate</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1A7633" w:rsidRDefault="0073099A" w:rsidP="004E27C2">
            <w:pPr>
              <w:pStyle w:val="Paragrafoelenco"/>
              <w:numPr>
                <w:ilvl w:val="0"/>
                <w:numId w:val="26"/>
              </w:numPr>
              <w:spacing w:line="230" w:lineRule="exact"/>
              <w:ind w:left="602" w:hanging="284"/>
              <w:rPr>
                <w:lang w:val="it-IT"/>
              </w:rPr>
            </w:pPr>
            <w:r>
              <w:rPr>
                <w:lang w:val="it-IT" w:eastAsia="it-IT"/>
              </w:rPr>
              <w:t>partecipazioni in imprese controllanti</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304A53"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304A53" w:rsidRDefault="0073099A" w:rsidP="00D73E98">
            <w:pPr>
              <w:pStyle w:val="Rientroisottoa"/>
              <w:tabs>
                <w:tab w:val="left" w:pos="460"/>
              </w:tabs>
              <w:spacing w:line="230" w:lineRule="exact"/>
              <w:ind w:left="0" w:firstLine="0"/>
              <w:rPr>
                <w:lang w:eastAsia="it-IT"/>
              </w:rPr>
            </w:pPr>
            <w:r>
              <w:rPr>
                <w:lang w:eastAsia="it-IT"/>
              </w:rPr>
              <w:t xml:space="preserve"> 3.bis)</w:t>
            </w:r>
            <w:r>
              <w:rPr>
                <w:lang w:eastAsia="it-IT"/>
              </w:rPr>
              <w:tab/>
              <w:t xml:space="preserve">  partecipazioni in imprese sottoposte al controllo delle controllanti</w:t>
            </w:r>
          </w:p>
        </w:tc>
        <w:tc>
          <w:tcPr>
            <w:tcW w:w="586" w:type="dxa"/>
            <w:tcMar>
              <w:left w:w="85" w:type="dxa"/>
              <w:right w:w="85" w:type="dxa"/>
            </w:tcMar>
            <w:vAlign w:val="center"/>
          </w:tcPr>
          <w:p w:rsidR="0073099A" w:rsidRPr="00304A53"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304A53"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304A53"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2C79B2" w:rsidRDefault="0073099A" w:rsidP="004E27C2">
            <w:pPr>
              <w:pStyle w:val="Paragrafoelenco"/>
              <w:numPr>
                <w:ilvl w:val="0"/>
                <w:numId w:val="26"/>
              </w:numPr>
              <w:spacing w:line="230" w:lineRule="exact"/>
              <w:ind w:left="602" w:hanging="284"/>
              <w:rPr>
                <w:lang w:val="it-IT" w:eastAsia="it-IT"/>
              </w:rPr>
            </w:pPr>
            <w:r w:rsidRPr="002C79B2">
              <w:rPr>
                <w:lang w:val="it-IT" w:eastAsia="it-IT"/>
              </w:rPr>
              <w:t>altre partecipazioni?</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2)</w:t>
            </w:r>
          </w:p>
        </w:tc>
        <w:tc>
          <w:tcPr>
            <w:tcW w:w="851" w:type="dxa"/>
            <w:tcMar>
              <w:left w:w="108" w:type="dxa"/>
              <w:right w:w="0" w:type="dxa"/>
            </w:tcMar>
          </w:tcPr>
          <w:p w:rsidR="0073099A" w:rsidRDefault="0073099A" w:rsidP="00D73E98">
            <w:pPr>
              <w:pStyle w:val="PrincCont"/>
              <w:jc w:val="left"/>
              <w:rPr>
                <w:lang w:val="it-IT"/>
              </w:rPr>
            </w:pPr>
            <w:r>
              <w:rPr>
                <w:lang w:val="it-IT"/>
              </w:rPr>
              <w:t>OIC 21.10</w:t>
            </w:r>
          </w:p>
        </w:tc>
        <w:tc>
          <w:tcPr>
            <w:tcW w:w="7060" w:type="dxa"/>
            <w:tcMar>
              <w:left w:w="108" w:type="dxa"/>
            </w:tcMar>
          </w:tcPr>
          <w:p w:rsidR="0073099A" w:rsidRDefault="0073099A" w:rsidP="00D73E98">
            <w:pPr>
              <w:spacing w:line="230" w:lineRule="exact"/>
              <w:ind w:left="35"/>
              <w:rPr>
                <w:lang w:val="it-IT"/>
              </w:rPr>
            </w:pPr>
            <w:r>
              <w:rPr>
                <w:lang w:val="it-IT"/>
              </w:rPr>
              <w:t>Tra le immobilizzazioni finanziarie sono state iscritte solo le partecipazioni destinate a permanere durevolmente nel portafoglio della società?</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21.10</w:t>
            </w:r>
          </w:p>
        </w:tc>
        <w:tc>
          <w:tcPr>
            <w:tcW w:w="7060" w:type="dxa"/>
            <w:tcMar>
              <w:left w:w="108" w:type="dxa"/>
            </w:tcMar>
          </w:tcPr>
          <w:p w:rsidR="0073099A" w:rsidRPr="00AF253B" w:rsidRDefault="0073099A" w:rsidP="00D73E98">
            <w:pPr>
              <w:pStyle w:val="Commentiriquadro"/>
            </w:pPr>
            <w:r w:rsidRPr="00AF253B">
              <w:t>Al fine di determinare l’esistenza della destinazione a perman</w:t>
            </w:r>
            <w:r>
              <w:t xml:space="preserve">ere durevolmente nel patrimonio </w:t>
            </w:r>
            <w:r w:rsidRPr="00AF253B">
              <w:t>dell’impresa si considerano la volontà della direzione aziendale e l’e</w:t>
            </w:r>
            <w:r>
              <w:t xml:space="preserve">ffettiva capacità della società </w:t>
            </w:r>
            <w:r w:rsidRPr="00AF253B">
              <w:t>di detenere le partecipazioni per un periodo prolungato di tempo.</w:t>
            </w:r>
          </w:p>
        </w:tc>
        <w:tc>
          <w:tcPr>
            <w:tcW w:w="586" w:type="dxa"/>
            <w:tcMar>
              <w:left w:w="85" w:type="dxa"/>
              <w:right w:w="85" w:type="dxa"/>
            </w:tcMar>
            <w:vAlign w:val="center"/>
          </w:tcPr>
          <w:p w:rsidR="0073099A" w:rsidRPr="00AF253B" w:rsidRDefault="0073099A" w:rsidP="00D73E98">
            <w:pPr>
              <w:jc w:val="center"/>
              <w:rPr>
                <w:lang w:val="it-IT"/>
              </w:rPr>
            </w:pPr>
          </w:p>
        </w:tc>
        <w:tc>
          <w:tcPr>
            <w:tcW w:w="573" w:type="dxa"/>
            <w:tcMar>
              <w:left w:w="108" w:type="dxa"/>
            </w:tcMar>
            <w:vAlign w:val="center"/>
          </w:tcPr>
          <w:p w:rsidR="0073099A" w:rsidRPr="00AF253B" w:rsidRDefault="0073099A" w:rsidP="00D73E98">
            <w:pPr>
              <w:jc w:val="center"/>
              <w:rPr>
                <w:lang w:val="it-IT"/>
              </w:rPr>
            </w:pPr>
          </w:p>
        </w:tc>
        <w:tc>
          <w:tcPr>
            <w:tcW w:w="570" w:type="dxa"/>
            <w:tcMar>
              <w:left w:w="108" w:type="dxa"/>
            </w:tcMar>
            <w:vAlign w:val="center"/>
          </w:tcPr>
          <w:p w:rsidR="0073099A" w:rsidRPr="00AF253B" w:rsidRDefault="0073099A" w:rsidP="00D73E98">
            <w:pPr>
              <w:jc w:val="center"/>
              <w:rPr>
                <w:lang w:val="it-IT"/>
              </w:rPr>
            </w:pPr>
          </w:p>
        </w:tc>
      </w:tr>
      <w:tr w:rsidR="0073099A" w:rsidRPr="00CC242B" w:rsidTr="00D73E98">
        <w:trPr>
          <w:cantSplit/>
          <w:trHeight w:val="339"/>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21.12</w:t>
            </w:r>
          </w:p>
        </w:tc>
        <w:tc>
          <w:tcPr>
            <w:tcW w:w="7060" w:type="dxa"/>
            <w:tcMar>
              <w:left w:w="108" w:type="dxa"/>
            </w:tcMar>
          </w:tcPr>
          <w:p w:rsidR="0073099A" w:rsidRPr="005D6E6F" w:rsidRDefault="0073099A" w:rsidP="00D73E98">
            <w:pPr>
              <w:pStyle w:val="Commentiriquadro"/>
            </w:pPr>
            <w:r w:rsidRPr="005D6E6F">
              <w:t>In coerenza con quanto sopra, in relazione alle proprie strategie aziendali, gli organi</w:t>
            </w:r>
            <w:r>
              <w:t xml:space="preserve"> </w:t>
            </w:r>
            <w:r w:rsidRPr="005D6E6F">
              <w:t>amministrativi possono destinare, nel rispetto del criterio d</w:t>
            </w:r>
            <w:r>
              <w:t xml:space="preserve">ella destinazione economica, un </w:t>
            </w:r>
            <w:r w:rsidRPr="005D6E6F">
              <w:t>portafoglio di partecipazioni della medesima specie, in par</w:t>
            </w:r>
            <w:r>
              <w:t xml:space="preserve">te ad investimento duraturo, da </w:t>
            </w:r>
            <w:r w:rsidRPr="005D6E6F">
              <w:t>iscriversi nell’attivo immobilizzato, in parte alla negoziazione, da iscriversi nell’attivo circolante.</w:t>
            </w:r>
          </w:p>
        </w:tc>
        <w:tc>
          <w:tcPr>
            <w:tcW w:w="586" w:type="dxa"/>
            <w:tcMar>
              <w:left w:w="85" w:type="dxa"/>
              <w:right w:w="85" w:type="dxa"/>
            </w:tcMar>
            <w:vAlign w:val="center"/>
          </w:tcPr>
          <w:p w:rsidR="0073099A" w:rsidRPr="00AF253B" w:rsidRDefault="0073099A" w:rsidP="00D73E98">
            <w:pPr>
              <w:jc w:val="center"/>
              <w:rPr>
                <w:lang w:val="it-IT"/>
              </w:rPr>
            </w:pPr>
          </w:p>
        </w:tc>
        <w:tc>
          <w:tcPr>
            <w:tcW w:w="573" w:type="dxa"/>
            <w:tcMar>
              <w:left w:w="108" w:type="dxa"/>
            </w:tcMar>
            <w:vAlign w:val="center"/>
          </w:tcPr>
          <w:p w:rsidR="0073099A" w:rsidRPr="00AF253B" w:rsidRDefault="0073099A" w:rsidP="00D73E98">
            <w:pPr>
              <w:jc w:val="center"/>
              <w:rPr>
                <w:lang w:val="it-IT"/>
              </w:rPr>
            </w:pPr>
          </w:p>
        </w:tc>
        <w:tc>
          <w:tcPr>
            <w:tcW w:w="570" w:type="dxa"/>
            <w:tcMar>
              <w:left w:w="108" w:type="dxa"/>
            </w:tcMar>
            <w:vAlign w:val="center"/>
          </w:tcPr>
          <w:p w:rsidR="0073099A" w:rsidRPr="00AF253B" w:rsidRDefault="0073099A" w:rsidP="00D73E98">
            <w:pPr>
              <w:jc w:val="center"/>
              <w:rPr>
                <w:lang w:val="it-IT"/>
              </w:rPr>
            </w:pPr>
          </w:p>
        </w:tc>
      </w:tr>
      <w:tr w:rsidR="0073099A" w:rsidRPr="00E95B37" w:rsidTr="00D73E98">
        <w:trPr>
          <w:cantSplit/>
          <w:trHeight w:val="20"/>
        </w:trPr>
        <w:tc>
          <w:tcPr>
            <w:tcW w:w="680" w:type="dxa"/>
          </w:tcPr>
          <w:p w:rsidR="0073099A" w:rsidRPr="005B2DDF" w:rsidRDefault="0073099A" w:rsidP="00D73E98">
            <w:pPr>
              <w:jc w:val="center"/>
              <w:rPr>
                <w:b/>
                <w:lang w:val="it-IT"/>
              </w:rPr>
            </w:pPr>
            <w:r w:rsidRPr="005B2DDF">
              <w:rPr>
                <w:b/>
                <w:lang w:val="it-IT"/>
              </w:rPr>
              <w:t>3)</w:t>
            </w:r>
          </w:p>
        </w:tc>
        <w:tc>
          <w:tcPr>
            <w:tcW w:w="851" w:type="dxa"/>
            <w:tcMar>
              <w:left w:w="108" w:type="dxa"/>
              <w:right w:w="0" w:type="dxa"/>
            </w:tcMar>
          </w:tcPr>
          <w:p w:rsidR="0073099A" w:rsidRDefault="0073099A" w:rsidP="00D73E98">
            <w:pPr>
              <w:pStyle w:val="PrincCont"/>
              <w:jc w:val="left"/>
              <w:rPr>
                <w:lang w:val="it-IT"/>
              </w:rPr>
            </w:pPr>
            <w:r>
              <w:rPr>
                <w:lang w:val="it-IT"/>
              </w:rPr>
              <w:t>OIC 21.13</w:t>
            </w:r>
          </w:p>
        </w:tc>
        <w:tc>
          <w:tcPr>
            <w:tcW w:w="7060" w:type="dxa"/>
            <w:tcMar>
              <w:left w:w="108" w:type="dxa"/>
            </w:tcMar>
          </w:tcPr>
          <w:p w:rsidR="0073099A" w:rsidRPr="005D6E6F" w:rsidRDefault="0073099A" w:rsidP="00D73E98">
            <w:pPr>
              <w:spacing w:line="230" w:lineRule="exact"/>
              <w:rPr>
                <w:lang w:val="it-IT"/>
              </w:rPr>
            </w:pPr>
            <w:r>
              <w:rPr>
                <w:lang w:val="it-IT" w:eastAsia="it-IT"/>
              </w:rPr>
              <w:t>Le partecipazioni in società a controllo congiunto (joint venture) sono state classificate nelle partecipazioni in imprese collegate?</w:t>
            </w:r>
          </w:p>
        </w:tc>
        <w:tc>
          <w:tcPr>
            <w:tcW w:w="586" w:type="dxa"/>
            <w:tcMar>
              <w:left w:w="85" w:type="dxa"/>
              <w:right w:w="85" w:type="dxa"/>
            </w:tcMar>
            <w:vAlign w:val="center"/>
          </w:tcPr>
          <w:p w:rsidR="0073099A" w:rsidRPr="00AF253B"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F253B"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F253B"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E95B37" w:rsidTr="00D73E98">
        <w:trPr>
          <w:cantSplit/>
          <w:trHeight w:val="20"/>
        </w:trPr>
        <w:tc>
          <w:tcPr>
            <w:tcW w:w="680" w:type="dxa"/>
          </w:tcPr>
          <w:p w:rsidR="0073099A" w:rsidRPr="005B2DDF" w:rsidRDefault="0073099A" w:rsidP="00D73E98">
            <w:pPr>
              <w:jc w:val="center"/>
              <w:rPr>
                <w:b/>
                <w:lang w:val="it-IT"/>
              </w:rPr>
            </w:pPr>
            <w:r w:rsidRPr="005B2DDF">
              <w:rPr>
                <w:b/>
                <w:lang w:val="it-IT"/>
              </w:rPr>
              <w:t>4)</w:t>
            </w:r>
          </w:p>
        </w:tc>
        <w:tc>
          <w:tcPr>
            <w:tcW w:w="851" w:type="dxa"/>
            <w:tcMar>
              <w:left w:w="108" w:type="dxa"/>
              <w:right w:w="0" w:type="dxa"/>
            </w:tcMar>
          </w:tcPr>
          <w:p w:rsidR="0073099A" w:rsidRDefault="0073099A" w:rsidP="00D73E98">
            <w:pPr>
              <w:pStyle w:val="PrincCont"/>
              <w:jc w:val="left"/>
              <w:rPr>
                <w:lang w:val="it-IT"/>
              </w:rPr>
            </w:pPr>
            <w:r>
              <w:rPr>
                <w:lang w:val="it-IT"/>
              </w:rPr>
              <w:t>OIC 21.11</w:t>
            </w:r>
          </w:p>
        </w:tc>
        <w:tc>
          <w:tcPr>
            <w:tcW w:w="7060" w:type="dxa"/>
            <w:tcMar>
              <w:left w:w="108" w:type="dxa"/>
            </w:tcMar>
          </w:tcPr>
          <w:p w:rsidR="0073099A" w:rsidRDefault="0073099A" w:rsidP="00D73E98">
            <w:pPr>
              <w:rPr>
                <w:lang w:val="it-IT" w:eastAsia="it-IT"/>
              </w:rPr>
            </w:pPr>
            <w:r>
              <w:rPr>
                <w:lang w:val="it-IT" w:eastAsia="it-IT"/>
              </w:rPr>
              <w:t>Le partecipazioni in altre imprese in misura non inferiore ad un quinto del capitale della partecipata, ovvero ad un decimo se quest'ultima ha azioni quotate in mercati regolamentati sono normalmente classificate tra le immobilizzazioni finanziarie, per presunzione non assoluta (</w:t>
            </w:r>
            <w:r>
              <w:rPr>
                <w:i/>
                <w:iCs/>
                <w:lang w:val="it-IT" w:eastAsia="it-IT"/>
              </w:rPr>
              <w:t>iuris tantum</w:t>
            </w:r>
            <w:r>
              <w:rPr>
                <w:lang w:val="it-IT" w:eastAsia="it-IT"/>
              </w:rPr>
              <w:t>) di legge, o nell'attivo circolante se sono destinate ad essere alienate entro breve termine?</w:t>
            </w:r>
          </w:p>
        </w:tc>
        <w:tc>
          <w:tcPr>
            <w:tcW w:w="586" w:type="dxa"/>
            <w:tcMar>
              <w:left w:w="85" w:type="dxa"/>
              <w:right w:w="85" w:type="dxa"/>
            </w:tcMar>
            <w:vAlign w:val="center"/>
          </w:tcPr>
          <w:p w:rsidR="0073099A" w:rsidRPr="00EB3070"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EB3070"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EB3070"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5B2DDF" w:rsidRDefault="0073099A" w:rsidP="00D73E98">
            <w:pPr>
              <w:jc w:val="center"/>
              <w:rPr>
                <w:b/>
                <w:lang w:val="it-IT"/>
              </w:rPr>
            </w:pPr>
            <w:r w:rsidRPr="005B2DDF">
              <w:rPr>
                <w:b/>
                <w:lang w:val="it-IT"/>
              </w:rPr>
              <w:t>5)</w:t>
            </w:r>
          </w:p>
        </w:tc>
        <w:tc>
          <w:tcPr>
            <w:tcW w:w="851" w:type="dxa"/>
            <w:tcMar>
              <w:left w:w="108" w:type="dxa"/>
              <w:right w:w="0" w:type="dxa"/>
            </w:tcMar>
          </w:tcPr>
          <w:p w:rsidR="0073099A" w:rsidRDefault="0073099A" w:rsidP="00D73E98">
            <w:pPr>
              <w:pStyle w:val="PrincCont"/>
              <w:jc w:val="left"/>
              <w:rPr>
                <w:lang w:val="it-IT"/>
              </w:rPr>
            </w:pPr>
            <w:r>
              <w:rPr>
                <w:lang w:val="it-IT"/>
              </w:rPr>
              <w:t>OIC 21.14</w:t>
            </w:r>
          </w:p>
        </w:tc>
        <w:tc>
          <w:tcPr>
            <w:tcW w:w="7060" w:type="dxa"/>
            <w:tcMar>
              <w:left w:w="108" w:type="dxa"/>
            </w:tcMar>
          </w:tcPr>
          <w:p w:rsidR="0073099A" w:rsidRPr="005D6E6F" w:rsidRDefault="0073099A" w:rsidP="00D73E98">
            <w:pPr>
              <w:spacing w:line="230" w:lineRule="exact"/>
              <w:rPr>
                <w:lang w:val="it-IT"/>
              </w:rPr>
            </w:pPr>
            <w:r w:rsidRPr="005D6E6F">
              <w:rPr>
                <w:lang w:val="it-IT"/>
              </w:rPr>
              <w:t xml:space="preserve">Le </w:t>
            </w:r>
            <w:r>
              <w:rPr>
                <w:lang w:val="it-IT"/>
              </w:rPr>
              <w:t>partecipazioni detenute nella società controllante sono state classificate nell’attivo immobilizzato, separatamente dalle altre partecipazioni, nella voce:</w:t>
            </w:r>
          </w:p>
        </w:tc>
        <w:tc>
          <w:tcPr>
            <w:tcW w:w="586" w:type="dxa"/>
            <w:tcMar>
              <w:left w:w="85" w:type="dxa"/>
              <w:right w:w="85" w:type="dxa"/>
            </w:tcMar>
            <w:vAlign w:val="center"/>
          </w:tcPr>
          <w:p w:rsidR="0073099A" w:rsidRPr="00AF253B" w:rsidRDefault="0073099A" w:rsidP="00D73E98">
            <w:pPr>
              <w:jc w:val="center"/>
              <w:rPr>
                <w:lang w:val="it-IT"/>
              </w:rPr>
            </w:pPr>
          </w:p>
        </w:tc>
        <w:tc>
          <w:tcPr>
            <w:tcW w:w="573" w:type="dxa"/>
            <w:tcMar>
              <w:left w:w="108" w:type="dxa"/>
            </w:tcMar>
            <w:vAlign w:val="center"/>
          </w:tcPr>
          <w:p w:rsidR="0073099A" w:rsidRPr="00AF253B" w:rsidRDefault="0073099A" w:rsidP="00D73E98">
            <w:pPr>
              <w:jc w:val="center"/>
              <w:rPr>
                <w:lang w:val="it-IT"/>
              </w:rPr>
            </w:pPr>
          </w:p>
        </w:tc>
        <w:tc>
          <w:tcPr>
            <w:tcW w:w="570" w:type="dxa"/>
            <w:tcMar>
              <w:left w:w="108" w:type="dxa"/>
            </w:tcMar>
            <w:vAlign w:val="center"/>
          </w:tcPr>
          <w:p w:rsidR="0073099A" w:rsidRPr="00AF253B" w:rsidRDefault="0073099A" w:rsidP="00D73E98">
            <w:pPr>
              <w:jc w:val="center"/>
              <w:rPr>
                <w:lang w:val="it-IT"/>
              </w:rPr>
            </w:pPr>
          </w:p>
        </w:tc>
      </w:tr>
      <w:tr w:rsidR="0073099A" w:rsidRPr="004D5D34"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Default="0073099A" w:rsidP="00E13709">
            <w:pPr>
              <w:pStyle w:val="rientrotrattinook"/>
              <w:tabs>
                <w:tab w:val="clear" w:pos="704"/>
                <w:tab w:val="num" w:pos="460"/>
              </w:tabs>
              <w:ind w:left="460" w:hanging="284"/>
            </w:pPr>
            <w:r>
              <w:t>BIII 1</w:t>
            </w:r>
            <w:r w:rsidRPr="005D6E6F">
              <w:t>)</w:t>
            </w:r>
            <w:r>
              <w:t xml:space="preserve"> c)</w:t>
            </w:r>
            <w:r w:rsidRPr="005D6E6F">
              <w:t xml:space="preserve"> “</w:t>
            </w:r>
            <w:r>
              <w:t>partecipazioni in imprese controllanti</w:t>
            </w:r>
            <w:r w:rsidRPr="005D6E6F">
              <w:t>”</w:t>
            </w:r>
            <w:r>
              <w:t>, o</w:t>
            </w:r>
          </w:p>
          <w:p w:rsidR="0073099A" w:rsidRDefault="0073099A" w:rsidP="00E13709">
            <w:pPr>
              <w:pStyle w:val="rientrotrattinook"/>
              <w:tabs>
                <w:tab w:val="clear" w:pos="704"/>
                <w:tab w:val="num" w:pos="460"/>
              </w:tabs>
              <w:ind w:left="460" w:hanging="284"/>
            </w:pPr>
            <w:r w:rsidRPr="005D6E6F">
              <w:t>CIII</w:t>
            </w:r>
            <w:r>
              <w:t xml:space="preserve"> 3</w:t>
            </w:r>
            <w:r w:rsidRPr="005D6E6F">
              <w:t>)</w:t>
            </w:r>
            <w:r>
              <w:t xml:space="preserve"> </w:t>
            </w:r>
            <w:r w:rsidRPr="005D6E6F">
              <w:t>“</w:t>
            </w:r>
            <w:r>
              <w:t>partecipazioni in imprese controllanti</w:t>
            </w:r>
            <w:r w:rsidRPr="005D6E6F">
              <w:t>”</w:t>
            </w:r>
            <w:r>
              <w:t>,</w:t>
            </w:r>
          </w:p>
          <w:p w:rsidR="0073099A" w:rsidRPr="005D6E6F" w:rsidRDefault="0073099A" w:rsidP="00840B93">
            <w:pPr>
              <w:pStyle w:val="rientrotrattinook"/>
              <w:numPr>
                <w:ilvl w:val="0"/>
                <w:numId w:val="0"/>
              </w:numPr>
            </w:pPr>
            <w:r>
              <w:t>con riguardo alla destinazione attribuita?</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6)</w:t>
            </w:r>
          </w:p>
        </w:tc>
        <w:tc>
          <w:tcPr>
            <w:tcW w:w="851" w:type="dxa"/>
            <w:tcMar>
              <w:left w:w="108" w:type="dxa"/>
              <w:right w:w="0" w:type="dxa"/>
            </w:tcMar>
          </w:tcPr>
          <w:p w:rsidR="0073099A" w:rsidRPr="003804DF" w:rsidRDefault="0073099A" w:rsidP="00D73E98">
            <w:pPr>
              <w:pStyle w:val="PrincCont"/>
              <w:jc w:val="left"/>
              <w:rPr>
                <w:lang w:val="it-IT"/>
              </w:rPr>
            </w:pPr>
            <w:r w:rsidRPr="003804DF">
              <w:rPr>
                <w:lang w:val="it-IT"/>
              </w:rPr>
              <w:t xml:space="preserve">Artt. </w:t>
            </w:r>
            <w:r>
              <w:rPr>
                <w:lang w:val="it-IT"/>
              </w:rPr>
              <w:t>2359-bis</w:t>
            </w:r>
            <w:r w:rsidRPr="003804DF">
              <w:rPr>
                <w:i/>
                <w:lang w:val="it-IT"/>
              </w:rPr>
              <w:t xml:space="preserve"> </w:t>
            </w:r>
            <w:r w:rsidRPr="003804DF">
              <w:rPr>
                <w:lang w:val="it-IT"/>
              </w:rPr>
              <w:t>CC</w:t>
            </w:r>
            <w:r>
              <w:rPr>
                <w:lang w:val="it-IT"/>
              </w:rPr>
              <w:t xml:space="preserve">              </w:t>
            </w:r>
            <w:r w:rsidRPr="003804DF">
              <w:rPr>
                <w:lang w:val="it-IT"/>
              </w:rPr>
              <w:t>OIC 21.1</w:t>
            </w:r>
            <w:r>
              <w:rPr>
                <w:lang w:val="it-IT"/>
              </w:rPr>
              <w:t>4</w:t>
            </w:r>
          </w:p>
        </w:tc>
        <w:tc>
          <w:tcPr>
            <w:tcW w:w="7060" w:type="dxa"/>
            <w:tcMar>
              <w:left w:w="108" w:type="dxa"/>
            </w:tcMar>
          </w:tcPr>
          <w:p w:rsidR="0073099A" w:rsidRPr="001D435E" w:rsidRDefault="0073099A" w:rsidP="00D73E98">
            <w:pPr>
              <w:rPr>
                <w:lang w:val="it-IT"/>
              </w:rPr>
            </w:pPr>
            <w:r w:rsidRPr="001D435E">
              <w:rPr>
                <w:lang w:val="it-IT"/>
              </w:rPr>
              <w:t xml:space="preserve">Al momento dell’iscrizione </w:t>
            </w:r>
            <w:r>
              <w:rPr>
                <w:lang w:val="it-IT"/>
              </w:rPr>
              <w:t xml:space="preserve">nell’attivo </w:t>
            </w:r>
            <w:r w:rsidRPr="001D435E">
              <w:rPr>
                <w:lang w:val="it-IT"/>
              </w:rPr>
              <w:t xml:space="preserve">delle azioni </w:t>
            </w:r>
            <w:r>
              <w:rPr>
                <w:lang w:val="it-IT"/>
              </w:rPr>
              <w:t xml:space="preserve">della società controllante, in contropartita è stata costituita </w:t>
            </w:r>
            <w:r w:rsidRPr="001D435E">
              <w:rPr>
                <w:lang w:val="it-IT"/>
              </w:rPr>
              <w:t xml:space="preserve">una riserva di pari ammontare </w:t>
            </w:r>
            <w:r>
              <w:rPr>
                <w:lang w:val="it-IT"/>
              </w:rPr>
              <w:t xml:space="preserve">denominata </w:t>
            </w:r>
            <w:r w:rsidRPr="001D435E">
              <w:rPr>
                <w:lang w:val="it-IT"/>
              </w:rPr>
              <w:t>“</w:t>
            </w:r>
            <w:r w:rsidRPr="001B584B">
              <w:rPr>
                <w:i/>
                <w:lang w:val="it-IT"/>
              </w:rPr>
              <w:t>Riserva per azioni (quote) dell’impresa controllante in portafoglio</w:t>
            </w:r>
            <w:r w:rsidRPr="00293B7D">
              <w:rPr>
                <w:lang w:val="it-IT"/>
              </w:rPr>
              <w:t>”</w:t>
            </w:r>
            <w:r>
              <w:rPr>
                <w:lang w:val="it-IT"/>
              </w:rPr>
              <w:t xml:space="preserve"> da indicare distintamente nella voce AVI “</w:t>
            </w:r>
            <w:r w:rsidRPr="001B584B">
              <w:rPr>
                <w:i/>
                <w:lang w:val="it-IT"/>
              </w:rPr>
              <w:t>Altre Riserve</w:t>
            </w:r>
            <w:r>
              <w:rPr>
                <w:lang w:val="it-IT"/>
              </w:rPr>
              <w:t>” del Patrimonio Netto</w:t>
            </w:r>
            <w:r w:rsidRPr="001D435E">
              <w:rPr>
                <w:lang w:val="it-IT"/>
              </w:rP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Default="0073099A" w:rsidP="00D73E98">
            <w:pPr>
              <w:pStyle w:val="Titolo3"/>
              <w:rPr>
                <w:lang w:val="it-IT"/>
              </w:rPr>
            </w:pPr>
            <w:r>
              <w:rPr>
                <w:lang w:val="it-IT"/>
              </w:rPr>
              <w:t>Conto economico</w:t>
            </w:r>
          </w:p>
        </w:tc>
        <w:tc>
          <w:tcPr>
            <w:tcW w:w="586" w:type="dxa"/>
            <w:tcMar>
              <w:left w:w="85" w:type="dxa"/>
              <w:right w:w="85" w:type="dxa"/>
            </w:tcMar>
            <w:vAlign w:val="center"/>
          </w:tcPr>
          <w:p w:rsidR="0073099A" w:rsidRPr="005D6E6F" w:rsidRDefault="0073099A" w:rsidP="00D73E98">
            <w:pPr>
              <w:jc w:val="center"/>
              <w:rPr>
                <w:lang w:val="it-IT"/>
              </w:rPr>
            </w:pPr>
          </w:p>
        </w:tc>
        <w:tc>
          <w:tcPr>
            <w:tcW w:w="573" w:type="dxa"/>
            <w:tcMar>
              <w:left w:w="108" w:type="dxa"/>
            </w:tcMar>
            <w:vAlign w:val="center"/>
          </w:tcPr>
          <w:p w:rsidR="0073099A" w:rsidRPr="005D6E6F" w:rsidRDefault="0073099A" w:rsidP="00D73E98">
            <w:pPr>
              <w:jc w:val="center"/>
              <w:rPr>
                <w:lang w:val="it-IT"/>
              </w:rPr>
            </w:pPr>
          </w:p>
        </w:tc>
        <w:tc>
          <w:tcPr>
            <w:tcW w:w="570" w:type="dxa"/>
            <w:tcMar>
              <w:left w:w="108" w:type="dxa"/>
            </w:tcMar>
            <w:vAlign w:val="center"/>
          </w:tcPr>
          <w:p w:rsidR="0073099A" w:rsidRPr="005D6E6F" w:rsidRDefault="0073099A" w:rsidP="00D73E98">
            <w:pPr>
              <w:jc w:val="center"/>
              <w:rPr>
                <w:lang w:val="it-IT"/>
              </w:rPr>
            </w:pPr>
          </w:p>
        </w:tc>
      </w:tr>
      <w:tr w:rsidR="0073099A" w:rsidRPr="008074BB" w:rsidTr="00D73E98">
        <w:trPr>
          <w:cantSplit/>
          <w:trHeight w:val="20"/>
        </w:trPr>
        <w:tc>
          <w:tcPr>
            <w:tcW w:w="680" w:type="dxa"/>
          </w:tcPr>
          <w:p w:rsidR="0073099A" w:rsidRPr="005B2DDF" w:rsidRDefault="0073099A" w:rsidP="00D73E98">
            <w:pPr>
              <w:jc w:val="center"/>
              <w:rPr>
                <w:b/>
                <w:lang w:val="it-IT"/>
              </w:rPr>
            </w:pPr>
            <w:r w:rsidRPr="005B2DDF">
              <w:rPr>
                <w:b/>
                <w:lang w:val="it-IT"/>
              </w:rPr>
              <w:t>7)</w:t>
            </w:r>
          </w:p>
        </w:tc>
        <w:tc>
          <w:tcPr>
            <w:tcW w:w="851" w:type="dxa"/>
            <w:tcMar>
              <w:left w:w="108" w:type="dxa"/>
              <w:right w:w="0" w:type="dxa"/>
            </w:tcMar>
          </w:tcPr>
          <w:p w:rsidR="0073099A" w:rsidRDefault="0073099A" w:rsidP="00D73E98">
            <w:pPr>
              <w:pStyle w:val="PrincCont"/>
              <w:jc w:val="left"/>
              <w:rPr>
                <w:lang w:val="it-IT"/>
              </w:rPr>
            </w:pPr>
            <w:r>
              <w:rPr>
                <w:lang w:val="it-IT"/>
              </w:rPr>
              <w:t>OIC 21.15</w:t>
            </w:r>
          </w:p>
        </w:tc>
        <w:tc>
          <w:tcPr>
            <w:tcW w:w="7060" w:type="dxa"/>
            <w:tcMar>
              <w:left w:w="108" w:type="dxa"/>
            </w:tcMar>
          </w:tcPr>
          <w:p w:rsidR="0073099A" w:rsidRPr="00600141" w:rsidRDefault="0073099A" w:rsidP="00D73E98">
            <w:pPr>
              <w:rPr>
                <w:lang w:val="it-IT"/>
              </w:rPr>
            </w:pPr>
            <w:r w:rsidRPr="00600141">
              <w:rPr>
                <w:lang w:val="it-IT"/>
              </w:rPr>
              <w:t>I proventi dell'investimento in partecipazioni costituiti dai dividendi sono stati rilevati nella voce C15) “</w:t>
            </w:r>
            <w:r w:rsidRPr="00293B7D">
              <w:rPr>
                <w:lang w:val="it-IT"/>
              </w:rPr>
              <w:t>proventi da partecipazioni”</w:t>
            </w:r>
            <w:r w:rsidRPr="00600141">
              <w:rPr>
                <w:lang w:val="it-IT"/>
              </w:rPr>
              <w:t>, con separata indicazione di quelli r</w:t>
            </w:r>
            <w:r>
              <w:rPr>
                <w:lang w:val="it-IT"/>
              </w:rPr>
              <w:t>elativi ad imprese controllate,</w:t>
            </w:r>
            <w:r w:rsidRPr="00600141">
              <w:rPr>
                <w:lang w:val="it-IT"/>
              </w:rPr>
              <w:t xml:space="preserve"> collegate</w:t>
            </w:r>
            <w:r>
              <w:rPr>
                <w:lang w:val="it-IT"/>
              </w:rPr>
              <w:t xml:space="preserve"> e di quelli relativi a controllanti e a imprese sottoposte al controllo di queste ultime</w:t>
            </w:r>
            <w:r w:rsidRPr="00600141">
              <w:rPr>
                <w:lang w:val="it-IT"/>
              </w:rPr>
              <w:t>?</w:t>
            </w:r>
          </w:p>
        </w:tc>
        <w:tc>
          <w:tcPr>
            <w:tcW w:w="586" w:type="dxa"/>
            <w:tcMar>
              <w:left w:w="85" w:type="dxa"/>
              <w:right w:w="85" w:type="dxa"/>
            </w:tcMar>
            <w:vAlign w:val="center"/>
          </w:tcPr>
          <w:p w:rsidR="0073099A" w:rsidRPr="005D6E6F"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5D6E6F"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5D6E6F"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21.15</w:t>
            </w:r>
          </w:p>
        </w:tc>
        <w:tc>
          <w:tcPr>
            <w:tcW w:w="7060" w:type="dxa"/>
            <w:tcMar>
              <w:left w:w="108" w:type="dxa"/>
            </w:tcMar>
          </w:tcPr>
          <w:p w:rsidR="0073099A" w:rsidRPr="00600141" w:rsidRDefault="0073099A" w:rsidP="00D73E98">
            <w:pPr>
              <w:pStyle w:val="Commentiriquadro"/>
              <w:rPr>
                <w:lang w:eastAsia="it-IT"/>
              </w:rPr>
            </w:pPr>
            <w:r>
              <w:rPr>
                <w:lang w:eastAsia="it-IT"/>
              </w:rPr>
              <w:t>Non rileva, ai fini della classificazione, il fatto che la partecipazione sia iscritta nelle immobilizzazioni o nell’attivo circolante.</w:t>
            </w:r>
          </w:p>
        </w:tc>
        <w:tc>
          <w:tcPr>
            <w:tcW w:w="586" w:type="dxa"/>
            <w:tcMar>
              <w:left w:w="85" w:type="dxa"/>
              <w:right w:w="85" w:type="dxa"/>
            </w:tcMar>
            <w:vAlign w:val="center"/>
          </w:tcPr>
          <w:p w:rsidR="0073099A" w:rsidRPr="005D6E6F" w:rsidRDefault="0073099A" w:rsidP="00D73E98">
            <w:pPr>
              <w:jc w:val="center"/>
              <w:rPr>
                <w:lang w:val="it-IT"/>
              </w:rPr>
            </w:pPr>
          </w:p>
        </w:tc>
        <w:tc>
          <w:tcPr>
            <w:tcW w:w="573" w:type="dxa"/>
            <w:tcMar>
              <w:left w:w="108" w:type="dxa"/>
            </w:tcMar>
            <w:vAlign w:val="center"/>
          </w:tcPr>
          <w:p w:rsidR="0073099A" w:rsidRPr="005D6E6F" w:rsidRDefault="0073099A" w:rsidP="00D73E98">
            <w:pPr>
              <w:jc w:val="center"/>
              <w:rPr>
                <w:lang w:val="it-IT"/>
              </w:rPr>
            </w:pPr>
          </w:p>
        </w:tc>
        <w:tc>
          <w:tcPr>
            <w:tcW w:w="570" w:type="dxa"/>
            <w:tcMar>
              <w:left w:w="108" w:type="dxa"/>
            </w:tcMar>
            <w:vAlign w:val="center"/>
          </w:tcPr>
          <w:p w:rsidR="0073099A" w:rsidRPr="005D6E6F" w:rsidRDefault="0073099A" w:rsidP="00D73E98">
            <w:pPr>
              <w:jc w:val="center"/>
              <w:rPr>
                <w:lang w:val="it-IT"/>
              </w:rPr>
            </w:pPr>
          </w:p>
        </w:tc>
      </w:tr>
      <w:tr w:rsidR="0073099A" w:rsidRPr="00CC242B" w:rsidTr="00D73E98">
        <w:trPr>
          <w:cantSplit/>
          <w:trHeight w:val="20"/>
        </w:trPr>
        <w:tc>
          <w:tcPr>
            <w:tcW w:w="680" w:type="dxa"/>
          </w:tcPr>
          <w:p w:rsidR="0073099A" w:rsidRPr="005B2DDF" w:rsidRDefault="0073099A" w:rsidP="00D73E98">
            <w:pPr>
              <w:jc w:val="center"/>
              <w:rPr>
                <w:b/>
                <w:lang w:val="it-IT"/>
              </w:rPr>
            </w:pPr>
            <w:r w:rsidRPr="005B2DDF">
              <w:rPr>
                <w:b/>
                <w:lang w:val="it-IT"/>
              </w:rPr>
              <w:t>8)</w:t>
            </w:r>
          </w:p>
        </w:tc>
        <w:tc>
          <w:tcPr>
            <w:tcW w:w="851" w:type="dxa"/>
            <w:tcMar>
              <w:left w:w="108" w:type="dxa"/>
              <w:right w:w="0" w:type="dxa"/>
            </w:tcMar>
          </w:tcPr>
          <w:p w:rsidR="0073099A" w:rsidRDefault="0073099A" w:rsidP="00D73E98">
            <w:pPr>
              <w:pStyle w:val="PrincCont"/>
              <w:jc w:val="left"/>
              <w:rPr>
                <w:lang w:val="it-IT"/>
              </w:rPr>
            </w:pPr>
            <w:r>
              <w:rPr>
                <w:lang w:val="it-IT"/>
              </w:rPr>
              <w:t>OIC 21.16</w:t>
            </w:r>
          </w:p>
          <w:p w:rsidR="0073099A" w:rsidRDefault="0073099A" w:rsidP="00D73E98">
            <w:pPr>
              <w:pStyle w:val="PrincCont"/>
              <w:jc w:val="left"/>
              <w:rPr>
                <w:lang w:val="it-IT"/>
              </w:rPr>
            </w:pPr>
          </w:p>
        </w:tc>
        <w:tc>
          <w:tcPr>
            <w:tcW w:w="7060" w:type="dxa"/>
            <w:tcMar>
              <w:left w:w="108" w:type="dxa"/>
            </w:tcMar>
          </w:tcPr>
          <w:p w:rsidR="0073099A" w:rsidRPr="00293B7D" w:rsidRDefault="0073099A" w:rsidP="00D73E98">
            <w:pPr>
              <w:rPr>
                <w:lang w:val="it-IT"/>
              </w:rPr>
            </w:pPr>
            <w:r w:rsidRPr="00293B7D">
              <w:rPr>
                <w:lang w:val="it-IT"/>
              </w:rPr>
              <w:t>Gli utili o le perdite che derivano dalla cessione di partecipazioni immobilizzate</w:t>
            </w:r>
            <w:r>
              <w:rPr>
                <w:lang w:val="it-IT"/>
              </w:rPr>
              <w:t xml:space="preserve"> o iscritte nel circolante</w:t>
            </w:r>
            <w:r w:rsidRPr="00293B7D">
              <w:rPr>
                <w:lang w:val="it-IT"/>
              </w:rPr>
              <w:t xml:space="preserve">, quale differenza tra il valore contabile e il prezzo di cessione, sono stati iscritti </w:t>
            </w:r>
            <w:r>
              <w:rPr>
                <w:lang w:val="it-IT"/>
              </w:rPr>
              <w:t>rispettivamente:</w:t>
            </w:r>
            <w:r w:rsidRPr="00293B7D">
              <w:rPr>
                <w:lang w:val="it-IT"/>
              </w:rPr>
              <w:t xml:space="preserve"> </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573405" w:rsidRDefault="0073099A" w:rsidP="00E13709">
            <w:pPr>
              <w:pStyle w:val="rientrotrattinook"/>
              <w:tabs>
                <w:tab w:val="clear" w:pos="704"/>
              </w:tabs>
              <w:ind w:left="460" w:hanging="284"/>
            </w:pPr>
            <w:r w:rsidRPr="00573405">
              <w:t>nella voce C15) “</w:t>
            </w:r>
            <w:r w:rsidRPr="009D4A87">
              <w:t>Proventi da partecipazioni</w:t>
            </w:r>
            <w:r>
              <w:t>”, con separata indicazione di quelli relativi ad imprese controllate, collegate e di quelli relativi a controllanti e a imprese sottoposte al controllo di queste ultime, e</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3804DF"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573405" w:rsidRDefault="0073099A" w:rsidP="00E13709">
            <w:pPr>
              <w:pStyle w:val="rientrotrattinook"/>
              <w:tabs>
                <w:tab w:val="clear" w:pos="704"/>
              </w:tabs>
              <w:ind w:left="460" w:hanging="284"/>
            </w:pPr>
            <w:r w:rsidRPr="00573405">
              <w:t>nella voce C17) “</w:t>
            </w:r>
            <w:r w:rsidRPr="009D4A87">
              <w:t>Interessi e altri oneri finanziari</w:t>
            </w:r>
            <w:r w:rsidRPr="00573405">
              <w:t xml:space="preserve">”, </w:t>
            </w:r>
            <w:r>
              <w:t>con separata indicazione di quelli relativi ad imprese controllate, collegate e di quelli relativi a controllanti e a imprese sottoposte al controllo di queste ultime?</w:t>
            </w:r>
          </w:p>
        </w:tc>
        <w:tc>
          <w:tcPr>
            <w:tcW w:w="586" w:type="dxa"/>
            <w:tcMar>
              <w:left w:w="85" w:type="dxa"/>
              <w:right w:w="85" w:type="dxa"/>
            </w:tcMar>
            <w:vAlign w:val="center"/>
          </w:tcPr>
          <w:p w:rsidR="0073099A" w:rsidRPr="003804DF"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3804DF"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3804DF"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9)</w:t>
            </w:r>
          </w:p>
        </w:tc>
        <w:tc>
          <w:tcPr>
            <w:tcW w:w="851" w:type="dxa"/>
            <w:tcMar>
              <w:left w:w="108" w:type="dxa"/>
              <w:right w:w="0" w:type="dxa"/>
            </w:tcMar>
          </w:tcPr>
          <w:p w:rsidR="0073099A" w:rsidRDefault="0073099A" w:rsidP="00D73E98">
            <w:pPr>
              <w:pStyle w:val="PrincCont"/>
              <w:jc w:val="left"/>
              <w:rPr>
                <w:lang w:val="it-IT"/>
              </w:rPr>
            </w:pPr>
            <w:r>
              <w:rPr>
                <w:lang w:val="it-IT"/>
              </w:rPr>
              <w:t>OIC 21.17</w:t>
            </w:r>
          </w:p>
          <w:p w:rsidR="0073099A" w:rsidRDefault="0073099A" w:rsidP="00D73E98">
            <w:pPr>
              <w:pStyle w:val="PrincCont"/>
              <w:jc w:val="left"/>
              <w:rPr>
                <w:lang w:val="it-IT"/>
              </w:rPr>
            </w:pPr>
          </w:p>
        </w:tc>
        <w:tc>
          <w:tcPr>
            <w:tcW w:w="7060" w:type="dxa"/>
            <w:tcMar>
              <w:left w:w="108" w:type="dxa"/>
            </w:tcMar>
          </w:tcPr>
          <w:p w:rsidR="0073099A" w:rsidRPr="00FF5F00" w:rsidRDefault="0073099A" w:rsidP="00D73E98">
            <w:pPr>
              <w:rPr>
                <w:lang w:val="it-IT"/>
              </w:rPr>
            </w:pPr>
            <w:r w:rsidRPr="00FF5F00">
              <w:rPr>
                <w:lang w:val="it-IT"/>
              </w:rPr>
              <w:t>Le spese di cessione delle partecipazioni sono stat</w:t>
            </w:r>
            <w:r>
              <w:rPr>
                <w:lang w:val="it-IT"/>
              </w:rPr>
              <w:t>e</w:t>
            </w:r>
            <w:r w:rsidRPr="00FF5F00">
              <w:rPr>
                <w:lang w:val="it-IT"/>
              </w:rPr>
              <w:t xml:space="preserve"> rilevat</w:t>
            </w:r>
            <w:r>
              <w:rPr>
                <w:lang w:val="it-IT"/>
              </w:rPr>
              <w:t>e</w:t>
            </w:r>
            <w:r w:rsidRPr="00FF5F00">
              <w:rPr>
                <w:lang w:val="it-IT"/>
              </w:rPr>
              <w:t xml:space="preserve"> autonomamente nel conto economico, senza contribuire al saldo dell’eventuale plus/minusvalenza derivante dal realizzo delle partecipazioni?</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10)</w:t>
            </w:r>
          </w:p>
        </w:tc>
        <w:tc>
          <w:tcPr>
            <w:tcW w:w="851" w:type="dxa"/>
            <w:tcMar>
              <w:left w:w="108" w:type="dxa"/>
              <w:right w:w="0" w:type="dxa"/>
            </w:tcMar>
          </w:tcPr>
          <w:p w:rsidR="0073099A" w:rsidRDefault="0073099A" w:rsidP="00D73E98">
            <w:pPr>
              <w:pStyle w:val="PrincCont"/>
              <w:jc w:val="left"/>
              <w:rPr>
                <w:lang w:val="it-IT"/>
              </w:rPr>
            </w:pPr>
            <w:r>
              <w:rPr>
                <w:lang w:val="it-IT"/>
              </w:rPr>
              <w:t>OIC 21.18</w:t>
            </w:r>
          </w:p>
          <w:p w:rsidR="0073099A" w:rsidRDefault="0073099A" w:rsidP="00D73E98">
            <w:pPr>
              <w:pStyle w:val="PrincCont"/>
              <w:jc w:val="left"/>
              <w:rPr>
                <w:lang w:val="it-IT"/>
              </w:rPr>
            </w:pPr>
          </w:p>
        </w:tc>
        <w:tc>
          <w:tcPr>
            <w:tcW w:w="7060" w:type="dxa"/>
            <w:tcMar>
              <w:left w:w="108" w:type="dxa"/>
            </w:tcMar>
          </w:tcPr>
          <w:p w:rsidR="0073099A" w:rsidRPr="00FF5F00" w:rsidRDefault="0073099A" w:rsidP="00D73E98">
            <w:pPr>
              <w:rPr>
                <w:lang w:val="it-IT"/>
              </w:rPr>
            </w:pPr>
            <w:r w:rsidRPr="00FF5F00">
              <w:rPr>
                <w:lang w:val="it-IT"/>
              </w:rPr>
              <w:t>La svalutazione di partecipazioni (sia immobilizzate, sia iscritte nell’attivo circolante) rispetto al valore di iscrizione nell’attivo è</w:t>
            </w:r>
            <w:r>
              <w:rPr>
                <w:lang w:val="it-IT"/>
              </w:rPr>
              <w:t xml:space="preserve"> </w:t>
            </w:r>
            <w:r w:rsidRPr="00FF5F00">
              <w:rPr>
                <w:lang w:val="it-IT"/>
              </w:rPr>
              <w:t>stata rilevata nella voce D19a) “</w:t>
            </w:r>
            <w:r w:rsidRPr="00293B7D">
              <w:rPr>
                <w:lang w:val="it-IT"/>
              </w:rPr>
              <w:t>svalutazioni di partecipazioni”</w:t>
            </w:r>
            <w:r w:rsidRPr="00FF5F00">
              <w:rPr>
                <w:lang w:val="it-IT"/>
              </w:rP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11)</w:t>
            </w:r>
          </w:p>
        </w:tc>
        <w:tc>
          <w:tcPr>
            <w:tcW w:w="851" w:type="dxa"/>
            <w:tcMar>
              <w:left w:w="108" w:type="dxa"/>
              <w:right w:w="0" w:type="dxa"/>
            </w:tcMar>
          </w:tcPr>
          <w:p w:rsidR="0073099A" w:rsidRDefault="0073099A" w:rsidP="00D73E98">
            <w:pPr>
              <w:pStyle w:val="PrincCont"/>
              <w:jc w:val="left"/>
              <w:rPr>
                <w:lang w:val="it-IT"/>
              </w:rPr>
            </w:pPr>
            <w:r>
              <w:rPr>
                <w:lang w:val="it-IT"/>
              </w:rPr>
              <w:t>OIC 21.19</w:t>
            </w:r>
          </w:p>
          <w:p w:rsidR="0073099A" w:rsidRDefault="0073099A" w:rsidP="00D73E98">
            <w:pPr>
              <w:pStyle w:val="PrincCont"/>
              <w:jc w:val="left"/>
              <w:rPr>
                <w:lang w:val="it-IT"/>
              </w:rPr>
            </w:pPr>
          </w:p>
        </w:tc>
        <w:tc>
          <w:tcPr>
            <w:tcW w:w="7060" w:type="dxa"/>
            <w:tcMar>
              <w:left w:w="108" w:type="dxa"/>
            </w:tcMar>
          </w:tcPr>
          <w:p w:rsidR="0073099A" w:rsidRPr="00FF5F00" w:rsidRDefault="0073099A" w:rsidP="00D73E98">
            <w:pPr>
              <w:rPr>
                <w:lang w:val="it-IT"/>
              </w:rPr>
            </w:pPr>
            <w:r w:rsidRPr="00FF5F00">
              <w:rPr>
                <w:lang w:val="it-IT"/>
              </w:rPr>
              <w:t>Il ripristino di valore, nel caso in cui sia venuta meno la ragione che aveva indotto gli organi amministrativi a svalutare in precedenza una partecipazione, è stato rilevato nella voce D18a) “</w:t>
            </w:r>
            <w:r w:rsidRPr="00293B7D">
              <w:rPr>
                <w:lang w:val="it-IT"/>
              </w:rPr>
              <w:t>rivalutazioni di partecipazioni”</w:t>
            </w:r>
            <w:r w:rsidRPr="00FF5F00">
              <w:rPr>
                <w:lang w:val="it-IT"/>
              </w:rP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DE38DC" w:rsidRDefault="0073099A" w:rsidP="00D73E98">
            <w:pPr>
              <w:pStyle w:val="Titolo2"/>
              <w:rPr>
                <w:lang w:val="it-IT"/>
              </w:rPr>
            </w:pPr>
            <w:r>
              <w:rPr>
                <w:lang w:val="it-IT"/>
              </w:rPr>
              <w:t>Bilancio in forma abbreviata</w:t>
            </w:r>
          </w:p>
        </w:tc>
        <w:tc>
          <w:tcPr>
            <w:tcW w:w="586" w:type="dxa"/>
            <w:tcMar>
              <w:left w:w="85" w:type="dxa"/>
              <w:right w:w="85" w:type="dxa"/>
            </w:tcMar>
            <w:vAlign w:val="center"/>
          </w:tcPr>
          <w:p w:rsidR="0073099A" w:rsidRDefault="0073099A" w:rsidP="00D73E98">
            <w:pPr>
              <w:jc w:val="center"/>
            </w:pPr>
          </w:p>
        </w:tc>
        <w:tc>
          <w:tcPr>
            <w:tcW w:w="573" w:type="dxa"/>
            <w:tcMar>
              <w:left w:w="108" w:type="dxa"/>
            </w:tcMar>
            <w:vAlign w:val="center"/>
          </w:tcPr>
          <w:p w:rsidR="0073099A" w:rsidRDefault="0073099A" w:rsidP="00D73E98">
            <w:pPr>
              <w:jc w:val="center"/>
            </w:pPr>
          </w:p>
        </w:tc>
        <w:tc>
          <w:tcPr>
            <w:tcW w:w="570" w:type="dxa"/>
            <w:tcMar>
              <w:left w:w="108" w:type="dxa"/>
            </w:tcMar>
            <w:vAlign w:val="center"/>
          </w:tcPr>
          <w:p w:rsidR="0073099A" w:rsidRDefault="0073099A" w:rsidP="00D73E98">
            <w:pPr>
              <w:jc w:val="center"/>
            </w:pPr>
          </w:p>
        </w:tc>
      </w:tr>
      <w:tr w:rsidR="0073099A" w:rsidRPr="00CC242B"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21.20</w:t>
            </w:r>
          </w:p>
          <w:p w:rsidR="0073099A" w:rsidRDefault="0073099A" w:rsidP="00D73E98">
            <w:pPr>
              <w:pStyle w:val="PrincCont"/>
              <w:jc w:val="left"/>
              <w:rPr>
                <w:lang w:val="it-IT"/>
              </w:rPr>
            </w:pPr>
          </w:p>
        </w:tc>
        <w:tc>
          <w:tcPr>
            <w:tcW w:w="7060" w:type="dxa"/>
            <w:tcMar>
              <w:left w:w="108" w:type="dxa"/>
            </w:tcMar>
          </w:tcPr>
          <w:p w:rsidR="0073099A" w:rsidRDefault="0073099A" w:rsidP="00D73E98">
            <w:pPr>
              <w:pStyle w:val="Commentiriquadro"/>
              <w:rPr>
                <w:lang w:eastAsia="it-IT"/>
              </w:rPr>
            </w:pPr>
            <w:r>
              <w:rPr>
                <w:lang w:eastAsia="it-IT"/>
              </w:rPr>
              <w:t xml:space="preserve">Le partecipazioni sono esposte nello stato patrimoniale nella voce BIII </w:t>
            </w:r>
            <w:r>
              <w:rPr>
                <w:i/>
                <w:iCs/>
                <w:lang w:eastAsia="it-IT"/>
              </w:rPr>
              <w:t xml:space="preserve">Immobilizzazioni finanziarie </w:t>
            </w:r>
            <w:r>
              <w:rPr>
                <w:lang w:eastAsia="it-IT"/>
              </w:rPr>
              <w:t xml:space="preserve">o nella voce CIII </w:t>
            </w:r>
            <w:r>
              <w:rPr>
                <w:i/>
                <w:iCs/>
                <w:lang w:eastAsia="it-IT"/>
              </w:rPr>
              <w:t>Attività finanziarie che non costituiscono immobilizzazioni</w:t>
            </w:r>
            <w:r>
              <w:rPr>
                <w:lang w:eastAsia="it-IT"/>
              </w:rPr>
              <w:t>. Inoltre, nel conto economico del bilancio in forma abbreviata le seguenti voci previste dall’art. 2425 possono essere tra loro raggruppate:</w:t>
            </w:r>
          </w:p>
          <w:p w:rsidR="0073099A" w:rsidRDefault="0073099A" w:rsidP="00D73E98">
            <w:pPr>
              <w:pStyle w:val="Commentiriquadro"/>
              <w:rPr>
                <w:lang w:eastAsia="it-IT"/>
              </w:rPr>
            </w:pPr>
            <w:r>
              <w:rPr>
                <w:rFonts w:ascii="SymbolMT" w:hAnsi="SymbolMT" w:cs="SymbolMT"/>
                <w:lang w:eastAsia="it-IT"/>
              </w:rPr>
              <w:t xml:space="preserve">-  </w:t>
            </w:r>
            <w:r>
              <w:rPr>
                <w:lang w:eastAsia="it-IT"/>
              </w:rPr>
              <w:t>voci D18a), D18b), D18c) e D18d);</w:t>
            </w:r>
          </w:p>
          <w:p w:rsidR="0073099A" w:rsidRPr="00DE38DC" w:rsidRDefault="0073099A" w:rsidP="00D73E98">
            <w:pPr>
              <w:pStyle w:val="Commentiriquadro"/>
            </w:pPr>
            <w:r>
              <w:rPr>
                <w:rFonts w:ascii="SymbolMT" w:hAnsi="SymbolMT" w:cs="SymbolMT"/>
                <w:lang w:eastAsia="it-IT"/>
              </w:rPr>
              <w:t xml:space="preserve">-  </w:t>
            </w:r>
            <w:r>
              <w:rPr>
                <w:lang w:eastAsia="it-IT"/>
              </w:rPr>
              <w:t>voci D19a), D19b), D19c) e D19d).</w:t>
            </w:r>
          </w:p>
        </w:tc>
        <w:tc>
          <w:tcPr>
            <w:tcW w:w="586" w:type="dxa"/>
            <w:tcMar>
              <w:left w:w="85" w:type="dxa"/>
              <w:right w:w="85" w:type="dxa"/>
            </w:tcMar>
            <w:vAlign w:val="center"/>
          </w:tcPr>
          <w:p w:rsidR="0073099A" w:rsidRPr="002800A7" w:rsidRDefault="0073099A" w:rsidP="00D73E98">
            <w:pPr>
              <w:jc w:val="center"/>
              <w:rPr>
                <w:lang w:val="it-IT"/>
              </w:rPr>
            </w:pPr>
          </w:p>
        </w:tc>
        <w:tc>
          <w:tcPr>
            <w:tcW w:w="573" w:type="dxa"/>
            <w:tcMar>
              <w:left w:w="108" w:type="dxa"/>
            </w:tcMar>
            <w:vAlign w:val="center"/>
          </w:tcPr>
          <w:p w:rsidR="0073099A" w:rsidRPr="002800A7" w:rsidRDefault="0073099A" w:rsidP="00D73E98">
            <w:pPr>
              <w:jc w:val="center"/>
              <w:rPr>
                <w:lang w:val="it-IT"/>
              </w:rPr>
            </w:pPr>
          </w:p>
        </w:tc>
        <w:tc>
          <w:tcPr>
            <w:tcW w:w="570" w:type="dxa"/>
            <w:tcMar>
              <w:left w:w="108" w:type="dxa"/>
            </w:tcMar>
            <w:vAlign w:val="center"/>
          </w:tcPr>
          <w:p w:rsidR="0073099A" w:rsidRPr="002800A7" w:rsidRDefault="0073099A" w:rsidP="00D73E98">
            <w:pPr>
              <w:jc w:val="center"/>
              <w:rPr>
                <w:lang w:val="it-IT"/>
              </w:rPr>
            </w:pP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DE38DC" w:rsidRDefault="0073099A" w:rsidP="00D73E98">
            <w:pPr>
              <w:pStyle w:val="Titolo2"/>
              <w:rPr>
                <w:lang w:val="it-IT"/>
              </w:rPr>
            </w:pPr>
            <w:r w:rsidRPr="00DE38DC">
              <w:rPr>
                <w:lang w:val="it-IT"/>
              </w:rPr>
              <w:t>Rilevazione iniziale</w:t>
            </w:r>
          </w:p>
        </w:tc>
        <w:tc>
          <w:tcPr>
            <w:tcW w:w="586" w:type="dxa"/>
            <w:tcMar>
              <w:left w:w="85" w:type="dxa"/>
              <w:right w:w="85" w:type="dxa"/>
            </w:tcMar>
            <w:vAlign w:val="center"/>
          </w:tcPr>
          <w:p w:rsidR="0073099A" w:rsidRDefault="0073099A" w:rsidP="00D73E98">
            <w:pPr>
              <w:jc w:val="center"/>
            </w:pPr>
          </w:p>
        </w:tc>
        <w:tc>
          <w:tcPr>
            <w:tcW w:w="573" w:type="dxa"/>
            <w:tcMar>
              <w:left w:w="108" w:type="dxa"/>
            </w:tcMar>
            <w:vAlign w:val="center"/>
          </w:tcPr>
          <w:p w:rsidR="0073099A" w:rsidRDefault="0073099A" w:rsidP="00D73E98">
            <w:pPr>
              <w:jc w:val="center"/>
            </w:pPr>
          </w:p>
        </w:tc>
        <w:tc>
          <w:tcPr>
            <w:tcW w:w="570" w:type="dxa"/>
            <w:tcMar>
              <w:left w:w="108" w:type="dxa"/>
            </w:tcMar>
            <w:vAlign w:val="center"/>
          </w:tcPr>
          <w:p w:rsidR="0073099A" w:rsidRDefault="0073099A" w:rsidP="00D73E98">
            <w:pPr>
              <w:jc w:val="center"/>
            </w:pP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12)</w:t>
            </w:r>
          </w:p>
        </w:tc>
        <w:tc>
          <w:tcPr>
            <w:tcW w:w="851" w:type="dxa"/>
            <w:tcMar>
              <w:left w:w="108" w:type="dxa"/>
              <w:right w:w="0" w:type="dxa"/>
            </w:tcMar>
          </w:tcPr>
          <w:p w:rsidR="0073099A" w:rsidRDefault="0073099A" w:rsidP="00D73E98">
            <w:pPr>
              <w:pStyle w:val="PrincCont"/>
              <w:jc w:val="left"/>
              <w:rPr>
                <w:lang w:val="it-IT"/>
              </w:rPr>
            </w:pPr>
            <w:r>
              <w:rPr>
                <w:lang w:val="it-IT"/>
              </w:rPr>
              <w:t>OIC 21.21</w:t>
            </w:r>
          </w:p>
          <w:p w:rsidR="0073099A" w:rsidRDefault="0073099A" w:rsidP="00D73E98">
            <w:pPr>
              <w:pStyle w:val="PrincCont"/>
              <w:jc w:val="left"/>
              <w:rPr>
                <w:lang w:val="it-IT"/>
              </w:rPr>
            </w:pPr>
          </w:p>
        </w:tc>
        <w:tc>
          <w:tcPr>
            <w:tcW w:w="7060" w:type="dxa"/>
            <w:tcMar>
              <w:left w:w="108" w:type="dxa"/>
            </w:tcMar>
          </w:tcPr>
          <w:p w:rsidR="0073099A" w:rsidRPr="00E748F4" w:rsidRDefault="0073099A" w:rsidP="00D73E98">
            <w:pPr>
              <w:rPr>
                <w:lang w:val="it-IT"/>
              </w:rPr>
            </w:pPr>
            <w:r w:rsidRPr="00E748F4">
              <w:rPr>
                <w:lang w:val="it-IT"/>
              </w:rPr>
              <w:t>Le partecipazioni sono state iscritte al costo di acquisto o di costituzione, comprensivo dei costi accessori?</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E748F4" w:rsidRDefault="0073099A" w:rsidP="00D73E98">
            <w:pPr>
              <w:pStyle w:val="Titolo3"/>
              <w:jc w:val="left"/>
              <w:rPr>
                <w:lang w:val="it-IT"/>
              </w:rPr>
            </w:pPr>
            <w:r w:rsidRPr="00FE0FCE">
              <w:rPr>
                <w:lang w:val="it-IT"/>
              </w:rPr>
              <w:t>Aumenti di capitale a pagamento, gratuiti e mediante rinuncia al credito</w:t>
            </w:r>
          </w:p>
        </w:tc>
        <w:tc>
          <w:tcPr>
            <w:tcW w:w="586" w:type="dxa"/>
            <w:tcMar>
              <w:left w:w="85" w:type="dxa"/>
              <w:right w:w="85" w:type="dxa"/>
            </w:tcMar>
            <w:vAlign w:val="center"/>
          </w:tcPr>
          <w:p w:rsidR="0073099A" w:rsidRPr="00FE0FCE" w:rsidRDefault="0073099A" w:rsidP="00D73E98">
            <w:pPr>
              <w:jc w:val="center"/>
              <w:rPr>
                <w:lang w:val="it-IT"/>
              </w:rPr>
            </w:pPr>
          </w:p>
        </w:tc>
        <w:tc>
          <w:tcPr>
            <w:tcW w:w="573" w:type="dxa"/>
            <w:tcMar>
              <w:left w:w="108" w:type="dxa"/>
            </w:tcMar>
            <w:vAlign w:val="center"/>
          </w:tcPr>
          <w:p w:rsidR="0073099A" w:rsidRPr="00FE0FCE" w:rsidRDefault="0073099A" w:rsidP="00D73E98">
            <w:pPr>
              <w:jc w:val="center"/>
              <w:rPr>
                <w:lang w:val="it-IT"/>
              </w:rPr>
            </w:pPr>
          </w:p>
        </w:tc>
        <w:tc>
          <w:tcPr>
            <w:tcW w:w="570" w:type="dxa"/>
            <w:tcMar>
              <w:left w:w="108" w:type="dxa"/>
            </w:tcMar>
            <w:vAlign w:val="center"/>
          </w:tcPr>
          <w:p w:rsidR="0073099A" w:rsidRPr="00FE0FCE" w:rsidRDefault="0073099A" w:rsidP="00D73E98">
            <w:pPr>
              <w:jc w:val="center"/>
              <w:rPr>
                <w:lang w:val="it-IT"/>
              </w:rPr>
            </w:pP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13)</w:t>
            </w:r>
          </w:p>
        </w:tc>
        <w:tc>
          <w:tcPr>
            <w:tcW w:w="851" w:type="dxa"/>
            <w:tcMar>
              <w:left w:w="108" w:type="dxa"/>
              <w:right w:w="0" w:type="dxa"/>
            </w:tcMar>
          </w:tcPr>
          <w:p w:rsidR="0073099A" w:rsidRDefault="0073099A" w:rsidP="00D73E98">
            <w:pPr>
              <w:pStyle w:val="PrincCont"/>
              <w:jc w:val="left"/>
              <w:rPr>
                <w:lang w:val="it-IT"/>
              </w:rPr>
            </w:pPr>
            <w:r>
              <w:rPr>
                <w:lang w:val="it-IT"/>
              </w:rPr>
              <w:t>OIC 21.22</w:t>
            </w:r>
          </w:p>
          <w:p w:rsidR="0073099A" w:rsidRDefault="0073099A" w:rsidP="00D73E98">
            <w:pPr>
              <w:pStyle w:val="PrincCont"/>
              <w:jc w:val="left"/>
              <w:rPr>
                <w:lang w:val="it-IT"/>
              </w:rPr>
            </w:pPr>
          </w:p>
        </w:tc>
        <w:tc>
          <w:tcPr>
            <w:tcW w:w="7060" w:type="dxa"/>
            <w:tcMar>
              <w:left w:w="108" w:type="dxa"/>
            </w:tcMar>
          </w:tcPr>
          <w:p w:rsidR="0073099A" w:rsidRPr="00E748F4" w:rsidRDefault="0073099A" w:rsidP="00D73E98">
            <w:pPr>
              <w:rPr>
                <w:lang w:val="it-IT"/>
              </w:rPr>
            </w:pPr>
            <w:r w:rsidRPr="00E748F4">
              <w:rPr>
                <w:lang w:val="it-IT"/>
              </w:rPr>
              <w:t xml:space="preserve">Nel caso di incremento della partecipazione per aumento di capitale a pagamento sottoscritto dalla partecipante, il valore di costo a cui è iscritta in bilancio la partecipazione immobilizzata </w:t>
            </w:r>
            <w:r>
              <w:rPr>
                <w:lang w:val="it-IT"/>
              </w:rPr>
              <w:t xml:space="preserve">o iscritta nell’attivo circolante </w:t>
            </w:r>
            <w:r w:rsidRPr="00E748F4">
              <w:rPr>
                <w:lang w:val="it-IT"/>
              </w:rPr>
              <w:t>è stato aumentato dall'importo corrispondente all’importo sottoscritto?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69541A" w:rsidTr="00D73E98">
        <w:trPr>
          <w:cantSplit/>
          <w:trHeight w:val="20"/>
        </w:trPr>
        <w:tc>
          <w:tcPr>
            <w:tcW w:w="680" w:type="dxa"/>
          </w:tcPr>
          <w:p w:rsidR="0073099A" w:rsidRPr="005B2DDF" w:rsidRDefault="0073099A" w:rsidP="00D73E98">
            <w:pPr>
              <w:jc w:val="center"/>
              <w:rPr>
                <w:b/>
                <w:lang w:val="it-IT"/>
              </w:rPr>
            </w:pPr>
            <w:r w:rsidRPr="005B2DDF">
              <w:rPr>
                <w:b/>
                <w:lang w:val="it-IT"/>
              </w:rPr>
              <w:t>14)</w:t>
            </w:r>
          </w:p>
        </w:tc>
        <w:tc>
          <w:tcPr>
            <w:tcW w:w="851" w:type="dxa"/>
            <w:tcMar>
              <w:left w:w="108" w:type="dxa"/>
              <w:right w:w="0" w:type="dxa"/>
            </w:tcMar>
          </w:tcPr>
          <w:p w:rsidR="0073099A" w:rsidRDefault="0073099A" w:rsidP="00D73E98">
            <w:pPr>
              <w:pStyle w:val="PrincCont"/>
              <w:jc w:val="left"/>
              <w:rPr>
                <w:lang w:val="it-IT"/>
              </w:rPr>
            </w:pPr>
            <w:r>
              <w:rPr>
                <w:lang w:val="it-IT"/>
              </w:rPr>
              <w:t>OIC 21.23</w:t>
            </w:r>
          </w:p>
        </w:tc>
        <w:tc>
          <w:tcPr>
            <w:tcW w:w="7060" w:type="dxa"/>
            <w:tcMar>
              <w:left w:w="108" w:type="dxa"/>
            </w:tcMar>
          </w:tcPr>
          <w:p w:rsidR="0073099A" w:rsidRDefault="0073099A" w:rsidP="00D73E98">
            <w:pPr>
              <w:rPr>
                <w:lang w:val="it-IT" w:eastAsia="it-IT"/>
              </w:rPr>
            </w:pPr>
            <w:r>
              <w:rPr>
                <w:lang w:val="it-IT" w:eastAsia="it-IT"/>
              </w:rPr>
              <w:t>In caso di aumento gratuito del capitale della partecipata, non si è proceduto ad alcuna variazione nel valore della partecipazione?</w:t>
            </w:r>
          </w:p>
        </w:tc>
        <w:tc>
          <w:tcPr>
            <w:tcW w:w="586" w:type="dxa"/>
            <w:tcMar>
              <w:left w:w="85" w:type="dxa"/>
              <w:right w:w="85" w:type="dxa"/>
            </w:tcMar>
            <w:vAlign w:val="center"/>
          </w:tcPr>
          <w:p w:rsidR="0073099A" w:rsidRPr="00C843FD"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C843FD"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C843FD"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21.23</w:t>
            </w:r>
          </w:p>
          <w:p w:rsidR="0073099A" w:rsidRDefault="0073099A" w:rsidP="00D73E98">
            <w:pPr>
              <w:pStyle w:val="PrincCont"/>
              <w:jc w:val="left"/>
              <w:rPr>
                <w:lang w:val="it-IT"/>
              </w:rPr>
            </w:pPr>
          </w:p>
        </w:tc>
        <w:tc>
          <w:tcPr>
            <w:tcW w:w="7060" w:type="dxa"/>
            <w:tcMar>
              <w:left w:w="108" w:type="dxa"/>
            </w:tcMar>
          </w:tcPr>
          <w:p w:rsidR="0073099A" w:rsidRPr="00E748F4" w:rsidRDefault="0073099A" w:rsidP="00D73E98">
            <w:pPr>
              <w:pStyle w:val="Commentiriquadro"/>
              <w:rPr>
                <w:lang w:eastAsia="it-IT"/>
              </w:rPr>
            </w:pPr>
            <w:r>
              <w:rPr>
                <w:lang w:eastAsia="it-IT"/>
              </w:rPr>
              <w:t>Gli aumenti gratuiti del capitale della partecipata non comportano alcun onere né modificano la percentuale di partecipazione. Le azioni acquisite a titolo gratuito si sommano numericamente a quelle già in carico, con la conseguenza che il valore unitario medio si riduce. Le azioni gratuite relative ad azioni classificabili come partecipazioni immobilizzate o iscritte nell’attivo circolante non sono perciò rilevate come utile, in quanto esse aumentano il numero delle azioni senza modificare l’interessenza del percipiente.</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69541A" w:rsidTr="00D73E98">
        <w:trPr>
          <w:cantSplit/>
          <w:trHeight w:val="20"/>
        </w:trPr>
        <w:tc>
          <w:tcPr>
            <w:tcW w:w="680" w:type="dxa"/>
          </w:tcPr>
          <w:p w:rsidR="0073099A" w:rsidRPr="005B2DDF" w:rsidRDefault="0073099A" w:rsidP="00D73E98">
            <w:pPr>
              <w:jc w:val="center"/>
              <w:rPr>
                <w:b/>
                <w:lang w:val="it-IT"/>
              </w:rPr>
            </w:pPr>
            <w:r w:rsidRPr="005B2DDF">
              <w:rPr>
                <w:b/>
                <w:lang w:val="it-IT"/>
              </w:rPr>
              <w:t>15)</w:t>
            </w:r>
          </w:p>
        </w:tc>
        <w:tc>
          <w:tcPr>
            <w:tcW w:w="851" w:type="dxa"/>
            <w:tcMar>
              <w:left w:w="108" w:type="dxa"/>
              <w:right w:w="0" w:type="dxa"/>
            </w:tcMar>
          </w:tcPr>
          <w:p w:rsidR="0073099A" w:rsidRDefault="0073099A" w:rsidP="00D73E98">
            <w:pPr>
              <w:pStyle w:val="PrincCont"/>
              <w:jc w:val="left"/>
              <w:rPr>
                <w:lang w:val="it-IT"/>
              </w:rPr>
            </w:pPr>
            <w:r>
              <w:rPr>
                <w:lang w:val="it-IT"/>
              </w:rPr>
              <w:t>OIC 21.24</w:t>
            </w:r>
          </w:p>
          <w:p w:rsidR="0073099A" w:rsidRDefault="0073099A" w:rsidP="00D73E98">
            <w:pPr>
              <w:pStyle w:val="PrincCont"/>
              <w:jc w:val="left"/>
              <w:rPr>
                <w:lang w:val="it-IT"/>
              </w:rPr>
            </w:pPr>
          </w:p>
        </w:tc>
        <w:tc>
          <w:tcPr>
            <w:tcW w:w="7060" w:type="dxa"/>
            <w:tcMar>
              <w:left w:w="108" w:type="dxa"/>
            </w:tcMar>
          </w:tcPr>
          <w:p w:rsidR="0073099A" w:rsidRPr="0069541A" w:rsidRDefault="0073099A" w:rsidP="00D73E98">
            <w:pPr>
              <w:rPr>
                <w:lang w:val="it-IT" w:eastAsia="it-IT"/>
              </w:rPr>
            </w:pPr>
            <w:r>
              <w:rPr>
                <w:lang w:val="it-IT" w:eastAsia="it-IT"/>
              </w:rPr>
              <w:t>In caso di rinuncia ad un credito da parte di un socio, la contropartita dell’annullamento, totale o parziale, del credito in capo al socio è andata ad aumentare il valore della partecipazione?</w:t>
            </w:r>
          </w:p>
        </w:tc>
        <w:tc>
          <w:tcPr>
            <w:tcW w:w="586" w:type="dxa"/>
            <w:tcMar>
              <w:left w:w="85" w:type="dxa"/>
              <w:right w:w="85" w:type="dxa"/>
            </w:tcMar>
            <w:vAlign w:val="center"/>
          </w:tcPr>
          <w:p w:rsidR="0073099A" w:rsidRPr="0069541A"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69541A"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69541A"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69541A" w:rsidTr="00D73E98">
        <w:trPr>
          <w:cantSplit/>
          <w:trHeight w:val="20"/>
        </w:trPr>
        <w:tc>
          <w:tcPr>
            <w:tcW w:w="680" w:type="dxa"/>
          </w:tcPr>
          <w:p w:rsidR="0073099A" w:rsidRPr="005B2DDF" w:rsidRDefault="0073099A" w:rsidP="00D73E98">
            <w:pPr>
              <w:jc w:val="center"/>
              <w:rPr>
                <w:b/>
                <w:lang w:val="it-IT"/>
              </w:rPr>
            </w:pPr>
            <w:r w:rsidRPr="005B2DDF">
              <w:rPr>
                <w:b/>
                <w:lang w:val="it-IT"/>
              </w:rPr>
              <w:t>16)</w:t>
            </w:r>
          </w:p>
        </w:tc>
        <w:tc>
          <w:tcPr>
            <w:tcW w:w="851" w:type="dxa"/>
            <w:tcMar>
              <w:left w:w="108" w:type="dxa"/>
              <w:right w:w="0" w:type="dxa"/>
            </w:tcMar>
          </w:tcPr>
          <w:p w:rsidR="0073099A" w:rsidRDefault="0073099A" w:rsidP="00D73E98">
            <w:pPr>
              <w:pStyle w:val="PrincCont"/>
              <w:jc w:val="left"/>
              <w:rPr>
                <w:lang w:val="it-IT"/>
              </w:rPr>
            </w:pPr>
            <w:r>
              <w:rPr>
                <w:lang w:val="it-IT"/>
              </w:rPr>
              <w:t>OIC 21.24</w:t>
            </w:r>
          </w:p>
          <w:p w:rsidR="0073099A" w:rsidRDefault="0073099A" w:rsidP="00D73E98">
            <w:pPr>
              <w:pStyle w:val="PrincCont"/>
              <w:jc w:val="left"/>
              <w:rPr>
                <w:lang w:val="it-IT"/>
              </w:rPr>
            </w:pPr>
          </w:p>
        </w:tc>
        <w:tc>
          <w:tcPr>
            <w:tcW w:w="7060" w:type="dxa"/>
            <w:tcMar>
              <w:left w:w="108" w:type="dxa"/>
            </w:tcMar>
          </w:tcPr>
          <w:p w:rsidR="0073099A" w:rsidRPr="0069541A" w:rsidRDefault="0073099A" w:rsidP="00D73E98">
            <w:pPr>
              <w:rPr>
                <w:lang w:val="it-IT"/>
              </w:rPr>
            </w:pPr>
            <w:r w:rsidRPr="0069541A">
              <w:rPr>
                <w:lang w:val="it-IT" w:eastAsia="it-IT"/>
              </w:rPr>
              <w:t xml:space="preserve">Se la rinuncia al credito </w:t>
            </w:r>
            <w:r>
              <w:rPr>
                <w:lang w:val="it-IT" w:eastAsia="it-IT"/>
              </w:rPr>
              <w:t>ha costituito</w:t>
            </w:r>
            <w:r w:rsidRPr="0069541A">
              <w:rPr>
                <w:lang w:val="it-IT" w:eastAsia="it-IT"/>
              </w:rPr>
              <w:t xml:space="preserve"> versamento a fondo perduto, anziché aumento di capitale, </w:t>
            </w:r>
            <w:r>
              <w:rPr>
                <w:lang w:val="it-IT" w:eastAsia="it-IT"/>
              </w:rPr>
              <w:t xml:space="preserve">è stato ugualmente incrementato il valore </w:t>
            </w:r>
            <w:r w:rsidRPr="0069541A">
              <w:rPr>
                <w:lang w:val="it-IT" w:eastAsia="it-IT"/>
              </w:rPr>
              <w:t>della partecipazione in capo al socio</w:t>
            </w:r>
            <w:r>
              <w:rPr>
                <w:lang w:val="it-IT" w:eastAsia="it-IT"/>
              </w:rPr>
              <w:t>?</w:t>
            </w:r>
          </w:p>
        </w:tc>
        <w:tc>
          <w:tcPr>
            <w:tcW w:w="586" w:type="dxa"/>
            <w:tcMar>
              <w:left w:w="85" w:type="dxa"/>
              <w:right w:w="85" w:type="dxa"/>
            </w:tcMar>
            <w:vAlign w:val="center"/>
          </w:tcPr>
          <w:p w:rsidR="0073099A" w:rsidRPr="0069541A"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69541A"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69541A"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17)</w:t>
            </w:r>
          </w:p>
        </w:tc>
        <w:tc>
          <w:tcPr>
            <w:tcW w:w="851" w:type="dxa"/>
            <w:tcMar>
              <w:left w:w="108" w:type="dxa"/>
              <w:right w:w="0" w:type="dxa"/>
            </w:tcMar>
          </w:tcPr>
          <w:p w:rsidR="0073099A" w:rsidRDefault="0073099A" w:rsidP="00D73E98">
            <w:pPr>
              <w:pStyle w:val="PrincCont"/>
              <w:jc w:val="left"/>
              <w:rPr>
                <w:lang w:val="it-IT"/>
              </w:rPr>
            </w:pPr>
            <w:r>
              <w:rPr>
                <w:lang w:val="it-IT"/>
              </w:rPr>
              <w:t>OIC 21.26</w:t>
            </w:r>
          </w:p>
          <w:p w:rsidR="0073099A" w:rsidRDefault="0073099A" w:rsidP="00D73E98">
            <w:pPr>
              <w:pStyle w:val="PrincCont"/>
              <w:jc w:val="left"/>
              <w:rPr>
                <w:lang w:val="it-IT"/>
              </w:rPr>
            </w:pPr>
          </w:p>
        </w:tc>
        <w:tc>
          <w:tcPr>
            <w:tcW w:w="7060" w:type="dxa"/>
            <w:tcMar>
              <w:left w:w="108" w:type="dxa"/>
            </w:tcMar>
          </w:tcPr>
          <w:p w:rsidR="0073099A" w:rsidRPr="00E748F4" w:rsidRDefault="0073099A" w:rsidP="00D73E98">
            <w:pPr>
              <w:rPr>
                <w:lang w:val="it-IT"/>
              </w:rPr>
            </w:pPr>
            <w:r w:rsidRPr="00E748F4">
              <w:rPr>
                <w:lang w:val="it-IT"/>
              </w:rPr>
              <w:t>Le partecipazioni iscritte a seguito della conversione di obbligazioni convertibili sono state iscritte in bilancio al valore del titolo convertito, senza effettuare alcun addebito o accredito al conto economico?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4D5D34"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AD6E2D" w:rsidRDefault="0073099A" w:rsidP="00D73E98">
            <w:pPr>
              <w:pStyle w:val="Titolo2"/>
              <w:keepNext w:val="0"/>
              <w:rPr>
                <w:lang w:val="it-IT"/>
              </w:rPr>
            </w:pPr>
            <w:r>
              <w:rPr>
                <w:lang w:val="it-IT"/>
              </w:rPr>
              <w:t>Valutazione e rilevazioni successive</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4D5D34"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8A1EF2" w:rsidRDefault="0073099A" w:rsidP="00D73E98">
            <w:pPr>
              <w:pStyle w:val="Titolo3"/>
              <w:jc w:val="left"/>
            </w:pPr>
            <w:r w:rsidRPr="008A1EF2">
              <w:t>Partecipazioni immobilizzate</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4D5D34"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8A1EF2" w:rsidRDefault="0073099A" w:rsidP="00D73E98">
            <w:pPr>
              <w:pStyle w:val="Titolo4"/>
              <w:jc w:val="left"/>
            </w:pPr>
            <w:r w:rsidRPr="00FE0FCE">
              <w:t>Considerazioni generali</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18)</w:t>
            </w:r>
          </w:p>
        </w:tc>
        <w:tc>
          <w:tcPr>
            <w:tcW w:w="851" w:type="dxa"/>
            <w:tcMar>
              <w:left w:w="108" w:type="dxa"/>
              <w:right w:w="0" w:type="dxa"/>
            </w:tcMar>
          </w:tcPr>
          <w:p w:rsidR="0073099A" w:rsidRDefault="0073099A" w:rsidP="00D73E98">
            <w:pPr>
              <w:pStyle w:val="PrincCont"/>
              <w:jc w:val="left"/>
              <w:rPr>
                <w:lang w:val="it-IT"/>
              </w:rPr>
            </w:pPr>
            <w:r>
              <w:rPr>
                <w:lang w:val="it-IT"/>
              </w:rPr>
              <w:t>OIC 21.27</w:t>
            </w:r>
          </w:p>
        </w:tc>
        <w:tc>
          <w:tcPr>
            <w:tcW w:w="7060" w:type="dxa"/>
            <w:tcMar>
              <w:left w:w="108" w:type="dxa"/>
            </w:tcMar>
          </w:tcPr>
          <w:p w:rsidR="0073099A" w:rsidRPr="009D04BA" w:rsidRDefault="0073099A" w:rsidP="00D73E98">
            <w:pPr>
              <w:rPr>
                <w:lang w:val="it-IT"/>
              </w:rPr>
            </w:pPr>
            <w:r w:rsidRPr="009D04BA">
              <w:rPr>
                <w:lang w:val="it-IT"/>
              </w:rPr>
              <w:t>Le partecipazioni sono iscritte al costo rilevato al momento dell’iscrizione iniziale?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19)</w:t>
            </w:r>
          </w:p>
        </w:tc>
        <w:tc>
          <w:tcPr>
            <w:tcW w:w="851" w:type="dxa"/>
            <w:tcMar>
              <w:left w:w="108" w:type="dxa"/>
              <w:right w:w="0" w:type="dxa"/>
            </w:tcMar>
          </w:tcPr>
          <w:p w:rsidR="0073099A" w:rsidRPr="00A63BBC" w:rsidRDefault="0073099A" w:rsidP="00D73E98">
            <w:pPr>
              <w:pStyle w:val="PrincCont"/>
              <w:jc w:val="left"/>
            </w:pPr>
            <w:r w:rsidRPr="00A63BBC">
              <w:t xml:space="preserve">Art. 2426, </w:t>
            </w:r>
            <w:r>
              <w:t xml:space="preserve">c.1, </w:t>
            </w:r>
            <w:r w:rsidRPr="00A63BBC">
              <w:t>n.3</w:t>
            </w:r>
            <w:r>
              <w:t xml:space="preserve"> </w:t>
            </w:r>
            <w:r w:rsidRPr="00A63BBC">
              <w:t>CC</w:t>
            </w:r>
            <w:r>
              <w:t xml:space="preserve">       OIC 21.27</w:t>
            </w:r>
          </w:p>
        </w:tc>
        <w:tc>
          <w:tcPr>
            <w:tcW w:w="7060" w:type="dxa"/>
            <w:tcMar>
              <w:left w:w="108" w:type="dxa"/>
            </w:tcMar>
            <w:vAlign w:val="center"/>
          </w:tcPr>
          <w:p w:rsidR="0073099A" w:rsidRPr="009D04BA" w:rsidRDefault="0073099A" w:rsidP="00D73E98">
            <w:pPr>
              <w:rPr>
                <w:lang w:val="it-IT"/>
              </w:rPr>
            </w:pPr>
            <w:r>
              <w:rPr>
                <w:lang w:val="it-IT"/>
              </w:rPr>
              <w:t>Tale costo è stato svalutato</w:t>
            </w:r>
            <w:r w:rsidRPr="009D04BA">
              <w:rPr>
                <w:lang w:val="it-IT"/>
              </w:rPr>
              <w:t xml:space="preserve"> se la partecipazione alla data di chiusura dell’esercizio risulta durevolmente di valore inferiore al </w:t>
            </w:r>
            <w:r>
              <w:rPr>
                <w:lang w:val="it-IT"/>
              </w:rPr>
              <w:t>valore di costo?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Pr="009C2E8F" w:rsidRDefault="0073099A" w:rsidP="00D73E98">
            <w:pPr>
              <w:pStyle w:val="PrincCont"/>
              <w:jc w:val="left"/>
            </w:pPr>
            <w:r w:rsidRPr="009C2E8F">
              <w:t>Art. 2426, c.1, n.10</w:t>
            </w:r>
            <w:r>
              <w:t xml:space="preserve"> </w:t>
            </w:r>
            <w:r w:rsidRPr="009C2E8F">
              <w:t>CC</w:t>
            </w:r>
            <w:r>
              <w:t xml:space="preserve">      OIC 21.28</w:t>
            </w:r>
          </w:p>
          <w:p w:rsidR="0073099A" w:rsidRPr="009C2E8F" w:rsidRDefault="0073099A" w:rsidP="00D73E98">
            <w:pPr>
              <w:pStyle w:val="PrincCont"/>
              <w:jc w:val="left"/>
            </w:pPr>
          </w:p>
        </w:tc>
        <w:tc>
          <w:tcPr>
            <w:tcW w:w="7060" w:type="dxa"/>
            <w:tcMar>
              <w:left w:w="108" w:type="dxa"/>
            </w:tcMar>
          </w:tcPr>
          <w:p w:rsidR="0073099A" w:rsidRPr="00D73E3E" w:rsidRDefault="0073099A" w:rsidP="00D73E98">
            <w:pPr>
              <w:pStyle w:val="Commentiriquadro"/>
              <w:spacing w:line="190" w:lineRule="exact"/>
              <w:rPr>
                <w:lang w:eastAsia="it-IT"/>
              </w:rPr>
            </w:pPr>
            <w:r>
              <w:rPr>
                <w:lang w:eastAsia="it-IT"/>
              </w:rPr>
              <w:t>Le partecipazioni, quotate o non quotate, in quanto immobilizzate sono valutate partecipazione per partecipazione, ossia attribuendo a ciascuna partecipazione il costo specificamente sostenuto. In caso di cessione di una parte di un portafoglio partecipazioni acquistato in date diverse a prezzi diversi, il riferimento generale per la definizione del costo delle partecipazioni cedute è il costo specifico. Tuttavia, è ammesso il ricorso ai metodi previsti dall’art. 2426, comma 1, n. 10, CC (FIFO, LIFO e costo medio ponderato).</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CC242B"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21.29</w:t>
            </w:r>
          </w:p>
          <w:p w:rsidR="0073099A" w:rsidRDefault="0073099A" w:rsidP="00D73E98">
            <w:pPr>
              <w:pStyle w:val="PrincCont"/>
              <w:jc w:val="left"/>
              <w:rPr>
                <w:lang w:val="it-IT"/>
              </w:rPr>
            </w:pPr>
          </w:p>
        </w:tc>
        <w:tc>
          <w:tcPr>
            <w:tcW w:w="7060" w:type="dxa"/>
            <w:tcMar>
              <w:left w:w="108" w:type="dxa"/>
            </w:tcMar>
          </w:tcPr>
          <w:p w:rsidR="0073099A" w:rsidRPr="00E748F4" w:rsidRDefault="0073099A" w:rsidP="00D73E98">
            <w:pPr>
              <w:pStyle w:val="Commentiriquadro"/>
              <w:rPr>
                <w:lang w:eastAsia="it-IT"/>
              </w:rPr>
            </w:pPr>
            <w:r>
              <w:rPr>
                <w:lang w:eastAsia="it-IT"/>
              </w:rPr>
              <w:t>Le partecipazioni di controllo, collegamento e in joint venture iscritte nelle immobilizzazioni possono essere valutate, oltre che al costo, con il metodo del patrimonio netto, per il quale si rinvia al Principio contabile OIC 17 “</w:t>
            </w:r>
            <w:r>
              <w:rPr>
                <w:i/>
                <w:iCs/>
                <w:lang w:eastAsia="it-IT"/>
              </w:rPr>
              <w:t>Bilancio consolidato e metodo del patrimonio netto</w:t>
            </w:r>
            <w:r>
              <w:rPr>
                <w:lang w:eastAsia="it-IT"/>
              </w:rPr>
              <w:t>”.</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FE0FCE"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Default="0073099A" w:rsidP="00D73E98">
            <w:pPr>
              <w:pStyle w:val="Titolo4"/>
              <w:rPr>
                <w:lang w:eastAsia="it-IT"/>
              </w:rPr>
            </w:pPr>
            <w:r w:rsidRPr="00FE0FCE">
              <w:rPr>
                <w:lang w:val="en-US" w:eastAsia="it-IT"/>
              </w:rPr>
              <w:t>Diritti di opzione</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2927B8" w:rsidTr="00D73E98">
        <w:trPr>
          <w:cantSplit/>
          <w:trHeight w:val="20"/>
        </w:trPr>
        <w:tc>
          <w:tcPr>
            <w:tcW w:w="680" w:type="dxa"/>
          </w:tcPr>
          <w:p w:rsidR="0073099A" w:rsidRPr="005B2DDF" w:rsidRDefault="0073099A" w:rsidP="00D73E98">
            <w:pPr>
              <w:jc w:val="center"/>
              <w:rPr>
                <w:b/>
                <w:lang w:val="it-IT"/>
              </w:rPr>
            </w:pPr>
            <w:r w:rsidRPr="005B2DDF">
              <w:rPr>
                <w:b/>
                <w:lang w:val="it-IT"/>
              </w:rPr>
              <w:t>20)</w:t>
            </w:r>
          </w:p>
        </w:tc>
        <w:tc>
          <w:tcPr>
            <w:tcW w:w="851" w:type="dxa"/>
            <w:tcMar>
              <w:left w:w="108" w:type="dxa"/>
              <w:right w:w="0" w:type="dxa"/>
            </w:tcMar>
          </w:tcPr>
          <w:p w:rsidR="0073099A" w:rsidRDefault="0073099A" w:rsidP="00D73E98">
            <w:pPr>
              <w:pStyle w:val="PrincCont"/>
              <w:jc w:val="left"/>
              <w:rPr>
                <w:lang w:val="it-IT"/>
              </w:rPr>
            </w:pPr>
            <w:r>
              <w:rPr>
                <w:lang w:val="it-IT"/>
              </w:rPr>
              <w:t>OIC 21.30</w:t>
            </w:r>
          </w:p>
        </w:tc>
        <w:tc>
          <w:tcPr>
            <w:tcW w:w="7060" w:type="dxa"/>
            <w:tcMar>
              <w:left w:w="108" w:type="dxa"/>
            </w:tcMar>
          </w:tcPr>
          <w:p w:rsidR="0073099A" w:rsidRDefault="0073099A" w:rsidP="00D73E98">
            <w:pPr>
              <w:rPr>
                <w:lang w:val="it-IT"/>
              </w:rPr>
            </w:pPr>
            <w:r>
              <w:rPr>
                <w:lang w:val="it-IT"/>
              </w:rPr>
              <w:t>Nel caso di assegnazione del diritto gratuito di opzione, l’eventuale ricavo è stato rilevato dal percipiente soltanto al momento della vendita del diritto?</w:t>
            </w:r>
          </w:p>
        </w:tc>
        <w:tc>
          <w:tcPr>
            <w:tcW w:w="586" w:type="dxa"/>
            <w:tcMar>
              <w:left w:w="85" w:type="dxa"/>
              <w:right w:w="85" w:type="dxa"/>
            </w:tcMar>
            <w:vAlign w:val="center"/>
          </w:tcPr>
          <w:p w:rsidR="0073099A" w:rsidRPr="002927B8" w:rsidRDefault="0073099A" w:rsidP="00D73E98">
            <w:pPr>
              <w:jc w:val="center"/>
              <w:rPr>
                <w:lang w:val="it-IT"/>
              </w:rPr>
            </w:pPr>
            <w:r>
              <w:fldChar w:fldCharType="begin">
                <w:ffData>
                  <w:name w:val="Check4"/>
                  <w:enabled/>
                  <w:calcOnExit w:val="0"/>
                  <w:checkBox>
                    <w:sizeAuto/>
                    <w:default w:val="0"/>
                  </w:checkBox>
                </w:ffData>
              </w:fldChar>
            </w:r>
            <w:r w:rsidRPr="008A4038">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2927B8" w:rsidRDefault="0073099A" w:rsidP="00D73E98">
            <w:pPr>
              <w:jc w:val="center"/>
              <w:rPr>
                <w:lang w:val="it-IT"/>
              </w:rPr>
            </w:pPr>
            <w:r>
              <w:fldChar w:fldCharType="begin">
                <w:ffData>
                  <w:name w:val="Check4"/>
                  <w:enabled/>
                  <w:calcOnExit w:val="0"/>
                  <w:checkBox>
                    <w:sizeAuto/>
                    <w:default w:val="0"/>
                  </w:checkBox>
                </w:ffData>
              </w:fldChar>
            </w:r>
            <w:r w:rsidRPr="008A4038">
              <w:rPr>
                <w:lang w:val="it-IT"/>
              </w:rPr>
              <w:instrText xml:space="preserve"> FORMCHECKBOX </w:instrText>
            </w:r>
            <w:r w:rsidR="00CA1681">
              <w:fldChar w:fldCharType="separate"/>
            </w:r>
            <w:r>
              <w:fldChar w:fldCharType="end"/>
            </w:r>
          </w:p>
        </w:tc>
        <w:tc>
          <w:tcPr>
            <w:tcW w:w="570" w:type="dxa"/>
            <w:tcMar>
              <w:left w:w="108" w:type="dxa"/>
            </w:tcMar>
            <w:vAlign w:val="center"/>
          </w:tcPr>
          <w:p w:rsidR="0073099A" w:rsidRPr="002927B8" w:rsidRDefault="0073099A" w:rsidP="00D73E98">
            <w:pPr>
              <w:jc w:val="center"/>
              <w:rPr>
                <w:lang w:val="it-IT"/>
              </w:rPr>
            </w:pPr>
            <w:r>
              <w:fldChar w:fldCharType="begin">
                <w:ffData>
                  <w:name w:val="Check4"/>
                  <w:enabled/>
                  <w:calcOnExit w:val="0"/>
                  <w:checkBox>
                    <w:sizeAuto/>
                    <w:default w:val="0"/>
                  </w:checkBox>
                </w:ffData>
              </w:fldChar>
            </w:r>
            <w:r w:rsidRPr="008A4038">
              <w:rPr>
                <w:lang w:val="it-IT"/>
              </w:rPr>
              <w:instrText xml:space="preserve"> FORMCHECKBOX </w:instrText>
            </w:r>
            <w:r w:rsidR="00CA1681">
              <w:fldChar w:fldCharType="separate"/>
            </w:r>
            <w:r>
              <w:fldChar w:fldCharType="end"/>
            </w:r>
          </w:p>
        </w:tc>
      </w:tr>
      <w:tr w:rsidR="0073099A" w:rsidRPr="002927B8" w:rsidTr="00D73E98">
        <w:trPr>
          <w:cantSplit/>
          <w:trHeight w:val="20"/>
        </w:trPr>
        <w:tc>
          <w:tcPr>
            <w:tcW w:w="680" w:type="dxa"/>
          </w:tcPr>
          <w:p w:rsidR="0073099A" w:rsidRPr="005B2DDF" w:rsidRDefault="0073099A" w:rsidP="00D73E98">
            <w:pPr>
              <w:jc w:val="center"/>
              <w:rPr>
                <w:b/>
                <w:lang w:val="it-IT"/>
              </w:rPr>
            </w:pPr>
            <w:r w:rsidRPr="005B2DDF">
              <w:rPr>
                <w:b/>
                <w:lang w:val="it-IT"/>
              </w:rPr>
              <w:t>21)</w:t>
            </w:r>
          </w:p>
        </w:tc>
        <w:tc>
          <w:tcPr>
            <w:tcW w:w="851" w:type="dxa"/>
            <w:tcMar>
              <w:left w:w="108" w:type="dxa"/>
              <w:right w:w="0" w:type="dxa"/>
            </w:tcMar>
          </w:tcPr>
          <w:p w:rsidR="0073099A" w:rsidRDefault="0073099A" w:rsidP="00D73E98">
            <w:pPr>
              <w:pStyle w:val="PrincCont"/>
              <w:jc w:val="left"/>
              <w:rPr>
                <w:lang w:val="it-IT"/>
              </w:rPr>
            </w:pPr>
            <w:r>
              <w:rPr>
                <w:lang w:val="it-IT"/>
              </w:rPr>
              <w:t>OIC 21.30</w:t>
            </w:r>
          </w:p>
        </w:tc>
        <w:tc>
          <w:tcPr>
            <w:tcW w:w="7060" w:type="dxa"/>
            <w:tcMar>
              <w:left w:w="108" w:type="dxa"/>
            </w:tcMar>
          </w:tcPr>
          <w:p w:rsidR="0073099A" w:rsidRDefault="0073099A" w:rsidP="00D73E98">
            <w:pPr>
              <w:rPr>
                <w:lang w:val="it-IT"/>
              </w:rPr>
            </w:pPr>
            <w:r>
              <w:rPr>
                <w:lang w:val="it-IT"/>
              </w:rPr>
              <w:t>Se il diritto d’opzione è scaduto senza essere stato esercitato, è stato valutato se l’effetto di diluizione che ne è derivato ha generato la necessità di rilevare una perdita durevole di valore?</w:t>
            </w:r>
          </w:p>
        </w:tc>
        <w:tc>
          <w:tcPr>
            <w:tcW w:w="586" w:type="dxa"/>
            <w:tcMar>
              <w:left w:w="85" w:type="dxa"/>
              <w:right w:w="85" w:type="dxa"/>
            </w:tcMar>
            <w:vAlign w:val="center"/>
          </w:tcPr>
          <w:p w:rsidR="0073099A" w:rsidRPr="002927B8" w:rsidRDefault="0073099A" w:rsidP="00D73E98">
            <w:pPr>
              <w:jc w:val="center"/>
              <w:rPr>
                <w:lang w:val="it-IT"/>
              </w:rPr>
            </w:pPr>
            <w:r>
              <w:fldChar w:fldCharType="begin">
                <w:ffData>
                  <w:name w:val="Check4"/>
                  <w:enabled/>
                  <w:calcOnExit w:val="0"/>
                  <w:checkBox>
                    <w:sizeAuto/>
                    <w:default w:val="0"/>
                  </w:checkBox>
                </w:ffData>
              </w:fldChar>
            </w:r>
            <w:r w:rsidRPr="008A4038">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2927B8" w:rsidRDefault="0073099A" w:rsidP="00D73E98">
            <w:pPr>
              <w:jc w:val="center"/>
              <w:rPr>
                <w:lang w:val="it-IT"/>
              </w:rPr>
            </w:pPr>
            <w:r>
              <w:fldChar w:fldCharType="begin">
                <w:ffData>
                  <w:name w:val="Check4"/>
                  <w:enabled/>
                  <w:calcOnExit w:val="0"/>
                  <w:checkBox>
                    <w:sizeAuto/>
                    <w:default w:val="0"/>
                  </w:checkBox>
                </w:ffData>
              </w:fldChar>
            </w:r>
            <w:r w:rsidRPr="008A4038">
              <w:rPr>
                <w:lang w:val="it-IT"/>
              </w:rPr>
              <w:instrText xml:space="preserve"> FORMCHECKBOX </w:instrText>
            </w:r>
            <w:r w:rsidR="00CA1681">
              <w:fldChar w:fldCharType="separate"/>
            </w:r>
            <w:r>
              <w:fldChar w:fldCharType="end"/>
            </w:r>
          </w:p>
        </w:tc>
        <w:tc>
          <w:tcPr>
            <w:tcW w:w="570" w:type="dxa"/>
            <w:tcMar>
              <w:left w:w="108" w:type="dxa"/>
            </w:tcMar>
            <w:vAlign w:val="center"/>
          </w:tcPr>
          <w:p w:rsidR="0073099A" w:rsidRPr="002927B8" w:rsidRDefault="0073099A" w:rsidP="00D73E98">
            <w:pPr>
              <w:jc w:val="center"/>
              <w:rPr>
                <w:lang w:val="it-IT"/>
              </w:rPr>
            </w:pPr>
            <w:r>
              <w:fldChar w:fldCharType="begin">
                <w:ffData>
                  <w:name w:val="Check4"/>
                  <w:enabled/>
                  <w:calcOnExit w:val="0"/>
                  <w:checkBox>
                    <w:sizeAuto/>
                    <w:default w:val="0"/>
                  </w:checkBox>
                </w:ffData>
              </w:fldChar>
            </w:r>
            <w:r w:rsidRPr="008A4038">
              <w:rPr>
                <w:lang w:val="it-IT"/>
              </w:rPr>
              <w:instrText xml:space="preserve"> FORMCHECKBOX </w:instrText>
            </w:r>
            <w:r w:rsidR="00CA1681">
              <w:fldChar w:fldCharType="separate"/>
            </w:r>
            <w:r>
              <w:fldChar w:fldCharType="end"/>
            </w:r>
          </w:p>
        </w:tc>
      </w:tr>
      <w:tr w:rsidR="0073099A" w:rsidRPr="002927B8"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Default="0073099A" w:rsidP="00D73E98">
            <w:pPr>
              <w:pStyle w:val="Titolo4"/>
            </w:pPr>
            <w:r w:rsidRPr="00FE0FCE">
              <w:rPr>
                <w:lang w:val="en-US"/>
              </w:rPr>
              <w:t>Perdita durevole di valore</w:t>
            </w:r>
          </w:p>
        </w:tc>
        <w:tc>
          <w:tcPr>
            <w:tcW w:w="586" w:type="dxa"/>
            <w:tcMar>
              <w:left w:w="85" w:type="dxa"/>
              <w:right w:w="85" w:type="dxa"/>
            </w:tcMar>
            <w:vAlign w:val="center"/>
          </w:tcPr>
          <w:p w:rsidR="0073099A" w:rsidRDefault="0073099A" w:rsidP="00D73E98">
            <w:pPr>
              <w:jc w:val="center"/>
            </w:pPr>
          </w:p>
        </w:tc>
        <w:tc>
          <w:tcPr>
            <w:tcW w:w="573" w:type="dxa"/>
            <w:tcMar>
              <w:left w:w="108" w:type="dxa"/>
            </w:tcMar>
            <w:vAlign w:val="center"/>
          </w:tcPr>
          <w:p w:rsidR="0073099A" w:rsidRDefault="0073099A" w:rsidP="00D73E98">
            <w:pPr>
              <w:jc w:val="center"/>
            </w:pPr>
          </w:p>
        </w:tc>
        <w:tc>
          <w:tcPr>
            <w:tcW w:w="570" w:type="dxa"/>
            <w:tcMar>
              <w:left w:w="108" w:type="dxa"/>
            </w:tcMar>
            <w:vAlign w:val="center"/>
          </w:tcPr>
          <w:p w:rsidR="0073099A" w:rsidRDefault="0073099A" w:rsidP="00D73E98">
            <w:pPr>
              <w:jc w:val="center"/>
            </w:pP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22)</w:t>
            </w:r>
          </w:p>
        </w:tc>
        <w:tc>
          <w:tcPr>
            <w:tcW w:w="851" w:type="dxa"/>
            <w:tcMar>
              <w:left w:w="108" w:type="dxa"/>
              <w:right w:w="0" w:type="dxa"/>
            </w:tcMar>
          </w:tcPr>
          <w:p w:rsidR="0073099A" w:rsidRDefault="0073099A" w:rsidP="00D73E98">
            <w:pPr>
              <w:pStyle w:val="PrincCont"/>
              <w:jc w:val="left"/>
              <w:rPr>
                <w:lang w:val="it-IT"/>
              </w:rPr>
            </w:pPr>
            <w:r>
              <w:rPr>
                <w:lang w:val="it-IT"/>
              </w:rPr>
              <w:t>OIC 21.31</w:t>
            </w:r>
          </w:p>
          <w:p w:rsidR="0073099A" w:rsidRDefault="0073099A" w:rsidP="00D73E98">
            <w:pPr>
              <w:pStyle w:val="PrincCont"/>
              <w:jc w:val="left"/>
              <w:rPr>
                <w:lang w:val="it-IT"/>
              </w:rPr>
            </w:pPr>
          </w:p>
        </w:tc>
        <w:tc>
          <w:tcPr>
            <w:tcW w:w="7060" w:type="dxa"/>
            <w:tcMar>
              <w:left w:w="108" w:type="dxa"/>
            </w:tcMar>
          </w:tcPr>
          <w:p w:rsidR="0073099A" w:rsidRPr="00D73E3E" w:rsidRDefault="0073099A" w:rsidP="00D73E98">
            <w:pPr>
              <w:rPr>
                <w:lang w:val="it-IT"/>
              </w:rPr>
            </w:pPr>
            <w:r w:rsidRPr="00D73E3E">
              <w:rPr>
                <w:lang w:val="it-IT"/>
              </w:rPr>
              <w:t>La perdita durevole di valore è stata determinata confrontando il valore di iscrizione in bilancio della partecipazione con il suo valore recuperabile, determinato in base ai benefici futuri che si prevede</w:t>
            </w:r>
            <w:r>
              <w:rPr>
                <w:lang w:val="it-IT"/>
              </w:rPr>
              <w:t xml:space="preserve"> </w:t>
            </w:r>
            <w:r w:rsidRPr="00D73E3E">
              <w:rPr>
                <w:lang w:val="it-IT"/>
              </w:rPr>
              <w:t>affluiranno all’economia della partecipante?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Pr="0063104D" w:rsidRDefault="0073099A" w:rsidP="00D73E98">
            <w:pPr>
              <w:pStyle w:val="PrincCont"/>
              <w:jc w:val="left"/>
              <w:rPr>
                <w:lang w:val="it-IT"/>
              </w:rPr>
            </w:pPr>
            <w:r w:rsidRPr="0063104D">
              <w:rPr>
                <w:lang w:val="it-IT"/>
              </w:rPr>
              <w:t>OIC 21.32</w:t>
            </w:r>
          </w:p>
          <w:p w:rsidR="0073099A" w:rsidRPr="0063104D" w:rsidRDefault="0073099A" w:rsidP="00D73E98">
            <w:pPr>
              <w:pStyle w:val="PrincCont"/>
              <w:jc w:val="left"/>
              <w:rPr>
                <w:lang w:val="it-IT"/>
              </w:rPr>
            </w:pPr>
          </w:p>
        </w:tc>
        <w:tc>
          <w:tcPr>
            <w:tcW w:w="7060" w:type="dxa"/>
            <w:tcMar>
              <w:left w:w="108" w:type="dxa"/>
            </w:tcMar>
          </w:tcPr>
          <w:p w:rsidR="0073099A" w:rsidRPr="0063104D" w:rsidRDefault="0073099A" w:rsidP="00D73E98">
            <w:pPr>
              <w:pStyle w:val="Commentiriquadro"/>
              <w:spacing w:line="190" w:lineRule="exact"/>
              <w:rPr>
                <w:lang w:eastAsia="it-IT"/>
              </w:rPr>
            </w:pPr>
            <w:r w:rsidRPr="0063104D">
              <w:rPr>
                <w:lang w:eastAsia="it-IT"/>
              </w:rPr>
              <w:t>La prima fase del processo valutativo che conduce alla determinazione del valore recuperabile è costituita da un’analisi delle condizioni economico-finanziarie della partecipata volta ad accertare se le perdite di valore sofferte dalla partecipata non siano episodiche o temporanee, bensì strutturali e capaci di intaccarne la consistenza patrimoniale. Tali perdite sono riconducibili a situazioni negative interne alla società stessa o esterne ad essa, oppure ad una combinazione di fattori interni ed esterni.</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21.33</w:t>
            </w:r>
          </w:p>
          <w:p w:rsidR="0073099A" w:rsidRDefault="0073099A" w:rsidP="00D73E98">
            <w:pPr>
              <w:pStyle w:val="PrincCont"/>
              <w:jc w:val="left"/>
              <w:rPr>
                <w:lang w:val="it-IT"/>
              </w:rPr>
            </w:pPr>
          </w:p>
        </w:tc>
        <w:tc>
          <w:tcPr>
            <w:tcW w:w="7060" w:type="dxa"/>
            <w:tcMar>
              <w:left w:w="108" w:type="dxa"/>
            </w:tcMar>
          </w:tcPr>
          <w:p w:rsidR="0073099A" w:rsidRPr="00DC3093" w:rsidRDefault="0073099A" w:rsidP="00D73E98">
            <w:pPr>
              <w:pStyle w:val="Commentiriquadro"/>
            </w:pPr>
            <w:r>
              <w:rPr>
                <w:lang w:eastAsia="it-IT"/>
              </w:rPr>
              <w:t>Situazioni interne alla società che possono rappresentare un indicatore di perdita di valore possono essere a titolo esemplificativo e non esaustivo: perdite operative divenute fisiologiche, derivanti da una struttura del ciclo costi/ricavi che cessa di essere remunerativa; eccesso di costi fissi, non riducibili nel breve periodo, rispetto al volume d'affari; obsolescenza tecnologica degli impianti o dei processi produttivi dell'impresa; un perdurante stato di tensione finanziaria al quale non si possa porre rimedio e che divenga eccessivamente oneroso per la società, una distribuzione di dividendi che abbia comportato che la quota di patrimonio netto posseduta nella partecipata sia diventata inferiore al valore di iscrizione della stessa nell’attivo.</w:t>
            </w:r>
          </w:p>
        </w:tc>
        <w:tc>
          <w:tcPr>
            <w:tcW w:w="586" w:type="dxa"/>
            <w:tcMar>
              <w:left w:w="85" w:type="dxa"/>
              <w:right w:w="85" w:type="dxa"/>
            </w:tcMar>
            <w:vAlign w:val="center"/>
          </w:tcPr>
          <w:p w:rsidR="0073099A" w:rsidRPr="0063104D" w:rsidRDefault="0073099A" w:rsidP="00D73E98">
            <w:pPr>
              <w:jc w:val="center"/>
              <w:rPr>
                <w:lang w:val="it-IT"/>
              </w:rPr>
            </w:pPr>
          </w:p>
        </w:tc>
        <w:tc>
          <w:tcPr>
            <w:tcW w:w="573" w:type="dxa"/>
            <w:tcMar>
              <w:left w:w="108" w:type="dxa"/>
            </w:tcMar>
            <w:vAlign w:val="center"/>
          </w:tcPr>
          <w:p w:rsidR="0073099A" w:rsidRPr="0063104D" w:rsidRDefault="0073099A" w:rsidP="00D73E98">
            <w:pPr>
              <w:jc w:val="center"/>
              <w:rPr>
                <w:lang w:val="it-IT"/>
              </w:rPr>
            </w:pPr>
          </w:p>
        </w:tc>
        <w:tc>
          <w:tcPr>
            <w:tcW w:w="570" w:type="dxa"/>
            <w:tcMar>
              <w:left w:w="108" w:type="dxa"/>
            </w:tcMar>
            <w:vAlign w:val="center"/>
          </w:tcPr>
          <w:p w:rsidR="0073099A" w:rsidRPr="0063104D"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21.34</w:t>
            </w:r>
          </w:p>
          <w:p w:rsidR="0073099A" w:rsidRDefault="0073099A" w:rsidP="00D73E98">
            <w:pPr>
              <w:pStyle w:val="PrincCont"/>
              <w:jc w:val="left"/>
              <w:rPr>
                <w:lang w:val="it-IT"/>
              </w:rPr>
            </w:pPr>
          </w:p>
        </w:tc>
        <w:tc>
          <w:tcPr>
            <w:tcW w:w="7060" w:type="dxa"/>
            <w:tcMar>
              <w:left w:w="108" w:type="dxa"/>
            </w:tcMar>
          </w:tcPr>
          <w:p w:rsidR="0073099A" w:rsidRPr="00DC3093" w:rsidRDefault="0073099A" w:rsidP="00D73E98">
            <w:pPr>
              <w:pStyle w:val="Commentiriquadro"/>
            </w:pPr>
            <w:r>
              <w:rPr>
                <w:lang w:eastAsia="it-IT"/>
              </w:rPr>
              <w:t>Fattori esterni alla società possono invece essere a titolo esemplificativo e non esaustivo: crisi del mercato in cui opera l'impresa con previsioni di assestamento dello stesso in direzione opposta a quella auspicata dall'impresa; sostanziale ribasso dei prezzi di vendita dei prodotti non bilanciato dall'adeguamento dei costi di produzione e vendita; nuove leggi e regolamentazione che incidono negativamente sulla redditività dell'impresa; perdita di quote di mercato a favore di imprese concorrenti; abbandono da parte del mercato dei prodotti dell'impresa a favore di prodotti alternativi; evidenze che inducono a ritenere che si è prodotta una significativa perdita durevole di valore.</w:t>
            </w:r>
          </w:p>
        </w:tc>
        <w:tc>
          <w:tcPr>
            <w:tcW w:w="586" w:type="dxa"/>
            <w:tcMar>
              <w:left w:w="85" w:type="dxa"/>
              <w:right w:w="85" w:type="dxa"/>
            </w:tcMar>
            <w:vAlign w:val="center"/>
          </w:tcPr>
          <w:p w:rsidR="0073099A" w:rsidRPr="0042608F" w:rsidRDefault="0073099A" w:rsidP="00D73E98">
            <w:pPr>
              <w:jc w:val="center"/>
              <w:rPr>
                <w:lang w:val="it-IT"/>
              </w:rPr>
            </w:pPr>
          </w:p>
        </w:tc>
        <w:tc>
          <w:tcPr>
            <w:tcW w:w="573" w:type="dxa"/>
            <w:tcMar>
              <w:left w:w="108" w:type="dxa"/>
            </w:tcMar>
            <w:vAlign w:val="center"/>
          </w:tcPr>
          <w:p w:rsidR="0073099A" w:rsidRPr="0042608F" w:rsidRDefault="0073099A" w:rsidP="00D73E98">
            <w:pPr>
              <w:jc w:val="center"/>
              <w:rPr>
                <w:lang w:val="it-IT"/>
              </w:rPr>
            </w:pPr>
          </w:p>
        </w:tc>
        <w:tc>
          <w:tcPr>
            <w:tcW w:w="570" w:type="dxa"/>
            <w:tcMar>
              <w:left w:w="108" w:type="dxa"/>
            </w:tcMar>
            <w:vAlign w:val="center"/>
          </w:tcPr>
          <w:p w:rsidR="0073099A" w:rsidRPr="0042608F"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21.35</w:t>
            </w:r>
          </w:p>
          <w:p w:rsidR="0073099A" w:rsidRDefault="0073099A" w:rsidP="00D73E98">
            <w:pPr>
              <w:pStyle w:val="PrincCont"/>
              <w:jc w:val="left"/>
              <w:rPr>
                <w:lang w:val="it-IT"/>
              </w:rPr>
            </w:pPr>
          </w:p>
        </w:tc>
        <w:tc>
          <w:tcPr>
            <w:tcW w:w="7060" w:type="dxa"/>
            <w:tcMar>
              <w:left w:w="108" w:type="dxa"/>
            </w:tcMar>
          </w:tcPr>
          <w:p w:rsidR="0073099A" w:rsidRPr="00DC3093" w:rsidRDefault="0073099A" w:rsidP="00D73E98">
            <w:pPr>
              <w:pStyle w:val="Commentiriquadro"/>
            </w:pPr>
            <w:r>
              <w:rPr>
                <w:lang w:eastAsia="it-IT"/>
              </w:rPr>
              <w:t>Un ulteriore indicatore di perdita può essere costituito dal mancato esercizio di un diritto di opzione, previsto dall’art. 2441 del codice civile, che abbia comportato una diminuzione del valore economico della partecipata al di sotto del valore di iscrizione della stessa nell’attivo.</w:t>
            </w:r>
          </w:p>
        </w:tc>
        <w:tc>
          <w:tcPr>
            <w:tcW w:w="586" w:type="dxa"/>
            <w:tcMar>
              <w:left w:w="85" w:type="dxa"/>
              <w:right w:w="85" w:type="dxa"/>
            </w:tcMar>
            <w:vAlign w:val="center"/>
          </w:tcPr>
          <w:p w:rsidR="0073099A" w:rsidRPr="0042608F" w:rsidRDefault="0073099A" w:rsidP="00D73E98">
            <w:pPr>
              <w:jc w:val="center"/>
              <w:rPr>
                <w:lang w:val="it-IT"/>
              </w:rPr>
            </w:pPr>
          </w:p>
        </w:tc>
        <w:tc>
          <w:tcPr>
            <w:tcW w:w="573" w:type="dxa"/>
            <w:tcMar>
              <w:left w:w="108" w:type="dxa"/>
            </w:tcMar>
            <w:vAlign w:val="center"/>
          </w:tcPr>
          <w:p w:rsidR="0073099A" w:rsidRPr="0042608F" w:rsidRDefault="0073099A" w:rsidP="00D73E98">
            <w:pPr>
              <w:jc w:val="center"/>
              <w:rPr>
                <w:lang w:val="it-IT"/>
              </w:rPr>
            </w:pPr>
          </w:p>
        </w:tc>
        <w:tc>
          <w:tcPr>
            <w:tcW w:w="570" w:type="dxa"/>
            <w:tcMar>
              <w:left w:w="108" w:type="dxa"/>
            </w:tcMar>
            <w:vAlign w:val="center"/>
          </w:tcPr>
          <w:p w:rsidR="0073099A" w:rsidRPr="0042608F"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21.36</w:t>
            </w:r>
          </w:p>
        </w:tc>
        <w:tc>
          <w:tcPr>
            <w:tcW w:w="7060" w:type="dxa"/>
            <w:tcMar>
              <w:left w:w="108" w:type="dxa"/>
            </w:tcMar>
          </w:tcPr>
          <w:p w:rsidR="0073099A" w:rsidRPr="00DC3093" w:rsidRDefault="0073099A" w:rsidP="00D73E98">
            <w:pPr>
              <w:pStyle w:val="Commentiriquadro"/>
            </w:pPr>
            <w:r>
              <w:rPr>
                <w:lang w:eastAsia="it-IT"/>
              </w:rPr>
              <w:t>Per i titoli partecipativi quotati non è necessariamente considerato motivo di abbattimento del costo un improvviso e generalizzato ribasso del valore di mercato; questo può costituire peraltro un primo elemento segnaletico di un'eventuale perdita durevole di valore. Un significativo e prolungato ribasso nel listino di una partecipazione quotata, non correlato ad un generale andamento del mercato, unito a negative condizioni economico-finanziarie della partecipata, che fanno fondatamente ritenere non possibile un'inversione di tendenza, è considerato un indicatore per considerare la perdita di valore di natura durevole.</w:t>
            </w:r>
          </w:p>
        </w:tc>
        <w:tc>
          <w:tcPr>
            <w:tcW w:w="586" w:type="dxa"/>
            <w:tcMar>
              <w:left w:w="85" w:type="dxa"/>
              <w:right w:w="85" w:type="dxa"/>
            </w:tcMar>
            <w:vAlign w:val="center"/>
          </w:tcPr>
          <w:p w:rsidR="0073099A" w:rsidRPr="00F30690" w:rsidRDefault="0073099A" w:rsidP="00D73E98">
            <w:pPr>
              <w:jc w:val="center"/>
              <w:rPr>
                <w:lang w:val="it-IT"/>
              </w:rPr>
            </w:pPr>
          </w:p>
        </w:tc>
        <w:tc>
          <w:tcPr>
            <w:tcW w:w="573" w:type="dxa"/>
            <w:tcMar>
              <w:left w:w="108" w:type="dxa"/>
            </w:tcMar>
            <w:vAlign w:val="center"/>
          </w:tcPr>
          <w:p w:rsidR="0073099A" w:rsidRPr="00F30690" w:rsidRDefault="0073099A" w:rsidP="00D73E98">
            <w:pPr>
              <w:jc w:val="center"/>
              <w:rPr>
                <w:lang w:val="it-IT"/>
              </w:rPr>
            </w:pPr>
          </w:p>
        </w:tc>
        <w:tc>
          <w:tcPr>
            <w:tcW w:w="570" w:type="dxa"/>
            <w:tcMar>
              <w:left w:w="108" w:type="dxa"/>
            </w:tcMar>
            <w:vAlign w:val="center"/>
          </w:tcPr>
          <w:p w:rsidR="0073099A" w:rsidRPr="00F30690" w:rsidRDefault="0073099A" w:rsidP="00D73E98">
            <w:pPr>
              <w:jc w:val="center"/>
              <w:rPr>
                <w:lang w:val="it-IT"/>
              </w:rPr>
            </w:pPr>
          </w:p>
        </w:tc>
      </w:tr>
      <w:tr w:rsidR="0073099A" w:rsidRPr="00082F62" w:rsidTr="00D73E98">
        <w:trPr>
          <w:cantSplit/>
          <w:trHeight w:val="20"/>
        </w:trPr>
        <w:tc>
          <w:tcPr>
            <w:tcW w:w="680" w:type="dxa"/>
          </w:tcPr>
          <w:p w:rsidR="0073099A" w:rsidRPr="005B2DDF" w:rsidRDefault="0073099A" w:rsidP="00D73E98">
            <w:pPr>
              <w:jc w:val="center"/>
              <w:rPr>
                <w:b/>
                <w:lang w:val="it-IT"/>
              </w:rPr>
            </w:pPr>
            <w:r w:rsidRPr="005B2DDF">
              <w:rPr>
                <w:b/>
                <w:lang w:val="it-IT"/>
              </w:rPr>
              <w:t>23)</w:t>
            </w:r>
          </w:p>
        </w:tc>
        <w:tc>
          <w:tcPr>
            <w:tcW w:w="851" w:type="dxa"/>
            <w:tcMar>
              <w:left w:w="108" w:type="dxa"/>
              <w:right w:w="0" w:type="dxa"/>
            </w:tcMar>
          </w:tcPr>
          <w:p w:rsidR="0073099A" w:rsidRDefault="0073099A" w:rsidP="00D73E98">
            <w:pPr>
              <w:pStyle w:val="PrincCont"/>
              <w:jc w:val="left"/>
              <w:rPr>
                <w:lang w:val="it-IT"/>
              </w:rPr>
            </w:pPr>
            <w:r>
              <w:rPr>
                <w:lang w:val="it-IT"/>
              </w:rPr>
              <w:t>OIC 21.37</w:t>
            </w:r>
          </w:p>
        </w:tc>
        <w:tc>
          <w:tcPr>
            <w:tcW w:w="7060" w:type="dxa"/>
            <w:tcMar>
              <w:left w:w="108" w:type="dxa"/>
            </w:tcMar>
          </w:tcPr>
          <w:p w:rsidR="0073099A" w:rsidRPr="00DC3093" w:rsidRDefault="0073099A" w:rsidP="00D73E98">
            <w:pPr>
              <w:rPr>
                <w:lang w:val="it-IT"/>
              </w:rPr>
            </w:pPr>
            <w:r>
              <w:rPr>
                <w:lang w:val="it-IT" w:eastAsia="it-IT"/>
              </w:rPr>
              <w:t>Se, pur in presenza di perdita d'esercizio della partecipata, tale perdita non sia stata ritenuta durevole e pertanto il valore della partecipata sia stato mantenuto in bilancio al costo storico, le valutazioni degli organi amministrativi circa l'esistenza o meno di una perdita durevole di valore sono state particolarmente accurate, prudenti e motivate?</w:t>
            </w:r>
          </w:p>
        </w:tc>
        <w:tc>
          <w:tcPr>
            <w:tcW w:w="586" w:type="dxa"/>
            <w:tcMar>
              <w:left w:w="85" w:type="dxa"/>
              <w:right w:w="85" w:type="dxa"/>
            </w:tcMar>
            <w:vAlign w:val="center"/>
          </w:tcPr>
          <w:p w:rsidR="0073099A" w:rsidRPr="00082F62"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082F62"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082F62"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21.38</w:t>
            </w:r>
          </w:p>
        </w:tc>
        <w:tc>
          <w:tcPr>
            <w:tcW w:w="7060" w:type="dxa"/>
            <w:tcMar>
              <w:left w:w="108" w:type="dxa"/>
            </w:tcMar>
          </w:tcPr>
          <w:p w:rsidR="0073099A" w:rsidRPr="00DC3093" w:rsidRDefault="0073099A" w:rsidP="00D73E98">
            <w:pPr>
              <w:pStyle w:val="Commentiriquadro"/>
            </w:pPr>
            <w:r>
              <w:rPr>
                <w:lang w:eastAsia="it-IT"/>
              </w:rPr>
              <w:t>Una perdita di valore è durevole quando fondatamente non si prevede che le ragioni che l’hanno causata possano essere rimosse in un breve arco temporale, cioè in un periodo così breve da permettere di formulare previsioni attendibili e basate su fatti obiettivi e ragionevolmente riscontrabili.</w:t>
            </w:r>
          </w:p>
        </w:tc>
        <w:tc>
          <w:tcPr>
            <w:tcW w:w="586" w:type="dxa"/>
            <w:tcMar>
              <w:left w:w="85" w:type="dxa"/>
              <w:right w:w="85" w:type="dxa"/>
            </w:tcMar>
            <w:vAlign w:val="center"/>
          </w:tcPr>
          <w:p w:rsidR="0073099A" w:rsidRPr="000F5C57" w:rsidRDefault="0073099A" w:rsidP="00D73E98">
            <w:pPr>
              <w:jc w:val="center"/>
              <w:rPr>
                <w:lang w:val="it-IT"/>
              </w:rPr>
            </w:pPr>
          </w:p>
        </w:tc>
        <w:tc>
          <w:tcPr>
            <w:tcW w:w="573" w:type="dxa"/>
            <w:tcMar>
              <w:left w:w="108" w:type="dxa"/>
            </w:tcMar>
            <w:vAlign w:val="center"/>
          </w:tcPr>
          <w:p w:rsidR="0073099A" w:rsidRPr="000F5C57" w:rsidRDefault="0073099A" w:rsidP="00D73E98">
            <w:pPr>
              <w:jc w:val="center"/>
              <w:rPr>
                <w:lang w:val="it-IT"/>
              </w:rPr>
            </w:pPr>
          </w:p>
        </w:tc>
        <w:tc>
          <w:tcPr>
            <w:tcW w:w="570" w:type="dxa"/>
            <w:tcMar>
              <w:left w:w="108" w:type="dxa"/>
            </w:tcMar>
            <w:vAlign w:val="center"/>
          </w:tcPr>
          <w:p w:rsidR="0073099A" w:rsidRPr="000F5C57" w:rsidRDefault="0073099A" w:rsidP="00D73E98">
            <w:pPr>
              <w:jc w:val="center"/>
              <w:rPr>
                <w:lang w:val="it-IT"/>
              </w:rPr>
            </w:pPr>
          </w:p>
        </w:tc>
      </w:tr>
      <w:tr w:rsidR="0073099A" w:rsidRPr="000F5C57" w:rsidTr="00D73E98">
        <w:trPr>
          <w:cantSplit/>
          <w:trHeight w:val="20"/>
        </w:trPr>
        <w:tc>
          <w:tcPr>
            <w:tcW w:w="680" w:type="dxa"/>
          </w:tcPr>
          <w:p w:rsidR="0073099A" w:rsidRPr="005B2DDF" w:rsidRDefault="0073099A" w:rsidP="00D73E98">
            <w:pPr>
              <w:jc w:val="center"/>
              <w:rPr>
                <w:b/>
                <w:lang w:val="it-IT"/>
              </w:rPr>
            </w:pPr>
            <w:r w:rsidRPr="005B2DDF">
              <w:rPr>
                <w:b/>
                <w:lang w:val="it-IT"/>
              </w:rPr>
              <w:t>24)</w:t>
            </w:r>
          </w:p>
        </w:tc>
        <w:tc>
          <w:tcPr>
            <w:tcW w:w="851" w:type="dxa"/>
            <w:tcMar>
              <w:left w:w="108" w:type="dxa"/>
              <w:right w:w="0" w:type="dxa"/>
            </w:tcMar>
          </w:tcPr>
          <w:p w:rsidR="0073099A" w:rsidRDefault="0073099A" w:rsidP="00D73E98">
            <w:pPr>
              <w:pStyle w:val="PrincCont"/>
              <w:jc w:val="left"/>
              <w:rPr>
                <w:lang w:val="it-IT"/>
              </w:rPr>
            </w:pPr>
            <w:r>
              <w:rPr>
                <w:lang w:val="it-IT"/>
              </w:rPr>
              <w:t>OIC 21.38</w:t>
            </w:r>
          </w:p>
        </w:tc>
        <w:tc>
          <w:tcPr>
            <w:tcW w:w="7060" w:type="dxa"/>
            <w:tcMar>
              <w:left w:w="108" w:type="dxa"/>
            </w:tcMar>
          </w:tcPr>
          <w:p w:rsidR="0073099A" w:rsidRPr="00DC3093" w:rsidRDefault="0073099A" w:rsidP="00D73E98">
            <w:pPr>
              <w:rPr>
                <w:lang w:val="it-IT"/>
              </w:rPr>
            </w:pPr>
            <w:r>
              <w:rPr>
                <w:lang w:val="it-IT" w:eastAsia="it-IT"/>
              </w:rPr>
              <w:t>La società partecipata ha predisposto piani e programmi tesi al recupero delle condizioni di equilibrio economico-finanziario, con caratteristiche tali da far fondatamente ritenere che la perdita di valore della partecipazione abbia carattere contingente affinché la stessa possa definirsi non durevole?</w:t>
            </w:r>
          </w:p>
        </w:tc>
        <w:tc>
          <w:tcPr>
            <w:tcW w:w="586" w:type="dxa"/>
            <w:tcMar>
              <w:left w:w="85" w:type="dxa"/>
              <w:right w:w="85" w:type="dxa"/>
            </w:tcMar>
            <w:vAlign w:val="center"/>
          </w:tcPr>
          <w:p w:rsidR="0073099A" w:rsidRPr="000F5C57"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0F5C57"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0F5C57"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5B2DDF" w:rsidRDefault="0073099A" w:rsidP="00D73E98">
            <w:pPr>
              <w:jc w:val="center"/>
              <w:rPr>
                <w:b/>
                <w:lang w:val="it-IT"/>
              </w:rPr>
            </w:pPr>
            <w:r w:rsidRPr="005B2DDF">
              <w:rPr>
                <w:b/>
                <w:lang w:val="it-IT"/>
              </w:rPr>
              <w:t>25)</w:t>
            </w:r>
          </w:p>
        </w:tc>
        <w:tc>
          <w:tcPr>
            <w:tcW w:w="851" w:type="dxa"/>
            <w:tcMar>
              <w:left w:w="108" w:type="dxa"/>
              <w:right w:w="0" w:type="dxa"/>
            </w:tcMar>
          </w:tcPr>
          <w:p w:rsidR="0073099A" w:rsidRDefault="0073099A" w:rsidP="00D73E98">
            <w:pPr>
              <w:pStyle w:val="PrincCont"/>
              <w:jc w:val="left"/>
              <w:rPr>
                <w:lang w:val="it-IT"/>
              </w:rPr>
            </w:pPr>
            <w:r>
              <w:rPr>
                <w:lang w:val="it-IT"/>
              </w:rPr>
              <w:t>OIC 21.38</w:t>
            </w:r>
          </w:p>
        </w:tc>
        <w:tc>
          <w:tcPr>
            <w:tcW w:w="7060" w:type="dxa"/>
            <w:tcMar>
              <w:left w:w="108" w:type="dxa"/>
            </w:tcMar>
          </w:tcPr>
          <w:p w:rsidR="0073099A" w:rsidRPr="00DC3093" w:rsidRDefault="0073099A" w:rsidP="00840B93">
            <w:pPr>
              <w:pStyle w:val="rientrotrattinook"/>
              <w:numPr>
                <w:ilvl w:val="0"/>
                <w:numId w:val="0"/>
              </w:numPr>
            </w:pPr>
            <w:r>
              <w:t>I piani e programmi predisposti hanno le caratteristiche di:</w:t>
            </w:r>
          </w:p>
        </w:tc>
        <w:tc>
          <w:tcPr>
            <w:tcW w:w="586" w:type="dxa"/>
            <w:tcMar>
              <w:left w:w="85" w:type="dxa"/>
              <w:right w:w="85" w:type="dxa"/>
            </w:tcMar>
            <w:vAlign w:val="center"/>
          </w:tcPr>
          <w:p w:rsidR="0073099A" w:rsidRPr="0073099A" w:rsidRDefault="0073099A" w:rsidP="00D73E98">
            <w:pPr>
              <w:jc w:val="center"/>
              <w:rPr>
                <w:lang w:val="it-IT"/>
              </w:rPr>
            </w:pPr>
          </w:p>
        </w:tc>
        <w:tc>
          <w:tcPr>
            <w:tcW w:w="573" w:type="dxa"/>
            <w:tcMar>
              <w:left w:w="108" w:type="dxa"/>
            </w:tcMar>
            <w:vAlign w:val="center"/>
          </w:tcPr>
          <w:p w:rsidR="0073099A" w:rsidRPr="0073099A" w:rsidRDefault="0073099A" w:rsidP="00D73E98">
            <w:pPr>
              <w:jc w:val="center"/>
              <w:rPr>
                <w:lang w:val="it-IT"/>
              </w:rPr>
            </w:pPr>
          </w:p>
        </w:tc>
        <w:tc>
          <w:tcPr>
            <w:tcW w:w="570" w:type="dxa"/>
            <w:tcMar>
              <w:left w:w="108" w:type="dxa"/>
            </w:tcMar>
            <w:vAlign w:val="center"/>
          </w:tcPr>
          <w:p w:rsidR="0073099A" w:rsidRPr="0073099A" w:rsidRDefault="0073099A" w:rsidP="00D73E98">
            <w:pPr>
              <w:jc w:val="center"/>
              <w:rPr>
                <w:lang w:val="it-IT"/>
              </w:rPr>
            </w:pP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Default="0073099A" w:rsidP="00E13709">
            <w:pPr>
              <w:pStyle w:val="rientrotrattinook"/>
              <w:tabs>
                <w:tab w:val="clear" w:pos="704"/>
              </w:tabs>
              <w:ind w:left="460" w:hanging="284"/>
            </w:pPr>
            <w:r>
              <w:t>concretezza;</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Default="0073099A" w:rsidP="00E13709">
            <w:pPr>
              <w:pStyle w:val="rientrotrattinook"/>
              <w:tabs>
                <w:tab w:val="clear" w:pos="704"/>
              </w:tabs>
              <w:ind w:left="460" w:hanging="284"/>
            </w:pPr>
            <w:r>
              <w:t>ragionevole possibilità di realizzazione (tecnica, economica, finanziaria);</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Default="0073099A" w:rsidP="00E13709">
            <w:pPr>
              <w:pStyle w:val="Puntoelenco"/>
              <w:tabs>
                <w:tab w:val="clear" w:pos="704"/>
              </w:tabs>
              <w:ind w:left="460" w:hanging="284"/>
            </w:pPr>
            <w:r>
              <w:t>brevità di attuazione?</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5B2DDF" w:rsidRDefault="0073099A" w:rsidP="00D73E98">
            <w:pPr>
              <w:jc w:val="center"/>
              <w:rPr>
                <w:b/>
                <w:highlight w:val="yellow"/>
                <w:lang w:val="it-IT"/>
              </w:rPr>
            </w:pPr>
          </w:p>
        </w:tc>
        <w:tc>
          <w:tcPr>
            <w:tcW w:w="851" w:type="dxa"/>
            <w:tcMar>
              <w:left w:w="108" w:type="dxa"/>
              <w:right w:w="0" w:type="dxa"/>
            </w:tcMar>
          </w:tcPr>
          <w:p w:rsidR="0073099A" w:rsidRPr="00335E2A" w:rsidRDefault="0073099A" w:rsidP="00D73E98">
            <w:pPr>
              <w:pStyle w:val="PrincCont"/>
              <w:jc w:val="left"/>
              <w:rPr>
                <w:highlight w:val="yellow"/>
                <w:lang w:val="it-IT"/>
              </w:rPr>
            </w:pPr>
            <w:r>
              <w:rPr>
                <w:lang w:val="it-IT"/>
              </w:rPr>
              <w:t>OIC 21.38</w:t>
            </w:r>
          </w:p>
        </w:tc>
        <w:tc>
          <w:tcPr>
            <w:tcW w:w="7060" w:type="dxa"/>
            <w:tcMar>
              <w:left w:w="108" w:type="dxa"/>
            </w:tcMar>
          </w:tcPr>
          <w:p w:rsidR="0073099A" w:rsidRPr="00335E2A" w:rsidRDefault="0073099A" w:rsidP="00D73E98">
            <w:pPr>
              <w:pStyle w:val="Commentiriquadro"/>
              <w:spacing w:line="180" w:lineRule="exact"/>
              <w:rPr>
                <w:highlight w:val="yellow"/>
              </w:rPr>
            </w:pPr>
            <w:r>
              <w:rPr>
                <w:lang w:eastAsia="it-IT"/>
              </w:rPr>
              <w:t>A questi fini, si ritiene necessario che i piani e i programmi operativi presentino le seguenti caratteristiche: a) risultino da deliberazioni degli organi societari; b) siano analitici così da individuare con precisione gli elementi di intervento e i benefici (qualificati in termini economici) che da essi si attendono; c) definiscano in modo esplicito il tempo entro cui il recupero dell'equilibrio economico è atteso, che deve collocarsi comunque in un arco ridotto di esercizi futuri.</w:t>
            </w:r>
          </w:p>
        </w:tc>
        <w:tc>
          <w:tcPr>
            <w:tcW w:w="586" w:type="dxa"/>
            <w:tcMar>
              <w:left w:w="85" w:type="dxa"/>
              <w:right w:w="85" w:type="dxa"/>
            </w:tcMar>
            <w:vAlign w:val="center"/>
          </w:tcPr>
          <w:p w:rsidR="0073099A" w:rsidRPr="00AD24E1" w:rsidRDefault="0073099A" w:rsidP="00D73E98">
            <w:pPr>
              <w:jc w:val="center"/>
              <w:rPr>
                <w:highlight w:val="yellow"/>
                <w:lang w:val="it-IT"/>
              </w:rPr>
            </w:pPr>
          </w:p>
        </w:tc>
        <w:tc>
          <w:tcPr>
            <w:tcW w:w="573" w:type="dxa"/>
            <w:tcMar>
              <w:left w:w="108" w:type="dxa"/>
            </w:tcMar>
            <w:vAlign w:val="center"/>
          </w:tcPr>
          <w:p w:rsidR="0073099A" w:rsidRPr="00AD24E1" w:rsidRDefault="0073099A" w:rsidP="00D73E98">
            <w:pPr>
              <w:jc w:val="center"/>
              <w:rPr>
                <w:highlight w:val="yellow"/>
                <w:lang w:val="it-IT"/>
              </w:rPr>
            </w:pPr>
          </w:p>
        </w:tc>
        <w:tc>
          <w:tcPr>
            <w:tcW w:w="570" w:type="dxa"/>
            <w:tcMar>
              <w:left w:w="108" w:type="dxa"/>
            </w:tcMar>
            <w:vAlign w:val="center"/>
          </w:tcPr>
          <w:p w:rsidR="0073099A" w:rsidRPr="00AD24E1" w:rsidRDefault="0073099A" w:rsidP="00D73E98">
            <w:pPr>
              <w:jc w:val="center"/>
              <w:rPr>
                <w:highlight w:val="yellow"/>
                <w:lang w:val="it-IT"/>
              </w:rPr>
            </w:pPr>
          </w:p>
        </w:tc>
      </w:tr>
      <w:tr w:rsidR="0073099A" w:rsidRPr="00CC242B" w:rsidTr="00D73E98">
        <w:trPr>
          <w:cantSplit/>
          <w:trHeight w:val="20"/>
        </w:trPr>
        <w:tc>
          <w:tcPr>
            <w:tcW w:w="680" w:type="dxa"/>
          </w:tcPr>
          <w:p w:rsidR="0073099A" w:rsidRPr="005B2DDF" w:rsidRDefault="0073099A" w:rsidP="00D73E98">
            <w:pPr>
              <w:jc w:val="center"/>
              <w:rPr>
                <w:b/>
                <w:highlight w:val="yellow"/>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21.39</w:t>
            </w:r>
          </w:p>
        </w:tc>
        <w:tc>
          <w:tcPr>
            <w:tcW w:w="7060" w:type="dxa"/>
            <w:tcMar>
              <w:left w:w="108" w:type="dxa"/>
            </w:tcMar>
          </w:tcPr>
          <w:p w:rsidR="0073099A" w:rsidRDefault="0073099A" w:rsidP="00D73E98">
            <w:pPr>
              <w:pStyle w:val="Commentiriquadro"/>
              <w:spacing w:line="180" w:lineRule="exact"/>
              <w:rPr>
                <w:lang w:eastAsia="it-IT"/>
              </w:rPr>
            </w:pPr>
            <w:r>
              <w:rPr>
                <w:lang w:eastAsia="it-IT"/>
              </w:rPr>
              <w:t>Nel caso in cui la partecipazione immobilizzata sia acquisita in sede di costituzione della società, oppure in sede di inizio di attività, e tale società nella fase di avvio relativo al primo esercizio consegua perdite, anche consistenti, è possibile non svalutare la partecipazione, in quanto la perdita non è da ritenere con carattere permanente, sempre che dall'esercizio successivo si possano trarre indicazioni di positivo cambiamento tali da consentire il ripianamento delle perdite precedenti e, comunque, i risultati e lo sviluppo dell'attività confermino i piani e i programmi aziendali.</w:t>
            </w:r>
          </w:p>
        </w:tc>
        <w:tc>
          <w:tcPr>
            <w:tcW w:w="586" w:type="dxa"/>
            <w:tcMar>
              <w:left w:w="85" w:type="dxa"/>
              <w:right w:w="85" w:type="dxa"/>
            </w:tcMar>
            <w:vAlign w:val="center"/>
          </w:tcPr>
          <w:p w:rsidR="0073099A" w:rsidRPr="00AD24E1" w:rsidRDefault="0073099A" w:rsidP="00D73E98">
            <w:pPr>
              <w:jc w:val="center"/>
              <w:rPr>
                <w:highlight w:val="yellow"/>
                <w:lang w:val="it-IT"/>
              </w:rPr>
            </w:pPr>
          </w:p>
        </w:tc>
        <w:tc>
          <w:tcPr>
            <w:tcW w:w="573" w:type="dxa"/>
            <w:tcMar>
              <w:left w:w="108" w:type="dxa"/>
            </w:tcMar>
            <w:vAlign w:val="center"/>
          </w:tcPr>
          <w:p w:rsidR="0073099A" w:rsidRPr="00AD24E1" w:rsidRDefault="0073099A" w:rsidP="00D73E98">
            <w:pPr>
              <w:jc w:val="center"/>
              <w:rPr>
                <w:highlight w:val="yellow"/>
                <w:lang w:val="it-IT"/>
              </w:rPr>
            </w:pPr>
          </w:p>
        </w:tc>
        <w:tc>
          <w:tcPr>
            <w:tcW w:w="570" w:type="dxa"/>
            <w:tcMar>
              <w:left w:w="108" w:type="dxa"/>
            </w:tcMar>
            <w:vAlign w:val="center"/>
          </w:tcPr>
          <w:p w:rsidR="0073099A" w:rsidRPr="00AD24E1" w:rsidRDefault="0073099A" w:rsidP="00D73E98">
            <w:pPr>
              <w:jc w:val="center"/>
              <w:rPr>
                <w:highlight w:val="yellow"/>
                <w:lang w:val="it-IT"/>
              </w:rPr>
            </w:pPr>
          </w:p>
        </w:tc>
      </w:tr>
      <w:tr w:rsidR="0073099A" w:rsidRPr="00AD24E1" w:rsidTr="00D73E98">
        <w:trPr>
          <w:cantSplit/>
          <w:trHeight w:val="20"/>
        </w:trPr>
        <w:tc>
          <w:tcPr>
            <w:tcW w:w="680" w:type="dxa"/>
          </w:tcPr>
          <w:p w:rsidR="0073099A" w:rsidRPr="005B2DDF" w:rsidRDefault="0073099A" w:rsidP="00D73E98">
            <w:pPr>
              <w:jc w:val="center"/>
              <w:rPr>
                <w:b/>
                <w:lang w:val="it-IT"/>
              </w:rPr>
            </w:pPr>
            <w:r w:rsidRPr="005B2DDF">
              <w:rPr>
                <w:b/>
                <w:lang w:val="it-IT"/>
              </w:rPr>
              <w:t>26)</w:t>
            </w:r>
          </w:p>
        </w:tc>
        <w:tc>
          <w:tcPr>
            <w:tcW w:w="851" w:type="dxa"/>
            <w:tcMar>
              <w:left w:w="108" w:type="dxa"/>
              <w:right w:w="0" w:type="dxa"/>
            </w:tcMar>
          </w:tcPr>
          <w:p w:rsidR="0073099A" w:rsidRPr="0085590A" w:rsidRDefault="0073099A" w:rsidP="00D73E98">
            <w:pPr>
              <w:pStyle w:val="PrincCont"/>
              <w:jc w:val="left"/>
              <w:rPr>
                <w:lang w:val="it-IT"/>
              </w:rPr>
            </w:pPr>
            <w:r w:rsidRPr="0085590A">
              <w:rPr>
                <w:lang w:val="it-IT"/>
              </w:rPr>
              <w:t>OIC 21.40</w:t>
            </w:r>
          </w:p>
        </w:tc>
        <w:tc>
          <w:tcPr>
            <w:tcW w:w="7060" w:type="dxa"/>
            <w:tcMar>
              <w:left w:w="108" w:type="dxa"/>
            </w:tcMar>
          </w:tcPr>
          <w:p w:rsidR="0073099A" w:rsidRPr="0085590A" w:rsidRDefault="0073099A" w:rsidP="00D73E98">
            <w:pPr>
              <w:spacing w:line="230" w:lineRule="exact"/>
              <w:rPr>
                <w:lang w:val="it-IT" w:eastAsia="it-IT"/>
              </w:rPr>
            </w:pPr>
            <w:r w:rsidRPr="0085590A">
              <w:rPr>
                <w:lang w:val="it-IT" w:eastAsia="it-IT"/>
              </w:rPr>
              <w:t xml:space="preserve">Accertata, in sede di formazione del bilancio, la perdita durevole di valore della partecipazione e determinato il suo valore recuperabile, è stato ridotto il valore di iscrizione in bilancio a tale minor valore? </w:t>
            </w:r>
          </w:p>
        </w:tc>
        <w:tc>
          <w:tcPr>
            <w:tcW w:w="586" w:type="dxa"/>
            <w:tcMar>
              <w:left w:w="85" w:type="dxa"/>
              <w:right w:w="85" w:type="dxa"/>
            </w:tcMar>
            <w:vAlign w:val="center"/>
          </w:tcPr>
          <w:p w:rsidR="0073099A" w:rsidRPr="0085590A" w:rsidRDefault="0073099A" w:rsidP="00D73E98">
            <w:pPr>
              <w:jc w:val="center"/>
              <w:rPr>
                <w:lang w:val="it-IT"/>
              </w:rPr>
            </w:pPr>
            <w:r w:rsidRPr="0085590A">
              <w:fldChar w:fldCharType="begin">
                <w:ffData>
                  <w:name w:val="Check4"/>
                  <w:enabled/>
                  <w:calcOnExit w:val="0"/>
                  <w:checkBox>
                    <w:sizeAuto/>
                    <w:default w:val="0"/>
                  </w:checkBox>
                </w:ffData>
              </w:fldChar>
            </w:r>
            <w:r w:rsidRPr="0085590A">
              <w:instrText xml:space="preserve"> FORMCHECKBOX </w:instrText>
            </w:r>
            <w:r w:rsidR="00CA1681">
              <w:fldChar w:fldCharType="separate"/>
            </w:r>
            <w:r w:rsidRPr="0085590A">
              <w:fldChar w:fldCharType="end"/>
            </w:r>
          </w:p>
        </w:tc>
        <w:tc>
          <w:tcPr>
            <w:tcW w:w="573" w:type="dxa"/>
            <w:tcMar>
              <w:left w:w="108" w:type="dxa"/>
            </w:tcMar>
            <w:vAlign w:val="center"/>
          </w:tcPr>
          <w:p w:rsidR="0073099A" w:rsidRPr="0085590A" w:rsidRDefault="0073099A" w:rsidP="00D73E98">
            <w:pPr>
              <w:jc w:val="center"/>
              <w:rPr>
                <w:lang w:val="it-IT"/>
              </w:rPr>
            </w:pPr>
            <w:r w:rsidRPr="0085590A">
              <w:fldChar w:fldCharType="begin">
                <w:ffData>
                  <w:name w:val="Check4"/>
                  <w:enabled/>
                  <w:calcOnExit w:val="0"/>
                  <w:checkBox>
                    <w:sizeAuto/>
                    <w:default w:val="0"/>
                  </w:checkBox>
                </w:ffData>
              </w:fldChar>
            </w:r>
            <w:r w:rsidRPr="0085590A">
              <w:instrText xml:space="preserve"> FORMCHECKBOX </w:instrText>
            </w:r>
            <w:r w:rsidR="00CA1681">
              <w:fldChar w:fldCharType="separate"/>
            </w:r>
            <w:r w:rsidRPr="0085590A">
              <w:fldChar w:fldCharType="end"/>
            </w:r>
          </w:p>
        </w:tc>
        <w:tc>
          <w:tcPr>
            <w:tcW w:w="570" w:type="dxa"/>
            <w:tcMar>
              <w:left w:w="108" w:type="dxa"/>
            </w:tcMar>
            <w:vAlign w:val="center"/>
          </w:tcPr>
          <w:p w:rsidR="0073099A" w:rsidRPr="0085590A" w:rsidRDefault="0073099A" w:rsidP="00D73E98">
            <w:pPr>
              <w:jc w:val="center"/>
              <w:rPr>
                <w:lang w:val="it-IT"/>
              </w:rPr>
            </w:pPr>
            <w:r w:rsidRPr="0085590A">
              <w:fldChar w:fldCharType="begin">
                <w:ffData>
                  <w:name w:val="Check4"/>
                  <w:enabled/>
                  <w:calcOnExit w:val="0"/>
                  <w:checkBox>
                    <w:sizeAuto/>
                    <w:default w:val="0"/>
                  </w:checkBox>
                </w:ffData>
              </w:fldChar>
            </w:r>
            <w:r w:rsidRPr="0085590A">
              <w:instrText xml:space="preserve"> FORMCHECKBOX </w:instrText>
            </w:r>
            <w:r w:rsidR="00CA1681">
              <w:fldChar w:fldCharType="separate"/>
            </w:r>
            <w:r w:rsidRPr="0085590A">
              <w:fldChar w:fldCharType="end"/>
            </w:r>
          </w:p>
        </w:tc>
      </w:tr>
      <w:tr w:rsidR="0073099A" w:rsidRPr="00AD24E1" w:rsidTr="00D73E98">
        <w:trPr>
          <w:cantSplit/>
          <w:trHeight w:val="20"/>
        </w:trPr>
        <w:tc>
          <w:tcPr>
            <w:tcW w:w="680" w:type="dxa"/>
          </w:tcPr>
          <w:p w:rsidR="0073099A" w:rsidRPr="005B2DDF" w:rsidRDefault="0073099A" w:rsidP="00D73E98">
            <w:pPr>
              <w:jc w:val="center"/>
              <w:rPr>
                <w:b/>
                <w:lang w:val="it-IT"/>
              </w:rPr>
            </w:pPr>
            <w:r w:rsidRPr="005B2DDF">
              <w:rPr>
                <w:b/>
                <w:lang w:val="it-IT"/>
              </w:rPr>
              <w:t>27)</w:t>
            </w:r>
          </w:p>
        </w:tc>
        <w:tc>
          <w:tcPr>
            <w:tcW w:w="851" w:type="dxa"/>
            <w:tcMar>
              <w:left w:w="108" w:type="dxa"/>
              <w:right w:w="0" w:type="dxa"/>
            </w:tcMar>
          </w:tcPr>
          <w:p w:rsidR="0073099A" w:rsidRPr="0085590A" w:rsidRDefault="0073099A" w:rsidP="00D73E98">
            <w:pPr>
              <w:pStyle w:val="PrincCont"/>
              <w:jc w:val="left"/>
              <w:rPr>
                <w:lang w:val="it-IT"/>
              </w:rPr>
            </w:pPr>
            <w:r w:rsidRPr="0085590A">
              <w:rPr>
                <w:lang w:val="it-IT"/>
              </w:rPr>
              <w:t>OIC 21.40</w:t>
            </w:r>
          </w:p>
        </w:tc>
        <w:tc>
          <w:tcPr>
            <w:tcW w:w="7060" w:type="dxa"/>
            <w:tcMar>
              <w:left w:w="108" w:type="dxa"/>
            </w:tcMar>
          </w:tcPr>
          <w:p w:rsidR="0073099A" w:rsidRPr="0085590A" w:rsidRDefault="0073099A" w:rsidP="00D73E98">
            <w:pPr>
              <w:spacing w:line="230" w:lineRule="exact"/>
              <w:rPr>
                <w:lang w:val="it-IT" w:eastAsia="it-IT"/>
              </w:rPr>
            </w:pPr>
            <w:r w:rsidRPr="0085590A">
              <w:rPr>
                <w:lang w:val="it-IT" w:eastAsia="it-IT"/>
              </w:rPr>
              <w:t>Nel caso in cui la società partecipante sia obbligata a farsi carico della copertura delle perdite conseguite dalla partecipata è stata considerata la necessità di un accantonamento al passivo per poter far fronte, per la quota di competenza, alla copertura del deficit patrimoniale della partecipata?</w:t>
            </w:r>
          </w:p>
        </w:tc>
        <w:tc>
          <w:tcPr>
            <w:tcW w:w="586" w:type="dxa"/>
            <w:tcMar>
              <w:left w:w="85" w:type="dxa"/>
              <w:right w:w="85" w:type="dxa"/>
            </w:tcMar>
            <w:vAlign w:val="center"/>
          </w:tcPr>
          <w:p w:rsidR="0073099A" w:rsidRPr="0085590A" w:rsidRDefault="0073099A" w:rsidP="00D73E98">
            <w:pPr>
              <w:jc w:val="center"/>
              <w:rPr>
                <w:lang w:val="it-IT"/>
              </w:rPr>
            </w:pPr>
            <w:r w:rsidRPr="0085590A">
              <w:fldChar w:fldCharType="begin">
                <w:ffData>
                  <w:name w:val="Check4"/>
                  <w:enabled/>
                  <w:calcOnExit w:val="0"/>
                  <w:checkBox>
                    <w:sizeAuto/>
                    <w:default w:val="0"/>
                  </w:checkBox>
                </w:ffData>
              </w:fldChar>
            </w:r>
            <w:r w:rsidRPr="0085590A">
              <w:instrText xml:space="preserve"> FORMCHECKBOX </w:instrText>
            </w:r>
            <w:r w:rsidR="00CA1681">
              <w:fldChar w:fldCharType="separate"/>
            </w:r>
            <w:r w:rsidRPr="0085590A">
              <w:fldChar w:fldCharType="end"/>
            </w:r>
          </w:p>
        </w:tc>
        <w:tc>
          <w:tcPr>
            <w:tcW w:w="573" w:type="dxa"/>
            <w:tcMar>
              <w:left w:w="108" w:type="dxa"/>
            </w:tcMar>
            <w:vAlign w:val="center"/>
          </w:tcPr>
          <w:p w:rsidR="0073099A" w:rsidRPr="0085590A" w:rsidRDefault="0073099A" w:rsidP="00D73E98">
            <w:pPr>
              <w:jc w:val="center"/>
              <w:rPr>
                <w:lang w:val="it-IT"/>
              </w:rPr>
            </w:pPr>
            <w:r w:rsidRPr="0085590A">
              <w:fldChar w:fldCharType="begin">
                <w:ffData>
                  <w:name w:val="Check4"/>
                  <w:enabled/>
                  <w:calcOnExit w:val="0"/>
                  <w:checkBox>
                    <w:sizeAuto/>
                    <w:default w:val="0"/>
                  </w:checkBox>
                </w:ffData>
              </w:fldChar>
            </w:r>
            <w:r w:rsidRPr="0085590A">
              <w:instrText xml:space="preserve"> FORMCHECKBOX </w:instrText>
            </w:r>
            <w:r w:rsidR="00CA1681">
              <w:fldChar w:fldCharType="separate"/>
            </w:r>
            <w:r w:rsidRPr="0085590A">
              <w:fldChar w:fldCharType="end"/>
            </w:r>
          </w:p>
        </w:tc>
        <w:tc>
          <w:tcPr>
            <w:tcW w:w="570" w:type="dxa"/>
            <w:tcMar>
              <w:left w:w="108" w:type="dxa"/>
            </w:tcMar>
            <w:vAlign w:val="center"/>
          </w:tcPr>
          <w:p w:rsidR="0073099A" w:rsidRPr="0085590A" w:rsidRDefault="0073099A" w:rsidP="00D73E98">
            <w:pPr>
              <w:jc w:val="center"/>
              <w:rPr>
                <w:lang w:val="it-IT"/>
              </w:rPr>
            </w:pPr>
            <w:r w:rsidRPr="0085590A">
              <w:fldChar w:fldCharType="begin">
                <w:ffData>
                  <w:name w:val="Check4"/>
                  <w:enabled/>
                  <w:calcOnExit w:val="0"/>
                  <w:checkBox>
                    <w:sizeAuto/>
                    <w:default w:val="0"/>
                  </w:checkBox>
                </w:ffData>
              </w:fldChar>
            </w:r>
            <w:r w:rsidRPr="0085590A">
              <w:instrText xml:space="preserve"> FORMCHECKBOX </w:instrText>
            </w:r>
            <w:r w:rsidR="00CA1681">
              <w:fldChar w:fldCharType="separate"/>
            </w:r>
            <w:r w:rsidRPr="0085590A">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28)</w:t>
            </w:r>
          </w:p>
        </w:tc>
        <w:tc>
          <w:tcPr>
            <w:tcW w:w="851" w:type="dxa"/>
            <w:tcMar>
              <w:left w:w="108" w:type="dxa"/>
              <w:right w:w="0" w:type="dxa"/>
            </w:tcMar>
          </w:tcPr>
          <w:p w:rsidR="0073099A" w:rsidRPr="00F75626" w:rsidRDefault="0073099A" w:rsidP="00D73E98">
            <w:pPr>
              <w:pStyle w:val="PrincCont"/>
              <w:jc w:val="left"/>
              <w:rPr>
                <w:lang w:val="it-IT"/>
              </w:rPr>
            </w:pPr>
            <w:r w:rsidRPr="00F75626">
              <w:rPr>
                <w:lang w:val="it-IT"/>
              </w:rPr>
              <w:t>OIC 21.41</w:t>
            </w:r>
          </w:p>
        </w:tc>
        <w:tc>
          <w:tcPr>
            <w:tcW w:w="7060" w:type="dxa"/>
            <w:tcMar>
              <w:left w:w="108" w:type="dxa"/>
            </w:tcMar>
          </w:tcPr>
          <w:p w:rsidR="0073099A" w:rsidRPr="00F75626" w:rsidRDefault="0073099A" w:rsidP="00D73E98">
            <w:pPr>
              <w:spacing w:line="240" w:lineRule="exact"/>
              <w:rPr>
                <w:lang w:val="it-IT"/>
              </w:rPr>
            </w:pPr>
            <w:r w:rsidRPr="00F75626">
              <w:rPr>
                <w:lang w:val="it-IT"/>
              </w:rPr>
              <w:t>La riduzione di valore è stata interamente imputata all'esercizio in cui è accertata?</w:t>
            </w:r>
          </w:p>
        </w:tc>
        <w:tc>
          <w:tcPr>
            <w:tcW w:w="586" w:type="dxa"/>
            <w:tcMar>
              <w:left w:w="85" w:type="dxa"/>
              <w:right w:w="85" w:type="dxa"/>
            </w:tcMar>
            <w:vAlign w:val="center"/>
          </w:tcPr>
          <w:p w:rsidR="0073099A" w:rsidRPr="00F75626" w:rsidRDefault="0073099A" w:rsidP="00D73E98">
            <w:pPr>
              <w:jc w:val="center"/>
              <w:rPr>
                <w:lang w:val="it-IT"/>
              </w:rPr>
            </w:pPr>
            <w:r w:rsidRPr="00F75626">
              <w:fldChar w:fldCharType="begin">
                <w:ffData>
                  <w:name w:val="Check4"/>
                  <w:enabled/>
                  <w:calcOnExit w:val="0"/>
                  <w:checkBox>
                    <w:sizeAuto/>
                    <w:default w:val="0"/>
                  </w:checkBox>
                </w:ffData>
              </w:fldChar>
            </w:r>
            <w:r w:rsidRPr="00F75626">
              <w:instrText xml:space="preserve"> FORMCHECKBOX </w:instrText>
            </w:r>
            <w:r w:rsidR="00CA1681">
              <w:fldChar w:fldCharType="separate"/>
            </w:r>
            <w:r w:rsidRPr="00F75626">
              <w:fldChar w:fldCharType="end"/>
            </w:r>
          </w:p>
        </w:tc>
        <w:tc>
          <w:tcPr>
            <w:tcW w:w="573" w:type="dxa"/>
            <w:tcMar>
              <w:left w:w="108" w:type="dxa"/>
            </w:tcMar>
            <w:vAlign w:val="center"/>
          </w:tcPr>
          <w:p w:rsidR="0073099A" w:rsidRPr="00F75626" w:rsidRDefault="0073099A" w:rsidP="00D73E98">
            <w:pPr>
              <w:jc w:val="center"/>
              <w:rPr>
                <w:lang w:val="it-IT"/>
              </w:rPr>
            </w:pPr>
            <w:r w:rsidRPr="00F75626">
              <w:fldChar w:fldCharType="begin">
                <w:ffData>
                  <w:name w:val="Check4"/>
                  <w:enabled/>
                  <w:calcOnExit w:val="0"/>
                  <w:checkBox>
                    <w:sizeAuto/>
                    <w:default w:val="0"/>
                  </w:checkBox>
                </w:ffData>
              </w:fldChar>
            </w:r>
            <w:r w:rsidRPr="00F75626">
              <w:instrText xml:space="preserve"> FORMCHECKBOX </w:instrText>
            </w:r>
            <w:r w:rsidR="00CA1681">
              <w:fldChar w:fldCharType="separate"/>
            </w:r>
            <w:r w:rsidRPr="00F75626">
              <w:fldChar w:fldCharType="end"/>
            </w:r>
          </w:p>
        </w:tc>
        <w:tc>
          <w:tcPr>
            <w:tcW w:w="570" w:type="dxa"/>
            <w:tcMar>
              <w:left w:w="108" w:type="dxa"/>
            </w:tcMar>
            <w:vAlign w:val="center"/>
          </w:tcPr>
          <w:p w:rsidR="0073099A" w:rsidRPr="00A32A16" w:rsidRDefault="0073099A" w:rsidP="00D73E98">
            <w:pPr>
              <w:jc w:val="center"/>
              <w:rPr>
                <w:lang w:val="it-IT"/>
              </w:rPr>
            </w:pPr>
            <w:r w:rsidRPr="00F75626">
              <w:fldChar w:fldCharType="begin">
                <w:ffData>
                  <w:name w:val="Check4"/>
                  <w:enabled/>
                  <w:calcOnExit w:val="0"/>
                  <w:checkBox>
                    <w:sizeAuto/>
                    <w:default w:val="0"/>
                  </w:checkBox>
                </w:ffData>
              </w:fldChar>
            </w:r>
            <w:r w:rsidRPr="00F75626">
              <w:instrText xml:space="preserve"> FORMCHECKBOX </w:instrText>
            </w:r>
            <w:r w:rsidR="00CA1681">
              <w:fldChar w:fldCharType="separate"/>
            </w:r>
            <w:r w:rsidRPr="00F75626">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Pr="00F75626" w:rsidRDefault="0073099A" w:rsidP="00D73E98">
            <w:pPr>
              <w:pStyle w:val="PrincCont"/>
              <w:jc w:val="left"/>
              <w:rPr>
                <w:lang w:val="it-IT"/>
              </w:rPr>
            </w:pPr>
          </w:p>
        </w:tc>
        <w:tc>
          <w:tcPr>
            <w:tcW w:w="7060" w:type="dxa"/>
            <w:tcMar>
              <w:left w:w="108" w:type="dxa"/>
            </w:tcMar>
          </w:tcPr>
          <w:p w:rsidR="0073099A" w:rsidRPr="00F75626" w:rsidRDefault="0073099A" w:rsidP="00D73E98">
            <w:pPr>
              <w:pStyle w:val="Titolo4"/>
            </w:pPr>
            <w:r w:rsidRPr="00FE0FCE">
              <w:rPr>
                <w:lang w:val="en-US"/>
              </w:rPr>
              <w:t>Ripristino di valore</w:t>
            </w:r>
          </w:p>
        </w:tc>
        <w:tc>
          <w:tcPr>
            <w:tcW w:w="586" w:type="dxa"/>
            <w:tcMar>
              <w:left w:w="85" w:type="dxa"/>
              <w:right w:w="85" w:type="dxa"/>
            </w:tcMar>
            <w:vAlign w:val="center"/>
          </w:tcPr>
          <w:p w:rsidR="0073099A" w:rsidRPr="00F75626" w:rsidRDefault="0073099A" w:rsidP="00D73E98">
            <w:pPr>
              <w:jc w:val="center"/>
            </w:pPr>
          </w:p>
        </w:tc>
        <w:tc>
          <w:tcPr>
            <w:tcW w:w="573" w:type="dxa"/>
            <w:tcMar>
              <w:left w:w="108" w:type="dxa"/>
            </w:tcMar>
            <w:vAlign w:val="center"/>
          </w:tcPr>
          <w:p w:rsidR="0073099A" w:rsidRPr="00F75626" w:rsidRDefault="0073099A" w:rsidP="00D73E98">
            <w:pPr>
              <w:jc w:val="center"/>
            </w:pPr>
          </w:p>
        </w:tc>
        <w:tc>
          <w:tcPr>
            <w:tcW w:w="570" w:type="dxa"/>
            <w:tcMar>
              <w:left w:w="108" w:type="dxa"/>
            </w:tcMar>
            <w:vAlign w:val="center"/>
          </w:tcPr>
          <w:p w:rsidR="0073099A" w:rsidRPr="00F75626" w:rsidRDefault="0073099A" w:rsidP="00D73E98">
            <w:pPr>
              <w:jc w:val="center"/>
            </w:pPr>
          </w:p>
        </w:tc>
      </w:tr>
      <w:tr w:rsidR="0073099A" w:rsidRPr="00F75626" w:rsidTr="00D73E98">
        <w:trPr>
          <w:cantSplit/>
          <w:trHeight w:val="682"/>
        </w:trPr>
        <w:tc>
          <w:tcPr>
            <w:tcW w:w="680" w:type="dxa"/>
          </w:tcPr>
          <w:p w:rsidR="0073099A" w:rsidRPr="005B2DDF" w:rsidRDefault="0073099A" w:rsidP="00D73E98">
            <w:pPr>
              <w:jc w:val="center"/>
              <w:rPr>
                <w:b/>
                <w:lang w:val="it-IT"/>
              </w:rPr>
            </w:pPr>
            <w:r w:rsidRPr="005B2DDF">
              <w:rPr>
                <w:b/>
                <w:lang w:val="it-IT"/>
              </w:rPr>
              <w:t>29)</w:t>
            </w:r>
          </w:p>
        </w:tc>
        <w:tc>
          <w:tcPr>
            <w:tcW w:w="851" w:type="dxa"/>
            <w:tcMar>
              <w:left w:w="108" w:type="dxa"/>
              <w:right w:w="0" w:type="dxa"/>
            </w:tcMar>
          </w:tcPr>
          <w:p w:rsidR="0073099A" w:rsidRPr="00F75626" w:rsidRDefault="0073099A" w:rsidP="00D73E98">
            <w:pPr>
              <w:pStyle w:val="PrincCont"/>
              <w:jc w:val="left"/>
              <w:rPr>
                <w:lang w:val="it-IT"/>
              </w:rPr>
            </w:pPr>
            <w:r w:rsidRPr="00F75626">
              <w:rPr>
                <w:lang w:val="it-IT"/>
              </w:rPr>
              <w:t>OIC 21.42</w:t>
            </w:r>
            <w:r>
              <w:rPr>
                <w:lang w:val="it-IT"/>
              </w:rPr>
              <w:t xml:space="preserve">  </w:t>
            </w:r>
            <w:r w:rsidRPr="00F75626">
              <w:rPr>
                <w:lang w:val="it-IT"/>
              </w:rPr>
              <w:t>OIC 21.43</w:t>
            </w:r>
          </w:p>
        </w:tc>
        <w:tc>
          <w:tcPr>
            <w:tcW w:w="7060" w:type="dxa"/>
            <w:tcMar>
              <w:left w:w="108" w:type="dxa"/>
            </w:tcMar>
          </w:tcPr>
          <w:p w:rsidR="0073099A" w:rsidRPr="00F75626" w:rsidRDefault="0073099A" w:rsidP="00D73E98">
            <w:pPr>
              <w:spacing w:line="230" w:lineRule="exact"/>
              <w:rPr>
                <w:lang w:val="it-IT"/>
              </w:rPr>
            </w:pPr>
            <w:r w:rsidRPr="00F75626">
              <w:rPr>
                <w:lang w:val="it-IT"/>
              </w:rPr>
              <w:t>Nel caso in cui siano venute meno le ragioni che avevano indotto l’organo ammin</w:t>
            </w:r>
            <w:r>
              <w:rPr>
                <w:lang w:val="it-IT"/>
              </w:rPr>
              <w:t>i</w:t>
            </w:r>
            <w:r w:rsidRPr="00F75626">
              <w:rPr>
                <w:lang w:val="it-IT"/>
              </w:rPr>
              <w:t xml:space="preserve">strativo a svalutare in precedenza una partecipazione immobilizzata, è stato effettuato il ripristino di valore parziale o totale, fino a concorrenza al massimo del costo originario? </w:t>
            </w:r>
          </w:p>
        </w:tc>
        <w:tc>
          <w:tcPr>
            <w:tcW w:w="586" w:type="dxa"/>
            <w:tcMar>
              <w:left w:w="85" w:type="dxa"/>
              <w:right w:w="85" w:type="dxa"/>
            </w:tcMar>
            <w:vAlign w:val="center"/>
          </w:tcPr>
          <w:p w:rsidR="0073099A" w:rsidRPr="00F75626" w:rsidRDefault="0073099A" w:rsidP="00D73E98">
            <w:pPr>
              <w:jc w:val="center"/>
              <w:rPr>
                <w:lang w:val="it-IT"/>
              </w:rPr>
            </w:pPr>
            <w:r w:rsidRPr="00F75626">
              <w:fldChar w:fldCharType="begin">
                <w:ffData>
                  <w:name w:val="Check4"/>
                  <w:enabled/>
                  <w:calcOnExit w:val="0"/>
                  <w:checkBox>
                    <w:sizeAuto/>
                    <w:default w:val="0"/>
                  </w:checkBox>
                </w:ffData>
              </w:fldChar>
            </w:r>
            <w:r w:rsidRPr="00F75626">
              <w:rPr>
                <w:lang w:val="it-IT"/>
              </w:rPr>
              <w:instrText xml:space="preserve"> FORMCHECKBOX </w:instrText>
            </w:r>
            <w:r w:rsidR="00CA1681">
              <w:fldChar w:fldCharType="separate"/>
            </w:r>
            <w:r w:rsidRPr="00F75626">
              <w:fldChar w:fldCharType="end"/>
            </w:r>
          </w:p>
        </w:tc>
        <w:tc>
          <w:tcPr>
            <w:tcW w:w="573" w:type="dxa"/>
            <w:tcMar>
              <w:left w:w="108" w:type="dxa"/>
            </w:tcMar>
            <w:vAlign w:val="center"/>
          </w:tcPr>
          <w:p w:rsidR="0073099A" w:rsidRPr="00F75626" w:rsidRDefault="0073099A" w:rsidP="00D73E98">
            <w:pPr>
              <w:jc w:val="center"/>
              <w:rPr>
                <w:lang w:val="it-IT"/>
              </w:rPr>
            </w:pPr>
            <w:r w:rsidRPr="00F75626">
              <w:fldChar w:fldCharType="begin">
                <w:ffData>
                  <w:name w:val="Check4"/>
                  <w:enabled/>
                  <w:calcOnExit w:val="0"/>
                  <w:checkBox>
                    <w:sizeAuto/>
                    <w:default w:val="0"/>
                  </w:checkBox>
                </w:ffData>
              </w:fldChar>
            </w:r>
            <w:r w:rsidRPr="00F75626">
              <w:rPr>
                <w:lang w:val="it-IT"/>
              </w:rPr>
              <w:instrText xml:space="preserve"> FORMCHECKBOX </w:instrText>
            </w:r>
            <w:r w:rsidR="00CA1681">
              <w:fldChar w:fldCharType="separate"/>
            </w:r>
            <w:r w:rsidRPr="00F75626">
              <w:fldChar w:fldCharType="end"/>
            </w:r>
          </w:p>
        </w:tc>
        <w:tc>
          <w:tcPr>
            <w:tcW w:w="570" w:type="dxa"/>
            <w:tcMar>
              <w:left w:w="108" w:type="dxa"/>
            </w:tcMar>
            <w:vAlign w:val="center"/>
          </w:tcPr>
          <w:p w:rsidR="0073099A" w:rsidRPr="00F75626" w:rsidRDefault="0073099A" w:rsidP="00D73E98">
            <w:pPr>
              <w:jc w:val="center"/>
              <w:rPr>
                <w:lang w:val="it-IT"/>
              </w:rPr>
            </w:pPr>
            <w:r w:rsidRPr="00F75626">
              <w:fldChar w:fldCharType="begin">
                <w:ffData>
                  <w:name w:val="Check4"/>
                  <w:enabled/>
                  <w:calcOnExit w:val="0"/>
                  <w:checkBox>
                    <w:sizeAuto/>
                    <w:default w:val="0"/>
                  </w:checkBox>
                </w:ffData>
              </w:fldChar>
            </w:r>
            <w:r w:rsidRPr="00F75626">
              <w:rPr>
                <w:lang w:val="it-IT"/>
              </w:rPr>
              <w:instrText xml:space="preserve"> FORMCHECKBOX </w:instrText>
            </w:r>
            <w:r w:rsidR="00CA1681">
              <w:fldChar w:fldCharType="separate"/>
            </w:r>
            <w:r w:rsidRPr="00F75626">
              <w:fldChar w:fldCharType="end"/>
            </w:r>
          </w:p>
        </w:tc>
      </w:tr>
      <w:tr w:rsidR="0073099A" w:rsidRPr="00CC242B"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Pr="00F75626" w:rsidRDefault="0073099A" w:rsidP="00D73E98">
            <w:pPr>
              <w:pStyle w:val="PrincCont"/>
              <w:jc w:val="left"/>
              <w:rPr>
                <w:lang w:val="it-IT"/>
              </w:rPr>
            </w:pPr>
            <w:r w:rsidRPr="00F75626">
              <w:rPr>
                <w:lang w:val="it-IT"/>
              </w:rPr>
              <w:t>OIC 21.43</w:t>
            </w:r>
          </w:p>
          <w:p w:rsidR="0073099A" w:rsidRPr="00F75626" w:rsidRDefault="0073099A" w:rsidP="00D73E98">
            <w:pPr>
              <w:pStyle w:val="PrincCont"/>
              <w:jc w:val="left"/>
              <w:rPr>
                <w:lang w:val="it-IT"/>
              </w:rPr>
            </w:pPr>
          </w:p>
        </w:tc>
        <w:tc>
          <w:tcPr>
            <w:tcW w:w="7060" w:type="dxa"/>
            <w:tcMar>
              <w:left w:w="108" w:type="dxa"/>
            </w:tcMar>
          </w:tcPr>
          <w:p w:rsidR="0073099A" w:rsidRPr="00F75626" w:rsidRDefault="0073099A" w:rsidP="00D73E98">
            <w:pPr>
              <w:pStyle w:val="Commentiriquadro"/>
              <w:spacing w:line="180" w:lineRule="exact"/>
              <w:rPr>
                <w:sz w:val="20"/>
              </w:rPr>
            </w:pPr>
            <w:r w:rsidRPr="00F75626">
              <w:rPr>
                <w:lang w:eastAsia="it-IT"/>
              </w:rPr>
              <w:t>Qualora le ragioni dell'originaria svalutazione vengano meno, anziché per intero in un unico momento, gradualmente in più esercizi successivi, il ripristino di valore è attuato per l'ammontare corrispondente.</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473F42" w:rsidRDefault="0073099A" w:rsidP="00D73E98">
            <w:pPr>
              <w:pStyle w:val="Titolo3"/>
              <w:jc w:val="left"/>
            </w:pPr>
            <w:r w:rsidRPr="00473F42">
              <w:t>Partecipazioni non immobilizzate</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473F42" w:rsidRDefault="0073099A" w:rsidP="00D73E98">
            <w:pPr>
              <w:pStyle w:val="Titolo4"/>
            </w:pPr>
            <w:r w:rsidRPr="00530652">
              <w:rPr>
                <w:lang w:val="en-US"/>
              </w:rPr>
              <w:t>Considerazioni generali</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580CEA" w:rsidTr="00D73E98">
        <w:trPr>
          <w:cantSplit/>
          <w:trHeight w:val="20"/>
        </w:trPr>
        <w:tc>
          <w:tcPr>
            <w:tcW w:w="680" w:type="dxa"/>
          </w:tcPr>
          <w:p w:rsidR="0073099A" w:rsidRPr="005B2DDF" w:rsidRDefault="0073099A" w:rsidP="00D73E98">
            <w:pPr>
              <w:jc w:val="center"/>
              <w:rPr>
                <w:b/>
                <w:lang w:val="it-IT"/>
              </w:rPr>
            </w:pPr>
            <w:r w:rsidRPr="005B2DDF">
              <w:rPr>
                <w:b/>
                <w:lang w:val="it-IT"/>
              </w:rPr>
              <w:t>30)</w:t>
            </w:r>
          </w:p>
        </w:tc>
        <w:tc>
          <w:tcPr>
            <w:tcW w:w="851" w:type="dxa"/>
            <w:tcMar>
              <w:left w:w="108" w:type="dxa"/>
              <w:right w:w="0" w:type="dxa"/>
            </w:tcMar>
          </w:tcPr>
          <w:p w:rsidR="0073099A" w:rsidRDefault="0073099A" w:rsidP="00D73E98">
            <w:pPr>
              <w:pStyle w:val="PrincCont"/>
              <w:jc w:val="left"/>
              <w:rPr>
                <w:lang w:val="it-IT"/>
              </w:rPr>
            </w:pPr>
            <w:r>
              <w:rPr>
                <w:lang w:val="it-IT"/>
              </w:rPr>
              <w:t>OIC 21.44</w:t>
            </w:r>
          </w:p>
        </w:tc>
        <w:tc>
          <w:tcPr>
            <w:tcW w:w="7060" w:type="dxa"/>
            <w:tcMar>
              <w:left w:w="108" w:type="dxa"/>
            </w:tcMar>
          </w:tcPr>
          <w:p w:rsidR="0073099A" w:rsidRPr="00242571" w:rsidRDefault="0073099A" w:rsidP="00D73E98">
            <w:pPr>
              <w:spacing w:line="230" w:lineRule="exact"/>
              <w:rPr>
                <w:lang w:val="it-IT"/>
              </w:rPr>
            </w:pPr>
            <w:r w:rsidRPr="00242571">
              <w:rPr>
                <w:lang w:val="it-IT"/>
              </w:rPr>
              <w:t>Le partecipazioni non immobilizzate sono state valutate in base al minor</w:t>
            </w:r>
            <w:r>
              <w:rPr>
                <w:lang w:val="it-IT"/>
              </w:rPr>
              <w:t xml:space="preserve"> valore fra il costo d’acquisto </w:t>
            </w:r>
            <w:r w:rsidRPr="00242571">
              <w:rPr>
                <w:lang w:val="it-IT"/>
              </w:rPr>
              <w:t>e il valore di realiz</w:t>
            </w:r>
            <w:r>
              <w:rPr>
                <w:lang w:val="it-IT"/>
              </w:rPr>
              <w:t>zazione desumibile dall'andament</w:t>
            </w:r>
            <w:r w:rsidRPr="00242571">
              <w:rPr>
                <w:lang w:val="it-IT"/>
              </w:rPr>
              <w:t>o del mercato?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2C4DEA">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2C4DEA">
              <w:rPr>
                <w:lang w:val="it-IT"/>
              </w:rP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2C4DEA">
              <w:rPr>
                <w:lang w:val="it-IT"/>
              </w:rPr>
              <w:instrText xml:space="preserve"> FORMCHECKBOX </w:instrText>
            </w:r>
            <w:r w:rsidR="00CA1681">
              <w:fldChar w:fldCharType="separate"/>
            </w:r>
            <w:r>
              <w:fldChar w:fldCharType="end"/>
            </w:r>
          </w:p>
        </w:tc>
      </w:tr>
      <w:tr w:rsidR="0073099A" w:rsidRPr="004D5D34"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Pr="009C2E8F" w:rsidRDefault="0073099A" w:rsidP="00D73E98">
            <w:pPr>
              <w:pStyle w:val="PrincCont"/>
              <w:jc w:val="left"/>
            </w:pPr>
            <w:r w:rsidRPr="009C2E8F">
              <w:t>Art. 2426, c.1, n.10</w:t>
            </w:r>
            <w:r>
              <w:t xml:space="preserve"> </w:t>
            </w:r>
            <w:r w:rsidRPr="009C2E8F">
              <w:t>CC</w:t>
            </w:r>
            <w:r>
              <w:t xml:space="preserve">      </w:t>
            </w:r>
            <w:r w:rsidRPr="009C2E8F">
              <w:t>OIC 21.45</w:t>
            </w:r>
          </w:p>
          <w:p w:rsidR="0073099A" w:rsidRPr="009C2E8F" w:rsidRDefault="0073099A" w:rsidP="00D73E98">
            <w:pPr>
              <w:pStyle w:val="PrincCont"/>
              <w:jc w:val="left"/>
            </w:pPr>
          </w:p>
        </w:tc>
        <w:tc>
          <w:tcPr>
            <w:tcW w:w="7060" w:type="dxa"/>
            <w:tcMar>
              <w:left w:w="108" w:type="dxa"/>
            </w:tcMar>
          </w:tcPr>
          <w:p w:rsidR="0073099A" w:rsidRPr="00293B7D" w:rsidRDefault="0073099A" w:rsidP="00D73E98">
            <w:pPr>
              <w:pStyle w:val="Commentiriquadro"/>
              <w:rPr>
                <w:lang w:val="en-GB"/>
              </w:rPr>
            </w:pPr>
            <w:r w:rsidRPr="00293B7D">
              <w:t xml:space="preserve">Il metodo generale per la valutazione delle partecipazioni è quello del costo specifico, che presuppone l'individuazione e l'attribuzione ai singoli titoli dei costi specificamente sostenuti per l'acquisto dei medesimi. L'articolo 2426, </w:t>
            </w:r>
            <w:r>
              <w:t xml:space="preserve">comma 1, </w:t>
            </w:r>
            <w:r w:rsidRPr="00293B7D">
              <w:t>numero 10, codice civile prevede che “</w:t>
            </w:r>
            <w:r w:rsidRPr="00696C36">
              <w:rPr>
                <w:i/>
                <w:iCs/>
              </w:rPr>
              <w:t>Il costo dei beni</w:t>
            </w:r>
            <w:r w:rsidRPr="00696C36">
              <w:rPr>
                <w:i/>
              </w:rPr>
              <w:t xml:space="preserve"> </w:t>
            </w:r>
            <w:r w:rsidRPr="00696C36">
              <w:rPr>
                <w:i/>
                <w:iCs/>
              </w:rPr>
              <w:t>fungibili può essere calcolato col metodo della media ponderata o con quelli «primo entrato,</w:t>
            </w:r>
            <w:r w:rsidRPr="00696C36">
              <w:rPr>
                <w:i/>
              </w:rPr>
              <w:t xml:space="preserve"> </w:t>
            </w:r>
            <w:r w:rsidRPr="00696C36">
              <w:rPr>
                <w:i/>
                <w:iCs/>
              </w:rPr>
              <w:t>primo uscito»; o «ultimo entrato, primo uscito»; se il valore così ottenuto differisce in misura</w:t>
            </w:r>
            <w:r w:rsidRPr="00696C36">
              <w:rPr>
                <w:i/>
              </w:rPr>
              <w:t xml:space="preserve"> </w:t>
            </w:r>
            <w:r w:rsidRPr="00696C36">
              <w:rPr>
                <w:i/>
                <w:iCs/>
              </w:rPr>
              <w:t>apprezzabile dai costi correnti alla chiusura dell'esercizio, la differenza deve essere indicata, per</w:t>
            </w:r>
            <w:r w:rsidRPr="00696C36">
              <w:rPr>
                <w:i/>
              </w:rPr>
              <w:t xml:space="preserve"> </w:t>
            </w:r>
            <w:r>
              <w:rPr>
                <w:i/>
                <w:iCs/>
              </w:rPr>
              <w:t>categoria di beni, nella Nota Integrativa</w:t>
            </w:r>
            <w:r w:rsidRPr="00293B7D">
              <w:t xml:space="preserve">”. Pertanto, è possibile per le partecipazioni, in alternativa al costo specifico, utilizzare uno dei seguenti metodi di calcolo del costo: media ponderata, LIFO e FIFO. I predetti metodi </w:t>
            </w:r>
            <w:r>
              <w:t xml:space="preserve">di valutazione </w:t>
            </w:r>
            <w:r w:rsidRPr="00293B7D">
              <w:t>sono trattati nell’OIC 13 “</w:t>
            </w:r>
            <w:r w:rsidRPr="00293B7D">
              <w:rPr>
                <w:iCs/>
              </w:rPr>
              <w:t>Rimanenze</w:t>
            </w:r>
            <w:r w:rsidRPr="00293B7D">
              <w:t>”.</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304D31" w:rsidRDefault="0073099A" w:rsidP="00D73E98">
            <w:pPr>
              <w:pStyle w:val="Titolo4"/>
            </w:pPr>
            <w:r w:rsidRPr="00304D31">
              <w:t xml:space="preserve">Il valore di realizzazione delle </w:t>
            </w:r>
            <w:r>
              <w:t>partecip</w:t>
            </w:r>
            <w:r w:rsidRPr="00304D31">
              <w:t>azioni non immobilizzate</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21.47</w:t>
            </w:r>
          </w:p>
        </w:tc>
        <w:tc>
          <w:tcPr>
            <w:tcW w:w="7060" w:type="dxa"/>
            <w:tcMar>
              <w:left w:w="108" w:type="dxa"/>
            </w:tcMar>
          </w:tcPr>
          <w:p w:rsidR="0073099A" w:rsidRPr="0040773E" w:rsidRDefault="0073099A" w:rsidP="00D73E98">
            <w:pPr>
              <w:pStyle w:val="Commentiriquadro"/>
            </w:pPr>
            <w:r w:rsidRPr="0040773E">
              <w:t>Il valore di mercato, da confrontare con il costo, è costituito dal valore di quotazione per partecipazioni negoziate in mercati organizzati che, per volumi trattati e per caratteristiche di affidabilità, possano effettivamente esprimere quotazioni sufficientemente attendibili. Qualora l’ammontare delle partecipazioni oggetto di valutazione sia rilevante rispetto ai volumi normalmente negoziati sul mercato, le quotazioni potrebbero non essere significative.</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21.48</w:t>
            </w:r>
          </w:p>
        </w:tc>
        <w:tc>
          <w:tcPr>
            <w:tcW w:w="7060" w:type="dxa"/>
            <w:tcMar>
              <w:left w:w="108" w:type="dxa"/>
            </w:tcMar>
          </w:tcPr>
          <w:p w:rsidR="0073099A" w:rsidRPr="0040773E" w:rsidRDefault="0073099A" w:rsidP="00D73E98">
            <w:pPr>
              <w:pStyle w:val="Commentiriquadro"/>
            </w:pPr>
            <w:r w:rsidRPr="0040773E">
              <w:t>Stante la difficoltà pratica di identificare un valore di mercato per le partecipazioni non quotate, è necessario che la società si adoperi con la dovuta diligenza professionale e sopportando costi proporzionati alla complessità e alla rilevanza dell’investimento, per acquisire tutte le informazioni disponibili per poter stimare in modo attendibile il valore di realizzazione. Nella stima di tale valore si dovrà tenere conto anche della ridotta negoziabilità della partecipazione.</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B97A20" w:rsidTr="00D73E98">
        <w:trPr>
          <w:cantSplit/>
          <w:trHeight w:val="20"/>
        </w:trPr>
        <w:tc>
          <w:tcPr>
            <w:tcW w:w="680" w:type="dxa"/>
          </w:tcPr>
          <w:p w:rsidR="0073099A" w:rsidRPr="00ED1E9D" w:rsidRDefault="0073099A" w:rsidP="00D73E98">
            <w:pPr>
              <w:jc w:val="center"/>
              <w:rPr>
                <w:b/>
                <w:lang w:val="it-IT"/>
              </w:rPr>
            </w:pPr>
            <w:r w:rsidRPr="00ED1E9D">
              <w:rPr>
                <w:b/>
                <w:lang w:val="it-IT"/>
              </w:rPr>
              <w:t>31)</w:t>
            </w:r>
          </w:p>
        </w:tc>
        <w:tc>
          <w:tcPr>
            <w:tcW w:w="851" w:type="dxa"/>
            <w:tcMar>
              <w:left w:w="108" w:type="dxa"/>
              <w:right w:w="0" w:type="dxa"/>
            </w:tcMar>
          </w:tcPr>
          <w:p w:rsidR="0073099A" w:rsidRDefault="0073099A" w:rsidP="00D73E98">
            <w:pPr>
              <w:pStyle w:val="PrincCont"/>
              <w:jc w:val="left"/>
              <w:rPr>
                <w:lang w:val="it-IT"/>
              </w:rPr>
            </w:pPr>
            <w:r>
              <w:rPr>
                <w:lang w:val="it-IT"/>
              </w:rPr>
              <w:t>OIC 21.49</w:t>
            </w:r>
          </w:p>
        </w:tc>
        <w:tc>
          <w:tcPr>
            <w:tcW w:w="7060" w:type="dxa"/>
            <w:tcMar>
              <w:left w:w="108" w:type="dxa"/>
            </w:tcMar>
          </w:tcPr>
          <w:p w:rsidR="0073099A" w:rsidRPr="0040773E" w:rsidRDefault="0073099A" w:rsidP="00D73E98">
            <w:pPr>
              <w:spacing w:line="230" w:lineRule="exact"/>
              <w:rPr>
                <w:lang w:val="it-IT"/>
              </w:rPr>
            </w:pPr>
            <w:r>
              <w:rPr>
                <w:lang w:val="it-IT"/>
              </w:rPr>
              <w:t>Il periodo temporale di riferimento scelto risulta espressivo dell’“andamento” del mercato alla data di bilancio?</w:t>
            </w:r>
          </w:p>
        </w:tc>
        <w:tc>
          <w:tcPr>
            <w:tcW w:w="586" w:type="dxa"/>
            <w:tcMar>
              <w:left w:w="85" w:type="dxa"/>
              <w:right w:w="85" w:type="dxa"/>
            </w:tcMar>
            <w:vAlign w:val="center"/>
          </w:tcPr>
          <w:p w:rsidR="0073099A" w:rsidRPr="00B97A20"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B97A20"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B97A20"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ED1E9D"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21.50</w:t>
            </w:r>
          </w:p>
        </w:tc>
        <w:tc>
          <w:tcPr>
            <w:tcW w:w="7060" w:type="dxa"/>
            <w:tcMar>
              <w:left w:w="108" w:type="dxa"/>
            </w:tcMar>
          </w:tcPr>
          <w:p w:rsidR="0073099A" w:rsidRPr="0040773E" w:rsidRDefault="0073099A" w:rsidP="00D73E98">
            <w:pPr>
              <w:pStyle w:val="Commentiriquadro"/>
            </w:pPr>
            <w:r>
              <w:rPr>
                <w:lang w:eastAsia="it-IT"/>
              </w:rPr>
              <w:t xml:space="preserve">Si possono considerare in astratto due riferimenti temporali: uno fisso, cioè la data di fine esercizio (o quella di quotazione più prossima); l’altro rappresentato dalla media delle quotazioni del titolo relative a un determinato periodo, più o meno ampio. Il dato puntuale di fine esercizio rappresenta la scelta che meno è influenzata da fattori soggettivi. </w:t>
            </w:r>
            <w:r w:rsidRPr="00C64FE4">
              <w:rPr>
                <w:lang w:eastAsia="it-IT"/>
              </w:rPr>
              <w:t>Tuttavia la quotazione di una giornata può essere influenzata da fattori spesso esogeni, relativi a situazioni transitorie riferibili alla singola partecipazione o al mercato mobiliare nel suo</w:t>
            </w:r>
            <w:r>
              <w:rPr>
                <w:lang w:eastAsia="it-IT"/>
              </w:rPr>
              <w:t xml:space="preserve"> </w:t>
            </w:r>
            <w:r w:rsidRPr="00C64FE4">
              <w:rPr>
                <w:lang w:eastAsia="it-IT"/>
              </w:rPr>
              <w:t>complesso o addirittura alla variabilità dei volumi trattati. Per queste ragioni le quotazioni di una</w:t>
            </w:r>
            <w:r>
              <w:rPr>
                <w:lang w:eastAsia="it-IT"/>
              </w:rPr>
              <w:t xml:space="preserve"> </w:t>
            </w:r>
            <w:r w:rsidRPr="00C64FE4">
              <w:rPr>
                <w:lang w:eastAsia="it-IT"/>
              </w:rPr>
              <w:t>singola giornata non sono considerate rappresentative dell'“andamento del mercato”, occorre –</w:t>
            </w:r>
            <w:r>
              <w:rPr>
                <w:lang w:eastAsia="it-IT"/>
              </w:rPr>
              <w:t xml:space="preserve"> </w:t>
            </w:r>
            <w:r w:rsidRPr="00C64FE4">
              <w:rPr>
                <w:lang w:eastAsia="it-IT"/>
              </w:rPr>
              <w:t>piuttosto – assumere un valore che, pur dovendosi riferire alla chiusura dell’esercizio, possa</w:t>
            </w:r>
            <w:r>
              <w:rPr>
                <w:lang w:eastAsia="it-IT"/>
              </w:rPr>
              <w:t xml:space="preserve"> </w:t>
            </w:r>
            <w:r w:rsidRPr="00C64FE4">
              <w:rPr>
                <w:lang w:eastAsia="it-IT"/>
              </w:rPr>
              <w:t>ritenersi consolidato ovvero sufficientemente scevro da perturbazioni temporanee. In questo</w:t>
            </w:r>
            <w:r>
              <w:rPr>
                <w:lang w:eastAsia="it-IT"/>
              </w:rPr>
              <w:t xml:space="preserve"> </w:t>
            </w:r>
            <w:r w:rsidRPr="00C64FE4">
              <w:rPr>
                <w:lang w:eastAsia="it-IT"/>
              </w:rPr>
              <w:t>senso la media delle quotazioni passate, per un periodo sufficientemente ampio, quale l'ultimo</w:t>
            </w:r>
            <w:r>
              <w:rPr>
                <w:lang w:eastAsia="it-IT"/>
              </w:rPr>
              <w:t xml:space="preserve"> </w:t>
            </w:r>
            <w:r w:rsidRPr="00C64FE4">
              <w:rPr>
                <w:lang w:eastAsia="it-IT"/>
              </w:rPr>
              <w:t>mese, può ritenersi maggiormente rappresentativa. La scelta del periodo temporale cui fare</w:t>
            </w:r>
            <w:r>
              <w:rPr>
                <w:lang w:eastAsia="it-IT"/>
              </w:rPr>
              <w:t xml:space="preserve"> </w:t>
            </w:r>
            <w:r w:rsidRPr="00C64FE4">
              <w:rPr>
                <w:lang w:eastAsia="it-IT"/>
              </w:rPr>
              <w:t>riferimento va operata con giudizio, avendo presente l’obiettivo generale imposto dal codice</w:t>
            </w:r>
            <w:r>
              <w:rPr>
                <w:lang w:eastAsia="it-IT"/>
              </w:rPr>
              <w:t xml:space="preserve"> </w:t>
            </w:r>
            <w:r w:rsidRPr="00C64FE4">
              <w:rPr>
                <w:lang w:eastAsia="it-IT"/>
              </w:rPr>
              <w:t>civile. Ad esempio, in un mercato fortemente caratterizzato da quotazioni in flessione, il ricorso</w:t>
            </w:r>
            <w:r>
              <w:rPr>
                <w:lang w:eastAsia="it-IT"/>
              </w:rPr>
              <w:t xml:space="preserve"> </w:t>
            </w:r>
            <w:r w:rsidRPr="00C64FE4">
              <w:rPr>
                <w:lang w:eastAsia="it-IT"/>
              </w:rPr>
              <w:t>alla media aritmetica dei valori registrati nell'ultimo mese non esprime l'andamento del mercato;</w:t>
            </w:r>
            <w:r>
              <w:rPr>
                <w:lang w:eastAsia="it-IT"/>
              </w:rPr>
              <w:t xml:space="preserve"> </w:t>
            </w:r>
            <w:r w:rsidRPr="00C64FE4">
              <w:rPr>
                <w:lang w:eastAsia="it-IT"/>
              </w:rPr>
              <w:t>occorre allora tenere conto di valori medi inferiori, riferiti ad un arco temporale più breve</w:t>
            </w:r>
            <w:r>
              <w:rPr>
                <w:lang w:eastAsia="it-IT"/>
              </w:rPr>
              <w:t>.</w:t>
            </w:r>
          </w:p>
        </w:tc>
        <w:tc>
          <w:tcPr>
            <w:tcW w:w="586" w:type="dxa"/>
            <w:tcMar>
              <w:left w:w="85" w:type="dxa"/>
              <w:right w:w="85" w:type="dxa"/>
            </w:tcMar>
            <w:vAlign w:val="center"/>
          </w:tcPr>
          <w:p w:rsidR="0073099A" w:rsidRPr="00C64FE4" w:rsidRDefault="0073099A" w:rsidP="00D73E98">
            <w:pPr>
              <w:jc w:val="center"/>
              <w:rPr>
                <w:lang w:val="it-IT"/>
              </w:rPr>
            </w:pPr>
          </w:p>
        </w:tc>
        <w:tc>
          <w:tcPr>
            <w:tcW w:w="573" w:type="dxa"/>
            <w:tcMar>
              <w:left w:w="108" w:type="dxa"/>
            </w:tcMar>
            <w:vAlign w:val="center"/>
          </w:tcPr>
          <w:p w:rsidR="0073099A" w:rsidRPr="00C64FE4" w:rsidRDefault="0073099A" w:rsidP="00D73E98">
            <w:pPr>
              <w:jc w:val="center"/>
              <w:rPr>
                <w:lang w:val="it-IT"/>
              </w:rPr>
            </w:pPr>
          </w:p>
        </w:tc>
        <w:tc>
          <w:tcPr>
            <w:tcW w:w="570" w:type="dxa"/>
            <w:tcMar>
              <w:left w:w="108" w:type="dxa"/>
            </w:tcMar>
            <w:vAlign w:val="center"/>
          </w:tcPr>
          <w:p w:rsidR="0073099A" w:rsidRPr="00C64FE4" w:rsidRDefault="0073099A" w:rsidP="00D73E98">
            <w:pPr>
              <w:jc w:val="center"/>
              <w:rPr>
                <w:lang w:val="it-IT"/>
              </w:rPr>
            </w:pPr>
          </w:p>
        </w:tc>
      </w:tr>
      <w:tr w:rsidR="0073099A" w:rsidRPr="004D5D34" w:rsidTr="00D73E98">
        <w:trPr>
          <w:cantSplit/>
          <w:trHeight w:val="20"/>
        </w:trPr>
        <w:tc>
          <w:tcPr>
            <w:tcW w:w="680" w:type="dxa"/>
          </w:tcPr>
          <w:p w:rsidR="0073099A" w:rsidRPr="00ED1E9D" w:rsidRDefault="0073099A" w:rsidP="00D73E98">
            <w:pPr>
              <w:jc w:val="center"/>
              <w:rPr>
                <w:b/>
                <w:lang w:val="it-IT"/>
              </w:rPr>
            </w:pPr>
            <w:r w:rsidRPr="00ED1E9D">
              <w:rPr>
                <w:b/>
                <w:lang w:val="it-IT"/>
              </w:rPr>
              <w:t>32)</w:t>
            </w:r>
          </w:p>
        </w:tc>
        <w:tc>
          <w:tcPr>
            <w:tcW w:w="851" w:type="dxa"/>
            <w:tcMar>
              <w:left w:w="108" w:type="dxa"/>
              <w:right w:w="0" w:type="dxa"/>
            </w:tcMar>
          </w:tcPr>
          <w:p w:rsidR="0073099A" w:rsidRDefault="0073099A" w:rsidP="00D73E98">
            <w:pPr>
              <w:pStyle w:val="PrincCont"/>
              <w:jc w:val="left"/>
              <w:rPr>
                <w:lang w:val="it-IT"/>
              </w:rPr>
            </w:pPr>
            <w:r>
              <w:rPr>
                <w:lang w:val="it-IT"/>
              </w:rPr>
              <w:t>OIC 21.51</w:t>
            </w:r>
          </w:p>
        </w:tc>
        <w:tc>
          <w:tcPr>
            <w:tcW w:w="7060" w:type="dxa"/>
            <w:tcMar>
              <w:left w:w="108" w:type="dxa"/>
            </w:tcMar>
          </w:tcPr>
          <w:p w:rsidR="0073099A" w:rsidRPr="0040773E" w:rsidRDefault="0073099A" w:rsidP="00D73E98">
            <w:pPr>
              <w:spacing w:line="230" w:lineRule="exact"/>
              <w:rPr>
                <w:lang w:val="it-IT"/>
              </w:rPr>
            </w:pPr>
            <w:r w:rsidRPr="0040773E">
              <w:rPr>
                <w:lang w:val="it-IT"/>
              </w:rPr>
              <w:t>La svalutazione delle partecipazioni al minor valore di realizzazione è stata effettuata singolarmente, per ogni specie di par</w:t>
            </w:r>
            <w:r>
              <w:rPr>
                <w:lang w:val="it-IT"/>
              </w:rPr>
              <w:t>tecipazione, e non per l'intero comparto?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4D5D34" w:rsidTr="00D73E98">
        <w:trPr>
          <w:cantSplit/>
          <w:trHeight w:val="20"/>
        </w:trPr>
        <w:tc>
          <w:tcPr>
            <w:tcW w:w="680" w:type="dxa"/>
          </w:tcPr>
          <w:p w:rsidR="0073099A" w:rsidRPr="00ED1E9D" w:rsidRDefault="0073099A" w:rsidP="00D73E98">
            <w:pPr>
              <w:jc w:val="center"/>
              <w:rPr>
                <w:b/>
                <w:lang w:val="it-IT"/>
              </w:rPr>
            </w:pPr>
            <w:r w:rsidRPr="00ED1E9D">
              <w:rPr>
                <w:b/>
                <w:lang w:val="it-IT"/>
              </w:rPr>
              <w:t>33)</w:t>
            </w:r>
          </w:p>
        </w:tc>
        <w:tc>
          <w:tcPr>
            <w:tcW w:w="851" w:type="dxa"/>
            <w:tcMar>
              <w:left w:w="108" w:type="dxa"/>
              <w:right w:w="0" w:type="dxa"/>
            </w:tcMar>
          </w:tcPr>
          <w:p w:rsidR="0073099A" w:rsidRDefault="0073099A" w:rsidP="00D73E98">
            <w:pPr>
              <w:pStyle w:val="PrincCont"/>
              <w:jc w:val="left"/>
              <w:rPr>
                <w:lang w:val="it-IT"/>
              </w:rPr>
            </w:pPr>
            <w:r>
              <w:rPr>
                <w:lang w:val="it-IT"/>
              </w:rPr>
              <w:t>OIC 21.52</w:t>
            </w:r>
          </w:p>
        </w:tc>
        <w:tc>
          <w:tcPr>
            <w:tcW w:w="7060" w:type="dxa"/>
            <w:tcMar>
              <w:left w:w="108" w:type="dxa"/>
            </w:tcMar>
          </w:tcPr>
          <w:p w:rsidR="0073099A" w:rsidRPr="0040773E" w:rsidRDefault="0073099A" w:rsidP="00D73E98">
            <w:pPr>
              <w:spacing w:line="230" w:lineRule="exact"/>
              <w:rPr>
                <w:lang w:val="it-IT" w:eastAsia="it-IT"/>
              </w:rPr>
            </w:pPr>
            <w:r>
              <w:rPr>
                <w:lang w:val="it-IT" w:eastAsia="it-IT"/>
              </w:rPr>
              <w:t>Se vengono meno, in tutto o in parte, i presupposti della rettifica (o anche di più rettifiche in anni precedenti) per effetto della ripresa del valore di mercato, la rettifica stessa è stata annullata fino, ma non oltre, al ripristino del costo</w:t>
            </w:r>
            <w:r w:rsidRPr="0040773E">
              <w:rPr>
                <w:lang w:val="it-IT"/>
              </w:rP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4D5D34" w:rsidTr="00D73E98">
        <w:trPr>
          <w:cantSplit/>
          <w:trHeight w:val="20"/>
        </w:trPr>
        <w:tc>
          <w:tcPr>
            <w:tcW w:w="680" w:type="dxa"/>
          </w:tcPr>
          <w:p w:rsidR="0073099A" w:rsidRPr="00ED1E9D"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8A0F36" w:rsidRDefault="0073099A" w:rsidP="00D73E98">
            <w:pPr>
              <w:pStyle w:val="Titolo2"/>
              <w:keepNext w:val="0"/>
              <w:rPr>
                <w:iCs/>
              </w:rPr>
            </w:pPr>
            <w:r w:rsidRPr="006F5755">
              <w:rPr>
                <w:lang w:val="it-IT"/>
              </w:rPr>
              <w:t>Cambiamento</w:t>
            </w:r>
            <w:r>
              <w:t xml:space="preserve"> di destinazione</w:t>
            </w:r>
          </w:p>
        </w:tc>
        <w:tc>
          <w:tcPr>
            <w:tcW w:w="586" w:type="dxa"/>
            <w:tcMar>
              <w:left w:w="85" w:type="dxa"/>
              <w:right w:w="85" w:type="dxa"/>
            </w:tcMar>
            <w:vAlign w:val="center"/>
          </w:tcPr>
          <w:p w:rsidR="0073099A" w:rsidRPr="0040773E" w:rsidRDefault="0073099A" w:rsidP="00D73E98">
            <w:pPr>
              <w:jc w:val="center"/>
              <w:rPr>
                <w:lang w:val="it-IT"/>
              </w:rPr>
            </w:pPr>
          </w:p>
        </w:tc>
        <w:tc>
          <w:tcPr>
            <w:tcW w:w="573" w:type="dxa"/>
            <w:tcMar>
              <w:left w:w="108" w:type="dxa"/>
            </w:tcMar>
            <w:vAlign w:val="center"/>
          </w:tcPr>
          <w:p w:rsidR="0073099A" w:rsidRPr="0040773E" w:rsidRDefault="0073099A" w:rsidP="00D73E98">
            <w:pPr>
              <w:jc w:val="center"/>
              <w:rPr>
                <w:lang w:val="it-IT"/>
              </w:rPr>
            </w:pPr>
          </w:p>
        </w:tc>
        <w:tc>
          <w:tcPr>
            <w:tcW w:w="570" w:type="dxa"/>
            <w:tcMar>
              <w:left w:w="108" w:type="dxa"/>
            </w:tcMar>
            <w:vAlign w:val="center"/>
          </w:tcPr>
          <w:p w:rsidR="0073099A" w:rsidRPr="0040773E"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21.53</w:t>
            </w:r>
          </w:p>
        </w:tc>
        <w:tc>
          <w:tcPr>
            <w:tcW w:w="7060" w:type="dxa"/>
            <w:tcMar>
              <w:left w:w="108" w:type="dxa"/>
            </w:tcMar>
          </w:tcPr>
          <w:p w:rsidR="0073099A" w:rsidRPr="00C036EE" w:rsidRDefault="0073099A" w:rsidP="00D73E98">
            <w:pPr>
              <w:pStyle w:val="Commentiriquadro"/>
              <w:spacing w:line="190" w:lineRule="exact"/>
            </w:pPr>
            <w:r w:rsidRPr="00C036EE">
              <w:t xml:space="preserve">Le partecipazioni possono essere oggetto, durante il periodo di possesso da parte della società, di una destinazione economica diversa rispetto a quella originariamente loro attribuita dall'organo amministrativo. In tal senso, una partecipazione iscritta nei precedenti bilanci tra le attività finanziarie non immobilizzate può essere successivamente destinata, </w:t>
            </w:r>
            <w:r>
              <w:t>in circostanze</w:t>
            </w:r>
            <w:r w:rsidRPr="00C036EE">
              <w:t xml:space="preserve"> </w:t>
            </w:r>
            <w:r>
              <w:t>presumibilmente rare</w:t>
            </w:r>
            <w:r w:rsidRPr="00C036EE">
              <w:t>, ad un inves</w:t>
            </w:r>
            <w:r>
              <w:t xml:space="preserve">timento durevole e quindi </w:t>
            </w:r>
            <w:r w:rsidRPr="00C036EE">
              <w:t>riclassificata tra le immobilizzazioni finanziarie; oppure, al contrario, una partecipazione in precedenza classificata tra le immobilizzazioni finanziarie può essere in seguito iscritta tra le attività finanziarie non immobilizzate.</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A164FB" w:rsidTr="00D73E98">
        <w:trPr>
          <w:cantSplit/>
          <w:trHeight w:val="20"/>
        </w:trPr>
        <w:tc>
          <w:tcPr>
            <w:tcW w:w="680" w:type="dxa"/>
          </w:tcPr>
          <w:p w:rsidR="0073099A" w:rsidRPr="00ED1E9D" w:rsidRDefault="0073099A" w:rsidP="00D73E98">
            <w:pPr>
              <w:jc w:val="center"/>
              <w:rPr>
                <w:b/>
                <w:lang w:val="it-IT"/>
              </w:rPr>
            </w:pPr>
            <w:r w:rsidRPr="00ED1E9D">
              <w:rPr>
                <w:b/>
                <w:lang w:val="it-IT"/>
              </w:rPr>
              <w:t>34)</w:t>
            </w:r>
          </w:p>
        </w:tc>
        <w:tc>
          <w:tcPr>
            <w:tcW w:w="851" w:type="dxa"/>
            <w:tcMar>
              <w:left w:w="108" w:type="dxa"/>
              <w:right w:w="0" w:type="dxa"/>
            </w:tcMar>
          </w:tcPr>
          <w:p w:rsidR="0073099A" w:rsidRDefault="0073099A" w:rsidP="00D73E98">
            <w:pPr>
              <w:pStyle w:val="PrincCont"/>
              <w:jc w:val="left"/>
              <w:rPr>
                <w:lang w:val="it-IT"/>
              </w:rPr>
            </w:pPr>
            <w:r>
              <w:rPr>
                <w:lang w:val="it-IT"/>
              </w:rPr>
              <w:t>OIC 21.55</w:t>
            </w:r>
          </w:p>
        </w:tc>
        <w:tc>
          <w:tcPr>
            <w:tcW w:w="7060" w:type="dxa"/>
            <w:tcMar>
              <w:left w:w="108" w:type="dxa"/>
            </w:tcMar>
          </w:tcPr>
          <w:p w:rsidR="0073099A" w:rsidRPr="00C036EE" w:rsidRDefault="0073099A" w:rsidP="00D73E98">
            <w:pPr>
              <w:spacing w:line="230" w:lineRule="exact"/>
              <w:rPr>
                <w:lang w:val="it-IT"/>
              </w:rPr>
            </w:pPr>
            <w:r>
              <w:rPr>
                <w:lang w:val="it-IT"/>
              </w:rPr>
              <w:t>La destinazione delle partecipazioni nei due comparti (attivo immobilizzato e attivo circolante) e l’eventuale trasferimento da una categoria all’altra sono stati motivati e basati su processi decisionali già completati alla data di chiusura dell’esercizio e coerenti con gli obiettivi e le strategie aziendali?</w:t>
            </w:r>
          </w:p>
        </w:tc>
        <w:tc>
          <w:tcPr>
            <w:tcW w:w="586" w:type="dxa"/>
            <w:tcMar>
              <w:left w:w="85" w:type="dxa"/>
              <w:right w:w="85" w:type="dxa"/>
            </w:tcMar>
            <w:vAlign w:val="center"/>
          </w:tcPr>
          <w:p w:rsidR="0073099A" w:rsidRPr="00A164FB"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164FB"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164FB"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ED1E9D" w:rsidRDefault="0073099A" w:rsidP="00D73E98">
            <w:pPr>
              <w:jc w:val="center"/>
              <w:rPr>
                <w:b/>
                <w:lang w:val="it-IT"/>
              </w:rPr>
            </w:pPr>
            <w:r w:rsidRPr="00ED1E9D">
              <w:rPr>
                <w:b/>
                <w:lang w:val="it-IT"/>
              </w:rPr>
              <w:t>35)</w:t>
            </w:r>
          </w:p>
        </w:tc>
        <w:tc>
          <w:tcPr>
            <w:tcW w:w="851" w:type="dxa"/>
            <w:tcMar>
              <w:left w:w="108" w:type="dxa"/>
              <w:right w:w="0" w:type="dxa"/>
            </w:tcMar>
          </w:tcPr>
          <w:p w:rsidR="0073099A" w:rsidRDefault="0073099A" w:rsidP="00D73E98">
            <w:pPr>
              <w:pStyle w:val="PrincCont"/>
              <w:jc w:val="left"/>
              <w:rPr>
                <w:lang w:val="it-IT"/>
              </w:rPr>
            </w:pPr>
            <w:r>
              <w:rPr>
                <w:lang w:val="it-IT"/>
              </w:rPr>
              <w:t>OIC 21.56</w:t>
            </w:r>
          </w:p>
        </w:tc>
        <w:tc>
          <w:tcPr>
            <w:tcW w:w="7060" w:type="dxa"/>
            <w:tcMar>
              <w:left w:w="108" w:type="dxa"/>
            </w:tcMar>
          </w:tcPr>
          <w:p w:rsidR="0073099A" w:rsidRPr="00DF62EC" w:rsidRDefault="0073099A" w:rsidP="00D73E98">
            <w:pPr>
              <w:spacing w:line="230" w:lineRule="exact"/>
              <w:rPr>
                <w:lang w:val="it-IT"/>
              </w:rPr>
            </w:pPr>
            <w:r>
              <w:rPr>
                <w:lang w:val="it-IT" w:eastAsia="it-IT"/>
              </w:rPr>
              <w:t>Il trasferimento delle partecipazioni è stato rilevato in base al valore risultante dall’applicazione – al momento del trasferimento stesso – dei criteri valutativi del portafoglio di provenienza</w:t>
            </w:r>
            <w:r>
              <w:rPr>
                <w:lang w:val="it-IT"/>
              </w:rPr>
              <w:t xml:space="preserve"> e pertanto:</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DF62EC" w:rsidTr="00D73E98">
        <w:trPr>
          <w:cantSplit/>
          <w:trHeight w:val="20"/>
        </w:trPr>
        <w:tc>
          <w:tcPr>
            <w:tcW w:w="680" w:type="dxa"/>
          </w:tcPr>
          <w:p w:rsidR="0073099A" w:rsidRPr="00ED1E9D"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21.56</w:t>
            </w:r>
          </w:p>
        </w:tc>
        <w:tc>
          <w:tcPr>
            <w:tcW w:w="7060" w:type="dxa"/>
            <w:tcMar>
              <w:left w:w="108" w:type="dxa"/>
            </w:tcMar>
          </w:tcPr>
          <w:p w:rsidR="0073099A" w:rsidRPr="00C036EE" w:rsidRDefault="0073099A" w:rsidP="004E27C2">
            <w:pPr>
              <w:pStyle w:val="Paragrafoelenco"/>
              <w:numPr>
                <w:ilvl w:val="0"/>
                <w:numId w:val="27"/>
              </w:numPr>
              <w:overflowPunct/>
              <w:spacing w:line="230" w:lineRule="exact"/>
              <w:ind w:left="318" w:hanging="283"/>
              <w:textAlignment w:val="auto"/>
              <w:rPr>
                <w:lang w:val="it-IT"/>
              </w:rPr>
            </w:pPr>
            <w:r w:rsidRPr="00DF62EC">
              <w:rPr>
                <w:lang w:val="it-IT" w:eastAsia="it-IT"/>
              </w:rPr>
              <w:t xml:space="preserve">il trasferimento delle partecipazioni immobilizzate all’attivo circolante </w:t>
            </w:r>
            <w:r>
              <w:rPr>
                <w:lang w:val="it-IT" w:eastAsia="it-IT"/>
              </w:rPr>
              <w:t>è stato</w:t>
            </w:r>
            <w:r w:rsidRPr="00DF62EC">
              <w:rPr>
                <w:lang w:val="it-IT" w:eastAsia="it-IT"/>
              </w:rPr>
              <w:t xml:space="preserve"> rilevato in base al costo, eventualmente rettificato per le perdite durature di valore</w:t>
            </w:r>
            <w:r>
              <w:rPr>
                <w:lang w:val="it-IT" w:eastAsia="it-IT"/>
              </w:rPr>
              <w:t>?</w:t>
            </w:r>
            <w:r w:rsidRPr="00DF62EC">
              <w:rPr>
                <w:lang w:val="it-IT" w:eastAsia="it-IT"/>
              </w:rPr>
              <w:t xml:space="preserve"> </w:t>
            </w:r>
          </w:p>
        </w:tc>
        <w:tc>
          <w:tcPr>
            <w:tcW w:w="586" w:type="dxa"/>
            <w:tcMar>
              <w:left w:w="85" w:type="dxa"/>
              <w:right w:w="85" w:type="dxa"/>
            </w:tcMar>
            <w:vAlign w:val="center"/>
          </w:tcPr>
          <w:p w:rsidR="0073099A" w:rsidRPr="00DF62EC"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DF62EC"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DF62EC"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ED1E9D"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21.56</w:t>
            </w:r>
          </w:p>
        </w:tc>
        <w:tc>
          <w:tcPr>
            <w:tcW w:w="7060" w:type="dxa"/>
            <w:tcMar>
              <w:left w:w="108" w:type="dxa"/>
            </w:tcMar>
          </w:tcPr>
          <w:p w:rsidR="0073099A" w:rsidRPr="00C036EE" w:rsidRDefault="0073099A" w:rsidP="00D73E98">
            <w:pPr>
              <w:pStyle w:val="Commentiriquadro"/>
            </w:pPr>
            <w:r w:rsidRPr="00DF62EC">
              <w:rPr>
                <w:lang w:eastAsia="it-IT"/>
              </w:rPr>
              <w:t>Il valore così determinato, poiché la partecipazione è destinata alla negoziazione, è oggetto poi di confronto con il valore</w:t>
            </w:r>
            <w:r>
              <w:rPr>
                <w:lang w:eastAsia="it-IT"/>
              </w:rPr>
              <w:t xml:space="preserve"> </w:t>
            </w:r>
            <w:r w:rsidRPr="00DF62EC">
              <w:rPr>
                <w:lang w:eastAsia="it-IT"/>
              </w:rPr>
              <w:t>di realizzazione desumibile dall’andamento del mercato</w:t>
            </w:r>
            <w:r>
              <w:rPr>
                <w:lang w:eastAsia="it-IT"/>
              </w:rPr>
              <w:t>.</w:t>
            </w:r>
          </w:p>
        </w:tc>
        <w:tc>
          <w:tcPr>
            <w:tcW w:w="586" w:type="dxa"/>
            <w:tcMar>
              <w:left w:w="85" w:type="dxa"/>
              <w:right w:w="85" w:type="dxa"/>
            </w:tcMar>
            <w:vAlign w:val="center"/>
          </w:tcPr>
          <w:p w:rsidR="0073099A" w:rsidRPr="00DF62EC" w:rsidRDefault="0073099A" w:rsidP="00D73E98">
            <w:pPr>
              <w:jc w:val="center"/>
              <w:rPr>
                <w:lang w:val="it-IT"/>
              </w:rPr>
            </w:pPr>
          </w:p>
        </w:tc>
        <w:tc>
          <w:tcPr>
            <w:tcW w:w="573" w:type="dxa"/>
            <w:tcMar>
              <w:left w:w="108" w:type="dxa"/>
            </w:tcMar>
            <w:vAlign w:val="center"/>
          </w:tcPr>
          <w:p w:rsidR="0073099A" w:rsidRPr="00DF62EC" w:rsidRDefault="0073099A" w:rsidP="00D73E98">
            <w:pPr>
              <w:jc w:val="center"/>
              <w:rPr>
                <w:lang w:val="it-IT"/>
              </w:rPr>
            </w:pPr>
          </w:p>
        </w:tc>
        <w:tc>
          <w:tcPr>
            <w:tcW w:w="570" w:type="dxa"/>
            <w:tcMar>
              <w:left w:w="108" w:type="dxa"/>
            </w:tcMar>
            <w:vAlign w:val="center"/>
          </w:tcPr>
          <w:p w:rsidR="0073099A" w:rsidRPr="00DF62EC" w:rsidRDefault="0073099A" w:rsidP="00D73E98">
            <w:pPr>
              <w:jc w:val="center"/>
              <w:rPr>
                <w:lang w:val="it-IT"/>
              </w:rPr>
            </w:pPr>
          </w:p>
        </w:tc>
      </w:tr>
      <w:tr w:rsidR="0073099A" w:rsidRPr="00BB7755" w:rsidTr="00D73E98">
        <w:trPr>
          <w:cantSplit/>
          <w:trHeight w:val="20"/>
        </w:trPr>
        <w:tc>
          <w:tcPr>
            <w:tcW w:w="680" w:type="dxa"/>
          </w:tcPr>
          <w:p w:rsidR="0073099A" w:rsidRPr="00ED1E9D"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21.56</w:t>
            </w:r>
          </w:p>
        </w:tc>
        <w:tc>
          <w:tcPr>
            <w:tcW w:w="7060" w:type="dxa"/>
            <w:tcMar>
              <w:left w:w="108" w:type="dxa"/>
            </w:tcMar>
          </w:tcPr>
          <w:p w:rsidR="0073099A" w:rsidRPr="00BB7755" w:rsidRDefault="0073099A" w:rsidP="004E27C2">
            <w:pPr>
              <w:pStyle w:val="Paragrafoelenco"/>
              <w:numPr>
                <w:ilvl w:val="0"/>
                <w:numId w:val="27"/>
              </w:numPr>
              <w:spacing w:line="230" w:lineRule="exact"/>
              <w:ind w:left="318" w:hanging="284"/>
              <w:rPr>
                <w:lang w:val="it-IT"/>
              </w:rPr>
            </w:pPr>
            <w:r w:rsidRPr="00BB7755">
              <w:rPr>
                <w:lang w:val="it-IT" w:eastAsia="it-IT"/>
              </w:rPr>
              <w:t xml:space="preserve">il trasferimento di partecipazioni non immobilizzate alle immobilizzazioni finanziarie </w:t>
            </w:r>
            <w:r>
              <w:rPr>
                <w:lang w:val="it-IT" w:eastAsia="it-IT"/>
              </w:rPr>
              <w:t>è stato</w:t>
            </w:r>
            <w:r w:rsidRPr="00BB7755">
              <w:rPr>
                <w:lang w:val="it-IT" w:eastAsia="it-IT"/>
              </w:rPr>
              <w:t xml:space="preserve"> rilevato in base al minor valore fra il costo e il valore di realizzazione desumibile dall’andamento del mercato?</w:t>
            </w:r>
          </w:p>
        </w:tc>
        <w:tc>
          <w:tcPr>
            <w:tcW w:w="586" w:type="dxa"/>
            <w:tcMar>
              <w:left w:w="85" w:type="dxa"/>
              <w:right w:w="85" w:type="dxa"/>
            </w:tcMar>
            <w:vAlign w:val="center"/>
          </w:tcPr>
          <w:p w:rsidR="0073099A" w:rsidRPr="00BB7755"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BB7755"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BB7755"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ED1E9D"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21.57</w:t>
            </w:r>
          </w:p>
        </w:tc>
        <w:tc>
          <w:tcPr>
            <w:tcW w:w="7060" w:type="dxa"/>
            <w:tcMar>
              <w:left w:w="108" w:type="dxa"/>
            </w:tcMar>
          </w:tcPr>
          <w:p w:rsidR="0073099A" w:rsidRPr="00C036EE" w:rsidRDefault="0073099A" w:rsidP="00D73E98">
            <w:pPr>
              <w:pStyle w:val="Commentiriquadro"/>
              <w:spacing w:line="190" w:lineRule="exact"/>
            </w:pPr>
            <w:r>
              <w:rPr>
                <w:lang w:eastAsia="it-IT"/>
              </w:rPr>
              <w:t>Alla fine dell’esercizio in cui avviene il cambiamento di destinazione si procede alla valutazione della partecipazione con il criterio previsto per la sua nuova classificazione, considerando come costo iniziale il valore di trasferimento al nuovo comparto.</w:t>
            </w:r>
          </w:p>
        </w:tc>
        <w:tc>
          <w:tcPr>
            <w:tcW w:w="586" w:type="dxa"/>
            <w:tcMar>
              <w:left w:w="85" w:type="dxa"/>
              <w:right w:w="85" w:type="dxa"/>
            </w:tcMar>
            <w:vAlign w:val="center"/>
          </w:tcPr>
          <w:p w:rsidR="0073099A" w:rsidRPr="00BB7755" w:rsidRDefault="0073099A" w:rsidP="00D73E98">
            <w:pPr>
              <w:jc w:val="center"/>
              <w:rPr>
                <w:lang w:val="it-IT"/>
              </w:rPr>
            </w:pPr>
          </w:p>
        </w:tc>
        <w:tc>
          <w:tcPr>
            <w:tcW w:w="573" w:type="dxa"/>
            <w:tcMar>
              <w:left w:w="108" w:type="dxa"/>
            </w:tcMar>
            <w:vAlign w:val="center"/>
          </w:tcPr>
          <w:p w:rsidR="0073099A" w:rsidRPr="00BB7755" w:rsidRDefault="0073099A" w:rsidP="00D73E98">
            <w:pPr>
              <w:jc w:val="center"/>
              <w:rPr>
                <w:lang w:val="it-IT"/>
              </w:rPr>
            </w:pPr>
          </w:p>
        </w:tc>
        <w:tc>
          <w:tcPr>
            <w:tcW w:w="570" w:type="dxa"/>
            <w:tcMar>
              <w:left w:w="108" w:type="dxa"/>
            </w:tcMar>
            <w:vAlign w:val="center"/>
          </w:tcPr>
          <w:p w:rsidR="0073099A" w:rsidRPr="00BB7755" w:rsidRDefault="0073099A" w:rsidP="00D73E98">
            <w:pPr>
              <w:jc w:val="center"/>
              <w:rPr>
                <w:lang w:val="it-IT"/>
              </w:rPr>
            </w:pPr>
          </w:p>
        </w:tc>
      </w:tr>
      <w:tr w:rsidR="0073099A" w:rsidRPr="004D5D34" w:rsidTr="00D73E98">
        <w:trPr>
          <w:cantSplit/>
          <w:trHeight w:val="20"/>
        </w:trPr>
        <w:tc>
          <w:tcPr>
            <w:tcW w:w="680" w:type="dxa"/>
          </w:tcPr>
          <w:p w:rsidR="0073099A" w:rsidRPr="00ED1E9D" w:rsidRDefault="0073099A" w:rsidP="00D73E98">
            <w:pPr>
              <w:jc w:val="center"/>
              <w:rPr>
                <w:b/>
                <w:lang w:val="it-IT"/>
              </w:rPr>
            </w:pPr>
            <w:r w:rsidRPr="00ED1E9D">
              <w:rPr>
                <w:b/>
                <w:lang w:val="it-IT"/>
              </w:rPr>
              <w:t>36)</w:t>
            </w:r>
          </w:p>
        </w:tc>
        <w:tc>
          <w:tcPr>
            <w:tcW w:w="851" w:type="dxa"/>
            <w:tcMar>
              <w:left w:w="108" w:type="dxa"/>
              <w:right w:w="0" w:type="dxa"/>
            </w:tcMar>
          </w:tcPr>
          <w:p w:rsidR="0073099A" w:rsidRDefault="0073099A" w:rsidP="00D73E98">
            <w:pPr>
              <w:pStyle w:val="PrincCont"/>
              <w:jc w:val="left"/>
              <w:rPr>
                <w:lang w:val="it-IT"/>
              </w:rPr>
            </w:pPr>
            <w:r>
              <w:rPr>
                <w:lang w:val="it-IT"/>
              </w:rPr>
              <w:t>OIC 21.57</w:t>
            </w:r>
          </w:p>
        </w:tc>
        <w:tc>
          <w:tcPr>
            <w:tcW w:w="7060" w:type="dxa"/>
            <w:tcMar>
              <w:left w:w="108" w:type="dxa"/>
            </w:tcMar>
          </w:tcPr>
          <w:p w:rsidR="0073099A" w:rsidRPr="00C036EE" w:rsidRDefault="0073099A" w:rsidP="00D73E98">
            <w:pPr>
              <w:spacing w:line="230" w:lineRule="exact"/>
              <w:rPr>
                <w:lang w:val="it-IT"/>
              </w:rPr>
            </w:pPr>
            <w:r w:rsidRPr="00C036EE">
              <w:rPr>
                <w:lang w:val="it-IT"/>
              </w:rPr>
              <w:t>Nella</w:t>
            </w:r>
            <w:r>
              <w:rPr>
                <w:lang w:val="it-IT"/>
              </w:rPr>
              <w:t xml:space="preserve"> Nota Integrativa</w:t>
            </w:r>
            <w:r w:rsidRPr="00C036EE">
              <w:rPr>
                <w:lang w:val="it-IT"/>
              </w:rPr>
              <w:t xml:space="preserve"> sono stati indicati i differenti criteri di valutazione e di classificazione adottati per effetto dell'intervenuto cambiamento di destinazione della partecipazione?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4D5D34"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5A040F" w:rsidRDefault="0073099A" w:rsidP="00D73E98">
            <w:pPr>
              <w:pStyle w:val="Titolo2"/>
              <w:keepNext w:val="0"/>
              <w:rPr>
                <w:lang w:val="it-IT"/>
              </w:rPr>
            </w:pPr>
            <w:r w:rsidRPr="005A040F">
              <w:rPr>
                <w:lang w:val="it-IT"/>
              </w:rPr>
              <w:t>Contabilizzazione dei dividendi</w:t>
            </w:r>
          </w:p>
        </w:tc>
        <w:tc>
          <w:tcPr>
            <w:tcW w:w="586" w:type="dxa"/>
            <w:tcMar>
              <w:left w:w="85" w:type="dxa"/>
              <w:right w:w="85" w:type="dxa"/>
            </w:tcMar>
            <w:vAlign w:val="center"/>
          </w:tcPr>
          <w:p w:rsidR="0073099A" w:rsidRPr="00C036EE" w:rsidRDefault="0073099A" w:rsidP="00D73E98">
            <w:pPr>
              <w:jc w:val="center"/>
              <w:rPr>
                <w:lang w:val="it-IT"/>
              </w:rPr>
            </w:pPr>
          </w:p>
        </w:tc>
        <w:tc>
          <w:tcPr>
            <w:tcW w:w="573" w:type="dxa"/>
            <w:tcMar>
              <w:left w:w="108" w:type="dxa"/>
            </w:tcMar>
            <w:vAlign w:val="center"/>
          </w:tcPr>
          <w:p w:rsidR="0073099A" w:rsidRPr="00C036EE" w:rsidRDefault="0073099A" w:rsidP="00D73E98">
            <w:pPr>
              <w:jc w:val="center"/>
              <w:rPr>
                <w:lang w:val="it-IT"/>
              </w:rPr>
            </w:pPr>
          </w:p>
        </w:tc>
        <w:tc>
          <w:tcPr>
            <w:tcW w:w="570" w:type="dxa"/>
            <w:tcMar>
              <w:left w:w="108" w:type="dxa"/>
            </w:tcMar>
            <w:vAlign w:val="center"/>
          </w:tcPr>
          <w:p w:rsidR="0073099A" w:rsidRPr="00C036EE" w:rsidRDefault="0073099A" w:rsidP="00D73E98">
            <w:pPr>
              <w:jc w:val="center"/>
              <w:rPr>
                <w:lang w:val="it-IT"/>
              </w:rPr>
            </w:pPr>
          </w:p>
        </w:tc>
      </w:tr>
      <w:tr w:rsidR="0073099A" w:rsidRPr="004D5D34" w:rsidTr="00D73E98">
        <w:trPr>
          <w:cantSplit/>
          <w:trHeight w:val="20"/>
        </w:trPr>
        <w:tc>
          <w:tcPr>
            <w:tcW w:w="680" w:type="dxa"/>
          </w:tcPr>
          <w:p w:rsidR="0073099A" w:rsidRPr="00ED1E9D" w:rsidRDefault="0073099A" w:rsidP="00D73E98">
            <w:pPr>
              <w:jc w:val="center"/>
              <w:rPr>
                <w:b/>
                <w:lang w:val="it-IT"/>
              </w:rPr>
            </w:pPr>
            <w:r w:rsidRPr="00ED1E9D">
              <w:rPr>
                <w:b/>
                <w:lang w:val="it-IT"/>
              </w:rPr>
              <w:t>37)</w:t>
            </w:r>
          </w:p>
        </w:tc>
        <w:tc>
          <w:tcPr>
            <w:tcW w:w="851" w:type="dxa"/>
            <w:tcMar>
              <w:left w:w="108" w:type="dxa"/>
              <w:right w:w="0" w:type="dxa"/>
            </w:tcMar>
          </w:tcPr>
          <w:p w:rsidR="0073099A" w:rsidRDefault="0073099A" w:rsidP="00D73E98">
            <w:pPr>
              <w:pStyle w:val="PrincCont"/>
              <w:jc w:val="left"/>
              <w:rPr>
                <w:lang w:val="it-IT"/>
              </w:rPr>
            </w:pPr>
            <w:r>
              <w:rPr>
                <w:lang w:val="it-IT"/>
              </w:rPr>
              <w:t>OIC 21.58</w:t>
            </w:r>
          </w:p>
        </w:tc>
        <w:tc>
          <w:tcPr>
            <w:tcW w:w="7060" w:type="dxa"/>
            <w:tcMar>
              <w:left w:w="108" w:type="dxa"/>
            </w:tcMar>
          </w:tcPr>
          <w:p w:rsidR="0073099A" w:rsidRPr="00DD7B61" w:rsidRDefault="0073099A" w:rsidP="00D73E98">
            <w:pPr>
              <w:spacing w:line="230" w:lineRule="exact"/>
              <w:rPr>
                <w:lang w:val="it-IT"/>
              </w:rPr>
            </w:pPr>
            <w:r w:rsidRPr="00DD7B61">
              <w:rPr>
                <w:lang w:val="it-IT"/>
              </w:rPr>
              <w:t xml:space="preserve">I dividendi sono stati rilevati nel momento </w:t>
            </w:r>
            <w:r>
              <w:rPr>
                <w:lang w:val="it-IT"/>
              </w:rPr>
              <w:t>in cui</w:t>
            </w:r>
            <w:r w:rsidRPr="00DD7B61">
              <w:rPr>
                <w:lang w:val="it-IT"/>
              </w:rPr>
              <w:t>, in conseguenza della delibera assunta dall’assemblea dei soci della società partecipata di distribuire l’utile o eventualmente le riserve, sorge il diritto alla riscossione da parte della società partecipante?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4D5D34" w:rsidTr="00D73E98">
        <w:trPr>
          <w:cantSplit/>
          <w:trHeight w:val="20"/>
        </w:trPr>
        <w:tc>
          <w:tcPr>
            <w:tcW w:w="680" w:type="dxa"/>
          </w:tcPr>
          <w:p w:rsidR="0073099A" w:rsidRPr="00ED1E9D" w:rsidRDefault="0073099A" w:rsidP="00D73E98">
            <w:pPr>
              <w:jc w:val="center"/>
              <w:rPr>
                <w:b/>
                <w:lang w:val="it-IT"/>
              </w:rPr>
            </w:pPr>
            <w:r w:rsidRPr="00ED1E9D">
              <w:rPr>
                <w:b/>
                <w:lang w:val="it-IT"/>
              </w:rPr>
              <w:t>38)</w:t>
            </w:r>
          </w:p>
        </w:tc>
        <w:tc>
          <w:tcPr>
            <w:tcW w:w="851" w:type="dxa"/>
            <w:tcMar>
              <w:left w:w="108" w:type="dxa"/>
              <w:right w:w="0" w:type="dxa"/>
            </w:tcMar>
          </w:tcPr>
          <w:p w:rsidR="0073099A" w:rsidRDefault="0073099A" w:rsidP="00D73E98">
            <w:pPr>
              <w:pStyle w:val="PrincCont"/>
              <w:jc w:val="left"/>
              <w:rPr>
                <w:lang w:val="it-IT"/>
              </w:rPr>
            </w:pPr>
            <w:r>
              <w:rPr>
                <w:lang w:val="it-IT"/>
              </w:rPr>
              <w:t>OIC 21.58</w:t>
            </w:r>
          </w:p>
        </w:tc>
        <w:tc>
          <w:tcPr>
            <w:tcW w:w="7060" w:type="dxa"/>
            <w:tcMar>
              <w:left w:w="108" w:type="dxa"/>
            </w:tcMar>
          </w:tcPr>
          <w:p w:rsidR="0073099A" w:rsidRPr="00DD7B61" w:rsidRDefault="0073099A" w:rsidP="00D73E98">
            <w:pPr>
              <w:spacing w:line="230" w:lineRule="exact"/>
              <w:rPr>
                <w:lang w:val="it-IT"/>
              </w:rPr>
            </w:pPr>
            <w:r w:rsidRPr="00DD7B61">
              <w:rPr>
                <w:lang w:val="it-IT"/>
              </w:rPr>
              <w:t>Il dividendo è stato rilevato come provento finanziario indipendentemente dalla natura delle riserve oggetto di distribuzione?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4D5D34" w:rsidTr="00D73E98">
        <w:trPr>
          <w:cantSplit/>
          <w:trHeight w:val="20"/>
        </w:trPr>
        <w:tc>
          <w:tcPr>
            <w:tcW w:w="680" w:type="dxa"/>
          </w:tcPr>
          <w:p w:rsidR="0073099A" w:rsidRPr="00ED1E9D" w:rsidRDefault="0073099A" w:rsidP="00D73E98">
            <w:pPr>
              <w:jc w:val="center"/>
              <w:rPr>
                <w:b/>
                <w:lang w:val="it-IT"/>
              </w:rPr>
            </w:pPr>
            <w:r w:rsidRPr="00ED1E9D">
              <w:rPr>
                <w:b/>
                <w:lang w:val="it-IT"/>
              </w:rPr>
              <w:t>39)</w:t>
            </w:r>
          </w:p>
        </w:tc>
        <w:tc>
          <w:tcPr>
            <w:tcW w:w="851" w:type="dxa"/>
            <w:tcMar>
              <w:left w:w="108" w:type="dxa"/>
              <w:right w:w="0" w:type="dxa"/>
            </w:tcMar>
          </w:tcPr>
          <w:p w:rsidR="0073099A" w:rsidRDefault="0073099A" w:rsidP="00D73E98">
            <w:pPr>
              <w:pStyle w:val="PrincCont"/>
              <w:jc w:val="left"/>
              <w:rPr>
                <w:lang w:val="it-IT"/>
              </w:rPr>
            </w:pPr>
            <w:r>
              <w:rPr>
                <w:lang w:val="it-IT"/>
              </w:rPr>
              <w:t>OIC 21.58</w:t>
            </w:r>
          </w:p>
        </w:tc>
        <w:tc>
          <w:tcPr>
            <w:tcW w:w="7060" w:type="dxa"/>
            <w:tcMar>
              <w:left w:w="108" w:type="dxa"/>
            </w:tcMar>
          </w:tcPr>
          <w:p w:rsidR="0073099A" w:rsidRPr="00DD7B61" w:rsidRDefault="0073099A" w:rsidP="00D73E98">
            <w:pPr>
              <w:spacing w:line="230" w:lineRule="exact"/>
              <w:rPr>
                <w:lang w:val="it-IT"/>
              </w:rPr>
            </w:pPr>
            <w:r w:rsidRPr="00DD7B61">
              <w:rPr>
                <w:lang w:val="it-IT"/>
              </w:rPr>
              <w:t>La società partecipante ha verificato che, a seguito della distribuzione, il valore recuperabile della partecipazione non sia diminuito al punto tale da rendere necessaria la rilevazione di una perdita di valore?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ED1E9D" w:rsidRDefault="0073099A" w:rsidP="00D73E98">
            <w:pPr>
              <w:jc w:val="center"/>
              <w:rPr>
                <w:b/>
                <w:lang w:val="it-IT"/>
              </w:rPr>
            </w:pPr>
            <w:r w:rsidRPr="00ED1E9D">
              <w:rPr>
                <w:b/>
                <w:lang w:val="it-IT"/>
              </w:rPr>
              <w:t>40)</w:t>
            </w:r>
          </w:p>
        </w:tc>
        <w:tc>
          <w:tcPr>
            <w:tcW w:w="851" w:type="dxa"/>
            <w:tcMar>
              <w:left w:w="108" w:type="dxa"/>
              <w:right w:w="0" w:type="dxa"/>
            </w:tcMar>
          </w:tcPr>
          <w:p w:rsidR="0073099A" w:rsidRDefault="0073099A" w:rsidP="00D73E98">
            <w:pPr>
              <w:pStyle w:val="PrincCont"/>
              <w:jc w:val="left"/>
              <w:rPr>
                <w:lang w:val="it-IT"/>
              </w:rPr>
            </w:pPr>
            <w:r>
              <w:rPr>
                <w:lang w:val="it-IT"/>
              </w:rPr>
              <w:t>OIC 21.59</w:t>
            </w:r>
          </w:p>
        </w:tc>
        <w:tc>
          <w:tcPr>
            <w:tcW w:w="7060" w:type="dxa"/>
            <w:tcMar>
              <w:left w:w="108" w:type="dxa"/>
            </w:tcMar>
          </w:tcPr>
          <w:p w:rsidR="0073099A" w:rsidRPr="00C036EE" w:rsidRDefault="0073099A" w:rsidP="00D73E98">
            <w:pPr>
              <w:spacing w:line="230" w:lineRule="exact"/>
              <w:rPr>
                <w:lang w:val="it-IT"/>
              </w:rPr>
            </w:pPr>
            <w:r>
              <w:rPr>
                <w:lang w:val="it-IT"/>
              </w:rPr>
              <w:t>Non sono stati rilevati proventi da dividendi nel caso di:</w:t>
            </w:r>
          </w:p>
        </w:tc>
        <w:tc>
          <w:tcPr>
            <w:tcW w:w="586" w:type="dxa"/>
            <w:tcMar>
              <w:left w:w="85" w:type="dxa"/>
              <w:right w:w="85" w:type="dxa"/>
            </w:tcMar>
            <w:vAlign w:val="center"/>
          </w:tcPr>
          <w:p w:rsidR="0073099A" w:rsidRPr="00C036EE" w:rsidRDefault="0073099A" w:rsidP="00D73E98">
            <w:pPr>
              <w:jc w:val="center"/>
              <w:rPr>
                <w:lang w:val="it-IT"/>
              </w:rPr>
            </w:pPr>
          </w:p>
        </w:tc>
        <w:tc>
          <w:tcPr>
            <w:tcW w:w="573" w:type="dxa"/>
            <w:tcMar>
              <w:left w:w="108" w:type="dxa"/>
            </w:tcMar>
            <w:vAlign w:val="center"/>
          </w:tcPr>
          <w:p w:rsidR="0073099A" w:rsidRPr="00C036EE" w:rsidRDefault="0073099A" w:rsidP="00D73E98">
            <w:pPr>
              <w:jc w:val="center"/>
              <w:rPr>
                <w:lang w:val="it-IT"/>
              </w:rPr>
            </w:pPr>
          </w:p>
        </w:tc>
        <w:tc>
          <w:tcPr>
            <w:tcW w:w="570" w:type="dxa"/>
            <w:tcMar>
              <w:left w:w="108" w:type="dxa"/>
            </w:tcMar>
            <w:vAlign w:val="center"/>
          </w:tcPr>
          <w:p w:rsidR="0073099A" w:rsidRPr="00C036EE" w:rsidRDefault="0073099A" w:rsidP="00D73E98">
            <w:pPr>
              <w:jc w:val="center"/>
              <w:rPr>
                <w:lang w:val="it-IT"/>
              </w:rPr>
            </w:pPr>
          </w:p>
        </w:tc>
      </w:tr>
      <w:tr w:rsidR="0073099A" w:rsidRPr="004D5D34" w:rsidTr="00D73E98">
        <w:trPr>
          <w:cantSplit/>
          <w:trHeight w:val="20"/>
        </w:trPr>
        <w:tc>
          <w:tcPr>
            <w:tcW w:w="680" w:type="dxa"/>
          </w:tcPr>
          <w:p w:rsidR="0073099A" w:rsidRPr="00ED1E9D"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311CEC" w:rsidRDefault="0073099A" w:rsidP="00E13709">
            <w:pPr>
              <w:pStyle w:val="rientrotrattinook"/>
              <w:tabs>
                <w:tab w:val="clear" w:pos="704"/>
              </w:tabs>
              <w:ind w:left="460" w:hanging="284"/>
            </w:pPr>
            <w:r>
              <w:t xml:space="preserve">attribuzione di azioni </w:t>
            </w:r>
            <w:r w:rsidRPr="00311CEC">
              <w:t>della partecipata derivanti da un aumento gratuito di capitale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4D5D34" w:rsidTr="00D73E98">
        <w:trPr>
          <w:cantSplit/>
          <w:trHeight w:val="20"/>
        </w:trPr>
        <w:tc>
          <w:tcPr>
            <w:tcW w:w="680" w:type="dxa"/>
          </w:tcPr>
          <w:p w:rsidR="0073099A" w:rsidRPr="00ED1E9D"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311CEC" w:rsidRDefault="0073099A" w:rsidP="00E13709">
            <w:pPr>
              <w:pStyle w:val="rientrotrattinook"/>
              <w:tabs>
                <w:tab w:val="clear" w:pos="704"/>
              </w:tabs>
              <w:ind w:left="460" w:hanging="284"/>
            </w:pPr>
            <w:r w:rsidRPr="00311CEC">
              <w:t>distribuzione</w:t>
            </w:r>
            <w:r>
              <w:t>,</w:t>
            </w:r>
            <w:r w:rsidRPr="00311CEC">
              <w:t xml:space="preserve"> a titolo di dividendo</w:t>
            </w:r>
            <w:r>
              <w:t>,</w:t>
            </w:r>
            <w:r w:rsidRPr="00311CEC">
              <w:t xml:space="preserve"> da parte della partecipata di azioni proprie</w:t>
            </w:r>
            <w: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A67C4B" w:rsidTr="00D73E98">
        <w:trPr>
          <w:cantSplit/>
          <w:trHeight w:val="20"/>
        </w:trPr>
        <w:tc>
          <w:tcPr>
            <w:tcW w:w="680" w:type="dxa"/>
          </w:tcPr>
          <w:p w:rsidR="0073099A" w:rsidRPr="00ED1E9D"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A67C4B" w:rsidRDefault="0073099A" w:rsidP="00D73E98">
            <w:pPr>
              <w:pStyle w:val="Titolo2"/>
              <w:spacing w:line="220" w:lineRule="exact"/>
              <w:rPr>
                <w:lang w:val="it-IT"/>
              </w:rPr>
            </w:pPr>
            <w:r>
              <w:rPr>
                <w:lang w:val="it-IT"/>
              </w:rPr>
              <w:t>Nota Integrativa</w:t>
            </w:r>
          </w:p>
        </w:tc>
        <w:tc>
          <w:tcPr>
            <w:tcW w:w="586" w:type="dxa"/>
            <w:tcMar>
              <w:left w:w="85" w:type="dxa"/>
              <w:right w:w="85" w:type="dxa"/>
            </w:tcMar>
            <w:vAlign w:val="center"/>
          </w:tcPr>
          <w:p w:rsidR="0073099A" w:rsidRPr="00A67C4B" w:rsidRDefault="0073099A" w:rsidP="00D73E98">
            <w:pPr>
              <w:jc w:val="center"/>
            </w:pPr>
          </w:p>
        </w:tc>
        <w:tc>
          <w:tcPr>
            <w:tcW w:w="573" w:type="dxa"/>
            <w:tcMar>
              <w:left w:w="108" w:type="dxa"/>
            </w:tcMar>
            <w:vAlign w:val="center"/>
          </w:tcPr>
          <w:p w:rsidR="0073099A" w:rsidRPr="00A67C4B" w:rsidRDefault="0073099A" w:rsidP="00D73E98">
            <w:pPr>
              <w:jc w:val="center"/>
            </w:pPr>
          </w:p>
        </w:tc>
        <w:tc>
          <w:tcPr>
            <w:tcW w:w="570" w:type="dxa"/>
            <w:tcMar>
              <w:left w:w="108" w:type="dxa"/>
            </w:tcMar>
            <w:vAlign w:val="center"/>
          </w:tcPr>
          <w:p w:rsidR="0073099A" w:rsidRPr="00A67C4B" w:rsidRDefault="0073099A" w:rsidP="00D73E98">
            <w:pPr>
              <w:jc w:val="center"/>
            </w:pPr>
          </w:p>
        </w:tc>
      </w:tr>
      <w:tr w:rsidR="0073099A" w:rsidRPr="00CC242B" w:rsidTr="00D73E98">
        <w:trPr>
          <w:cantSplit/>
          <w:trHeight w:val="20"/>
        </w:trPr>
        <w:tc>
          <w:tcPr>
            <w:tcW w:w="680" w:type="dxa"/>
          </w:tcPr>
          <w:p w:rsidR="0073099A" w:rsidRPr="00ED1E9D" w:rsidRDefault="0073099A" w:rsidP="00D73E98">
            <w:pPr>
              <w:jc w:val="center"/>
              <w:rPr>
                <w:b/>
                <w:lang w:val="it-IT"/>
              </w:rPr>
            </w:pPr>
          </w:p>
        </w:tc>
        <w:tc>
          <w:tcPr>
            <w:tcW w:w="851" w:type="dxa"/>
            <w:tcMar>
              <w:left w:w="108" w:type="dxa"/>
              <w:right w:w="0" w:type="dxa"/>
            </w:tcMar>
          </w:tcPr>
          <w:p w:rsidR="0073099A" w:rsidRPr="00A67C4B" w:rsidRDefault="0073099A" w:rsidP="00D73E98">
            <w:pPr>
              <w:pStyle w:val="PrincCont"/>
              <w:jc w:val="left"/>
              <w:rPr>
                <w:lang w:val="it-IT"/>
              </w:rPr>
            </w:pPr>
          </w:p>
        </w:tc>
        <w:tc>
          <w:tcPr>
            <w:tcW w:w="7060" w:type="dxa"/>
            <w:tcMar>
              <w:left w:w="108" w:type="dxa"/>
            </w:tcMar>
            <w:vAlign w:val="center"/>
          </w:tcPr>
          <w:p w:rsidR="0073099A" w:rsidRPr="00A67C4B" w:rsidRDefault="0073099A" w:rsidP="00D73E98">
            <w:pPr>
              <w:pStyle w:val="Titolo3"/>
              <w:rPr>
                <w:lang w:val="it-IT"/>
              </w:rPr>
            </w:pPr>
            <w:r w:rsidRPr="008D7796">
              <w:rPr>
                <w:lang w:val="it-IT"/>
              </w:rPr>
              <w:t>Informazioni relative alle società che redigono il bilancio in forma ordinaria</w:t>
            </w:r>
          </w:p>
        </w:tc>
        <w:tc>
          <w:tcPr>
            <w:tcW w:w="586" w:type="dxa"/>
            <w:tcMar>
              <w:left w:w="85" w:type="dxa"/>
              <w:right w:w="85" w:type="dxa"/>
            </w:tcMar>
            <w:vAlign w:val="center"/>
          </w:tcPr>
          <w:p w:rsidR="0073099A" w:rsidRPr="007940C9" w:rsidRDefault="0073099A" w:rsidP="00D73E98">
            <w:pPr>
              <w:jc w:val="center"/>
              <w:rPr>
                <w:lang w:val="it-IT"/>
              </w:rPr>
            </w:pPr>
          </w:p>
        </w:tc>
        <w:tc>
          <w:tcPr>
            <w:tcW w:w="573" w:type="dxa"/>
            <w:tcMar>
              <w:left w:w="108" w:type="dxa"/>
            </w:tcMar>
            <w:vAlign w:val="center"/>
          </w:tcPr>
          <w:p w:rsidR="0073099A" w:rsidRPr="007940C9" w:rsidRDefault="0073099A" w:rsidP="00D73E98">
            <w:pPr>
              <w:jc w:val="center"/>
              <w:rPr>
                <w:lang w:val="it-IT"/>
              </w:rPr>
            </w:pPr>
          </w:p>
        </w:tc>
        <w:tc>
          <w:tcPr>
            <w:tcW w:w="570" w:type="dxa"/>
            <w:tcMar>
              <w:left w:w="108" w:type="dxa"/>
            </w:tcMar>
            <w:vAlign w:val="center"/>
          </w:tcPr>
          <w:p w:rsidR="0073099A" w:rsidRPr="007940C9" w:rsidRDefault="0073099A" w:rsidP="00D73E98">
            <w:pPr>
              <w:jc w:val="center"/>
              <w:rPr>
                <w:lang w:val="it-IT"/>
              </w:rPr>
            </w:pPr>
          </w:p>
        </w:tc>
      </w:tr>
      <w:tr w:rsidR="0073099A" w:rsidRPr="00CC242B" w:rsidTr="00D73E98">
        <w:trPr>
          <w:cantSplit/>
          <w:trHeight w:val="20"/>
        </w:trPr>
        <w:tc>
          <w:tcPr>
            <w:tcW w:w="680" w:type="dxa"/>
          </w:tcPr>
          <w:p w:rsidR="0073099A" w:rsidRPr="00ED1E9D" w:rsidRDefault="0073099A" w:rsidP="00D73E98">
            <w:pPr>
              <w:jc w:val="center"/>
              <w:rPr>
                <w:b/>
                <w:lang w:val="it-IT"/>
              </w:rPr>
            </w:pPr>
          </w:p>
        </w:tc>
        <w:tc>
          <w:tcPr>
            <w:tcW w:w="851" w:type="dxa"/>
            <w:tcMar>
              <w:left w:w="108" w:type="dxa"/>
              <w:right w:w="0" w:type="dxa"/>
            </w:tcMar>
          </w:tcPr>
          <w:p w:rsidR="0073099A" w:rsidRPr="00A67C4B" w:rsidRDefault="0073099A" w:rsidP="00D73E98">
            <w:pPr>
              <w:pStyle w:val="PrincCont"/>
              <w:jc w:val="left"/>
              <w:rPr>
                <w:lang w:val="it-IT"/>
              </w:rPr>
            </w:pPr>
            <w:r w:rsidRPr="00A67C4B">
              <w:rPr>
                <w:lang w:val="it-IT"/>
              </w:rPr>
              <w:t>Artt. 2426 e 2427 CC</w:t>
            </w:r>
            <w:r>
              <w:rPr>
                <w:lang w:val="it-IT"/>
              </w:rPr>
              <w:t xml:space="preserve">    </w:t>
            </w:r>
            <w:r w:rsidRPr="00A67C4B">
              <w:rPr>
                <w:lang w:val="it-IT"/>
              </w:rPr>
              <w:t>OIC 21.60</w:t>
            </w:r>
            <w:r>
              <w:rPr>
                <w:lang w:val="it-IT"/>
              </w:rPr>
              <w:t xml:space="preserve">   </w:t>
            </w:r>
            <w:r w:rsidRPr="00A67C4B">
              <w:rPr>
                <w:lang w:val="it-IT"/>
              </w:rPr>
              <w:t>OIC 21.61</w:t>
            </w:r>
          </w:p>
        </w:tc>
        <w:tc>
          <w:tcPr>
            <w:tcW w:w="7060" w:type="dxa"/>
            <w:tcMar>
              <w:left w:w="108" w:type="dxa"/>
            </w:tcMar>
          </w:tcPr>
          <w:p w:rsidR="0073099A" w:rsidRPr="00C2401D" w:rsidRDefault="0073099A" w:rsidP="00D73E98">
            <w:pPr>
              <w:spacing w:line="230" w:lineRule="exact"/>
              <w:jc w:val="left"/>
              <w:rPr>
                <w:b/>
                <w:lang w:val="it-IT"/>
              </w:rPr>
            </w:pPr>
            <w:r w:rsidRPr="00A67C4B">
              <w:rPr>
                <w:lang w:val="it-IT"/>
              </w:rPr>
              <w:t xml:space="preserve">Nella </w:t>
            </w:r>
            <w:r>
              <w:rPr>
                <w:lang w:val="it-IT"/>
              </w:rPr>
              <w:t>Nota Integrativa</w:t>
            </w:r>
            <w:r w:rsidRPr="00A67C4B">
              <w:rPr>
                <w:lang w:val="it-IT"/>
              </w:rPr>
              <w:t xml:space="preserve"> sono state fornite le seguenti informazioni:</w:t>
            </w:r>
          </w:p>
        </w:tc>
        <w:tc>
          <w:tcPr>
            <w:tcW w:w="586" w:type="dxa"/>
            <w:tcMar>
              <w:left w:w="85" w:type="dxa"/>
              <w:right w:w="85" w:type="dxa"/>
            </w:tcMar>
            <w:vAlign w:val="center"/>
          </w:tcPr>
          <w:p w:rsidR="0073099A" w:rsidRPr="007940C9" w:rsidRDefault="0073099A" w:rsidP="00D73E98">
            <w:pPr>
              <w:jc w:val="center"/>
              <w:rPr>
                <w:lang w:val="it-IT"/>
              </w:rPr>
            </w:pPr>
          </w:p>
        </w:tc>
        <w:tc>
          <w:tcPr>
            <w:tcW w:w="573" w:type="dxa"/>
            <w:tcMar>
              <w:left w:w="108" w:type="dxa"/>
            </w:tcMar>
            <w:vAlign w:val="center"/>
          </w:tcPr>
          <w:p w:rsidR="0073099A" w:rsidRPr="007940C9" w:rsidRDefault="0073099A" w:rsidP="00D73E98">
            <w:pPr>
              <w:jc w:val="center"/>
              <w:rPr>
                <w:lang w:val="it-IT"/>
              </w:rPr>
            </w:pPr>
          </w:p>
        </w:tc>
        <w:tc>
          <w:tcPr>
            <w:tcW w:w="570" w:type="dxa"/>
            <w:tcMar>
              <w:left w:w="108" w:type="dxa"/>
            </w:tcMar>
            <w:vAlign w:val="center"/>
          </w:tcPr>
          <w:p w:rsidR="0073099A" w:rsidRPr="007940C9" w:rsidRDefault="0073099A" w:rsidP="00D73E98">
            <w:pPr>
              <w:jc w:val="center"/>
              <w:rPr>
                <w:lang w:val="it-IT"/>
              </w:rPr>
            </w:pPr>
          </w:p>
        </w:tc>
      </w:tr>
      <w:tr w:rsidR="0073099A" w:rsidRPr="0064755C" w:rsidTr="00D73E98">
        <w:trPr>
          <w:cantSplit/>
          <w:trHeight w:val="20"/>
        </w:trPr>
        <w:tc>
          <w:tcPr>
            <w:tcW w:w="680" w:type="dxa"/>
          </w:tcPr>
          <w:p w:rsidR="0073099A" w:rsidRPr="00ED1E9D" w:rsidRDefault="0073099A" w:rsidP="00D73E98">
            <w:pPr>
              <w:jc w:val="center"/>
              <w:rPr>
                <w:b/>
                <w:lang w:val="it-IT"/>
              </w:rPr>
            </w:pPr>
            <w:r w:rsidRPr="00ED1E9D">
              <w:rPr>
                <w:b/>
                <w:lang w:val="it-IT"/>
              </w:rPr>
              <w:t>41)</w:t>
            </w:r>
          </w:p>
        </w:tc>
        <w:tc>
          <w:tcPr>
            <w:tcW w:w="851" w:type="dxa"/>
            <w:tcMar>
              <w:left w:w="108" w:type="dxa"/>
              <w:right w:w="0" w:type="dxa"/>
            </w:tcMar>
          </w:tcPr>
          <w:p w:rsidR="0073099A" w:rsidRDefault="0073099A" w:rsidP="00D73E98">
            <w:pPr>
              <w:pStyle w:val="PrincCont"/>
              <w:jc w:val="left"/>
              <w:rPr>
                <w:lang w:val="it-IT"/>
              </w:rPr>
            </w:pPr>
            <w:r>
              <w:rPr>
                <w:lang w:val="it-IT"/>
              </w:rPr>
              <w:t>Art. 2427, c.1, n.1 CC</w:t>
            </w:r>
          </w:p>
        </w:tc>
        <w:tc>
          <w:tcPr>
            <w:tcW w:w="7060" w:type="dxa"/>
            <w:tcMar>
              <w:left w:w="108" w:type="dxa"/>
            </w:tcMar>
          </w:tcPr>
          <w:p w:rsidR="0073099A" w:rsidRPr="00C64E07" w:rsidRDefault="0073099A" w:rsidP="00D73E98">
            <w:pPr>
              <w:spacing w:line="230" w:lineRule="exact"/>
              <w:rPr>
                <w:lang w:val="it-IT"/>
              </w:rPr>
            </w:pPr>
            <w:r>
              <w:rPr>
                <w:lang w:val="it-IT"/>
              </w:rPr>
              <w:t>I criteri applicati</w:t>
            </w:r>
            <w:r w:rsidRPr="00C64E07">
              <w:rPr>
                <w:lang w:val="it-IT"/>
              </w:rPr>
              <w:t xml:space="preserve"> nella valutazione, nelle rettifiche di valore e nella conversione dei valori non espressi all'origine in moneta avente corso legale nello Stato?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D77D14" w:rsidTr="00D73E98">
        <w:trPr>
          <w:cantSplit/>
          <w:trHeight w:val="20"/>
        </w:trPr>
        <w:tc>
          <w:tcPr>
            <w:tcW w:w="680" w:type="dxa"/>
          </w:tcPr>
          <w:p w:rsidR="0073099A" w:rsidRPr="00ED1E9D" w:rsidRDefault="0073099A" w:rsidP="00D73E98">
            <w:pPr>
              <w:jc w:val="center"/>
              <w:rPr>
                <w:b/>
                <w:lang w:val="it-IT"/>
              </w:rPr>
            </w:pPr>
            <w:r w:rsidRPr="00ED1E9D">
              <w:rPr>
                <w:b/>
                <w:lang w:val="it-IT"/>
              </w:rPr>
              <w:t>42)</w:t>
            </w:r>
          </w:p>
        </w:tc>
        <w:tc>
          <w:tcPr>
            <w:tcW w:w="851" w:type="dxa"/>
            <w:tcMar>
              <w:left w:w="108" w:type="dxa"/>
              <w:right w:w="0" w:type="dxa"/>
            </w:tcMar>
          </w:tcPr>
          <w:p w:rsidR="0073099A" w:rsidRDefault="0073099A" w:rsidP="00D73E98">
            <w:pPr>
              <w:pStyle w:val="PrincCont"/>
              <w:jc w:val="left"/>
              <w:rPr>
                <w:lang w:val="it-IT"/>
              </w:rPr>
            </w:pPr>
            <w:r>
              <w:rPr>
                <w:lang w:val="it-IT"/>
              </w:rPr>
              <w:t>OIC 21.60</w:t>
            </w:r>
          </w:p>
        </w:tc>
        <w:tc>
          <w:tcPr>
            <w:tcW w:w="7060" w:type="dxa"/>
            <w:tcMar>
              <w:left w:w="108" w:type="dxa"/>
            </w:tcMar>
          </w:tcPr>
          <w:p w:rsidR="0073099A" w:rsidRDefault="0073099A" w:rsidP="00D73E98">
            <w:pPr>
              <w:spacing w:line="230" w:lineRule="exact"/>
              <w:rPr>
                <w:lang w:val="it-IT" w:eastAsia="it-IT"/>
              </w:rPr>
            </w:pPr>
            <w:r>
              <w:rPr>
                <w:lang w:val="it-IT" w:eastAsia="it-IT"/>
              </w:rPr>
              <w:t>Nel fornire le informazioni di cui al numero 1) dell’articolo 2427 del codice civile la nota</w:t>
            </w:r>
          </w:p>
          <w:p w:rsidR="0073099A" w:rsidRPr="006E32F7" w:rsidRDefault="0073099A" w:rsidP="00D73E98">
            <w:pPr>
              <w:spacing w:line="230" w:lineRule="exact"/>
            </w:pPr>
            <w:r>
              <w:rPr>
                <w:lang w:val="it-IT" w:eastAsia="it-IT"/>
              </w:rPr>
              <w:t>integrativa illustra:</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D77D14"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21.60</w:t>
            </w:r>
          </w:p>
        </w:tc>
        <w:tc>
          <w:tcPr>
            <w:tcW w:w="7060" w:type="dxa"/>
            <w:tcMar>
              <w:left w:w="108" w:type="dxa"/>
            </w:tcMar>
          </w:tcPr>
          <w:p w:rsidR="0073099A" w:rsidRPr="0028378B" w:rsidRDefault="0073099A" w:rsidP="00E13709">
            <w:pPr>
              <w:pStyle w:val="rientrotrattinook"/>
              <w:tabs>
                <w:tab w:val="clear" w:pos="704"/>
              </w:tabs>
              <w:ind w:left="460" w:hanging="284"/>
            </w:pPr>
            <w:r>
              <w:t>nel caso di partecipazioni immobilizzate, le ragioni, nel caso di “perdita durevole” di valore della partecipazione, dell'adozione di valore inferiore al costo o al valore contabile precedente e gli elementi che hanno costituito base o riferimento per l'adozione del valore minore?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D77D14"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21.60</w:t>
            </w:r>
          </w:p>
        </w:tc>
        <w:tc>
          <w:tcPr>
            <w:tcW w:w="7060" w:type="dxa"/>
            <w:tcMar>
              <w:left w:w="108" w:type="dxa"/>
            </w:tcMar>
          </w:tcPr>
          <w:p w:rsidR="0073099A" w:rsidRPr="0028378B" w:rsidRDefault="0073099A" w:rsidP="00E13709">
            <w:pPr>
              <w:pStyle w:val="rientrotrattinook"/>
              <w:tabs>
                <w:tab w:val="clear" w:pos="704"/>
              </w:tabs>
              <w:ind w:left="460" w:hanging="284"/>
            </w:pPr>
            <w:r>
              <w:t>nel caso di partecipazioni non immobilizzate, il mercato cui si è fatto riferimento per comparare il costo?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052DA0" w:rsidTr="00D73E98">
        <w:trPr>
          <w:cantSplit/>
          <w:trHeight w:val="20"/>
        </w:trPr>
        <w:tc>
          <w:tcPr>
            <w:tcW w:w="680" w:type="dxa"/>
          </w:tcPr>
          <w:p w:rsidR="0073099A" w:rsidRPr="00ED1E9D" w:rsidRDefault="0073099A" w:rsidP="00D73E98">
            <w:pPr>
              <w:jc w:val="center"/>
              <w:rPr>
                <w:b/>
                <w:lang w:val="it-IT"/>
              </w:rPr>
            </w:pPr>
            <w:r w:rsidRPr="00ED1E9D">
              <w:rPr>
                <w:b/>
                <w:lang w:val="it-IT"/>
              </w:rPr>
              <w:t>43)</w:t>
            </w:r>
          </w:p>
        </w:tc>
        <w:tc>
          <w:tcPr>
            <w:tcW w:w="851" w:type="dxa"/>
            <w:tcMar>
              <w:left w:w="108" w:type="dxa"/>
              <w:right w:w="0" w:type="dxa"/>
            </w:tcMar>
          </w:tcPr>
          <w:p w:rsidR="0073099A" w:rsidRPr="00D03623" w:rsidRDefault="0073099A" w:rsidP="00D73E98">
            <w:pPr>
              <w:pStyle w:val="PrincCont"/>
              <w:jc w:val="left"/>
            </w:pPr>
            <w:r w:rsidRPr="00D03623">
              <w:t>Art. 2427, c.1, n.2, CC</w:t>
            </w:r>
            <w:r>
              <w:t xml:space="preserve">      OIC 21.</w:t>
            </w:r>
            <w:r w:rsidRPr="00D03623">
              <w:t>60</w:t>
            </w:r>
          </w:p>
        </w:tc>
        <w:tc>
          <w:tcPr>
            <w:tcW w:w="7060" w:type="dxa"/>
            <w:tcMar>
              <w:left w:w="108" w:type="dxa"/>
            </w:tcMar>
          </w:tcPr>
          <w:p w:rsidR="0073099A" w:rsidRPr="00A773D1" w:rsidRDefault="0073099A" w:rsidP="00D73E98">
            <w:pPr>
              <w:spacing w:line="230" w:lineRule="exact"/>
              <w:rPr>
                <w:lang w:val="it-IT"/>
              </w:rPr>
            </w:pPr>
            <w:r w:rsidRPr="00A773D1">
              <w:rPr>
                <w:lang w:val="it-IT" w:eastAsia="it-IT"/>
              </w:rPr>
              <w:t>I movimenti delle immobilizzazioni, specificando per ciascuna voce: il costo; le precedenti rivalutazioni, (ammortamenti) e svalutazioni; le acquisizioni, gli spostamenti da una ad altra voce, le alienazioni avvenuti nell’esercizio; le rivalutazioni, (gli ammortamenti e) le svalutazioni effettuati nell’esercizio; il totale delle rivalutazioni riguardanti le immobilizzazioni esistenti alla chiusura dell’esercizio (per quanto riguarda le partecipazioni classificate tra le immobilizzazioni finanziarie)?</w:t>
            </w:r>
          </w:p>
        </w:tc>
        <w:tc>
          <w:tcPr>
            <w:tcW w:w="586" w:type="dxa"/>
            <w:tcMar>
              <w:left w:w="85" w:type="dxa"/>
              <w:right w:w="85" w:type="dxa"/>
            </w:tcMar>
            <w:vAlign w:val="center"/>
          </w:tcPr>
          <w:p w:rsidR="0073099A" w:rsidRPr="00A773D1" w:rsidRDefault="0073099A" w:rsidP="00D73E98">
            <w:pPr>
              <w:jc w:val="center"/>
              <w:rPr>
                <w:lang w:val="it-IT"/>
              </w:rPr>
            </w:pPr>
            <w:r w:rsidRPr="00A773D1">
              <w:fldChar w:fldCharType="begin">
                <w:ffData>
                  <w:name w:val="Check4"/>
                  <w:enabled/>
                  <w:calcOnExit w:val="0"/>
                  <w:checkBox>
                    <w:sizeAuto/>
                    <w:default w:val="0"/>
                  </w:checkBox>
                </w:ffData>
              </w:fldChar>
            </w:r>
            <w:r w:rsidRPr="00A773D1">
              <w:instrText xml:space="preserve"> FORMCHECKBOX </w:instrText>
            </w:r>
            <w:r w:rsidR="00CA1681">
              <w:fldChar w:fldCharType="separate"/>
            </w:r>
            <w:r w:rsidRPr="00A773D1">
              <w:fldChar w:fldCharType="end"/>
            </w:r>
          </w:p>
        </w:tc>
        <w:tc>
          <w:tcPr>
            <w:tcW w:w="573" w:type="dxa"/>
            <w:tcMar>
              <w:left w:w="108" w:type="dxa"/>
            </w:tcMar>
            <w:vAlign w:val="center"/>
          </w:tcPr>
          <w:p w:rsidR="0073099A" w:rsidRPr="00A773D1" w:rsidRDefault="0073099A" w:rsidP="00D73E98">
            <w:pPr>
              <w:jc w:val="center"/>
              <w:rPr>
                <w:lang w:val="it-IT"/>
              </w:rPr>
            </w:pPr>
            <w:r w:rsidRPr="00A773D1">
              <w:fldChar w:fldCharType="begin">
                <w:ffData>
                  <w:name w:val="Check4"/>
                  <w:enabled/>
                  <w:calcOnExit w:val="0"/>
                  <w:checkBox>
                    <w:sizeAuto/>
                    <w:default w:val="0"/>
                  </w:checkBox>
                </w:ffData>
              </w:fldChar>
            </w:r>
            <w:r w:rsidRPr="00A773D1">
              <w:instrText xml:space="preserve"> FORMCHECKBOX </w:instrText>
            </w:r>
            <w:r w:rsidR="00CA1681">
              <w:fldChar w:fldCharType="separate"/>
            </w:r>
            <w:r w:rsidRPr="00A773D1">
              <w:fldChar w:fldCharType="end"/>
            </w:r>
          </w:p>
        </w:tc>
        <w:tc>
          <w:tcPr>
            <w:tcW w:w="570" w:type="dxa"/>
            <w:tcMar>
              <w:left w:w="108" w:type="dxa"/>
            </w:tcMar>
            <w:vAlign w:val="center"/>
          </w:tcPr>
          <w:p w:rsidR="0073099A" w:rsidRPr="00A32A16" w:rsidRDefault="0073099A" w:rsidP="00D73E98">
            <w:pPr>
              <w:jc w:val="center"/>
              <w:rPr>
                <w:lang w:val="it-IT"/>
              </w:rPr>
            </w:pPr>
            <w:r w:rsidRPr="00A773D1">
              <w:fldChar w:fldCharType="begin">
                <w:ffData>
                  <w:name w:val="Check4"/>
                  <w:enabled/>
                  <w:calcOnExit w:val="0"/>
                  <w:checkBox>
                    <w:sizeAuto/>
                    <w:default w:val="0"/>
                  </w:checkBox>
                </w:ffData>
              </w:fldChar>
            </w:r>
            <w:r w:rsidRPr="00A773D1">
              <w:instrText xml:space="preserve"> FORMCHECKBOX </w:instrText>
            </w:r>
            <w:r w:rsidR="00CA1681">
              <w:fldChar w:fldCharType="separate"/>
            </w:r>
            <w:r w:rsidRPr="00A773D1">
              <w:fldChar w:fldCharType="end"/>
            </w:r>
          </w:p>
        </w:tc>
      </w:tr>
      <w:tr w:rsidR="0073099A" w:rsidRPr="00CC242B" w:rsidTr="00D73E98">
        <w:trPr>
          <w:cantSplit/>
          <w:trHeight w:val="20"/>
        </w:trPr>
        <w:tc>
          <w:tcPr>
            <w:tcW w:w="680" w:type="dxa"/>
          </w:tcPr>
          <w:p w:rsidR="0073099A" w:rsidRPr="00ED1E9D" w:rsidRDefault="0073099A" w:rsidP="00D73E98">
            <w:pPr>
              <w:jc w:val="center"/>
              <w:rPr>
                <w:b/>
                <w:lang w:val="it-IT"/>
              </w:rPr>
            </w:pPr>
            <w:r w:rsidRPr="00ED1E9D">
              <w:rPr>
                <w:b/>
                <w:lang w:val="it-IT"/>
              </w:rPr>
              <w:t>44)</w:t>
            </w:r>
          </w:p>
        </w:tc>
        <w:tc>
          <w:tcPr>
            <w:tcW w:w="851" w:type="dxa"/>
            <w:tcMar>
              <w:left w:w="108" w:type="dxa"/>
              <w:right w:w="0" w:type="dxa"/>
            </w:tcMar>
          </w:tcPr>
          <w:p w:rsidR="0073099A" w:rsidRPr="00293B7D" w:rsidRDefault="0073099A" w:rsidP="00D73E98">
            <w:pPr>
              <w:pStyle w:val="PrincCont"/>
              <w:jc w:val="left"/>
            </w:pPr>
            <w:r w:rsidRPr="00293B7D">
              <w:t>Art. 2427, c.1, n.2, CC</w:t>
            </w:r>
            <w:r>
              <w:t xml:space="preserve">      OIC 21.60</w:t>
            </w:r>
          </w:p>
        </w:tc>
        <w:tc>
          <w:tcPr>
            <w:tcW w:w="7060" w:type="dxa"/>
            <w:tcMar>
              <w:left w:w="108" w:type="dxa"/>
            </w:tcMar>
            <w:vAlign w:val="center"/>
          </w:tcPr>
          <w:p w:rsidR="0073099A" w:rsidRPr="003F167C" w:rsidRDefault="0073099A" w:rsidP="00D73E98">
            <w:pPr>
              <w:spacing w:line="230" w:lineRule="exact"/>
              <w:rPr>
                <w:lang w:val="it-IT"/>
              </w:rPr>
            </w:pPr>
            <w:r w:rsidRPr="003F167C">
              <w:rPr>
                <w:lang w:val="it-IT"/>
              </w:rPr>
              <w:t>Le informazioni di cui al n</w:t>
            </w:r>
            <w:r>
              <w:rPr>
                <w:lang w:val="it-IT"/>
              </w:rPr>
              <w:t>.</w:t>
            </w:r>
            <w:r w:rsidRPr="003F167C">
              <w:rPr>
                <w:lang w:val="it-IT"/>
              </w:rPr>
              <w:t xml:space="preserve"> 2</w:t>
            </w:r>
            <w:r>
              <w:rPr>
                <w:lang w:val="it-IT"/>
              </w:rPr>
              <w:t>, comma 1, dell’art.</w:t>
            </w:r>
            <w:r w:rsidRPr="003F167C">
              <w:rPr>
                <w:lang w:val="it-IT"/>
              </w:rPr>
              <w:t xml:space="preserve"> 2427</w:t>
            </w:r>
            <w:r>
              <w:rPr>
                <w:lang w:val="it-IT"/>
              </w:rPr>
              <w:t xml:space="preserve"> CC</w:t>
            </w:r>
            <w:r w:rsidRPr="003F167C">
              <w:rPr>
                <w:lang w:val="it-IT"/>
              </w:rPr>
              <w:t xml:space="preserve">, sono </w:t>
            </w:r>
            <w:r>
              <w:rPr>
                <w:lang w:val="it-IT"/>
              </w:rPr>
              <w:t xml:space="preserve">state </w:t>
            </w:r>
            <w:r w:rsidRPr="003F167C">
              <w:rPr>
                <w:lang w:val="it-IT"/>
              </w:rPr>
              <w:t>corredate dalle seguenti indicazioni:</w:t>
            </w:r>
          </w:p>
        </w:tc>
        <w:tc>
          <w:tcPr>
            <w:tcW w:w="586" w:type="dxa"/>
            <w:tcMar>
              <w:left w:w="85" w:type="dxa"/>
              <w:right w:w="85" w:type="dxa"/>
            </w:tcMar>
            <w:vAlign w:val="center"/>
          </w:tcPr>
          <w:p w:rsidR="0073099A" w:rsidRPr="003F167C" w:rsidRDefault="0073099A" w:rsidP="00D73E98">
            <w:pPr>
              <w:jc w:val="center"/>
              <w:rPr>
                <w:lang w:val="it-IT"/>
              </w:rPr>
            </w:pPr>
          </w:p>
        </w:tc>
        <w:tc>
          <w:tcPr>
            <w:tcW w:w="573" w:type="dxa"/>
            <w:tcMar>
              <w:left w:w="108" w:type="dxa"/>
            </w:tcMar>
            <w:vAlign w:val="center"/>
          </w:tcPr>
          <w:p w:rsidR="0073099A" w:rsidRPr="003F167C" w:rsidRDefault="0073099A" w:rsidP="00D73E98">
            <w:pPr>
              <w:jc w:val="center"/>
              <w:rPr>
                <w:lang w:val="it-IT"/>
              </w:rPr>
            </w:pPr>
          </w:p>
        </w:tc>
        <w:tc>
          <w:tcPr>
            <w:tcW w:w="570" w:type="dxa"/>
            <w:tcMar>
              <w:left w:w="108" w:type="dxa"/>
            </w:tcMar>
            <w:vAlign w:val="center"/>
          </w:tcPr>
          <w:p w:rsidR="0073099A" w:rsidRPr="003F167C" w:rsidRDefault="0073099A" w:rsidP="00D73E98">
            <w:pPr>
              <w:jc w:val="center"/>
              <w:rPr>
                <w:lang w:val="it-IT"/>
              </w:rPr>
            </w:pPr>
          </w:p>
        </w:tc>
      </w:tr>
      <w:tr w:rsidR="0073099A" w:rsidRPr="007F306A"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21.60</w:t>
            </w:r>
          </w:p>
        </w:tc>
        <w:tc>
          <w:tcPr>
            <w:tcW w:w="7060" w:type="dxa"/>
            <w:tcMar>
              <w:left w:w="108" w:type="dxa"/>
            </w:tcMar>
          </w:tcPr>
          <w:p w:rsidR="0073099A" w:rsidRPr="00056C3F" w:rsidRDefault="0073099A" w:rsidP="00E13709">
            <w:pPr>
              <w:pStyle w:val="rientrotrattinook"/>
              <w:tabs>
                <w:tab w:val="clear" w:pos="704"/>
              </w:tabs>
              <w:ind w:left="460" w:hanging="284"/>
            </w:pPr>
            <w:r w:rsidRPr="00056C3F">
              <w:t xml:space="preserve">le partecipazioni, con relativo importo, che hanno costituito oggetto di cambiamento di destinazione e le relative ragioni; inoltre è </w:t>
            </w:r>
            <w:r>
              <w:t xml:space="preserve">stata </w:t>
            </w:r>
            <w:r w:rsidRPr="00056C3F">
              <w:t>indicata l’influenza del cambiamento sulla rappresentazione della situazione patrimoniale e finanz</w:t>
            </w:r>
            <w:r>
              <w:t>iaria e del risultato economico?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7F306A"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21.60</w:t>
            </w:r>
          </w:p>
        </w:tc>
        <w:tc>
          <w:tcPr>
            <w:tcW w:w="7060" w:type="dxa"/>
            <w:tcMar>
              <w:left w:w="108" w:type="dxa"/>
            </w:tcMar>
          </w:tcPr>
          <w:p w:rsidR="0073099A" w:rsidRPr="00056C3F" w:rsidRDefault="0073099A" w:rsidP="00E13709">
            <w:pPr>
              <w:pStyle w:val="rientrotrattinook"/>
              <w:tabs>
                <w:tab w:val="clear" w:pos="704"/>
              </w:tabs>
              <w:ind w:left="460" w:hanging="284"/>
            </w:pPr>
            <w:r w:rsidRPr="00056C3F">
              <w:t xml:space="preserve">informazioni sulle operazioni di aumento di capitate (a pagamento o gratuito) deliberate dalla società partecipata che ne descrivono le modalità di effettuazione e le </w:t>
            </w:r>
            <w:r>
              <w:t>conseguenze per la partecipante?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7F306A"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21.60</w:t>
            </w:r>
          </w:p>
        </w:tc>
        <w:tc>
          <w:tcPr>
            <w:tcW w:w="7060" w:type="dxa"/>
            <w:tcMar>
              <w:left w:w="108" w:type="dxa"/>
            </w:tcMar>
          </w:tcPr>
          <w:p w:rsidR="0073099A" w:rsidRPr="0064755C" w:rsidRDefault="0073099A" w:rsidP="00E13709">
            <w:pPr>
              <w:pStyle w:val="rientrotrattinook"/>
              <w:tabs>
                <w:tab w:val="clear" w:pos="704"/>
              </w:tabs>
              <w:ind w:left="460" w:hanging="284"/>
            </w:pPr>
            <w:r>
              <w:t>se gli organi amministrativi della partecipante hanno considerato la perdita di valore non durevole, ne hanno dato esplicita illustrazione nella Nota Integrativa, indicando gli elementi caratterizzanti dei piani/programmi che consentiranno il recupero della perdita di valore, ivi inclusa l'indicazione nel tempo atteso per il recupero della perdita?</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7F306A"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21.60</w:t>
            </w:r>
          </w:p>
        </w:tc>
        <w:tc>
          <w:tcPr>
            <w:tcW w:w="7060" w:type="dxa"/>
            <w:tcMar>
              <w:left w:w="108" w:type="dxa"/>
            </w:tcMar>
          </w:tcPr>
          <w:p w:rsidR="0073099A" w:rsidRPr="00572C6F" w:rsidRDefault="0073099A" w:rsidP="00E13709">
            <w:pPr>
              <w:pStyle w:val="rientrotrattinook"/>
              <w:tabs>
                <w:tab w:val="clear" w:pos="704"/>
              </w:tabs>
              <w:ind w:left="460" w:hanging="284"/>
            </w:pPr>
            <w:r>
              <w:t xml:space="preserve">qualora la società abbia delle </w:t>
            </w:r>
            <w:r w:rsidRPr="004C0AD4">
              <w:rPr>
                <w:i/>
              </w:rPr>
              <w:t>joint venture</w:t>
            </w:r>
            <w:r>
              <w:t>, è stato indicato in Nota Integrativa il saldo della voce partecipazioni in imprese collegate ad esse riferito?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D77D14"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21.60</w:t>
            </w:r>
          </w:p>
        </w:tc>
        <w:tc>
          <w:tcPr>
            <w:tcW w:w="7060" w:type="dxa"/>
            <w:tcMar>
              <w:left w:w="108" w:type="dxa"/>
            </w:tcMar>
          </w:tcPr>
          <w:p w:rsidR="0073099A" w:rsidRPr="006E32F7" w:rsidRDefault="0073099A" w:rsidP="00E13709">
            <w:pPr>
              <w:pStyle w:val="rientrotrattinook"/>
              <w:tabs>
                <w:tab w:val="clear" w:pos="704"/>
              </w:tabs>
              <w:ind w:left="460" w:hanging="284"/>
            </w:pPr>
            <w:r>
              <w:t>nel caso di eseguita rivalutazione ai sensi di leggi su partecipazioni (immobilizzate) è stata indicata la legge relativa, l'ammontare della rivalutazione, il trattamento contabile della riserva da rivalutazione, i suoi utilizzi e restrizioni all'utilizzo?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Pr="00530652" w:rsidRDefault="0073099A" w:rsidP="00D73E98">
            <w:pPr>
              <w:jc w:val="center"/>
              <w:rPr>
                <w:b/>
                <w:lang w:val="it-IT"/>
              </w:rPr>
            </w:pPr>
            <w:r w:rsidRPr="00530652">
              <w:rPr>
                <w:b/>
                <w:lang w:val="it-IT"/>
              </w:rPr>
              <w:t>45)</w:t>
            </w:r>
          </w:p>
        </w:tc>
        <w:tc>
          <w:tcPr>
            <w:tcW w:w="851" w:type="dxa"/>
            <w:tcMar>
              <w:left w:w="108" w:type="dxa"/>
              <w:right w:w="0" w:type="dxa"/>
            </w:tcMar>
          </w:tcPr>
          <w:p w:rsidR="0073099A" w:rsidRPr="00D03623" w:rsidRDefault="0073099A" w:rsidP="00D73E98">
            <w:pPr>
              <w:pStyle w:val="PrincCont"/>
              <w:jc w:val="left"/>
            </w:pPr>
            <w:r w:rsidRPr="00D03623">
              <w:t>Art. 2427, c.1, n.5 CC</w:t>
            </w:r>
            <w:r>
              <w:t xml:space="preserve"> </w:t>
            </w:r>
            <w:r w:rsidRPr="00D03623">
              <w:t>OIC.</w:t>
            </w:r>
            <w:r>
              <w:t>21.</w:t>
            </w:r>
            <w:r w:rsidRPr="00D03623">
              <w:t>60</w:t>
            </w:r>
          </w:p>
        </w:tc>
        <w:tc>
          <w:tcPr>
            <w:tcW w:w="7060" w:type="dxa"/>
            <w:tcMar>
              <w:left w:w="108" w:type="dxa"/>
            </w:tcMar>
          </w:tcPr>
          <w:p w:rsidR="0073099A" w:rsidRPr="008D7796" w:rsidRDefault="0073099A" w:rsidP="00D73E98">
            <w:pPr>
              <w:spacing w:line="240" w:lineRule="exact"/>
              <w:rPr>
                <w:lang w:val="it-IT"/>
              </w:rPr>
            </w:pPr>
            <w:r w:rsidRPr="008D7796">
              <w:rPr>
                <w:lang w:val="it-IT"/>
              </w:rPr>
              <w:t xml:space="preserve">L'elenco delle partecipazioni, possedute direttamente o per tramite di società fiduciaria o per interposta persona, in imprese controllate e collegate, indicando per ciascuna: </w:t>
            </w:r>
          </w:p>
        </w:tc>
        <w:tc>
          <w:tcPr>
            <w:tcW w:w="586" w:type="dxa"/>
            <w:tcMar>
              <w:left w:w="85" w:type="dxa"/>
              <w:right w:w="85" w:type="dxa"/>
            </w:tcMar>
            <w:vAlign w:val="center"/>
          </w:tcPr>
          <w:p w:rsidR="0073099A" w:rsidRPr="00B24A05" w:rsidRDefault="0073099A" w:rsidP="00D73E98">
            <w:pPr>
              <w:jc w:val="center"/>
              <w:rPr>
                <w:lang w:val="it-IT"/>
              </w:rPr>
            </w:pPr>
          </w:p>
        </w:tc>
        <w:tc>
          <w:tcPr>
            <w:tcW w:w="573" w:type="dxa"/>
            <w:tcMar>
              <w:left w:w="108" w:type="dxa"/>
            </w:tcMar>
            <w:vAlign w:val="center"/>
          </w:tcPr>
          <w:p w:rsidR="0073099A" w:rsidRPr="00B24A05" w:rsidRDefault="0073099A" w:rsidP="00D73E98">
            <w:pPr>
              <w:jc w:val="center"/>
              <w:rPr>
                <w:lang w:val="it-IT"/>
              </w:rPr>
            </w:pPr>
          </w:p>
        </w:tc>
        <w:tc>
          <w:tcPr>
            <w:tcW w:w="570" w:type="dxa"/>
            <w:tcMar>
              <w:left w:w="108" w:type="dxa"/>
            </w:tcMar>
            <w:vAlign w:val="center"/>
          </w:tcPr>
          <w:p w:rsidR="0073099A" w:rsidRPr="00B24A05" w:rsidRDefault="0073099A" w:rsidP="00D73E98">
            <w:pPr>
              <w:jc w:val="center"/>
              <w:rPr>
                <w:lang w:val="it-IT"/>
              </w:rPr>
            </w:pPr>
          </w:p>
        </w:tc>
      </w:tr>
      <w:tr w:rsidR="0073099A" w:rsidRPr="00B24A05" w:rsidTr="00D73E98">
        <w:trPr>
          <w:cantSplit/>
          <w:trHeight w:val="20"/>
        </w:trPr>
        <w:tc>
          <w:tcPr>
            <w:tcW w:w="680" w:type="dxa"/>
          </w:tcPr>
          <w:p w:rsidR="0073099A" w:rsidRPr="00B24A05" w:rsidRDefault="0073099A" w:rsidP="00D73E98">
            <w:pPr>
              <w:jc w:val="center"/>
              <w:rPr>
                <w:lang w:val="it-IT"/>
              </w:rPr>
            </w:pPr>
          </w:p>
        </w:tc>
        <w:tc>
          <w:tcPr>
            <w:tcW w:w="851" w:type="dxa"/>
            <w:tcMar>
              <w:left w:w="108" w:type="dxa"/>
              <w:right w:w="0" w:type="dxa"/>
            </w:tcMar>
          </w:tcPr>
          <w:p w:rsidR="0073099A" w:rsidRPr="00B24A05" w:rsidRDefault="0073099A" w:rsidP="00D73E98">
            <w:pPr>
              <w:pStyle w:val="PrincCont"/>
              <w:jc w:val="left"/>
              <w:rPr>
                <w:lang w:val="it-IT"/>
              </w:rPr>
            </w:pPr>
          </w:p>
        </w:tc>
        <w:tc>
          <w:tcPr>
            <w:tcW w:w="7060" w:type="dxa"/>
            <w:tcMar>
              <w:left w:w="108" w:type="dxa"/>
            </w:tcMar>
          </w:tcPr>
          <w:p w:rsidR="0073099A" w:rsidRPr="00B24A05" w:rsidRDefault="0073099A" w:rsidP="004E27C2">
            <w:pPr>
              <w:pStyle w:val="Paragrafoelenco"/>
              <w:numPr>
                <w:ilvl w:val="0"/>
                <w:numId w:val="23"/>
              </w:numPr>
              <w:spacing w:line="230" w:lineRule="exact"/>
              <w:ind w:left="743" w:hanging="425"/>
              <w:rPr>
                <w:lang w:val="it-IT"/>
              </w:rPr>
            </w:pPr>
            <w:r w:rsidRPr="00B24A05">
              <w:rPr>
                <w:lang w:val="it-IT"/>
              </w:rPr>
              <w:t>la denominazione</w:t>
            </w:r>
          </w:p>
        </w:tc>
        <w:tc>
          <w:tcPr>
            <w:tcW w:w="586" w:type="dxa"/>
            <w:tcMar>
              <w:left w:w="85" w:type="dxa"/>
              <w:right w:w="85"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CA1681">
              <w:fldChar w:fldCharType="separate"/>
            </w:r>
            <w:r w:rsidRPr="00B24A05">
              <w:fldChar w:fldCharType="end"/>
            </w:r>
          </w:p>
        </w:tc>
        <w:tc>
          <w:tcPr>
            <w:tcW w:w="573" w:type="dxa"/>
            <w:tcMar>
              <w:left w:w="108"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CA1681">
              <w:fldChar w:fldCharType="separate"/>
            </w:r>
            <w:r w:rsidRPr="00B24A05">
              <w:fldChar w:fldCharType="end"/>
            </w:r>
          </w:p>
        </w:tc>
        <w:tc>
          <w:tcPr>
            <w:tcW w:w="570" w:type="dxa"/>
            <w:tcMar>
              <w:left w:w="108"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CA1681">
              <w:fldChar w:fldCharType="separate"/>
            </w:r>
            <w:r w:rsidRPr="00B24A05">
              <w:fldChar w:fldCharType="end"/>
            </w:r>
          </w:p>
        </w:tc>
      </w:tr>
      <w:tr w:rsidR="0073099A" w:rsidRPr="00B24A05" w:rsidTr="00D73E98">
        <w:trPr>
          <w:cantSplit/>
          <w:trHeight w:val="20"/>
        </w:trPr>
        <w:tc>
          <w:tcPr>
            <w:tcW w:w="680" w:type="dxa"/>
          </w:tcPr>
          <w:p w:rsidR="0073099A" w:rsidRPr="00B24A05" w:rsidRDefault="0073099A" w:rsidP="00D73E98">
            <w:pPr>
              <w:jc w:val="center"/>
              <w:rPr>
                <w:lang w:val="it-IT"/>
              </w:rPr>
            </w:pPr>
          </w:p>
        </w:tc>
        <w:tc>
          <w:tcPr>
            <w:tcW w:w="851" w:type="dxa"/>
            <w:tcMar>
              <w:left w:w="108" w:type="dxa"/>
              <w:right w:w="0" w:type="dxa"/>
            </w:tcMar>
          </w:tcPr>
          <w:p w:rsidR="0073099A" w:rsidRPr="00B24A05" w:rsidRDefault="0073099A" w:rsidP="00D73E98">
            <w:pPr>
              <w:pStyle w:val="PrincCont"/>
              <w:jc w:val="left"/>
              <w:rPr>
                <w:lang w:val="it-IT"/>
              </w:rPr>
            </w:pPr>
          </w:p>
        </w:tc>
        <w:tc>
          <w:tcPr>
            <w:tcW w:w="7060" w:type="dxa"/>
            <w:tcMar>
              <w:left w:w="108" w:type="dxa"/>
            </w:tcMar>
          </w:tcPr>
          <w:p w:rsidR="0073099A" w:rsidRPr="00B24A05" w:rsidRDefault="0073099A" w:rsidP="004E27C2">
            <w:pPr>
              <w:pStyle w:val="Paragrafoelenco"/>
              <w:numPr>
                <w:ilvl w:val="0"/>
                <w:numId w:val="23"/>
              </w:numPr>
              <w:spacing w:line="230" w:lineRule="exact"/>
              <w:ind w:left="743" w:hanging="425"/>
              <w:rPr>
                <w:lang w:val="it-IT"/>
              </w:rPr>
            </w:pPr>
            <w:r w:rsidRPr="00B24A05">
              <w:rPr>
                <w:lang w:val="it-IT"/>
              </w:rPr>
              <w:t>la sede</w:t>
            </w:r>
          </w:p>
        </w:tc>
        <w:tc>
          <w:tcPr>
            <w:tcW w:w="586" w:type="dxa"/>
            <w:tcMar>
              <w:left w:w="85" w:type="dxa"/>
              <w:right w:w="85"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CA1681">
              <w:fldChar w:fldCharType="separate"/>
            </w:r>
            <w:r w:rsidRPr="00B24A05">
              <w:fldChar w:fldCharType="end"/>
            </w:r>
          </w:p>
        </w:tc>
        <w:tc>
          <w:tcPr>
            <w:tcW w:w="573" w:type="dxa"/>
            <w:tcMar>
              <w:left w:w="108"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CA1681">
              <w:fldChar w:fldCharType="separate"/>
            </w:r>
            <w:r w:rsidRPr="00B24A05">
              <w:fldChar w:fldCharType="end"/>
            </w:r>
          </w:p>
        </w:tc>
        <w:tc>
          <w:tcPr>
            <w:tcW w:w="570" w:type="dxa"/>
            <w:tcMar>
              <w:left w:w="108"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CA1681">
              <w:fldChar w:fldCharType="separate"/>
            </w:r>
            <w:r w:rsidRPr="00B24A05">
              <w:fldChar w:fldCharType="end"/>
            </w:r>
          </w:p>
        </w:tc>
      </w:tr>
      <w:tr w:rsidR="0073099A" w:rsidRPr="00B24A05" w:rsidTr="00D73E98">
        <w:trPr>
          <w:cantSplit/>
          <w:trHeight w:val="20"/>
        </w:trPr>
        <w:tc>
          <w:tcPr>
            <w:tcW w:w="680" w:type="dxa"/>
          </w:tcPr>
          <w:p w:rsidR="0073099A" w:rsidRPr="00B24A05" w:rsidRDefault="0073099A" w:rsidP="00D73E98">
            <w:pPr>
              <w:jc w:val="center"/>
              <w:rPr>
                <w:lang w:val="it-IT"/>
              </w:rPr>
            </w:pPr>
          </w:p>
        </w:tc>
        <w:tc>
          <w:tcPr>
            <w:tcW w:w="851" w:type="dxa"/>
            <w:tcMar>
              <w:left w:w="108" w:type="dxa"/>
              <w:right w:w="0" w:type="dxa"/>
            </w:tcMar>
          </w:tcPr>
          <w:p w:rsidR="0073099A" w:rsidRPr="00B24A05" w:rsidRDefault="0073099A" w:rsidP="00D73E98">
            <w:pPr>
              <w:pStyle w:val="PrincCont"/>
              <w:jc w:val="left"/>
              <w:rPr>
                <w:lang w:val="it-IT"/>
              </w:rPr>
            </w:pPr>
          </w:p>
        </w:tc>
        <w:tc>
          <w:tcPr>
            <w:tcW w:w="7060" w:type="dxa"/>
            <w:tcMar>
              <w:left w:w="108" w:type="dxa"/>
            </w:tcMar>
          </w:tcPr>
          <w:p w:rsidR="0073099A" w:rsidRPr="00B24A05" w:rsidRDefault="0073099A" w:rsidP="004E27C2">
            <w:pPr>
              <w:pStyle w:val="Paragrafoelenco"/>
              <w:numPr>
                <w:ilvl w:val="0"/>
                <w:numId w:val="23"/>
              </w:numPr>
              <w:spacing w:line="230" w:lineRule="exact"/>
              <w:ind w:left="743" w:hanging="425"/>
              <w:rPr>
                <w:lang w:val="it-IT"/>
              </w:rPr>
            </w:pPr>
            <w:r w:rsidRPr="00B24A05">
              <w:rPr>
                <w:lang w:val="it-IT"/>
              </w:rPr>
              <w:t>il capitale</w:t>
            </w:r>
          </w:p>
        </w:tc>
        <w:tc>
          <w:tcPr>
            <w:tcW w:w="586" w:type="dxa"/>
            <w:tcMar>
              <w:left w:w="85" w:type="dxa"/>
              <w:right w:w="85"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CA1681">
              <w:fldChar w:fldCharType="separate"/>
            </w:r>
            <w:r w:rsidRPr="00B24A05">
              <w:fldChar w:fldCharType="end"/>
            </w:r>
          </w:p>
        </w:tc>
        <w:tc>
          <w:tcPr>
            <w:tcW w:w="573" w:type="dxa"/>
            <w:tcMar>
              <w:left w:w="108"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CA1681">
              <w:fldChar w:fldCharType="separate"/>
            </w:r>
            <w:r w:rsidRPr="00B24A05">
              <w:fldChar w:fldCharType="end"/>
            </w:r>
          </w:p>
        </w:tc>
        <w:tc>
          <w:tcPr>
            <w:tcW w:w="570" w:type="dxa"/>
            <w:tcMar>
              <w:left w:w="108"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CA1681">
              <w:fldChar w:fldCharType="separate"/>
            </w:r>
            <w:r w:rsidRPr="00B24A05">
              <w:fldChar w:fldCharType="end"/>
            </w:r>
          </w:p>
        </w:tc>
      </w:tr>
      <w:tr w:rsidR="0073099A" w:rsidRPr="00B24A05" w:rsidTr="00D73E98">
        <w:trPr>
          <w:cantSplit/>
          <w:trHeight w:val="20"/>
        </w:trPr>
        <w:tc>
          <w:tcPr>
            <w:tcW w:w="680" w:type="dxa"/>
          </w:tcPr>
          <w:p w:rsidR="0073099A" w:rsidRPr="00B24A05" w:rsidRDefault="0073099A" w:rsidP="00D73E98">
            <w:pPr>
              <w:jc w:val="center"/>
              <w:rPr>
                <w:lang w:val="it-IT"/>
              </w:rPr>
            </w:pPr>
          </w:p>
        </w:tc>
        <w:tc>
          <w:tcPr>
            <w:tcW w:w="851" w:type="dxa"/>
            <w:tcMar>
              <w:left w:w="108" w:type="dxa"/>
              <w:right w:w="0" w:type="dxa"/>
            </w:tcMar>
          </w:tcPr>
          <w:p w:rsidR="0073099A" w:rsidRPr="00B24A05" w:rsidRDefault="0073099A" w:rsidP="00D73E98">
            <w:pPr>
              <w:pStyle w:val="PrincCont"/>
              <w:jc w:val="left"/>
              <w:rPr>
                <w:lang w:val="it-IT"/>
              </w:rPr>
            </w:pPr>
          </w:p>
        </w:tc>
        <w:tc>
          <w:tcPr>
            <w:tcW w:w="7060" w:type="dxa"/>
            <w:tcMar>
              <w:left w:w="108" w:type="dxa"/>
            </w:tcMar>
          </w:tcPr>
          <w:p w:rsidR="0073099A" w:rsidRPr="00B24A05" w:rsidRDefault="0073099A" w:rsidP="004E27C2">
            <w:pPr>
              <w:pStyle w:val="Paragrafoelenco"/>
              <w:numPr>
                <w:ilvl w:val="0"/>
                <w:numId w:val="23"/>
              </w:numPr>
              <w:spacing w:line="230" w:lineRule="exact"/>
              <w:ind w:left="743" w:hanging="425"/>
              <w:rPr>
                <w:lang w:val="it-IT"/>
              </w:rPr>
            </w:pPr>
            <w:r w:rsidRPr="00B24A05">
              <w:rPr>
                <w:lang w:val="it-IT"/>
              </w:rPr>
              <w:t>l'importo del patrimonio netto</w:t>
            </w:r>
          </w:p>
        </w:tc>
        <w:tc>
          <w:tcPr>
            <w:tcW w:w="586" w:type="dxa"/>
            <w:tcMar>
              <w:left w:w="85" w:type="dxa"/>
              <w:right w:w="85"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CA1681">
              <w:fldChar w:fldCharType="separate"/>
            </w:r>
            <w:r w:rsidRPr="00B24A05">
              <w:fldChar w:fldCharType="end"/>
            </w:r>
          </w:p>
        </w:tc>
        <w:tc>
          <w:tcPr>
            <w:tcW w:w="573" w:type="dxa"/>
            <w:tcMar>
              <w:left w:w="108"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CA1681">
              <w:fldChar w:fldCharType="separate"/>
            </w:r>
            <w:r w:rsidRPr="00B24A05">
              <w:fldChar w:fldCharType="end"/>
            </w:r>
          </w:p>
        </w:tc>
        <w:tc>
          <w:tcPr>
            <w:tcW w:w="570" w:type="dxa"/>
            <w:tcMar>
              <w:left w:w="108"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CA1681">
              <w:fldChar w:fldCharType="separate"/>
            </w:r>
            <w:r w:rsidRPr="00B24A05">
              <w:fldChar w:fldCharType="end"/>
            </w:r>
          </w:p>
        </w:tc>
      </w:tr>
      <w:tr w:rsidR="0073099A" w:rsidRPr="007F306A" w:rsidTr="00D73E98">
        <w:trPr>
          <w:cantSplit/>
          <w:trHeight w:val="20"/>
        </w:trPr>
        <w:tc>
          <w:tcPr>
            <w:tcW w:w="680" w:type="dxa"/>
          </w:tcPr>
          <w:p w:rsidR="0073099A" w:rsidRPr="00B24A05" w:rsidRDefault="0073099A" w:rsidP="00D73E98">
            <w:pPr>
              <w:jc w:val="center"/>
              <w:rPr>
                <w:lang w:val="it-IT"/>
              </w:rPr>
            </w:pPr>
          </w:p>
        </w:tc>
        <w:tc>
          <w:tcPr>
            <w:tcW w:w="851" w:type="dxa"/>
            <w:tcMar>
              <w:left w:w="108" w:type="dxa"/>
              <w:right w:w="0" w:type="dxa"/>
            </w:tcMar>
          </w:tcPr>
          <w:p w:rsidR="0073099A" w:rsidRPr="00B24A05" w:rsidRDefault="0073099A" w:rsidP="00D73E98">
            <w:pPr>
              <w:pStyle w:val="PrincCont"/>
              <w:jc w:val="left"/>
              <w:rPr>
                <w:lang w:val="it-IT"/>
              </w:rPr>
            </w:pPr>
          </w:p>
        </w:tc>
        <w:tc>
          <w:tcPr>
            <w:tcW w:w="7060" w:type="dxa"/>
            <w:tcMar>
              <w:left w:w="108" w:type="dxa"/>
            </w:tcMar>
          </w:tcPr>
          <w:p w:rsidR="0073099A" w:rsidRPr="00B24A05" w:rsidRDefault="0073099A" w:rsidP="004E27C2">
            <w:pPr>
              <w:pStyle w:val="Paragrafoelenco"/>
              <w:numPr>
                <w:ilvl w:val="0"/>
                <w:numId w:val="23"/>
              </w:numPr>
              <w:spacing w:line="230" w:lineRule="exact"/>
              <w:ind w:left="743" w:hanging="425"/>
              <w:rPr>
                <w:lang w:val="it-IT"/>
              </w:rPr>
            </w:pPr>
            <w:r w:rsidRPr="00B24A05">
              <w:rPr>
                <w:lang w:val="it-IT"/>
              </w:rPr>
              <w:t>l'utile o la perdita dell'ultimo esercizio</w:t>
            </w:r>
          </w:p>
        </w:tc>
        <w:tc>
          <w:tcPr>
            <w:tcW w:w="586" w:type="dxa"/>
            <w:tcMar>
              <w:left w:w="85" w:type="dxa"/>
              <w:right w:w="85"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CA1681">
              <w:fldChar w:fldCharType="separate"/>
            </w:r>
            <w:r w:rsidRPr="00B24A05">
              <w:fldChar w:fldCharType="end"/>
            </w:r>
          </w:p>
        </w:tc>
        <w:tc>
          <w:tcPr>
            <w:tcW w:w="573" w:type="dxa"/>
            <w:tcMar>
              <w:left w:w="108"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CA1681">
              <w:fldChar w:fldCharType="separate"/>
            </w:r>
            <w:r w:rsidRPr="00B24A05">
              <w:fldChar w:fldCharType="end"/>
            </w:r>
          </w:p>
        </w:tc>
        <w:tc>
          <w:tcPr>
            <w:tcW w:w="570" w:type="dxa"/>
            <w:tcMar>
              <w:left w:w="108" w:type="dxa"/>
            </w:tcMar>
            <w:vAlign w:val="center"/>
          </w:tcPr>
          <w:p w:rsidR="0073099A" w:rsidRPr="00A32A16"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CA1681">
              <w:fldChar w:fldCharType="separate"/>
            </w:r>
            <w:r w:rsidRPr="00B24A05">
              <w:fldChar w:fldCharType="end"/>
            </w:r>
          </w:p>
        </w:tc>
      </w:tr>
      <w:tr w:rsidR="0073099A" w:rsidRPr="007F306A"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111A9F" w:rsidRDefault="0073099A" w:rsidP="004E27C2">
            <w:pPr>
              <w:pStyle w:val="Paragrafoelenco"/>
              <w:numPr>
                <w:ilvl w:val="0"/>
                <w:numId w:val="23"/>
              </w:numPr>
              <w:spacing w:line="230" w:lineRule="exact"/>
              <w:ind w:left="743" w:hanging="425"/>
              <w:rPr>
                <w:lang w:val="it-IT"/>
              </w:rPr>
            </w:pPr>
            <w:r w:rsidRPr="007F306A">
              <w:rPr>
                <w:lang w:val="it-IT"/>
              </w:rPr>
              <w:t>la quota posseduta</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7F306A"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111A9F" w:rsidRDefault="0073099A" w:rsidP="004E27C2">
            <w:pPr>
              <w:pStyle w:val="Paragrafoelenco"/>
              <w:numPr>
                <w:ilvl w:val="0"/>
                <w:numId w:val="23"/>
              </w:numPr>
              <w:spacing w:line="230" w:lineRule="exact"/>
              <w:ind w:left="743" w:hanging="425"/>
              <w:rPr>
                <w:lang w:val="it-IT"/>
              </w:rPr>
            </w:pPr>
            <w:r w:rsidRPr="007F306A">
              <w:rPr>
                <w:lang w:val="it-IT"/>
              </w:rPr>
              <w:t>il valore attribuito in bilancio o il corrispondente credito</w:t>
            </w:r>
            <w:r>
              <w:rPr>
                <w:lang w:val="it-IT"/>
              </w:rP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AF1065" w:rsidTr="00D73E98">
        <w:trPr>
          <w:cantSplit/>
          <w:trHeight w:val="20"/>
        </w:trPr>
        <w:tc>
          <w:tcPr>
            <w:tcW w:w="680" w:type="dxa"/>
          </w:tcPr>
          <w:p w:rsidR="0073099A" w:rsidRPr="00ED1E9D" w:rsidRDefault="0073099A" w:rsidP="00D73E98">
            <w:pPr>
              <w:jc w:val="center"/>
              <w:rPr>
                <w:b/>
                <w:lang w:val="it-IT"/>
              </w:rPr>
            </w:pPr>
            <w:r w:rsidRPr="00ED1E9D">
              <w:rPr>
                <w:b/>
                <w:lang w:val="it-IT"/>
              </w:rPr>
              <w:t>4</w:t>
            </w:r>
            <w:r>
              <w:rPr>
                <w:b/>
                <w:lang w:val="it-IT"/>
              </w:rPr>
              <w:t>6</w:t>
            </w:r>
            <w:r w:rsidRPr="00ED1E9D">
              <w:rPr>
                <w:b/>
                <w:lang w:val="it-IT"/>
              </w:rPr>
              <w:t>)</w:t>
            </w:r>
          </w:p>
        </w:tc>
        <w:tc>
          <w:tcPr>
            <w:tcW w:w="851" w:type="dxa"/>
            <w:tcMar>
              <w:left w:w="108" w:type="dxa"/>
              <w:right w:w="0" w:type="dxa"/>
            </w:tcMar>
          </w:tcPr>
          <w:p w:rsidR="0073099A" w:rsidRPr="001930CF" w:rsidRDefault="0073099A" w:rsidP="00D73E98">
            <w:pPr>
              <w:pStyle w:val="PrincCont"/>
              <w:jc w:val="left"/>
              <w:rPr>
                <w:lang w:val="it-IT"/>
              </w:rPr>
            </w:pPr>
            <w:r>
              <w:rPr>
                <w:lang w:val="it-IT"/>
              </w:rPr>
              <w:t>Art. 2427, c.1, n.9</w:t>
            </w:r>
            <w:r w:rsidRPr="001930CF">
              <w:rPr>
                <w:lang w:val="it-IT"/>
              </w:rPr>
              <w:t xml:space="preserve"> CC</w:t>
            </w:r>
          </w:p>
        </w:tc>
        <w:tc>
          <w:tcPr>
            <w:tcW w:w="7060" w:type="dxa"/>
            <w:tcMar>
              <w:left w:w="108" w:type="dxa"/>
            </w:tcMar>
          </w:tcPr>
          <w:p w:rsidR="0073099A" w:rsidRPr="00AF1065" w:rsidRDefault="0073099A" w:rsidP="00D73E98">
            <w:pPr>
              <w:spacing w:line="230" w:lineRule="exact"/>
              <w:rPr>
                <w:lang w:val="it-IT"/>
              </w:rPr>
            </w:pPr>
            <w:r>
              <w:rPr>
                <w:lang w:val="it-IT"/>
              </w:rPr>
              <w:t>L’importo complessivo degli</w:t>
            </w:r>
            <w:r w:rsidRPr="00AF1065">
              <w:rPr>
                <w:lang w:val="it-IT"/>
              </w:rPr>
              <w:t xml:space="preserve"> impegni assunti nei confronti</w:t>
            </w:r>
            <w:r>
              <w:rPr>
                <w:lang w:val="it-IT"/>
              </w:rPr>
              <w:t xml:space="preserve"> </w:t>
            </w:r>
            <w:r w:rsidRPr="00AF1065">
              <w:rPr>
                <w:lang w:val="it-IT"/>
              </w:rPr>
              <w:t>di imprese controllate, collegate, nonché controllanti e imprese sottoposte al controllo di</w:t>
            </w:r>
            <w:r>
              <w:rPr>
                <w:lang w:val="it-IT"/>
              </w:rPr>
              <w:t xml:space="preserve"> quest’ultime sono stati distintamente indicati?</w:t>
            </w:r>
          </w:p>
        </w:tc>
        <w:tc>
          <w:tcPr>
            <w:tcW w:w="586" w:type="dxa"/>
            <w:tcMar>
              <w:left w:w="85" w:type="dxa"/>
              <w:right w:w="85" w:type="dxa"/>
            </w:tcMar>
            <w:vAlign w:val="center"/>
          </w:tcPr>
          <w:p w:rsidR="0073099A" w:rsidRPr="00AF1065"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F1065"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F1065"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7F306A" w:rsidTr="00D73E98">
        <w:trPr>
          <w:cantSplit/>
          <w:trHeight w:val="20"/>
        </w:trPr>
        <w:tc>
          <w:tcPr>
            <w:tcW w:w="680" w:type="dxa"/>
          </w:tcPr>
          <w:p w:rsidR="0073099A" w:rsidRPr="00ED1E9D" w:rsidRDefault="0073099A" w:rsidP="00D73E98">
            <w:pPr>
              <w:jc w:val="center"/>
              <w:rPr>
                <w:b/>
                <w:lang w:val="it-IT"/>
              </w:rPr>
            </w:pPr>
            <w:r>
              <w:rPr>
                <w:b/>
                <w:lang w:val="it-IT"/>
              </w:rPr>
              <w:t>47</w:t>
            </w:r>
            <w:r w:rsidRPr="00ED1E9D">
              <w:rPr>
                <w:b/>
                <w:lang w:val="it-IT"/>
              </w:rPr>
              <w:t>)</w:t>
            </w:r>
          </w:p>
        </w:tc>
        <w:tc>
          <w:tcPr>
            <w:tcW w:w="851" w:type="dxa"/>
            <w:tcMar>
              <w:left w:w="108" w:type="dxa"/>
              <w:right w:w="0" w:type="dxa"/>
            </w:tcMar>
          </w:tcPr>
          <w:p w:rsidR="0073099A" w:rsidRPr="001930CF" w:rsidRDefault="0073099A" w:rsidP="00D73E98">
            <w:pPr>
              <w:pStyle w:val="PrincCont"/>
              <w:jc w:val="left"/>
              <w:rPr>
                <w:lang w:val="it-IT"/>
              </w:rPr>
            </w:pPr>
            <w:r w:rsidRPr="001930CF">
              <w:rPr>
                <w:lang w:val="it-IT"/>
              </w:rPr>
              <w:t>Art. 2427, c.1, n.11 CC</w:t>
            </w:r>
          </w:p>
        </w:tc>
        <w:tc>
          <w:tcPr>
            <w:tcW w:w="7060" w:type="dxa"/>
            <w:tcMar>
              <w:left w:w="108" w:type="dxa"/>
            </w:tcMar>
          </w:tcPr>
          <w:p w:rsidR="0073099A" w:rsidRPr="00AF1065" w:rsidRDefault="0073099A" w:rsidP="00D73E98">
            <w:pPr>
              <w:spacing w:line="230" w:lineRule="exact"/>
              <w:rPr>
                <w:lang w:val="it-IT"/>
              </w:rPr>
            </w:pPr>
            <w:r>
              <w:rPr>
                <w:lang w:val="it-IT"/>
              </w:rPr>
              <w:t>L’</w:t>
            </w:r>
            <w:r w:rsidRPr="00AF1065">
              <w:rPr>
                <w:lang w:val="it-IT"/>
              </w:rPr>
              <w:t xml:space="preserve">ammontare dei proventi da partecipazioni di cui alla voce </w:t>
            </w:r>
            <w:r>
              <w:rPr>
                <w:lang w:val="it-IT"/>
              </w:rPr>
              <w:t>C</w:t>
            </w:r>
            <w:r w:rsidRPr="00AF1065">
              <w:rPr>
                <w:lang w:val="it-IT"/>
              </w:rPr>
              <w:t>15) del conto economico, diversi da dividendi</w:t>
            </w:r>
            <w:r>
              <w:rPr>
                <w:lang w:val="it-IT"/>
              </w:rPr>
              <w:t>?</w:t>
            </w:r>
          </w:p>
        </w:tc>
        <w:tc>
          <w:tcPr>
            <w:tcW w:w="586" w:type="dxa"/>
            <w:tcMar>
              <w:left w:w="85" w:type="dxa"/>
              <w:right w:w="85" w:type="dxa"/>
            </w:tcMar>
            <w:vAlign w:val="center"/>
          </w:tcPr>
          <w:p w:rsidR="0073099A" w:rsidRPr="001930CF"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CA1681">
              <w:fldChar w:fldCharType="separate"/>
            </w:r>
            <w:r w:rsidRPr="001930CF">
              <w:fldChar w:fldCharType="end"/>
            </w:r>
          </w:p>
        </w:tc>
        <w:tc>
          <w:tcPr>
            <w:tcW w:w="573" w:type="dxa"/>
            <w:tcMar>
              <w:left w:w="108" w:type="dxa"/>
            </w:tcMar>
            <w:vAlign w:val="center"/>
          </w:tcPr>
          <w:p w:rsidR="0073099A" w:rsidRPr="001930CF"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CA1681">
              <w:fldChar w:fldCharType="separate"/>
            </w:r>
            <w:r w:rsidRPr="001930CF">
              <w:fldChar w:fldCharType="end"/>
            </w:r>
          </w:p>
        </w:tc>
        <w:tc>
          <w:tcPr>
            <w:tcW w:w="570" w:type="dxa"/>
            <w:tcMar>
              <w:left w:w="108" w:type="dxa"/>
            </w:tcMar>
            <w:vAlign w:val="center"/>
          </w:tcPr>
          <w:p w:rsidR="0073099A" w:rsidRPr="00A32A16"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CA1681">
              <w:fldChar w:fldCharType="separate"/>
            </w:r>
            <w:r w:rsidRPr="001930CF">
              <w:fldChar w:fldCharType="end"/>
            </w:r>
          </w:p>
        </w:tc>
      </w:tr>
      <w:tr w:rsidR="0073099A" w:rsidRPr="000B5F64" w:rsidTr="00D73E98">
        <w:trPr>
          <w:cantSplit/>
          <w:trHeight w:val="20"/>
        </w:trPr>
        <w:tc>
          <w:tcPr>
            <w:tcW w:w="680" w:type="dxa"/>
          </w:tcPr>
          <w:p w:rsidR="0073099A" w:rsidRPr="00ED1E9D" w:rsidRDefault="0073099A" w:rsidP="00D73E98">
            <w:pPr>
              <w:jc w:val="center"/>
              <w:rPr>
                <w:b/>
                <w:lang w:val="it-IT"/>
              </w:rPr>
            </w:pPr>
            <w:r>
              <w:rPr>
                <w:b/>
                <w:lang w:val="it-IT"/>
              </w:rPr>
              <w:t>48</w:t>
            </w:r>
            <w:r w:rsidRPr="00ED1E9D">
              <w:rPr>
                <w:b/>
                <w:lang w:val="it-IT"/>
              </w:rPr>
              <w:t>)</w:t>
            </w:r>
          </w:p>
        </w:tc>
        <w:tc>
          <w:tcPr>
            <w:tcW w:w="851" w:type="dxa"/>
            <w:tcMar>
              <w:left w:w="108" w:type="dxa"/>
              <w:right w:w="0" w:type="dxa"/>
            </w:tcMar>
          </w:tcPr>
          <w:p w:rsidR="0073099A" w:rsidRPr="00D03623" w:rsidRDefault="0073099A" w:rsidP="00D73E98">
            <w:pPr>
              <w:pStyle w:val="PrincCont"/>
              <w:jc w:val="left"/>
            </w:pPr>
            <w:r w:rsidRPr="00D03623">
              <w:t>Art. 2426, c.1, n.3 CC</w:t>
            </w:r>
            <w:r>
              <w:t xml:space="preserve">       OIC 21.</w:t>
            </w:r>
            <w:r w:rsidRPr="00D03623">
              <w:t>62</w:t>
            </w:r>
          </w:p>
        </w:tc>
        <w:tc>
          <w:tcPr>
            <w:tcW w:w="7060" w:type="dxa"/>
            <w:tcMar>
              <w:left w:w="108" w:type="dxa"/>
            </w:tcMar>
          </w:tcPr>
          <w:p w:rsidR="0073099A" w:rsidRPr="00A864F3" w:rsidRDefault="0073099A" w:rsidP="00D73E98">
            <w:pPr>
              <w:spacing w:line="240" w:lineRule="exact"/>
              <w:rPr>
                <w:lang w:val="it-IT" w:eastAsia="it-IT"/>
              </w:rPr>
            </w:pPr>
            <w:r w:rsidRPr="00A864F3">
              <w:rPr>
                <w:lang w:val="it-IT" w:eastAsia="it-IT"/>
              </w:rPr>
              <w:t xml:space="preserve">Per le immobilizzazioni consistenti in partecipazioni in imprese controllate o collegate che risultino iscritte per un valore superiore al valore corrispondente alla frazione di patrimonio netto risultante dall’ultimo bilancio dell’impresa partecipata, è stata motivata la differenza nella </w:t>
            </w:r>
            <w:r>
              <w:rPr>
                <w:lang w:val="it-IT" w:eastAsia="it-IT"/>
              </w:rPr>
              <w:t>Nota Integrativa</w:t>
            </w:r>
            <w:r w:rsidRPr="00A864F3">
              <w:rPr>
                <w:lang w:val="it-IT" w:eastAsia="it-IT"/>
              </w:rPr>
              <w:t>?</w:t>
            </w:r>
          </w:p>
        </w:tc>
        <w:tc>
          <w:tcPr>
            <w:tcW w:w="586" w:type="dxa"/>
            <w:tcMar>
              <w:left w:w="85" w:type="dxa"/>
              <w:right w:w="85" w:type="dxa"/>
            </w:tcMar>
            <w:vAlign w:val="center"/>
          </w:tcPr>
          <w:p w:rsidR="0073099A" w:rsidRPr="00A864F3"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CA1681">
              <w:fldChar w:fldCharType="separate"/>
            </w:r>
            <w:r w:rsidRPr="001930CF">
              <w:fldChar w:fldCharType="end"/>
            </w:r>
          </w:p>
        </w:tc>
        <w:tc>
          <w:tcPr>
            <w:tcW w:w="573" w:type="dxa"/>
            <w:tcMar>
              <w:left w:w="108" w:type="dxa"/>
            </w:tcMar>
            <w:vAlign w:val="center"/>
          </w:tcPr>
          <w:p w:rsidR="0073099A" w:rsidRPr="00A864F3"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CA1681">
              <w:fldChar w:fldCharType="separate"/>
            </w:r>
            <w:r w:rsidRPr="001930CF">
              <w:fldChar w:fldCharType="end"/>
            </w:r>
          </w:p>
        </w:tc>
        <w:tc>
          <w:tcPr>
            <w:tcW w:w="570" w:type="dxa"/>
            <w:tcMar>
              <w:left w:w="108" w:type="dxa"/>
            </w:tcMar>
            <w:vAlign w:val="center"/>
          </w:tcPr>
          <w:p w:rsidR="0073099A" w:rsidRPr="00A864F3"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CA1681">
              <w:fldChar w:fldCharType="separate"/>
            </w:r>
            <w:r w:rsidRPr="001930CF">
              <w:fldChar w:fldCharType="end"/>
            </w:r>
          </w:p>
        </w:tc>
      </w:tr>
      <w:tr w:rsidR="0073099A" w:rsidRPr="007334E9" w:rsidTr="00D73E98">
        <w:trPr>
          <w:cantSplit/>
          <w:trHeight w:val="20"/>
        </w:trPr>
        <w:tc>
          <w:tcPr>
            <w:tcW w:w="680" w:type="dxa"/>
          </w:tcPr>
          <w:p w:rsidR="0073099A" w:rsidRPr="00ED1E9D" w:rsidRDefault="0073099A" w:rsidP="00D73E98">
            <w:pPr>
              <w:jc w:val="center"/>
              <w:rPr>
                <w:b/>
                <w:lang w:val="it-IT"/>
              </w:rPr>
            </w:pPr>
            <w:r w:rsidRPr="00ED1E9D">
              <w:rPr>
                <w:b/>
                <w:lang w:val="it-IT"/>
              </w:rPr>
              <w:t>4</w:t>
            </w:r>
            <w:r>
              <w:rPr>
                <w:b/>
                <w:lang w:val="it-IT"/>
              </w:rPr>
              <w:t>9</w:t>
            </w:r>
            <w:r w:rsidRPr="00ED1E9D">
              <w:rPr>
                <w:b/>
                <w:lang w:val="it-IT"/>
              </w:rPr>
              <w:t>)</w:t>
            </w:r>
          </w:p>
        </w:tc>
        <w:tc>
          <w:tcPr>
            <w:tcW w:w="851" w:type="dxa"/>
            <w:tcMar>
              <w:left w:w="108" w:type="dxa"/>
              <w:right w:w="0" w:type="dxa"/>
            </w:tcMar>
          </w:tcPr>
          <w:p w:rsidR="0073099A" w:rsidRPr="00687CF3" w:rsidRDefault="0073099A" w:rsidP="00D73E98">
            <w:pPr>
              <w:pStyle w:val="PrincCont"/>
              <w:jc w:val="left"/>
            </w:pPr>
            <w:r w:rsidRPr="00687CF3">
              <w:t>Art. 2426, c.1, n.10 CC</w:t>
            </w:r>
            <w:r>
              <w:t xml:space="preserve">     </w:t>
            </w:r>
            <w:r w:rsidRPr="00687CF3">
              <w:t>OIC</w:t>
            </w:r>
            <w:r>
              <w:t xml:space="preserve"> 21</w:t>
            </w:r>
            <w:r w:rsidRPr="00687CF3">
              <w:t>.62</w:t>
            </w:r>
          </w:p>
        </w:tc>
        <w:tc>
          <w:tcPr>
            <w:tcW w:w="7060" w:type="dxa"/>
            <w:tcMar>
              <w:left w:w="108" w:type="dxa"/>
            </w:tcMar>
          </w:tcPr>
          <w:p w:rsidR="0073099A" w:rsidRPr="007334E9" w:rsidRDefault="0073099A" w:rsidP="00D73E98">
            <w:pPr>
              <w:spacing w:line="240" w:lineRule="exact"/>
              <w:rPr>
                <w:lang w:val="it-IT"/>
              </w:rPr>
            </w:pPr>
            <w:r>
              <w:rPr>
                <w:lang w:val="it-IT" w:eastAsia="it-IT"/>
              </w:rPr>
              <w:t xml:space="preserve">Se, in alternativa al costo specifico, per la valutazione delle partecipazioni sono stati utilizzati il metodo della media ponderata o LIFO o FIFO e se il valore così ottenuto differisce in misura apprezzabile dai costi correnti alla chiusura dell'esercizio, la differenza è stata indicata, per categoria di beni, nella Nota Integrativa? </w:t>
            </w:r>
          </w:p>
        </w:tc>
        <w:tc>
          <w:tcPr>
            <w:tcW w:w="586" w:type="dxa"/>
            <w:tcMar>
              <w:left w:w="85" w:type="dxa"/>
              <w:right w:w="85" w:type="dxa"/>
            </w:tcMar>
            <w:vAlign w:val="center"/>
          </w:tcPr>
          <w:p w:rsidR="0073099A" w:rsidRPr="007334E9"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CA1681">
              <w:fldChar w:fldCharType="separate"/>
            </w:r>
            <w:r w:rsidRPr="001930CF">
              <w:fldChar w:fldCharType="end"/>
            </w:r>
          </w:p>
        </w:tc>
        <w:tc>
          <w:tcPr>
            <w:tcW w:w="573" w:type="dxa"/>
            <w:tcMar>
              <w:left w:w="108" w:type="dxa"/>
            </w:tcMar>
            <w:vAlign w:val="center"/>
          </w:tcPr>
          <w:p w:rsidR="0073099A" w:rsidRPr="007334E9"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CA1681">
              <w:fldChar w:fldCharType="separate"/>
            </w:r>
            <w:r w:rsidRPr="001930CF">
              <w:fldChar w:fldCharType="end"/>
            </w:r>
          </w:p>
        </w:tc>
        <w:tc>
          <w:tcPr>
            <w:tcW w:w="570" w:type="dxa"/>
            <w:tcMar>
              <w:left w:w="108" w:type="dxa"/>
            </w:tcMar>
            <w:vAlign w:val="center"/>
          </w:tcPr>
          <w:p w:rsidR="0073099A" w:rsidRPr="007334E9"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CA1681">
              <w:fldChar w:fldCharType="separate"/>
            </w:r>
            <w:r w:rsidRPr="001930CF">
              <w:fldChar w:fldCharType="end"/>
            </w:r>
          </w:p>
        </w:tc>
      </w:tr>
      <w:tr w:rsidR="0073099A" w:rsidRPr="007334E9" w:rsidTr="00D73E98">
        <w:trPr>
          <w:cantSplit/>
          <w:trHeight w:val="20"/>
        </w:trPr>
        <w:tc>
          <w:tcPr>
            <w:tcW w:w="680" w:type="dxa"/>
          </w:tcPr>
          <w:p w:rsidR="0073099A" w:rsidRPr="00ED1E9D" w:rsidRDefault="0073099A" w:rsidP="00D73E98">
            <w:pPr>
              <w:jc w:val="center"/>
              <w:rPr>
                <w:b/>
                <w:lang w:val="it-IT"/>
              </w:rPr>
            </w:pPr>
            <w:r>
              <w:rPr>
                <w:b/>
                <w:lang w:val="it-IT"/>
              </w:rPr>
              <w:t>50</w:t>
            </w:r>
            <w:r w:rsidRPr="00ED1E9D">
              <w:rPr>
                <w:b/>
                <w:lang w:val="it-IT"/>
              </w:rPr>
              <w:t>)</w:t>
            </w:r>
          </w:p>
        </w:tc>
        <w:tc>
          <w:tcPr>
            <w:tcW w:w="851" w:type="dxa"/>
            <w:tcMar>
              <w:left w:w="108" w:type="dxa"/>
              <w:right w:w="0" w:type="dxa"/>
            </w:tcMar>
          </w:tcPr>
          <w:p w:rsidR="0073099A" w:rsidRPr="00687CF3" w:rsidRDefault="0073099A" w:rsidP="00D73E98">
            <w:pPr>
              <w:pStyle w:val="PrincCont"/>
              <w:jc w:val="left"/>
            </w:pPr>
            <w:r w:rsidRPr="00687CF3">
              <w:t>Art. 2426, c.1, n.10, CC</w:t>
            </w:r>
            <w:r>
              <w:t xml:space="preserve">       </w:t>
            </w:r>
            <w:r w:rsidRPr="00687CF3">
              <w:t>OIC</w:t>
            </w:r>
            <w:r>
              <w:t xml:space="preserve"> 21</w:t>
            </w:r>
            <w:r w:rsidRPr="00687CF3">
              <w:t>.62</w:t>
            </w:r>
          </w:p>
        </w:tc>
        <w:tc>
          <w:tcPr>
            <w:tcW w:w="7060" w:type="dxa"/>
            <w:tcMar>
              <w:left w:w="108" w:type="dxa"/>
            </w:tcMar>
          </w:tcPr>
          <w:p w:rsidR="0073099A" w:rsidRDefault="0073099A" w:rsidP="00D73E98">
            <w:pPr>
              <w:spacing w:line="240" w:lineRule="exact"/>
              <w:rPr>
                <w:lang w:val="it-IT" w:eastAsia="it-IT"/>
              </w:rPr>
            </w:pPr>
            <w:r>
              <w:rPr>
                <w:lang w:val="it-IT" w:eastAsia="it-IT"/>
              </w:rPr>
              <w:t>Nella Nota Integrativa sono stati evidenziati i casi nei quali è stato utilizzato il costo specifico per la determinazione del costo di titoli fungibili?</w:t>
            </w:r>
          </w:p>
        </w:tc>
        <w:tc>
          <w:tcPr>
            <w:tcW w:w="586" w:type="dxa"/>
            <w:tcMar>
              <w:left w:w="85" w:type="dxa"/>
              <w:right w:w="85" w:type="dxa"/>
            </w:tcMar>
            <w:vAlign w:val="center"/>
          </w:tcPr>
          <w:p w:rsidR="0073099A" w:rsidRPr="007334E9"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CA1681">
              <w:fldChar w:fldCharType="separate"/>
            </w:r>
            <w:r w:rsidRPr="001930CF">
              <w:fldChar w:fldCharType="end"/>
            </w:r>
          </w:p>
        </w:tc>
        <w:tc>
          <w:tcPr>
            <w:tcW w:w="573" w:type="dxa"/>
            <w:tcMar>
              <w:left w:w="108" w:type="dxa"/>
            </w:tcMar>
            <w:vAlign w:val="center"/>
          </w:tcPr>
          <w:p w:rsidR="0073099A" w:rsidRPr="007334E9"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CA1681">
              <w:fldChar w:fldCharType="separate"/>
            </w:r>
            <w:r w:rsidRPr="001930CF">
              <w:fldChar w:fldCharType="end"/>
            </w:r>
          </w:p>
        </w:tc>
        <w:tc>
          <w:tcPr>
            <w:tcW w:w="570" w:type="dxa"/>
            <w:tcMar>
              <w:left w:w="108" w:type="dxa"/>
            </w:tcMar>
            <w:vAlign w:val="center"/>
          </w:tcPr>
          <w:p w:rsidR="0073099A" w:rsidRPr="007334E9"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CA1681">
              <w:fldChar w:fldCharType="separate"/>
            </w:r>
            <w:r w:rsidRPr="001930CF">
              <w:fldChar w:fldCharType="end"/>
            </w:r>
          </w:p>
        </w:tc>
      </w:tr>
      <w:tr w:rsidR="0073099A" w:rsidRPr="00CC242B" w:rsidTr="00D73E98">
        <w:trPr>
          <w:cantSplit/>
          <w:trHeight w:val="20"/>
        </w:trPr>
        <w:tc>
          <w:tcPr>
            <w:tcW w:w="680" w:type="dxa"/>
          </w:tcPr>
          <w:p w:rsidR="0073099A" w:rsidRPr="00ED1E9D" w:rsidRDefault="0073099A" w:rsidP="00D73E98">
            <w:pPr>
              <w:jc w:val="center"/>
              <w:rPr>
                <w:b/>
                <w:lang w:val="it-IT"/>
              </w:rPr>
            </w:pPr>
            <w:r>
              <w:rPr>
                <w:b/>
                <w:lang w:val="it-IT"/>
              </w:rPr>
              <w:t>51</w:t>
            </w:r>
            <w:r w:rsidRPr="00ED1E9D">
              <w:rPr>
                <w:b/>
                <w:lang w:val="it-IT"/>
              </w:rPr>
              <w:t>)</w:t>
            </w:r>
          </w:p>
        </w:tc>
        <w:tc>
          <w:tcPr>
            <w:tcW w:w="851" w:type="dxa"/>
            <w:tcMar>
              <w:left w:w="108" w:type="dxa"/>
              <w:right w:w="0" w:type="dxa"/>
            </w:tcMar>
          </w:tcPr>
          <w:p w:rsidR="0073099A" w:rsidRPr="00197268" w:rsidRDefault="0073099A" w:rsidP="00D73E98">
            <w:pPr>
              <w:pStyle w:val="PrincCont"/>
              <w:jc w:val="left"/>
              <w:rPr>
                <w:lang w:val="it-IT"/>
              </w:rPr>
            </w:pPr>
            <w:r w:rsidRPr="00197268">
              <w:rPr>
                <w:lang w:val="it-IT"/>
              </w:rPr>
              <w:t>Art. 2427-bis CC</w:t>
            </w:r>
            <w:r>
              <w:rPr>
                <w:lang w:val="it-IT"/>
              </w:rPr>
              <w:t xml:space="preserve">             </w:t>
            </w:r>
            <w:r w:rsidRPr="00197268">
              <w:rPr>
                <w:lang w:val="it-IT"/>
              </w:rPr>
              <w:t>OIC 21.63</w:t>
            </w:r>
          </w:p>
        </w:tc>
        <w:tc>
          <w:tcPr>
            <w:tcW w:w="7060" w:type="dxa"/>
            <w:tcMar>
              <w:left w:w="108" w:type="dxa"/>
            </w:tcMar>
          </w:tcPr>
          <w:p w:rsidR="0073099A" w:rsidRPr="006E009C" w:rsidRDefault="0073099A" w:rsidP="00D73E98">
            <w:pPr>
              <w:spacing w:line="240" w:lineRule="exact"/>
              <w:rPr>
                <w:lang w:val="it-IT"/>
              </w:rPr>
            </w:pPr>
            <w:r w:rsidRPr="00197268">
              <w:rPr>
                <w:lang w:val="it-IT"/>
              </w:rPr>
              <w:t xml:space="preserve">Per le partecipazioni immobilizzate diverse da quelle detenute in controllate o collegate ai sensi dell’art. 2359 del CC e da quelle detenute in </w:t>
            </w:r>
            <w:r w:rsidRPr="00ED1E9D">
              <w:rPr>
                <w:i/>
                <w:lang w:val="it-IT"/>
              </w:rPr>
              <w:t>joint venture</w:t>
            </w:r>
            <w:r w:rsidRPr="00197268">
              <w:rPr>
                <w:lang w:val="it-IT"/>
              </w:rPr>
              <w:t xml:space="preserve">, che siano iscritte a un valore superiore al loro </w:t>
            </w:r>
            <w:r w:rsidRPr="00197268">
              <w:rPr>
                <w:i/>
                <w:lang w:val="it-IT"/>
              </w:rPr>
              <w:t>fair value</w:t>
            </w:r>
            <w:r w:rsidRPr="00197268">
              <w:rPr>
                <w:lang w:val="it-IT"/>
              </w:rPr>
              <w:t xml:space="preserve">, la </w:t>
            </w:r>
            <w:r>
              <w:rPr>
                <w:lang w:val="it-IT"/>
              </w:rPr>
              <w:t>Nota Integrativa</w:t>
            </w:r>
            <w:r w:rsidRPr="00197268">
              <w:rPr>
                <w:lang w:val="it-IT"/>
              </w:rPr>
              <w:t xml:space="preserve"> riporta:</w:t>
            </w:r>
          </w:p>
        </w:tc>
        <w:tc>
          <w:tcPr>
            <w:tcW w:w="586" w:type="dxa"/>
            <w:tcMar>
              <w:left w:w="85" w:type="dxa"/>
              <w:right w:w="85" w:type="dxa"/>
            </w:tcMar>
            <w:vAlign w:val="center"/>
          </w:tcPr>
          <w:p w:rsidR="0073099A" w:rsidRPr="006E009C" w:rsidRDefault="0073099A" w:rsidP="00D73E98">
            <w:pPr>
              <w:jc w:val="center"/>
              <w:rPr>
                <w:lang w:val="it-IT"/>
              </w:rPr>
            </w:pPr>
          </w:p>
        </w:tc>
        <w:tc>
          <w:tcPr>
            <w:tcW w:w="573" w:type="dxa"/>
            <w:tcMar>
              <w:left w:w="108" w:type="dxa"/>
            </w:tcMar>
            <w:vAlign w:val="center"/>
          </w:tcPr>
          <w:p w:rsidR="0073099A" w:rsidRPr="006E009C" w:rsidRDefault="0073099A" w:rsidP="00D73E98">
            <w:pPr>
              <w:jc w:val="center"/>
              <w:rPr>
                <w:lang w:val="it-IT"/>
              </w:rPr>
            </w:pPr>
          </w:p>
        </w:tc>
        <w:tc>
          <w:tcPr>
            <w:tcW w:w="570" w:type="dxa"/>
            <w:tcMar>
              <w:left w:w="108" w:type="dxa"/>
            </w:tcMar>
            <w:vAlign w:val="center"/>
          </w:tcPr>
          <w:p w:rsidR="0073099A" w:rsidRPr="006E009C" w:rsidRDefault="0073099A" w:rsidP="00D73E98">
            <w:pPr>
              <w:jc w:val="center"/>
              <w:rPr>
                <w:lang w:val="it-IT"/>
              </w:rPr>
            </w:pPr>
          </w:p>
        </w:tc>
      </w:tr>
      <w:tr w:rsidR="0073099A" w:rsidRPr="007F306A"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621D9F" w:rsidRDefault="0073099A" w:rsidP="00E13709">
            <w:pPr>
              <w:pStyle w:val="rientrotrattinook"/>
              <w:tabs>
                <w:tab w:val="clear" w:pos="704"/>
              </w:tabs>
              <w:ind w:left="318" w:hanging="142"/>
            </w:pPr>
            <w:r w:rsidRPr="006E009C">
              <w:t>il valore contabile e il fair val</w:t>
            </w:r>
            <w:r>
              <w:t>ue delle singole partecipazioni</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197268">
              <w:rPr>
                <w:lang w:val="it-IT"/>
              </w:rP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197268">
              <w:rPr>
                <w:lang w:val="it-IT"/>
              </w:rP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197268">
              <w:rPr>
                <w:lang w:val="it-IT"/>
              </w:rPr>
              <w:instrText xml:space="preserve"> FORMCHECKBOX</w:instrText>
            </w:r>
            <w:r>
              <w:instrText xml:space="preserve"> </w:instrText>
            </w:r>
            <w:r w:rsidR="00CA1681">
              <w:fldChar w:fldCharType="separate"/>
            </w:r>
            <w:r>
              <w:fldChar w:fldCharType="end"/>
            </w:r>
          </w:p>
        </w:tc>
      </w:tr>
      <w:tr w:rsidR="0073099A" w:rsidRPr="007F306A"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6E009C" w:rsidRDefault="0073099A" w:rsidP="00E13709">
            <w:pPr>
              <w:pStyle w:val="rientrotrattinook"/>
              <w:tabs>
                <w:tab w:val="clear" w:pos="704"/>
              </w:tabs>
              <w:ind w:left="318" w:hanging="142"/>
            </w:pPr>
            <w:r w:rsidRPr="006E009C">
              <w:t>i motivi per i quali il valore contabile non è stato ridotto, inclusa la natura degli elementi sostanziali sui quali si basa il convincimento che tale valore possa essere recuperato</w:t>
            </w:r>
            <w: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Pr="00AB6D67" w:rsidRDefault="0073099A" w:rsidP="00D73E98">
            <w:pPr>
              <w:pStyle w:val="PrincCont"/>
              <w:jc w:val="left"/>
              <w:rPr>
                <w:lang w:val="it-IT"/>
              </w:rPr>
            </w:pPr>
            <w:r w:rsidRPr="00AB6D67">
              <w:rPr>
                <w:lang w:val="it-IT"/>
              </w:rPr>
              <w:t>OIC 21.63</w:t>
            </w:r>
          </w:p>
        </w:tc>
        <w:tc>
          <w:tcPr>
            <w:tcW w:w="7060" w:type="dxa"/>
            <w:tcMar>
              <w:left w:w="108" w:type="dxa"/>
            </w:tcMar>
          </w:tcPr>
          <w:p w:rsidR="0073099A" w:rsidRPr="002F6AE4" w:rsidRDefault="0073099A" w:rsidP="00D73E98">
            <w:pPr>
              <w:pStyle w:val="Commentiriquadro"/>
              <w:rPr>
                <w:lang w:eastAsia="it-IT"/>
              </w:rPr>
            </w:pPr>
            <w:r w:rsidRPr="00AB6D67">
              <w:rPr>
                <w:lang w:eastAsia="it-IT"/>
              </w:rPr>
              <w:t xml:space="preserve">Per i criteri di determinazione del fair value si rinvia all’appendice A “Determinazione del </w:t>
            </w:r>
            <w:r w:rsidRPr="00AB6D67">
              <w:rPr>
                <w:i/>
                <w:lang w:eastAsia="it-IT"/>
              </w:rPr>
              <w:t>fair value</w:t>
            </w:r>
            <w:r w:rsidRPr="00AB6D67">
              <w:rPr>
                <w:lang w:eastAsia="it-IT"/>
              </w:rPr>
              <w:t xml:space="preserve"> ai fini del</w:t>
            </w:r>
            <w:r>
              <w:rPr>
                <w:lang w:eastAsia="it-IT"/>
              </w:rPr>
              <w:t>l’informativa ai sensi dell’art.</w:t>
            </w:r>
            <w:r w:rsidRPr="00AB6D67">
              <w:rPr>
                <w:lang w:eastAsia="it-IT"/>
              </w:rPr>
              <w:t xml:space="preserve"> 2427-</w:t>
            </w:r>
            <w:r w:rsidRPr="00AB6D67">
              <w:rPr>
                <w:i/>
                <w:lang w:eastAsia="it-IT"/>
              </w:rPr>
              <w:t>bis</w:t>
            </w:r>
            <w:r w:rsidRPr="00AB6D67">
              <w:rPr>
                <w:lang w:eastAsia="it-IT"/>
              </w:rPr>
              <w:t>, comma 1, numero 2)”.</w:t>
            </w:r>
          </w:p>
        </w:tc>
        <w:tc>
          <w:tcPr>
            <w:tcW w:w="586" w:type="dxa"/>
            <w:tcMar>
              <w:left w:w="85" w:type="dxa"/>
              <w:right w:w="85" w:type="dxa"/>
            </w:tcMar>
            <w:vAlign w:val="center"/>
          </w:tcPr>
          <w:p w:rsidR="0073099A" w:rsidRPr="006E009C" w:rsidRDefault="0073099A" w:rsidP="00D73E98">
            <w:pPr>
              <w:jc w:val="center"/>
              <w:rPr>
                <w:lang w:val="it-IT"/>
              </w:rPr>
            </w:pPr>
          </w:p>
        </w:tc>
        <w:tc>
          <w:tcPr>
            <w:tcW w:w="573" w:type="dxa"/>
            <w:tcMar>
              <w:left w:w="108" w:type="dxa"/>
            </w:tcMar>
            <w:vAlign w:val="center"/>
          </w:tcPr>
          <w:p w:rsidR="0073099A" w:rsidRPr="006E009C" w:rsidRDefault="0073099A" w:rsidP="00D73E98">
            <w:pPr>
              <w:jc w:val="center"/>
              <w:rPr>
                <w:lang w:val="it-IT"/>
              </w:rPr>
            </w:pPr>
          </w:p>
        </w:tc>
        <w:tc>
          <w:tcPr>
            <w:tcW w:w="570" w:type="dxa"/>
            <w:tcMar>
              <w:left w:w="108" w:type="dxa"/>
            </w:tcMar>
            <w:vAlign w:val="center"/>
          </w:tcPr>
          <w:p w:rsidR="0073099A" w:rsidRPr="006E009C" w:rsidRDefault="0073099A" w:rsidP="00D73E98">
            <w:pPr>
              <w:jc w:val="center"/>
              <w:rPr>
                <w:lang w:val="it-IT"/>
              </w:rPr>
            </w:pPr>
          </w:p>
        </w:tc>
      </w:tr>
      <w:tr w:rsidR="0073099A" w:rsidRPr="00CC242B" w:rsidTr="00D73E98">
        <w:trPr>
          <w:cantSplit/>
          <w:trHeight w:val="20"/>
        </w:trPr>
        <w:tc>
          <w:tcPr>
            <w:tcW w:w="680" w:type="dxa"/>
          </w:tcPr>
          <w:p w:rsidR="0073099A" w:rsidRDefault="0073099A" w:rsidP="00C05579">
            <w:pPr>
              <w:pageBreakBefore/>
              <w:jc w:val="center"/>
              <w:rPr>
                <w:lang w:val="it-IT"/>
              </w:rPr>
            </w:pPr>
          </w:p>
        </w:tc>
        <w:tc>
          <w:tcPr>
            <w:tcW w:w="851" w:type="dxa"/>
            <w:tcMar>
              <w:left w:w="108" w:type="dxa"/>
              <w:right w:w="0" w:type="dxa"/>
            </w:tcMar>
          </w:tcPr>
          <w:p w:rsidR="0073099A" w:rsidRPr="00AB6D67" w:rsidRDefault="0073099A" w:rsidP="00C05579">
            <w:pPr>
              <w:pStyle w:val="PrincCont"/>
              <w:pageBreakBefore/>
              <w:jc w:val="left"/>
              <w:rPr>
                <w:lang w:val="it-IT"/>
              </w:rPr>
            </w:pPr>
          </w:p>
        </w:tc>
        <w:tc>
          <w:tcPr>
            <w:tcW w:w="7060" w:type="dxa"/>
            <w:tcMar>
              <w:left w:w="108" w:type="dxa"/>
            </w:tcMar>
            <w:vAlign w:val="center"/>
          </w:tcPr>
          <w:p w:rsidR="0073099A" w:rsidRPr="00AF1065" w:rsidRDefault="0073099A" w:rsidP="00C05579">
            <w:pPr>
              <w:pStyle w:val="Titolo3"/>
              <w:keepNext w:val="0"/>
              <w:pageBreakBefore/>
              <w:jc w:val="left"/>
              <w:rPr>
                <w:lang w:val="it-IT"/>
              </w:rPr>
            </w:pPr>
            <w:r w:rsidRPr="001B3038">
              <w:rPr>
                <w:lang w:val="it-IT"/>
              </w:rPr>
              <w:t>Informazioni relative alle società che redigono il bilancio in forma abbreviata</w:t>
            </w:r>
          </w:p>
        </w:tc>
        <w:tc>
          <w:tcPr>
            <w:tcW w:w="586" w:type="dxa"/>
            <w:tcMar>
              <w:left w:w="85" w:type="dxa"/>
              <w:right w:w="85" w:type="dxa"/>
            </w:tcMar>
            <w:vAlign w:val="center"/>
          </w:tcPr>
          <w:p w:rsidR="0073099A" w:rsidRPr="006E009C" w:rsidRDefault="0073099A" w:rsidP="00C05579">
            <w:pPr>
              <w:pageBreakBefore/>
              <w:jc w:val="center"/>
              <w:rPr>
                <w:lang w:val="it-IT"/>
              </w:rPr>
            </w:pPr>
          </w:p>
        </w:tc>
        <w:tc>
          <w:tcPr>
            <w:tcW w:w="573" w:type="dxa"/>
            <w:tcMar>
              <w:left w:w="108" w:type="dxa"/>
            </w:tcMar>
            <w:vAlign w:val="center"/>
          </w:tcPr>
          <w:p w:rsidR="0073099A" w:rsidRPr="006E009C" w:rsidRDefault="0073099A" w:rsidP="00C05579">
            <w:pPr>
              <w:pageBreakBefore/>
              <w:jc w:val="center"/>
              <w:rPr>
                <w:lang w:val="it-IT"/>
              </w:rPr>
            </w:pPr>
          </w:p>
        </w:tc>
        <w:tc>
          <w:tcPr>
            <w:tcW w:w="570" w:type="dxa"/>
            <w:tcMar>
              <w:left w:w="108" w:type="dxa"/>
            </w:tcMar>
            <w:vAlign w:val="center"/>
          </w:tcPr>
          <w:p w:rsidR="0073099A" w:rsidRPr="006E009C" w:rsidRDefault="0073099A" w:rsidP="00C05579">
            <w:pPr>
              <w:pageBreakBefore/>
              <w:jc w:val="center"/>
              <w:rPr>
                <w:lang w:val="it-IT"/>
              </w:rPr>
            </w:pPr>
          </w:p>
        </w:tc>
      </w:tr>
      <w:tr w:rsidR="0073099A" w:rsidRPr="00CC242B" w:rsidTr="00D73E98">
        <w:trPr>
          <w:cantSplit/>
          <w:trHeight w:val="20"/>
        </w:trPr>
        <w:tc>
          <w:tcPr>
            <w:tcW w:w="680" w:type="dxa"/>
          </w:tcPr>
          <w:p w:rsidR="0073099A" w:rsidRPr="00ED1E9D" w:rsidRDefault="0073099A" w:rsidP="00D73E98">
            <w:pPr>
              <w:jc w:val="center"/>
              <w:rPr>
                <w:b/>
                <w:lang w:val="it-IT"/>
              </w:rPr>
            </w:pPr>
            <w:r w:rsidRPr="00ED1E9D">
              <w:rPr>
                <w:b/>
                <w:lang w:val="it-IT"/>
              </w:rPr>
              <w:t>5</w:t>
            </w:r>
            <w:r>
              <w:rPr>
                <w:b/>
                <w:lang w:val="it-IT"/>
              </w:rPr>
              <w:t>2</w:t>
            </w:r>
            <w:r w:rsidRPr="00ED1E9D">
              <w:rPr>
                <w:b/>
                <w:lang w:val="it-IT"/>
              </w:rPr>
              <w:t>)</w:t>
            </w:r>
          </w:p>
        </w:tc>
        <w:tc>
          <w:tcPr>
            <w:tcW w:w="851" w:type="dxa"/>
            <w:tcMar>
              <w:left w:w="108" w:type="dxa"/>
              <w:right w:w="0" w:type="dxa"/>
            </w:tcMar>
          </w:tcPr>
          <w:p w:rsidR="0073099A" w:rsidRPr="00AB6D67" w:rsidRDefault="0073099A" w:rsidP="00D73E98">
            <w:pPr>
              <w:pStyle w:val="PrincCont"/>
              <w:jc w:val="left"/>
              <w:rPr>
                <w:lang w:val="it-IT"/>
              </w:rPr>
            </w:pPr>
            <w:r>
              <w:rPr>
                <w:lang w:val="it-IT"/>
              </w:rPr>
              <w:t>OIC 21.64</w:t>
            </w:r>
          </w:p>
        </w:tc>
        <w:tc>
          <w:tcPr>
            <w:tcW w:w="7060" w:type="dxa"/>
            <w:tcMar>
              <w:left w:w="108" w:type="dxa"/>
            </w:tcMar>
          </w:tcPr>
          <w:p w:rsidR="0073099A" w:rsidRDefault="0073099A" w:rsidP="00D73E98">
            <w:pPr>
              <w:spacing w:line="230" w:lineRule="exact"/>
              <w:rPr>
                <w:lang w:val="it-IT" w:eastAsia="it-IT"/>
              </w:rPr>
            </w:pPr>
            <w:r>
              <w:rPr>
                <w:lang w:val="it-IT" w:eastAsia="it-IT"/>
              </w:rPr>
              <w:t>Sono state fornite le informazioni richieste dall’art. 2427, comma 1, numeri 1), 2) e 9)?</w:t>
            </w:r>
          </w:p>
        </w:tc>
        <w:tc>
          <w:tcPr>
            <w:tcW w:w="586" w:type="dxa"/>
            <w:tcMar>
              <w:left w:w="85" w:type="dxa"/>
              <w:right w:w="85" w:type="dxa"/>
            </w:tcMar>
            <w:vAlign w:val="center"/>
          </w:tcPr>
          <w:p w:rsidR="0073099A" w:rsidRPr="006E009C" w:rsidRDefault="0073099A" w:rsidP="00D73E98">
            <w:pPr>
              <w:jc w:val="center"/>
              <w:rPr>
                <w:lang w:val="it-IT"/>
              </w:rPr>
            </w:pPr>
          </w:p>
        </w:tc>
        <w:tc>
          <w:tcPr>
            <w:tcW w:w="573" w:type="dxa"/>
            <w:tcMar>
              <w:left w:w="108" w:type="dxa"/>
            </w:tcMar>
            <w:vAlign w:val="center"/>
          </w:tcPr>
          <w:p w:rsidR="0073099A" w:rsidRPr="006E009C" w:rsidRDefault="0073099A" w:rsidP="00D73E98">
            <w:pPr>
              <w:jc w:val="center"/>
              <w:rPr>
                <w:lang w:val="it-IT"/>
              </w:rPr>
            </w:pPr>
          </w:p>
        </w:tc>
        <w:tc>
          <w:tcPr>
            <w:tcW w:w="570" w:type="dxa"/>
            <w:tcMar>
              <w:left w:w="108" w:type="dxa"/>
            </w:tcMar>
            <w:vAlign w:val="center"/>
          </w:tcPr>
          <w:p w:rsidR="0073099A" w:rsidRPr="006E009C" w:rsidRDefault="0073099A" w:rsidP="00D73E98">
            <w:pPr>
              <w:jc w:val="center"/>
              <w:rPr>
                <w:lang w:val="it-IT"/>
              </w:rPr>
            </w:pPr>
          </w:p>
        </w:tc>
      </w:tr>
      <w:tr w:rsidR="0073099A" w:rsidRPr="00D77D14"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Pr="00AB6D67" w:rsidRDefault="0073099A" w:rsidP="00D73E98">
            <w:pPr>
              <w:pStyle w:val="PrincCont"/>
              <w:jc w:val="left"/>
              <w:rPr>
                <w:lang w:val="it-IT"/>
              </w:rPr>
            </w:pPr>
          </w:p>
        </w:tc>
        <w:tc>
          <w:tcPr>
            <w:tcW w:w="7060" w:type="dxa"/>
            <w:tcMar>
              <w:left w:w="108" w:type="dxa"/>
            </w:tcMar>
            <w:vAlign w:val="center"/>
          </w:tcPr>
          <w:p w:rsidR="0073099A" w:rsidRPr="00AF1065" w:rsidRDefault="0073099A" w:rsidP="00D73E98">
            <w:pPr>
              <w:pStyle w:val="Titolo2"/>
              <w:rPr>
                <w:lang w:val="it-IT"/>
              </w:rPr>
            </w:pPr>
            <w:r>
              <w:rPr>
                <w:lang w:val="it-IT"/>
              </w:rPr>
              <w:t>Disposizioni di prima applicazione</w:t>
            </w:r>
          </w:p>
        </w:tc>
        <w:tc>
          <w:tcPr>
            <w:tcW w:w="586" w:type="dxa"/>
            <w:tcMar>
              <w:left w:w="85" w:type="dxa"/>
              <w:right w:w="85" w:type="dxa"/>
            </w:tcMar>
            <w:vAlign w:val="center"/>
          </w:tcPr>
          <w:p w:rsidR="0073099A" w:rsidRPr="006E009C" w:rsidRDefault="0073099A" w:rsidP="00D73E98">
            <w:pPr>
              <w:jc w:val="center"/>
              <w:rPr>
                <w:lang w:val="it-IT"/>
              </w:rPr>
            </w:pPr>
          </w:p>
        </w:tc>
        <w:tc>
          <w:tcPr>
            <w:tcW w:w="573" w:type="dxa"/>
            <w:tcMar>
              <w:left w:w="108" w:type="dxa"/>
            </w:tcMar>
            <w:vAlign w:val="center"/>
          </w:tcPr>
          <w:p w:rsidR="0073099A" w:rsidRPr="006E009C" w:rsidRDefault="0073099A" w:rsidP="00D73E98">
            <w:pPr>
              <w:jc w:val="center"/>
              <w:rPr>
                <w:lang w:val="it-IT"/>
              </w:rPr>
            </w:pPr>
          </w:p>
        </w:tc>
        <w:tc>
          <w:tcPr>
            <w:tcW w:w="570" w:type="dxa"/>
            <w:tcMar>
              <w:left w:w="108" w:type="dxa"/>
            </w:tcMar>
            <w:vAlign w:val="center"/>
          </w:tcPr>
          <w:p w:rsidR="0073099A" w:rsidRPr="006E009C"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21.69</w:t>
            </w:r>
          </w:p>
        </w:tc>
        <w:tc>
          <w:tcPr>
            <w:tcW w:w="7060" w:type="dxa"/>
            <w:tcMar>
              <w:left w:w="108" w:type="dxa"/>
            </w:tcMar>
          </w:tcPr>
          <w:p w:rsidR="0073099A" w:rsidRPr="004462B2" w:rsidRDefault="0073099A" w:rsidP="00D73E98">
            <w:pPr>
              <w:pStyle w:val="Commentiriquadro"/>
            </w:pPr>
            <w:r w:rsidRPr="004462B2">
              <w:t>Eventuali effetti derivanti dalle disposizioni di cui ai paragrafi 8, 9, 15 e 16 sono applicati retroattivamente, ai soli fini riclassificatori</w:t>
            </w:r>
            <w:r>
              <w:t>.</w:t>
            </w:r>
          </w:p>
        </w:tc>
        <w:tc>
          <w:tcPr>
            <w:tcW w:w="586" w:type="dxa"/>
            <w:tcMar>
              <w:left w:w="85" w:type="dxa"/>
              <w:right w:w="85" w:type="dxa"/>
            </w:tcMar>
            <w:vAlign w:val="center"/>
          </w:tcPr>
          <w:p w:rsidR="0073099A" w:rsidRPr="006E009C" w:rsidRDefault="0073099A" w:rsidP="00D73E98">
            <w:pPr>
              <w:jc w:val="center"/>
              <w:rPr>
                <w:lang w:val="it-IT"/>
              </w:rPr>
            </w:pPr>
          </w:p>
        </w:tc>
        <w:tc>
          <w:tcPr>
            <w:tcW w:w="573" w:type="dxa"/>
            <w:tcMar>
              <w:left w:w="108" w:type="dxa"/>
            </w:tcMar>
            <w:vAlign w:val="center"/>
          </w:tcPr>
          <w:p w:rsidR="0073099A" w:rsidRPr="006E009C" w:rsidRDefault="0073099A" w:rsidP="00D73E98">
            <w:pPr>
              <w:jc w:val="center"/>
              <w:rPr>
                <w:lang w:val="it-IT"/>
              </w:rPr>
            </w:pPr>
          </w:p>
        </w:tc>
        <w:tc>
          <w:tcPr>
            <w:tcW w:w="570" w:type="dxa"/>
            <w:tcMar>
              <w:left w:w="108" w:type="dxa"/>
            </w:tcMar>
            <w:vAlign w:val="center"/>
          </w:tcPr>
          <w:p w:rsidR="0073099A" w:rsidRPr="006E009C"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21.70</w:t>
            </w:r>
          </w:p>
        </w:tc>
        <w:tc>
          <w:tcPr>
            <w:tcW w:w="7060" w:type="dxa"/>
            <w:tcMar>
              <w:left w:w="108" w:type="dxa"/>
            </w:tcMar>
          </w:tcPr>
          <w:p w:rsidR="0073099A" w:rsidRPr="004462B2" w:rsidRDefault="0073099A" w:rsidP="00D73E98">
            <w:pPr>
              <w:pStyle w:val="Commentiriquadro"/>
            </w:pPr>
            <w:r>
              <w:rPr>
                <w:lang w:eastAsia="it-IT"/>
              </w:rPr>
              <w:t>Gli eventuali effetti derivanti dall’applicazione delle modifiche apportate alla precedente versione dell’OIC 21 in tema di riclassificazione degli oneri e proventi straordinari sono applicati retroattivamente, ai soli fini riclassificatori.</w:t>
            </w:r>
          </w:p>
        </w:tc>
        <w:tc>
          <w:tcPr>
            <w:tcW w:w="586" w:type="dxa"/>
            <w:tcMar>
              <w:left w:w="85" w:type="dxa"/>
              <w:right w:w="85" w:type="dxa"/>
            </w:tcMar>
            <w:vAlign w:val="center"/>
          </w:tcPr>
          <w:p w:rsidR="0073099A" w:rsidRPr="006E009C" w:rsidRDefault="0073099A" w:rsidP="00D73E98">
            <w:pPr>
              <w:jc w:val="center"/>
              <w:rPr>
                <w:lang w:val="it-IT"/>
              </w:rPr>
            </w:pPr>
          </w:p>
        </w:tc>
        <w:tc>
          <w:tcPr>
            <w:tcW w:w="573" w:type="dxa"/>
            <w:tcMar>
              <w:left w:w="108" w:type="dxa"/>
            </w:tcMar>
            <w:vAlign w:val="center"/>
          </w:tcPr>
          <w:p w:rsidR="0073099A" w:rsidRPr="006E009C" w:rsidRDefault="0073099A" w:rsidP="00D73E98">
            <w:pPr>
              <w:jc w:val="center"/>
              <w:rPr>
                <w:lang w:val="it-IT"/>
              </w:rPr>
            </w:pPr>
          </w:p>
        </w:tc>
        <w:tc>
          <w:tcPr>
            <w:tcW w:w="570" w:type="dxa"/>
            <w:tcMar>
              <w:left w:w="108" w:type="dxa"/>
            </w:tcMar>
            <w:vAlign w:val="center"/>
          </w:tcPr>
          <w:p w:rsidR="0073099A" w:rsidRPr="006E009C"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21.71</w:t>
            </w:r>
          </w:p>
        </w:tc>
        <w:tc>
          <w:tcPr>
            <w:tcW w:w="7060" w:type="dxa"/>
            <w:tcMar>
              <w:left w:w="108" w:type="dxa"/>
            </w:tcMar>
          </w:tcPr>
          <w:p w:rsidR="0073099A" w:rsidRPr="004462B2" w:rsidRDefault="0073099A" w:rsidP="00D73E98">
            <w:pPr>
              <w:pStyle w:val="Commentiriquadro"/>
            </w:pPr>
            <w:r>
              <w:rPr>
                <w:lang w:eastAsia="it-IT"/>
              </w:rPr>
              <w:t>Eventuali effetti derivanti dall’applicazione delle altre modifiche apportate alla precedente versione dell’OIC 21 possono essere rilevati in bilancio prospetticamente ai sensi dell’OIC 29. Pertanto le componenti delle voci riferite ad operazioni che non hanno ancora esaurito i loro effetti in bilancio possono continuare ad essere contabilizzate in conformità al precedente principio.</w:t>
            </w:r>
          </w:p>
        </w:tc>
        <w:tc>
          <w:tcPr>
            <w:tcW w:w="586" w:type="dxa"/>
            <w:tcMar>
              <w:left w:w="85" w:type="dxa"/>
              <w:right w:w="85" w:type="dxa"/>
            </w:tcMar>
            <w:vAlign w:val="center"/>
          </w:tcPr>
          <w:p w:rsidR="0073099A" w:rsidRPr="006E009C" w:rsidRDefault="0073099A" w:rsidP="00D73E98">
            <w:pPr>
              <w:jc w:val="center"/>
              <w:rPr>
                <w:lang w:val="it-IT"/>
              </w:rPr>
            </w:pPr>
          </w:p>
        </w:tc>
        <w:tc>
          <w:tcPr>
            <w:tcW w:w="573" w:type="dxa"/>
            <w:tcMar>
              <w:left w:w="108" w:type="dxa"/>
            </w:tcMar>
            <w:vAlign w:val="center"/>
          </w:tcPr>
          <w:p w:rsidR="0073099A" w:rsidRPr="006E009C" w:rsidRDefault="0073099A" w:rsidP="00D73E98">
            <w:pPr>
              <w:jc w:val="center"/>
              <w:rPr>
                <w:lang w:val="it-IT"/>
              </w:rPr>
            </w:pPr>
          </w:p>
        </w:tc>
        <w:tc>
          <w:tcPr>
            <w:tcW w:w="570" w:type="dxa"/>
            <w:tcMar>
              <w:left w:w="108" w:type="dxa"/>
            </w:tcMar>
            <w:vAlign w:val="center"/>
          </w:tcPr>
          <w:p w:rsidR="0073099A" w:rsidRPr="006E009C" w:rsidRDefault="0073099A" w:rsidP="00D73E98">
            <w:pPr>
              <w:jc w:val="center"/>
              <w:rPr>
                <w:lang w:val="it-IT"/>
              </w:rPr>
            </w:pPr>
          </w:p>
        </w:tc>
      </w:tr>
      <w:tr w:rsidR="0073099A" w:rsidRPr="00CC242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21.72</w:t>
            </w:r>
          </w:p>
        </w:tc>
        <w:tc>
          <w:tcPr>
            <w:tcW w:w="7060" w:type="dxa"/>
            <w:tcMar>
              <w:left w:w="108" w:type="dxa"/>
            </w:tcMar>
          </w:tcPr>
          <w:p w:rsidR="0073099A" w:rsidRPr="004462B2" w:rsidRDefault="0073099A" w:rsidP="00D73E98">
            <w:pPr>
              <w:pStyle w:val="Commentiriquadro"/>
            </w:pPr>
            <w:r>
              <w:rPr>
                <w:lang w:eastAsia="it-IT"/>
              </w:rPr>
              <w:t>Come disposto al paragrafo 58, a partire dalla data di entrata in vigore del presente principio i dividendi da società controllate devono essere rilevati nel bilancio della controllante solo a seguito della delibera assembleare di distribuzione della partecipata. Le società che in passato hanno rilevato i dividendi da controllate nell’esercizio di maturazione, secondo le modalità e i limiti stabiliti dalla precedente versione dell’OIC 21 (2014), in linea con la facoltà prevista al precedente paragrafo, possono applicare le disposizioni del nuovo principio retrospettivamente.</w:t>
            </w:r>
          </w:p>
        </w:tc>
        <w:tc>
          <w:tcPr>
            <w:tcW w:w="586" w:type="dxa"/>
            <w:tcMar>
              <w:left w:w="85" w:type="dxa"/>
              <w:right w:w="85" w:type="dxa"/>
            </w:tcMar>
            <w:vAlign w:val="center"/>
          </w:tcPr>
          <w:p w:rsidR="0073099A" w:rsidRPr="006E009C" w:rsidRDefault="0073099A" w:rsidP="00D73E98">
            <w:pPr>
              <w:jc w:val="center"/>
              <w:rPr>
                <w:lang w:val="it-IT"/>
              </w:rPr>
            </w:pPr>
          </w:p>
        </w:tc>
        <w:tc>
          <w:tcPr>
            <w:tcW w:w="573" w:type="dxa"/>
            <w:tcMar>
              <w:left w:w="108" w:type="dxa"/>
            </w:tcMar>
            <w:vAlign w:val="center"/>
          </w:tcPr>
          <w:p w:rsidR="0073099A" w:rsidRPr="006E009C" w:rsidRDefault="0073099A" w:rsidP="00D73E98">
            <w:pPr>
              <w:jc w:val="center"/>
              <w:rPr>
                <w:lang w:val="it-IT"/>
              </w:rPr>
            </w:pPr>
          </w:p>
        </w:tc>
        <w:tc>
          <w:tcPr>
            <w:tcW w:w="570" w:type="dxa"/>
            <w:tcMar>
              <w:left w:w="108" w:type="dxa"/>
            </w:tcMar>
            <w:vAlign w:val="center"/>
          </w:tcPr>
          <w:p w:rsidR="0073099A" w:rsidRPr="006E009C" w:rsidRDefault="0073099A" w:rsidP="00D73E98">
            <w:pPr>
              <w:jc w:val="center"/>
              <w:rPr>
                <w:lang w:val="it-IT"/>
              </w:rPr>
            </w:pPr>
          </w:p>
        </w:tc>
      </w:tr>
    </w:tbl>
    <w:p w:rsidR="0073099A" w:rsidRPr="00181FF6" w:rsidRDefault="0073099A" w:rsidP="0073099A">
      <w:pPr>
        <w:rPr>
          <w:lang w:val="it-IT"/>
        </w:rPr>
      </w:pPr>
    </w:p>
    <w:p w:rsidR="0073099A" w:rsidRDefault="0073099A" w:rsidP="00A43012">
      <w:pPr>
        <w:rPr>
          <w:lang w:val="it-IT"/>
        </w:rPr>
        <w:sectPr w:rsidR="0073099A" w:rsidSect="008E5F3E">
          <w:headerReference w:type="default" r:id="rId31"/>
          <w:footerReference w:type="default" r:id="rId32"/>
          <w:pgSz w:w="11906" w:h="16838" w:code="9"/>
          <w:pgMar w:top="1134" w:right="851" w:bottom="851" w:left="851" w:header="709" w:footer="567" w:gutter="0"/>
          <w:cols w:space="708"/>
          <w:docGrid w:linePitch="360"/>
        </w:sectPr>
      </w:pPr>
    </w:p>
    <w:p w:rsidR="00071E65" w:rsidRPr="00655A70" w:rsidRDefault="00071E65" w:rsidP="00071E65">
      <w:pPr>
        <w:pStyle w:val="PrincCont"/>
        <w:tabs>
          <w:tab w:val="right" w:pos="10206"/>
        </w:tabs>
        <w:jc w:val="left"/>
        <w:rPr>
          <w:sz w:val="20"/>
          <w:lang w:val="it-IT"/>
        </w:rPr>
      </w:pPr>
    </w:p>
    <w:p w:rsidR="00071E65" w:rsidRPr="00D125E9" w:rsidRDefault="00071E65" w:rsidP="00071E65">
      <w:pPr>
        <w:tabs>
          <w:tab w:val="left" w:pos="1890"/>
        </w:tabs>
        <w:spacing w:line="260" w:lineRule="exact"/>
        <w:ind w:left="990" w:hanging="990"/>
        <w:jc w:val="left"/>
        <w:rPr>
          <w:b/>
          <w:color w:val="0070C0"/>
          <w:sz w:val="28"/>
          <w:lang w:val="it-IT"/>
        </w:rPr>
      </w:pPr>
      <w:r>
        <w:rPr>
          <w:b/>
          <w:color w:val="0070C0"/>
          <w:sz w:val="28"/>
          <w:lang w:val="it-IT"/>
        </w:rPr>
        <w:t>Sezione del metodo del patrimonio netto</w:t>
      </w:r>
      <w:r w:rsidRPr="00D125E9">
        <w:rPr>
          <w:b/>
          <w:color w:val="0070C0"/>
          <w:sz w:val="28"/>
          <w:lang w:val="it-IT"/>
        </w:rPr>
        <w:t xml:space="preserve"> </w:t>
      </w:r>
    </w:p>
    <w:p w:rsidR="00071E65" w:rsidRDefault="00071E65" w:rsidP="00071E65">
      <w:pPr>
        <w:tabs>
          <w:tab w:val="left" w:pos="1890"/>
        </w:tabs>
        <w:spacing w:line="260" w:lineRule="exact"/>
        <w:ind w:left="990" w:hanging="990"/>
        <w:jc w:val="left"/>
        <w:rPr>
          <w:lang w:val="it-IT"/>
        </w:rPr>
      </w:pPr>
    </w:p>
    <w:p w:rsidR="00071E65" w:rsidRPr="00EF48DC" w:rsidRDefault="00071E65" w:rsidP="00071E65">
      <w:pPr>
        <w:tabs>
          <w:tab w:val="left" w:pos="1890"/>
        </w:tabs>
        <w:spacing w:line="260" w:lineRule="exact"/>
        <w:ind w:left="990" w:hanging="990"/>
        <w:jc w:val="left"/>
        <w:rPr>
          <w:lang w:val="it-IT"/>
        </w:rPr>
      </w:pPr>
    </w:p>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071E65" w:rsidRPr="00CC242B" w:rsidTr="00D73E98">
        <w:trPr>
          <w:cantSplit/>
          <w:trHeight w:val="20"/>
        </w:trPr>
        <w:tc>
          <w:tcPr>
            <w:tcW w:w="680" w:type="dxa"/>
          </w:tcPr>
          <w:p w:rsidR="00071E65" w:rsidRPr="008A0F36" w:rsidRDefault="00071E65" w:rsidP="00D73E98">
            <w:pPr>
              <w:rPr>
                <w:lang w:val="it-IT"/>
              </w:rPr>
            </w:pPr>
          </w:p>
        </w:tc>
        <w:tc>
          <w:tcPr>
            <w:tcW w:w="851" w:type="dxa"/>
            <w:tcMar>
              <w:left w:w="108" w:type="dxa"/>
              <w:right w:w="0" w:type="dxa"/>
            </w:tcMar>
          </w:tcPr>
          <w:p w:rsidR="00071E65" w:rsidRPr="00CC1ACF" w:rsidRDefault="00071E65" w:rsidP="00D73E98">
            <w:pPr>
              <w:pStyle w:val="PrincCont"/>
              <w:jc w:val="left"/>
              <w:rPr>
                <w:lang w:val="it-IT"/>
              </w:rPr>
            </w:pPr>
          </w:p>
        </w:tc>
        <w:tc>
          <w:tcPr>
            <w:tcW w:w="7060" w:type="dxa"/>
            <w:tcMar>
              <w:left w:w="108" w:type="dxa"/>
            </w:tcMar>
            <w:vAlign w:val="center"/>
          </w:tcPr>
          <w:p w:rsidR="00071E65" w:rsidRPr="008A0F36" w:rsidRDefault="00071E65" w:rsidP="00D73E98">
            <w:pPr>
              <w:pStyle w:val="Titolo1"/>
              <w:keepNext w:val="0"/>
            </w:pPr>
            <w:r w:rsidRPr="007A720A">
              <w:t>PARTECIPAZIONI - il metodo del patrimonio netto</w:t>
            </w:r>
            <w:r>
              <w:t xml:space="preserve"> </w:t>
            </w:r>
          </w:p>
        </w:tc>
        <w:tc>
          <w:tcPr>
            <w:tcW w:w="586" w:type="dxa"/>
            <w:tcMar>
              <w:left w:w="85" w:type="dxa"/>
              <w:right w:w="85" w:type="dxa"/>
            </w:tcMar>
            <w:vAlign w:val="center"/>
          </w:tcPr>
          <w:p w:rsidR="00071E65" w:rsidRPr="00A32A16" w:rsidRDefault="00071E65" w:rsidP="00D73E98">
            <w:pPr>
              <w:jc w:val="center"/>
              <w:rPr>
                <w:lang w:val="it-IT"/>
              </w:rPr>
            </w:pPr>
          </w:p>
        </w:tc>
        <w:tc>
          <w:tcPr>
            <w:tcW w:w="573" w:type="dxa"/>
            <w:tcMar>
              <w:left w:w="108" w:type="dxa"/>
            </w:tcMar>
            <w:vAlign w:val="center"/>
          </w:tcPr>
          <w:p w:rsidR="00071E65" w:rsidRPr="00A32A16" w:rsidRDefault="00071E65" w:rsidP="00D73E98">
            <w:pPr>
              <w:jc w:val="center"/>
              <w:rPr>
                <w:lang w:val="it-IT"/>
              </w:rPr>
            </w:pPr>
          </w:p>
        </w:tc>
        <w:tc>
          <w:tcPr>
            <w:tcW w:w="570" w:type="dxa"/>
            <w:tcMar>
              <w:left w:w="108" w:type="dxa"/>
            </w:tcMar>
            <w:vAlign w:val="center"/>
          </w:tcPr>
          <w:p w:rsidR="00071E65" w:rsidRPr="00A32A16" w:rsidRDefault="00071E65" w:rsidP="00D73E98">
            <w:pPr>
              <w:jc w:val="center"/>
              <w:rPr>
                <w:lang w:val="it-IT"/>
              </w:rPr>
            </w:pPr>
          </w:p>
        </w:tc>
      </w:tr>
      <w:tr w:rsidR="00071E65" w:rsidRPr="00CC242B" w:rsidTr="00D73E98">
        <w:trPr>
          <w:cantSplit/>
          <w:trHeight w:val="20"/>
        </w:trPr>
        <w:tc>
          <w:tcPr>
            <w:tcW w:w="680" w:type="dxa"/>
          </w:tcPr>
          <w:p w:rsidR="00071E65" w:rsidRPr="008A0F36" w:rsidRDefault="00071E65" w:rsidP="00D73E98">
            <w:pPr>
              <w:jc w:val="center"/>
              <w:rPr>
                <w:lang w:val="it-IT"/>
              </w:rPr>
            </w:pPr>
          </w:p>
        </w:tc>
        <w:tc>
          <w:tcPr>
            <w:tcW w:w="851" w:type="dxa"/>
            <w:tcMar>
              <w:left w:w="108" w:type="dxa"/>
              <w:right w:w="0" w:type="dxa"/>
            </w:tcMar>
          </w:tcPr>
          <w:p w:rsidR="00071E65" w:rsidRPr="00CC1ACF" w:rsidRDefault="00071E65" w:rsidP="00D73E98">
            <w:pPr>
              <w:pStyle w:val="PrincCont"/>
              <w:jc w:val="left"/>
              <w:rPr>
                <w:lang w:val="it-IT"/>
              </w:rPr>
            </w:pPr>
          </w:p>
        </w:tc>
        <w:tc>
          <w:tcPr>
            <w:tcW w:w="7060" w:type="dxa"/>
            <w:tcMar>
              <w:left w:w="108" w:type="dxa"/>
            </w:tcMar>
            <w:vAlign w:val="center"/>
          </w:tcPr>
          <w:p w:rsidR="00071E65" w:rsidRPr="00CC1ACF" w:rsidRDefault="00071E65" w:rsidP="00D73E98">
            <w:pPr>
              <w:pStyle w:val="Commentiriquadro"/>
              <w:rPr>
                <w:rFonts w:ascii="Arial" w:hAnsi="Arial" w:cs="Arial"/>
                <w:sz w:val="24"/>
                <w:szCs w:val="24"/>
              </w:rPr>
            </w:pPr>
            <w:r>
              <w:t>Questa sezione è dedicata a</w:t>
            </w:r>
            <w:r w:rsidRPr="00CC1ACF">
              <w:t>l trattamento contabile delle partecipazioni valutate con il metodo del patrimonio netto alla luce d</w:t>
            </w:r>
            <w:r>
              <w:t>i quanto stabilito dall’art. 2426, c.1, n.</w:t>
            </w:r>
            <w:r w:rsidRPr="00CC1ACF">
              <w:t xml:space="preserve"> 4, </w:t>
            </w:r>
            <w:r>
              <w:t>CC</w:t>
            </w:r>
            <w:r w:rsidRPr="00CC1ACF">
              <w:t xml:space="preserve"> per il bilancio di esercizio.</w:t>
            </w:r>
            <w:r>
              <w:t xml:space="preserve"> </w:t>
            </w:r>
          </w:p>
        </w:tc>
        <w:tc>
          <w:tcPr>
            <w:tcW w:w="586" w:type="dxa"/>
            <w:tcMar>
              <w:left w:w="85" w:type="dxa"/>
              <w:right w:w="85" w:type="dxa"/>
            </w:tcMar>
            <w:vAlign w:val="center"/>
          </w:tcPr>
          <w:p w:rsidR="00071E65" w:rsidRPr="00A32A16" w:rsidRDefault="00071E65" w:rsidP="00D73E98">
            <w:pPr>
              <w:jc w:val="center"/>
              <w:rPr>
                <w:lang w:val="it-IT"/>
              </w:rPr>
            </w:pPr>
          </w:p>
        </w:tc>
        <w:tc>
          <w:tcPr>
            <w:tcW w:w="573" w:type="dxa"/>
            <w:tcMar>
              <w:left w:w="108" w:type="dxa"/>
            </w:tcMar>
            <w:vAlign w:val="center"/>
          </w:tcPr>
          <w:p w:rsidR="00071E65" w:rsidRPr="00A32A16" w:rsidRDefault="00071E65" w:rsidP="00D73E98">
            <w:pPr>
              <w:jc w:val="center"/>
              <w:rPr>
                <w:lang w:val="it-IT"/>
              </w:rPr>
            </w:pPr>
          </w:p>
        </w:tc>
        <w:tc>
          <w:tcPr>
            <w:tcW w:w="570" w:type="dxa"/>
            <w:tcMar>
              <w:left w:w="108" w:type="dxa"/>
            </w:tcMar>
            <w:vAlign w:val="center"/>
          </w:tcPr>
          <w:p w:rsidR="00071E65" w:rsidRPr="00A32A16" w:rsidRDefault="00071E65" w:rsidP="00D73E98">
            <w:pPr>
              <w:jc w:val="center"/>
              <w:rPr>
                <w:lang w:val="it-IT"/>
              </w:rPr>
            </w:pPr>
          </w:p>
        </w:tc>
      </w:tr>
      <w:tr w:rsidR="00071E65" w:rsidRPr="00CC242B" w:rsidTr="00D73E98">
        <w:trPr>
          <w:cantSplit/>
          <w:trHeight w:val="20"/>
        </w:trPr>
        <w:tc>
          <w:tcPr>
            <w:tcW w:w="680" w:type="dxa"/>
          </w:tcPr>
          <w:p w:rsidR="00071E65" w:rsidRPr="008A0F36" w:rsidRDefault="00071E65" w:rsidP="00D73E98">
            <w:pPr>
              <w:jc w:val="center"/>
              <w:rPr>
                <w:lang w:val="it-IT"/>
              </w:rPr>
            </w:pPr>
          </w:p>
        </w:tc>
        <w:tc>
          <w:tcPr>
            <w:tcW w:w="851" w:type="dxa"/>
            <w:tcMar>
              <w:left w:w="108" w:type="dxa"/>
              <w:right w:w="0" w:type="dxa"/>
            </w:tcMar>
          </w:tcPr>
          <w:p w:rsidR="00071E65" w:rsidRPr="00CC1ACF" w:rsidRDefault="00071E65" w:rsidP="00D73E98">
            <w:pPr>
              <w:pStyle w:val="PrincCont"/>
              <w:jc w:val="left"/>
              <w:rPr>
                <w:lang w:val="it-IT"/>
              </w:rPr>
            </w:pPr>
            <w:r>
              <w:rPr>
                <w:lang w:val="it-IT"/>
              </w:rPr>
              <w:t>OIC 17.150</w:t>
            </w:r>
          </w:p>
        </w:tc>
        <w:tc>
          <w:tcPr>
            <w:tcW w:w="7060" w:type="dxa"/>
            <w:tcMar>
              <w:left w:w="108" w:type="dxa"/>
            </w:tcMar>
            <w:vAlign w:val="center"/>
          </w:tcPr>
          <w:p w:rsidR="00071E65" w:rsidRPr="00CC1ACF" w:rsidRDefault="00071E65" w:rsidP="00D73E98">
            <w:pPr>
              <w:pStyle w:val="Commentiriquadro"/>
              <w:rPr>
                <w:rFonts w:ascii="Arial" w:hAnsi="Arial" w:cs="Arial"/>
                <w:sz w:val="24"/>
                <w:szCs w:val="24"/>
              </w:rPr>
            </w:pPr>
            <w:r w:rsidRPr="00CC1ACF">
              <w:t>La disciplina del metodo del patrimonio netto è contenuta nell’ambito della normativa in tema di bilancio di esercizi</w:t>
            </w:r>
            <w:r>
              <w:t>o all’art. 2426, n. 4, CC</w:t>
            </w:r>
            <w:r w:rsidRPr="00CC1ACF">
              <w:t xml:space="preserve"> che prevede che le immobilizzazioni finanziarie consistenti in partecipazioni controllate o collegate possono essere valutate, con riferimento ad una o più tra dette imprese, anziché con il metodo del costo, “</w:t>
            </w:r>
            <w:r w:rsidRPr="00CC1ACF">
              <w:rPr>
                <w:i/>
                <w:iCs/>
              </w:rPr>
              <w:t>per un importo pari alla corrispondente frazione del patrimonio netto risultante dall’ultimo bilancio delle imprese medesime, detratti i dividendi ed operate le rettifiche richieste dai principi di redazione del bilancio consolidato nonché quelle necessarie per il rispetto dei principi indicati negli articoli 2423 e 2423-bis</w:t>
            </w:r>
            <w:r w:rsidRPr="00CC1ACF">
              <w:t>”, cioè con il metodo del patrimonio netto.</w:t>
            </w:r>
            <w:r>
              <w:t xml:space="preserve"> </w:t>
            </w:r>
          </w:p>
        </w:tc>
        <w:tc>
          <w:tcPr>
            <w:tcW w:w="586" w:type="dxa"/>
            <w:tcMar>
              <w:left w:w="85" w:type="dxa"/>
              <w:right w:w="85" w:type="dxa"/>
            </w:tcMar>
            <w:vAlign w:val="center"/>
          </w:tcPr>
          <w:p w:rsidR="00071E65" w:rsidRPr="00A32A16" w:rsidRDefault="00071E65" w:rsidP="00D73E98">
            <w:pPr>
              <w:jc w:val="center"/>
              <w:rPr>
                <w:lang w:val="it-IT"/>
              </w:rPr>
            </w:pPr>
          </w:p>
        </w:tc>
        <w:tc>
          <w:tcPr>
            <w:tcW w:w="573" w:type="dxa"/>
            <w:tcMar>
              <w:left w:w="108" w:type="dxa"/>
            </w:tcMar>
            <w:vAlign w:val="center"/>
          </w:tcPr>
          <w:p w:rsidR="00071E65" w:rsidRPr="00A32A16" w:rsidRDefault="00071E65" w:rsidP="00D73E98">
            <w:pPr>
              <w:jc w:val="center"/>
              <w:rPr>
                <w:lang w:val="it-IT"/>
              </w:rPr>
            </w:pPr>
          </w:p>
        </w:tc>
        <w:tc>
          <w:tcPr>
            <w:tcW w:w="570" w:type="dxa"/>
            <w:tcMar>
              <w:left w:w="108" w:type="dxa"/>
            </w:tcMar>
            <w:vAlign w:val="center"/>
          </w:tcPr>
          <w:p w:rsidR="00071E65" w:rsidRPr="00A32A16" w:rsidRDefault="00071E65" w:rsidP="00D73E98">
            <w:pPr>
              <w:jc w:val="center"/>
              <w:rPr>
                <w:lang w:val="it-IT"/>
              </w:rPr>
            </w:pPr>
          </w:p>
        </w:tc>
      </w:tr>
      <w:tr w:rsidR="00071E65" w:rsidRPr="00CC242B" w:rsidTr="00D73E98">
        <w:trPr>
          <w:cantSplit/>
          <w:trHeight w:val="20"/>
        </w:trPr>
        <w:tc>
          <w:tcPr>
            <w:tcW w:w="680" w:type="dxa"/>
          </w:tcPr>
          <w:p w:rsidR="00071E65" w:rsidRPr="008A0F36" w:rsidRDefault="00071E65" w:rsidP="00D73E98">
            <w:pPr>
              <w:jc w:val="center"/>
              <w:rPr>
                <w:lang w:val="it-IT"/>
              </w:rPr>
            </w:pPr>
          </w:p>
        </w:tc>
        <w:tc>
          <w:tcPr>
            <w:tcW w:w="851" w:type="dxa"/>
            <w:tcMar>
              <w:left w:w="108" w:type="dxa"/>
              <w:right w:w="0" w:type="dxa"/>
            </w:tcMar>
          </w:tcPr>
          <w:p w:rsidR="00071E65" w:rsidRDefault="00071E65" w:rsidP="00D73E98">
            <w:pPr>
              <w:pStyle w:val="PrincCont"/>
              <w:jc w:val="left"/>
              <w:rPr>
                <w:lang w:val="it-IT"/>
              </w:rPr>
            </w:pPr>
            <w:r>
              <w:rPr>
                <w:lang w:val="it-IT"/>
              </w:rPr>
              <w:t>OIC 17.179</w:t>
            </w:r>
          </w:p>
        </w:tc>
        <w:tc>
          <w:tcPr>
            <w:tcW w:w="7060" w:type="dxa"/>
            <w:tcMar>
              <w:left w:w="108" w:type="dxa"/>
            </w:tcMar>
            <w:vAlign w:val="center"/>
          </w:tcPr>
          <w:p w:rsidR="00071E65" w:rsidRPr="000042B5" w:rsidRDefault="00071E65" w:rsidP="00D73E98">
            <w:pPr>
              <w:pStyle w:val="Commentiriquadro"/>
              <w:rPr>
                <w:rFonts w:ascii="Arial" w:hAnsi="Arial" w:cs="Arial"/>
                <w:sz w:val="24"/>
                <w:szCs w:val="24"/>
              </w:rPr>
            </w:pPr>
            <w:r w:rsidRPr="000042B5">
              <w:t xml:space="preserve">II metodo del </w:t>
            </w:r>
            <w:r w:rsidRPr="00633C5C">
              <w:t>patrimonio</w:t>
            </w:r>
            <w:r w:rsidRPr="000042B5">
              <w:t xml:space="preserve"> netto può applicarsi alle partecipazioni possedute sia direttamente, sia </w:t>
            </w:r>
            <w:r>
              <w:t>indirettamente tramite altre società</w:t>
            </w:r>
            <w:r w:rsidRPr="00633C5C">
              <w:t>. Nel caso in cui la partecipante possegga una partecipazione in una società controllata che a sua volta possiede partecipazioni di controllo o collegamento, il metodo del patrimonio netto si</w:t>
            </w:r>
            <w:r>
              <w:t xml:space="preserve"> </w:t>
            </w:r>
            <w:r w:rsidRPr="00633C5C">
              <w:t>applica dopo che nel bilancio di quest’ultima società le partecipazioni siano state valutate impiegando i medesimi principi contabili utilizzati dalla capogruppo. Nell’ipotesi che la</w:t>
            </w:r>
            <w:r>
              <w:t xml:space="preserve"> </w:t>
            </w:r>
            <w:r w:rsidRPr="00633C5C">
              <w:t>partecipante possegga una partecipazione in una società collegata che, quale capogruppo (di altre</w:t>
            </w:r>
            <w:r>
              <w:t xml:space="preserve"> </w:t>
            </w:r>
            <w:r w:rsidRPr="00633C5C">
              <w:t>società), rediga il bilancio consolidato, si assume il valore risultante da tale bilancio</w:t>
            </w:r>
            <w:r>
              <w:t>.</w:t>
            </w:r>
          </w:p>
        </w:tc>
        <w:tc>
          <w:tcPr>
            <w:tcW w:w="586" w:type="dxa"/>
            <w:tcMar>
              <w:left w:w="85" w:type="dxa"/>
              <w:right w:w="85" w:type="dxa"/>
            </w:tcMar>
            <w:vAlign w:val="center"/>
          </w:tcPr>
          <w:p w:rsidR="00071E65" w:rsidRPr="00A32A16" w:rsidRDefault="00071E65" w:rsidP="00D73E98">
            <w:pPr>
              <w:jc w:val="center"/>
              <w:rPr>
                <w:lang w:val="it-IT"/>
              </w:rPr>
            </w:pPr>
          </w:p>
        </w:tc>
        <w:tc>
          <w:tcPr>
            <w:tcW w:w="573" w:type="dxa"/>
            <w:tcMar>
              <w:left w:w="108" w:type="dxa"/>
            </w:tcMar>
            <w:vAlign w:val="center"/>
          </w:tcPr>
          <w:p w:rsidR="00071E65" w:rsidRPr="00A32A16" w:rsidRDefault="00071E65" w:rsidP="00D73E98">
            <w:pPr>
              <w:jc w:val="center"/>
              <w:rPr>
                <w:lang w:val="it-IT"/>
              </w:rPr>
            </w:pPr>
          </w:p>
        </w:tc>
        <w:tc>
          <w:tcPr>
            <w:tcW w:w="570" w:type="dxa"/>
            <w:tcMar>
              <w:left w:w="108" w:type="dxa"/>
            </w:tcMar>
            <w:vAlign w:val="center"/>
          </w:tcPr>
          <w:p w:rsidR="00071E65" w:rsidRPr="00A32A16" w:rsidRDefault="00071E65" w:rsidP="00D73E98">
            <w:pPr>
              <w:jc w:val="center"/>
              <w:rPr>
                <w:lang w:val="it-IT"/>
              </w:rPr>
            </w:pPr>
          </w:p>
        </w:tc>
      </w:tr>
      <w:tr w:rsidR="00071E65" w:rsidRPr="00CC242B" w:rsidTr="00D73E98">
        <w:trPr>
          <w:cantSplit/>
          <w:trHeight w:val="20"/>
        </w:trPr>
        <w:tc>
          <w:tcPr>
            <w:tcW w:w="680" w:type="dxa"/>
          </w:tcPr>
          <w:p w:rsidR="00071E65" w:rsidRPr="008A0F36" w:rsidRDefault="00071E65" w:rsidP="00D73E98">
            <w:pPr>
              <w:jc w:val="center"/>
              <w:rPr>
                <w:lang w:val="it-IT"/>
              </w:rPr>
            </w:pPr>
          </w:p>
        </w:tc>
        <w:tc>
          <w:tcPr>
            <w:tcW w:w="851" w:type="dxa"/>
            <w:tcMar>
              <w:left w:w="108" w:type="dxa"/>
              <w:right w:w="0" w:type="dxa"/>
            </w:tcMar>
          </w:tcPr>
          <w:p w:rsidR="00071E65" w:rsidRPr="00CC1ACF" w:rsidRDefault="00071E65" w:rsidP="00D73E98">
            <w:pPr>
              <w:pStyle w:val="PrincCont"/>
              <w:jc w:val="left"/>
              <w:rPr>
                <w:lang w:val="it-IT"/>
              </w:rPr>
            </w:pPr>
          </w:p>
        </w:tc>
        <w:tc>
          <w:tcPr>
            <w:tcW w:w="7060" w:type="dxa"/>
            <w:tcMar>
              <w:left w:w="108" w:type="dxa"/>
            </w:tcMar>
          </w:tcPr>
          <w:p w:rsidR="00071E65" w:rsidRPr="007A720A" w:rsidRDefault="00071E65" w:rsidP="00D73E98">
            <w:pPr>
              <w:pStyle w:val="Titolo2"/>
              <w:rPr>
                <w:lang w:val="it-IT"/>
              </w:rPr>
            </w:pPr>
            <w:r w:rsidRPr="007A720A">
              <w:rPr>
                <w:lang w:val="it-IT"/>
              </w:rPr>
              <w:t>Rilevazione iniziale, valutazione e rilevazioni successive</w:t>
            </w:r>
          </w:p>
        </w:tc>
        <w:tc>
          <w:tcPr>
            <w:tcW w:w="586" w:type="dxa"/>
            <w:tcMar>
              <w:left w:w="85" w:type="dxa"/>
              <w:right w:w="85" w:type="dxa"/>
            </w:tcMar>
            <w:vAlign w:val="center"/>
          </w:tcPr>
          <w:p w:rsidR="00071E65" w:rsidRPr="007A720A" w:rsidRDefault="00071E65" w:rsidP="00D73E98">
            <w:pPr>
              <w:jc w:val="center"/>
              <w:rPr>
                <w:lang w:val="it-IT"/>
              </w:rPr>
            </w:pPr>
          </w:p>
        </w:tc>
        <w:tc>
          <w:tcPr>
            <w:tcW w:w="573" w:type="dxa"/>
            <w:tcMar>
              <w:left w:w="108" w:type="dxa"/>
            </w:tcMar>
            <w:vAlign w:val="center"/>
          </w:tcPr>
          <w:p w:rsidR="00071E65" w:rsidRPr="007A720A" w:rsidRDefault="00071E65" w:rsidP="00D73E98">
            <w:pPr>
              <w:jc w:val="center"/>
              <w:rPr>
                <w:lang w:val="it-IT"/>
              </w:rPr>
            </w:pPr>
          </w:p>
        </w:tc>
        <w:tc>
          <w:tcPr>
            <w:tcW w:w="570" w:type="dxa"/>
            <w:tcMar>
              <w:left w:w="108" w:type="dxa"/>
            </w:tcMar>
            <w:vAlign w:val="center"/>
          </w:tcPr>
          <w:p w:rsidR="00071E65" w:rsidRPr="007A720A" w:rsidRDefault="00071E65" w:rsidP="00D73E98">
            <w:pPr>
              <w:jc w:val="center"/>
              <w:rPr>
                <w:lang w:val="it-IT"/>
              </w:rPr>
            </w:pPr>
          </w:p>
        </w:tc>
      </w:tr>
      <w:tr w:rsidR="00071E65" w:rsidRPr="007A720A" w:rsidTr="00D73E98">
        <w:trPr>
          <w:cantSplit/>
          <w:trHeight w:val="20"/>
        </w:trPr>
        <w:tc>
          <w:tcPr>
            <w:tcW w:w="680" w:type="dxa"/>
          </w:tcPr>
          <w:p w:rsidR="00071E65" w:rsidRPr="007A720A" w:rsidRDefault="00071E65" w:rsidP="00D73E98">
            <w:pPr>
              <w:jc w:val="center"/>
              <w:rPr>
                <w:b/>
                <w:lang w:val="it-IT"/>
              </w:rPr>
            </w:pPr>
            <w:r w:rsidRPr="007A720A">
              <w:rPr>
                <w:b/>
                <w:lang w:val="it-IT"/>
              </w:rPr>
              <w:t>1)</w:t>
            </w:r>
          </w:p>
        </w:tc>
        <w:tc>
          <w:tcPr>
            <w:tcW w:w="851" w:type="dxa"/>
            <w:tcMar>
              <w:left w:w="108" w:type="dxa"/>
              <w:right w:w="0" w:type="dxa"/>
            </w:tcMar>
          </w:tcPr>
          <w:p w:rsidR="00071E65" w:rsidRPr="007A720A" w:rsidRDefault="00071E65" w:rsidP="00D73E98">
            <w:pPr>
              <w:pStyle w:val="PrincCont"/>
              <w:jc w:val="left"/>
              <w:rPr>
                <w:lang w:val="it-IT"/>
              </w:rPr>
            </w:pPr>
            <w:r w:rsidRPr="007A720A">
              <w:rPr>
                <w:lang w:val="it-IT"/>
              </w:rPr>
              <w:t>OIC 17.155</w:t>
            </w:r>
          </w:p>
        </w:tc>
        <w:tc>
          <w:tcPr>
            <w:tcW w:w="7060" w:type="dxa"/>
            <w:tcMar>
              <w:left w:w="108" w:type="dxa"/>
            </w:tcMar>
          </w:tcPr>
          <w:p w:rsidR="00071E65" w:rsidRPr="007A720A" w:rsidRDefault="00071E65" w:rsidP="00D73E98">
            <w:pPr>
              <w:spacing w:line="230" w:lineRule="exact"/>
              <w:rPr>
                <w:lang w:val="it-IT"/>
              </w:rPr>
            </w:pPr>
            <w:r w:rsidRPr="007A720A">
              <w:rPr>
                <w:lang w:val="it-IT"/>
              </w:rPr>
              <w:t>Le partecipazioni valutate con il metodo del patrimonio netto sono state iscritte inizialmente al costo di acquisto, comprensivo degli oneri accessori?</w:t>
            </w:r>
          </w:p>
        </w:tc>
        <w:tc>
          <w:tcPr>
            <w:tcW w:w="586" w:type="dxa"/>
            <w:tcMar>
              <w:left w:w="85" w:type="dxa"/>
              <w:right w:w="85"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CA1681">
              <w:fldChar w:fldCharType="separate"/>
            </w:r>
            <w:r w:rsidRPr="007A720A">
              <w:fldChar w:fldCharType="end"/>
            </w:r>
          </w:p>
        </w:tc>
        <w:tc>
          <w:tcPr>
            <w:tcW w:w="573" w:type="dxa"/>
            <w:tcMar>
              <w:left w:w="108"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CA1681">
              <w:fldChar w:fldCharType="separate"/>
            </w:r>
            <w:r w:rsidRPr="007A720A">
              <w:fldChar w:fldCharType="end"/>
            </w:r>
          </w:p>
        </w:tc>
        <w:tc>
          <w:tcPr>
            <w:tcW w:w="570" w:type="dxa"/>
            <w:tcMar>
              <w:left w:w="108"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CA1681">
              <w:fldChar w:fldCharType="separate"/>
            </w:r>
            <w:r w:rsidRPr="007A720A">
              <w:fldChar w:fldCharType="end"/>
            </w:r>
          </w:p>
        </w:tc>
      </w:tr>
      <w:tr w:rsidR="00071E65" w:rsidRPr="00CC242B" w:rsidTr="00D73E98">
        <w:trPr>
          <w:cantSplit/>
          <w:trHeight w:val="20"/>
        </w:trPr>
        <w:tc>
          <w:tcPr>
            <w:tcW w:w="680" w:type="dxa"/>
          </w:tcPr>
          <w:p w:rsidR="00071E65" w:rsidRPr="007A720A" w:rsidRDefault="00071E65" w:rsidP="00D73E98">
            <w:pPr>
              <w:jc w:val="center"/>
              <w:rPr>
                <w:b/>
                <w:lang w:val="it-IT"/>
              </w:rPr>
            </w:pPr>
          </w:p>
        </w:tc>
        <w:tc>
          <w:tcPr>
            <w:tcW w:w="851" w:type="dxa"/>
            <w:tcMar>
              <w:left w:w="108" w:type="dxa"/>
              <w:right w:w="0" w:type="dxa"/>
            </w:tcMar>
          </w:tcPr>
          <w:p w:rsidR="00071E65" w:rsidRPr="007A720A" w:rsidRDefault="00071E65" w:rsidP="00D73E98">
            <w:pPr>
              <w:pStyle w:val="PrincCont"/>
              <w:jc w:val="left"/>
              <w:rPr>
                <w:lang w:val="it-IT"/>
              </w:rPr>
            </w:pPr>
            <w:r w:rsidRPr="007A720A">
              <w:rPr>
                <w:lang w:val="it-IT"/>
              </w:rPr>
              <w:t>OIC 17.22</w:t>
            </w:r>
          </w:p>
        </w:tc>
        <w:tc>
          <w:tcPr>
            <w:tcW w:w="7060" w:type="dxa"/>
            <w:tcMar>
              <w:left w:w="108" w:type="dxa"/>
            </w:tcMar>
          </w:tcPr>
          <w:p w:rsidR="00071E65" w:rsidRPr="007A720A" w:rsidRDefault="00071E65" w:rsidP="00D73E98">
            <w:pPr>
              <w:pStyle w:val="Commentiriquadro"/>
              <w:rPr>
                <w:rFonts w:ascii="Arial" w:hAnsi="Arial" w:cs="Arial"/>
                <w:sz w:val="24"/>
                <w:szCs w:val="24"/>
              </w:rPr>
            </w:pPr>
            <w:r w:rsidRPr="007A720A">
              <w:t xml:space="preserve">Gli oneri accessori sono costituiti da costi direttamente imputabili all’operazionie quali ad esempio i costi di intermediazione bancaria e finanziaria, le commissioni, spese e imposte. Possono comprendere costi di consulenza corrisposti a professionisti per la predisposizione di contratti e di studi di convenienza all’acquisto. </w:t>
            </w:r>
          </w:p>
        </w:tc>
        <w:tc>
          <w:tcPr>
            <w:tcW w:w="586" w:type="dxa"/>
            <w:tcMar>
              <w:left w:w="85" w:type="dxa"/>
              <w:right w:w="85" w:type="dxa"/>
            </w:tcMar>
            <w:vAlign w:val="center"/>
          </w:tcPr>
          <w:p w:rsidR="00071E65" w:rsidRPr="007A720A" w:rsidRDefault="00071E65" w:rsidP="00D73E98">
            <w:pPr>
              <w:jc w:val="center"/>
              <w:rPr>
                <w:lang w:val="it-IT"/>
              </w:rPr>
            </w:pPr>
          </w:p>
        </w:tc>
        <w:tc>
          <w:tcPr>
            <w:tcW w:w="573" w:type="dxa"/>
            <w:tcMar>
              <w:left w:w="108" w:type="dxa"/>
            </w:tcMar>
            <w:vAlign w:val="center"/>
          </w:tcPr>
          <w:p w:rsidR="00071E65" w:rsidRPr="007A720A" w:rsidRDefault="00071E65" w:rsidP="00D73E98">
            <w:pPr>
              <w:jc w:val="center"/>
              <w:rPr>
                <w:lang w:val="it-IT"/>
              </w:rPr>
            </w:pPr>
          </w:p>
        </w:tc>
        <w:tc>
          <w:tcPr>
            <w:tcW w:w="570" w:type="dxa"/>
            <w:tcMar>
              <w:left w:w="108" w:type="dxa"/>
            </w:tcMar>
            <w:vAlign w:val="center"/>
          </w:tcPr>
          <w:p w:rsidR="00071E65" w:rsidRPr="007A720A" w:rsidRDefault="00071E65" w:rsidP="00D73E98">
            <w:pPr>
              <w:jc w:val="center"/>
              <w:rPr>
                <w:lang w:val="it-IT"/>
              </w:rPr>
            </w:pPr>
          </w:p>
        </w:tc>
      </w:tr>
      <w:tr w:rsidR="00071E65" w:rsidRPr="007A720A" w:rsidTr="00D73E98">
        <w:trPr>
          <w:cantSplit/>
          <w:trHeight w:val="20"/>
        </w:trPr>
        <w:tc>
          <w:tcPr>
            <w:tcW w:w="680" w:type="dxa"/>
          </w:tcPr>
          <w:p w:rsidR="00071E65" w:rsidRPr="007A720A" w:rsidRDefault="00071E65" w:rsidP="00D73E98">
            <w:pPr>
              <w:jc w:val="center"/>
              <w:rPr>
                <w:b/>
                <w:lang w:val="it-IT"/>
              </w:rPr>
            </w:pPr>
            <w:r w:rsidRPr="007A720A">
              <w:rPr>
                <w:b/>
                <w:lang w:val="it-IT"/>
              </w:rPr>
              <w:t>2)</w:t>
            </w:r>
          </w:p>
        </w:tc>
        <w:tc>
          <w:tcPr>
            <w:tcW w:w="851" w:type="dxa"/>
            <w:tcMar>
              <w:left w:w="108" w:type="dxa"/>
              <w:right w:w="0" w:type="dxa"/>
            </w:tcMar>
          </w:tcPr>
          <w:p w:rsidR="00071E65" w:rsidRPr="007A720A" w:rsidRDefault="00071E65" w:rsidP="00D73E98">
            <w:pPr>
              <w:pStyle w:val="PrincCont"/>
              <w:jc w:val="left"/>
              <w:rPr>
                <w:lang w:val="it-IT"/>
              </w:rPr>
            </w:pPr>
            <w:r w:rsidRPr="007A720A">
              <w:rPr>
                <w:lang w:val="it-IT"/>
              </w:rPr>
              <w:t>OIC 17.163</w:t>
            </w:r>
          </w:p>
        </w:tc>
        <w:tc>
          <w:tcPr>
            <w:tcW w:w="7060" w:type="dxa"/>
            <w:tcMar>
              <w:left w:w="108" w:type="dxa"/>
            </w:tcMar>
          </w:tcPr>
          <w:p w:rsidR="00071E65" w:rsidRPr="007A720A" w:rsidRDefault="00071E65" w:rsidP="00D73E98">
            <w:pPr>
              <w:spacing w:line="230" w:lineRule="exact"/>
              <w:rPr>
                <w:lang w:val="it-IT"/>
              </w:rPr>
            </w:pPr>
            <w:r w:rsidRPr="007A720A">
              <w:rPr>
                <w:lang w:val="it-IT"/>
              </w:rPr>
              <w:t>L’investimento nella partecipazione è stato esposto nello stato patrimoniale per un ammontare unico comprensivo dell’eventuale avviamento e/o maggiori valori dell’attivo dello stato patrimoniale della partecipata?</w:t>
            </w:r>
          </w:p>
        </w:tc>
        <w:tc>
          <w:tcPr>
            <w:tcW w:w="586" w:type="dxa"/>
            <w:tcMar>
              <w:left w:w="85" w:type="dxa"/>
              <w:right w:w="85"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CA1681">
              <w:fldChar w:fldCharType="separate"/>
            </w:r>
            <w:r w:rsidRPr="007A720A">
              <w:fldChar w:fldCharType="end"/>
            </w:r>
          </w:p>
        </w:tc>
        <w:tc>
          <w:tcPr>
            <w:tcW w:w="573" w:type="dxa"/>
            <w:tcMar>
              <w:left w:w="108"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CA1681">
              <w:fldChar w:fldCharType="separate"/>
            </w:r>
            <w:r w:rsidRPr="007A720A">
              <w:fldChar w:fldCharType="end"/>
            </w:r>
          </w:p>
        </w:tc>
        <w:tc>
          <w:tcPr>
            <w:tcW w:w="570" w:type="dxa"/>
            <w:tcMar>
              <w:left w:w="108"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CA1681">
              <w:fldChar w:fldCharType="separate"/>
            </w:r>
            <w:r w:rsidRPr="007A720A">
              <w:fldChar w:fldCharType="end"/>
            </w:r>
          </w:p>
        </w:tc>
      </w:tr>
      <w:tr w:rsidR="00071E65" w:rsidRPr="007A720A" w:rsidTr="00D73E98">
        <w:trPr>
          <w:cantSplit/>
          <w:trHeight w:val="20"/>
        </w:trPr>
        <w:tc>
          <w:tcPr>
            <w:tcW w:w="680" w:type="dxa"/>
          </w:tcPr>
          <w:p w:rsidR="00071E65" w:rsidRPr="007A720A" w:rsidRDefault="00071E65" w:rsidP="00D73E98">
            <w:pPr>
              <w:jc w:val="center"/>
              <w:rPr>
                <w:b/>
                <w:lang w:val="it-IT"/>
              </w:rPr>
            </w:pPr>
            <w:r w:rsidRPr="007A720A">
              <w:rPr>
                <w:b/>
                <w:lang w:val="it-IT"/>
              </w:rPr>
              <w:t>3)</w:t>
            </w:r>
          </w:p>
        </w:tc>
        <w:tc>
          <w:tcPr>
            <w:tcW w:w="851" w:type="dxa"/>
            <w:tcMar>
              <w:left w:w="108" w:type="dxa"/>
              <w:right w:w="0" w:type="dxa"/>
            </w:tcMar>
          </w:tcPr>
          <w:p w:rsidR="00071E65" w:rsidRPr="007A720A" w:rsidRDefault="00071E65" w:rsidP="00D73E98">
            <w:pPr>
              <w:pStyle w:val="PrincCont"/>
              <w:jc w:val="left"/>
              <w:rPr>
                <w:lang w:val="it-IT"/>
              </w:rPr>
            </w:pPr>
            <w:r w:rsidRPr="007A720A">
              <w:rPr>
                <w:lang w:val="it-IT"/>
              </w:rPr>
              <w:t>OIC 17.163</w:t>
            </w:r>
          </w:p>
        </w:tc>
        <w:tc>
          <w:tcPr>
            <w:tcW w:w="7060" w:type="dxa"/>
            <w:tcMar>
              <w:left w:w="108" w:type="dxa"/>
            </w:tcMar>
          </w:tcPr>
          <w:p w:rsidR="00071E65" w:rsidRPr="007A720A" w:rsidRDefault="00071E65" w:rsidP="00D73E98">
            <w:pPr>
              <w:spacing w:line="230" w:lineRule="exact"/>
              <w:rPr>
                <w:lang w:val="it-IT"/>
              </w:rPr>
            </w:pPr>
            <w:r w:rsidRPr="007A720A">
              <w:rPr>
                <w:lang w:val="it-IT"/>
              </w:rPr>
              <w:t>La quota di utili o di perdite della partecipata è stata rilevata nell’apposita voce del conto economico?</w:t>
            </w:r>
          </w:p>
        </w:tc>
        <w:tc>
          <w:tcPr>
            <w:tcW w:w="586" w:type="dxa"/>
            <w:tcMar>
              <w:left w:w="85" w:type="dxa"/>
              <w:right w:w="85"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CA1681">
              <w:fldChar w:fldCharType="separate"/>
            </w:r>
            <w:r w:rsidRPr="007A720A">
              <w:fldChar w:fldCharType="end"/>
            </w:r>
          </w:p>
        </w:tc>
        <w:tc>
          <w:tcPr>
            <w:tcW w:w="573" w:type="dxa"/>
            <w:tcMar>
              <w:left w:w="108"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CA1681">
              <w:fldChar w:fldCharType="separate"/>
            </w:r>
            <w:r w:rsidRPr="007A720A">
              <w:fldChar w:fldCharType="end"/>
            </w:r>
          </w:p>
        </w:tc>
        <w:tc>
          <w:tcPr>
            <w:tcW w:w="570" w:type="dxa"/>
            <w:tcMar>
              <w:left w:w="108"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CA1681">
              <w:fldChar w:fldCharType="separate"/>
            </w:r>
            <w:r w:rsidRPr="007A720A">
              <w:fldChar w:fldCharType="end"/>
            </w:r>
          </w:p>
        </w:tc>
      </w:tr>
      <w:tr w:rsidR="00071E65" w:rsidRPr="00CC242B" w:rsidTr="00D73E98">
        <w:trPr>
          <w:cantSplit/>
          <w:trHeight w:val="20"/>
        </w:trPr>
        <w:tc>
          <w:tcPr>
            <w:tcW w:w="680" w:type="dxa"/>
          </w:tcPr>
          <w:p w:rsidR="00071E65" w:rsidRPr="007A720A" w:rsidRDefault="00071E65" w:rsidP="00D73E98">
            <w:pPr>
              <w:jc w:val="center"/>
              <w:rPr>
                <w:b/>
                <w:lang w:val="it-IT"/>
              </w:rPr>
            </w:pPr>
          </w:p>
        </w:tc>
        <w:tc>
          <w:tcPr>
            <w:tcW w:w="851" w:type="dxa"/>
            <w:tcMar>
              <w:left w:w="108" w:type="dxa"/>
              <w:right w:w="0" w:type="dxa"/>
            </w:tcMar>
          </w:tcPr>
          <w:p w:rsidR="00071E65" w:rsidRPr="007A720A" w:rsidRDefault="00071E65" w:rsidP="00D73E98">
            <w:pPr>
              <w:pStyle w:val="PrincCont"/>
              <w:jc w:val="left"/>
              <w:rPr>
                <w:lang w:val="it-IT"/>
              </w:rPr>
            </w:pPr>
          </w:p>
        </w:tc>
        <w:tc>
          <w:tcPr>
            <w:tcW w:w="7060" w:type="dxa"/>
            <w:tcMar>
              <w:left w:w="108" w:type="dxa"/>
            </w:tcMar>
          </w:tcPr>
          <w:p w:rsidR="00071E65" w:rsidRPr="007A720A" w:rsidRDefault="00071E65" w:rsidP="00D73E98">
            <w:pPr>
              <w:pStyle w:val="Titolo3"/>
              <w:rPr>
                <w:lang w:val="it-IT"/>
              </w:rPr>
            </w:pPr>
            <w:r w:rsidRPr="007A720A">
              <w:rPr>
                <w:lang w:val="it-IT"/>
              </w:rPr>
              <w:t xml:space="preserve">Trattamento della differenza iniziale tra costo d’acquisto e patrimonio netto contabile della partecipata </w:t>
            </w:r>
          </w:p>
        </w:tc>
        <w:tc>
          <w:tcPr>
            <w:tcW w:w="586" w:type="dxa"/>
            <w:tcMar>
              <w:left w:w="85" w:type="dxa"/>
              <w:right w:w="85" w:type="dxa"/>
            </w:tcMar>
            <w:vAlign w:val="center"/>
          </w:tcPr>
          <w:p w:rsidR="00071E65" w:rsidRPr="007A720A" w:rsidRDefault="00071E65" w:rsidP="00D73E98">
            <w:pPr>
              <w:jc w:val="center"/>
              <w:rPr>
                <w:lang w:val="it-IT"/>
              </w:rPr>
            </w:pPr>
          </w:p>
        </w:tc>
        <w:tc>
          <w:tcPr>
            <w:tcW w:w="573" w:type="dxa"/>
            <w:tcMar>
              <w:left w:w="108" w:type="dxa"/>
            </w:tcMar>
            <w:vAlign w:val="center"/>
          </w:tcPr>
          <w:p w:rsidR="00071E65" w:rsidRPr="007A720A" w:rsidRDefault="00071E65" w:rsidP="00D73E98">
            <w:pPr>
              <w:jc w:val="center"/>
              <w:rPr>
                <w:lang w:val="it-IT"/>
              </w:rPr>
            </w:pPr>
          </w:p>
        </w:tc>
        <w:tc>
          <w:tcPr>
            <w:tcW w:w="570" w:type="dxa"/>
            <w:tcMar>
              <w:left w:w="108" w:type="dxa"/>
            </w:tcMar>
            <w:vAlign w:val="center"/>
          </w:tcPr>
          <w:p w:rsidR="00071E65" w:rsidRPr="007A720A" w:rsidRDefault="00071E65" w:rsidP="00D73E98">
            <w:pPr>
              <w:jc w:val="center"/>
              <w:rPr>
                <w:lang w:val="it-IT"/>
              </w:rPr>
            </w:pPr>
          </w:p>
        </w:tc>
      </w:tr>
      <w:tr w:rsidR="00071E65" w:rsidRPr="00CC242B" w:rsidTr="00D73E98">
        <w:trPr>
          <w:cantSplit/>
          <w:trHeight w:val="20"/>
        </w:trPr>
        <w:tc>
          <w:tcPr>
            <w:tcW w:w="680" w:type="dxa"/>
          </w:tcPr>
          <w:p w:rsidR="00071E65" w:rsidRPr="007A720A" w:rsidRDefault="00071E65" w:rsidP="00D73E98">
            <w:pPr>
              <w:jc w:val="center"/>
              <w:rPr>
                <w:b/>
                <w:lang w:val="it-IT"/>
              </w:rPr>
            </w:pPr>
          </w:p>
        </w:tc>
        <w:tc>
          <w:tcPr>
            <w:tcW w:w="851" w:type="dxa"/>
            <w:tcMar>
              <w:left w:w="108" w:type="dxa"/>
              <w:right w:w="0" w:type="dxa"/>
            </w:tcMar>
          </w:tcPr>
          <w:p w:rsidR="00071E65" w:rsidRPr="007A720A" w:rsidRDefault="00071E65" w:rsidP="00D73E98">
            <w:pPr>
              <w:pStyle w:val="PrincCont"/>
              <w:jc w:val="left"/>
              <w:rPr>
                <w:lang w:val="it-IT"/>
              </w:rPr>
            </w:pPr>
          </w:p>
        </w:tc>
        <w:tc>
          <w:tcPr>
            <w:tcW w:w="7060" w:type="dxa"/>
            <w:tcMar>
              <w:left w:w="108" w:type="dxa"/>
            </w:tcMar>
          </w:tcPr>
          <w:p w:rsidR="00071E65" w:rsidRPr="007A720A" w:rsidRDefault="00071E65" w:rsidP="00D73E98">
            <w:pPr>
              <w:pStyle w:val="Titolo4"/>
              <w:rPr>
                <w:b/>
              </w:rPr>
            </w:pPr>
            <w:r w:rsidRPr="007A720A">
              <w:t>Costo sostenuto per l’acquisto della partecipazione superiore al valore della corrispondente quota del patrimonio netto contabile della partecipata</w:t>
            </w:r>
          </w:p>
        </w:tc>
        <w:tc>
          <w:tcPr>
            <w:tcW w:w="586" w:type="dxa"/>
            <w:tcMar>
              <w:left w:w="85" w:type="dxa"/>
              <w:right w:w="85" w:type="dxa"/>
            </w:tcMar>
            <w:vAlign w:val="center"/>
          </w:tcPr>
          <w:p w:rsidR="00071E65" w:rsidRPr="007A720A" w:rsidRDefault="00071E65" w:rsidP="00D73E98">
            <w:pPr>
              <w:jc w:val="center"/>
              <w:rPr>
                <w:lang w:val="it-IT"/>
              </w:rPr>
            </w:pPr>
          </w:p>
        </w:tc>
        <w:tc>
          <w:tcPr>
            <w:tcW w:w="573" w:type="dxa"/>
            <w:tcMar>
              <w:left w:w="108" w:type="dxa"/>
            </w:tcMar>
            <w:vAlign w:val="center"/>
          </w:tcPr>
          <w:p w:rsidR="00071E65" w:rsidRPr="007A720A" w:rsidRDefault="00071E65" w:rsidP="00D73E98">
            <w:pPr>
              <w:jc w:val="center"/>
              <w:rPr>
                <w:lang w:val="it-IT"/>
              </w:rPr>
            </w:pPr>
          </w:p>
        </w:tc>
        <w:tc>
          <w:tcPr>
            <w:tcW w:w="570" w:type="dxa"/>
            <w:tcMar>
              <w:left w:w="108" w:type="dxa"/>
            </w:tcMar>
            <w:vAlign w:val="center"/>
          </w:tcPr>
          <w:p w:rsidR="00071E65" w:rsidRPr="007A720A" w:rsidRDefault="00071E65" w:rsidP="00D73E98">
            <w:pPr>
              <w:jc w:val="center"/>
              <w:rPr>
                <w:lang w:val="it-IT"/>
              </w:rPr>
            </w:pPr>
          </w:p>
        </w:tc>
      </w:tr>
      <w:tr w:rsidR="00071E65" w:rsidRPr="007A720A" w:rsidTr="00D73E98">
        <w:trPr>
          <w:cantSplit/>
          <w:trHeight w:val="20"/>
        </w:trPr>
        <w:tc>
          <w:tcPr>
            <w:tcW w:w="680" w:type="dxa"/>
          </w:tcPr>
          <w:p w:rsidR="00071E65" w:rsidRPr="007A720A" w:rsidRDefault="00071E65" w:rsidP="00D73E98">
            <w:pPr>
              <w:jc w:val="center"/>
              <w:rPr>
                <w:b/>
                <w:lang w:val="it-IT"/>
              </w:rPr>
            </w:pPr>
            <w:r w:rsidRPr="007A720A">
              <w:rPr>
                <w:b/>
                <w:lang w:val="it-IT"/>
              </w:rPr>
              <w:t>4)</w:t>
            </w:r>
          </w:p>
        </w:tc>
        <w:tc>
          <w:tcPr>
            <w:tcW w:w="851" w:type="dxa"/>
            <w:tcMar>
              <w:left w:w="108" w:type="dxa"/>
              <w:right w:w="0" w:type="dxa"/>
            </w:tcMar>
          </w:tcPr>
          <w:p w:rsidR="00071E65" w:rsidRPr="007A720A" w:rsidRDefault="00071E65" w:rsidP="00D73E98">
            <w:pPr>
              <w:pStyle w:val="PrincCont"/>
              <w:jc w:val="left"/>
            </w:pPr>
            <w:r w:rsidRPr="007A720A">
              <w:t>Art. 2426, c.1, n.4, CC</w:t>
            </w:r>
            <w:r>
              <w:t xml:space="preserve">       </w:t>
            </w:r>
            <w:r w:rsidRPr="007A720A">
              <w:t>OIC 17.156</w:t>
            </w:r>
          </w:p>
        </w:tc>
        <w:tc>
          <w:tcPr>
            <w:tcW w:w="7060" w:type="dxa"/>
            <w:tcMar>
              <w:left w:w="108" w:type="dxa"/>
            </w:tcMar>
            <w:vAlign w:val="center"/>
          </w:tcPr>
          <w:p w:rsidR="00071E65" w:rsidRPr="007A720A" w:rsidRDefault="00071E65" w:rsidP="00D73E98">
            <w:pPr>
              <w:spacing w:line="230" w:lineRule="exact"/>
              <w:rPr>
                <w:lang w:val="it-IT"/>
              </w:rPr>
            </w:pPr>
            <w:r w:rsidRPr="007A720A">
              <w:rPr>
                <w:lang w:val="it-IT"/>
              </w:rPr>
              <w:t>In sede di prima rilevazione, se il costo di acquisto della partecipazione è superiore al valore della corrispondente quota del patrimonio netto risultante riferito alla data di acquisizione o, in alternativa, risultante dall’ultimo bilancio della partecipata, la differenza è stata iscritta nell’attivo della partecipante, purché ne siano indicate le ragioni nella Nota Integrativa?</w:t>
            </w:r>
          </w:p>
        </w:tc>
        <w:tc>
          <w:tcPr>
            <w:tcW w:w="586" w:type="dxa"/>
            <w:tcMar>
              <w:left w:w="85" w:type="dxa"/>
              <w:right w:w="85"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CA1681">
              <w:fldChar w:fldCharType="separate"/>
            </w:r>
            <w:r w:rsidRPr="007A720A">
              <w:fldChar w:fldCharType="end"/>
            </w:r>
          </w:p>
        </w:tc>
        <w:tc>
          <w:tcPr>
            <w:tcW w:w="573" w:type="dxa"/>
            <w:tcMar>
              <w:left w:w="108"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CA1681">
              <w:fldChar w:fldCharType="separate"/>
            </w:r>
            <w:r w:rsidRPr="007A720A">
              <w:fldChar w:fldCharType="end"/>
            </w:r>
          </w:p>
        </w:tc>
        <w:tc>
          <w:tcPr>
            <w:tcW w:w="570" w:type="dxa"/>
            <w:tcMar>
              <w:left w:w="108"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CA1681">
              <w:fldChar w:fldCharType="separate"/>
            </w:r>
            <w:r w:rsidRPr="007A720A">
              <w:fldChar w:fldCharType="end"/>
            </w:r>
          </w:p>
        </w:tc>
      </w:tr>
      <w:tr w:rsidR="00071E65" w:rsidRPr="00CC242B" w:rsidTr="00D73E98">
        <w:trPr>
          <w:cantSplit/>
          <w:trHeight w:val="20"/>
        </w:trPr>
        <w:tc>
          <w:tcPr>
            <w:tcW w:w="680" w:type="dxa"/>
          </w:tcPr>
          <w:p w:rsidR="00071E65" w:rsidRPr="007A720A" w:rsidRDefault="00071E65" w:rsidP="00D73E98">
            <w:pPr>
              <w:jc w:val="center"/>
              <w:rPr>
                <w:b/>
                <w:lang w:val="it-IT"/>
              </w:rPr>
            </w:pPr>
          </w:p>
        </w:tc>
        <w:tc>
          <w:tcPr>
            <w:tcW w:w="851" w:type="dxa"/>
            <w:tcMar>
              <w:left w:w="108" w:type="dxa"/>
              <w:right w:w="0" w:type="dxa"/>
            </w:tcMar>
          </w:tcPr>
          <w:p w:rsidR="00071E65" w:rsidRPr="007A720A" w:rsidRDefault="00071E65" w:rsidP="00D73E98">
            <w:pPr>
              <w:pStyle w:val="PrincCont"/>
              <w:jc w:val="left"/>
            </w:pPr>
            <w:r w:rsidRPr="007A720A">
              <w:t>OIC 17.157</w:t>
            </w:r>
          </w:p>
        </w:tc>
        <w:tc>
          <w:tcPr>
            <w:tcW w:w="7060" w:type="dxa"/>
            <w:tcMar>
              <w:left w:w="108" w:type="dxa"/>
            </w:tcMar>
            <w:vAlign w:val="center"/>
          </w:tcPr>
          <w:p w:rsidR="00071E65" w:rsidRPr="007A720A" w:rsidRDefault="00071E65" w:rsidP="00D73E98">
            <w:pPr>
              <w:pStyle w:val="Commentiriquadro"/>
            </w:pPr>
            <w:r w:rsidRPr="007A720A">
              <w:t>Ai fini del calcolo della differenza iniziale tra costo della partecipazione e valore del patrimonio netto della società partecipata nell’ambito del metodo del patrimonio netto, la data di acquisizione è quella tecnicamente da preferire ove siano disponibili le informazioni necessarie.</w:t>
            </w:r>
          </w:p>
        </w:tc>
        <w:tc>
          <w:tcPr>
            <w:tcW w:w="586" w:type="dxa"/>
            <w:tcMar>
              <w:left w:w="85" w:type="dxa"/>
              <w:right w:w="85" w:type="dxa"/>
            </w:tcMar>
            <w:vAlign w:val="center"/>
          </w:tcPr>
          <w:p w:rsidR="00071E65" w:rsidRPr="007A720A" w:rsidRDefault="00071E65" w:rsidP="00D73E98">
            <w:pPr>
              <w:jc w:val="center"/>
              <w:rPr>
                <w:lang w:val="it-IT"/>
              </w:rPr>
            </w:pPr>
          </w:p>
        </w:tc>
        <w:tc>
          <w:tcPr>
            <w:tcW w:w="573" w:type="dxa"/>
            <w:tcMar>
              <w:left w:w="108" w:type="dxa"/>
            </w:tcMar>
            <w:vAlign w:val="center"/>
          </w:tcPr>
          <w:p w:rsidR="00071E65" w:rsidRPr="007A720A" w:rsidRDefault="00071E65" w:rsidP="00D73E98">
            <w:pPr>
              <w:jc w:val="center"/>
              <w:rPr>
                <w:lang w:val="it-IT"/>
              </w:rPr>
            </w:pPr>
          </w:p>
        </w:tc>
        <w:tc>
          <w:tcPr>
            <w:tcW w:w="570" w:type="dxa"/>
            <w:tcMar>
              <w:left w:w="108" w:type="dxa"/>
            </w:tcMar>
            <w:vAlign w:val="center"/>
          </w:tcPr>
          <w:p w:rsidR="00071E65" w:rsidRPr="007A720A" w:rsidRDefault="00071E65" w:rsidP="00D73E98">
            <w:pPr>
              <w:jc w:val="center"/>
              <w:rPr>
                <w:lang w:val="it-IT"/>
              </w:rPr>
            </w:pPr>
          </w:p>
        </w:tc>
      </w:tr>
      <w:tr w:rsidR="00071E65" w:rsidRPr="00CC242B" w:rsidTr="00D73E98">
        <w:trPr>
          <w:cantSplit/>
          <w:trHeight w:val="20"/>
        </w:trPr>
        <w:tc>
          <w:tcPr>
            <w:tcW w:w="680" w:type="dxa"/>
          </w:tcPr>
          <w:p w:rsidR="00071E65" w:rsidRPr="007A720A" w:rsidRDefault="00071E65" w:rsidP="00D73E98">
            <w:pPr>
              <w:jc w:val="center"/>
              <w:rPr>
                <w:b/>
                <w:lang w:val="it-IT"/>
              </w:rPr>
            </w:pPr>
          </w:p>
        </w:tc>
        <w:tc>
          <w:tcPr>
            <w:tcW w:w="851" w:type="dxa"/>
            <w:tcMar>
              <w:left w:w="108" w:type="dxa"/>
              <w:right w:w="0" w:type="dxa"/>
            </w:tcMar>
          </w:tcPr>
          <w:p w:rsidR="00071E65" w:rsidRPr="007A720A" w:rsidRDefault="00071E65" w:rsidP="00D73E98">
            <w:pPr>
              <w:pStyle w:val="PrincCont"/>
              <w:jc w:val="left"/>
            </w:pPr>
            <w:r w:rsidRPr="007A720A">
              <w:t>OIC 17.164</w:t>
            </w:r>
          </w:p>
        </w:tc>
        <w:tc>
          <w:tcPr>
            <w:tcW w:w="7060" w:type="dxa"/>
            <w:tcMar>
              <w:left w:w="108" w:type="dxa"/>
            </w:tcMar>
            <w:vAlign w:val="center"/>
          </w:tcPr>
          <w:p w:rsidR="00071E65" w:rsidRPr="007A720A" w:rsidRDefault="00071E65" w:rsidP="00D73E98">
            <w:pPr>
              <w:pStyle w:val="Commentiriquadro"/>
            </w:pPr>
            <w:r w:rsidRPr="007A720A">
              <w:t>Il metodo del patrimonio netto si applica utilizzando il bilancio approvato dalla partecipata, riferito alla stessa data del bilancio della partecipante. È tuttavia accettabile assumere un progetto di bilancio formalmente redatto dall’organo amministrativo della partecipata, qualora non sia ancora intervenuta l’approvazione da parte dell’assemblea.</w:t>
            </w:r>
          </w:p>
        </w:tc>
        <w:tc>
          <w:tcPr>
            <w:tcW w:w="586" w:type="dxa"/>
            <w:tcMar>
              <w:left w:w="85" w:type="dxa"/>
              <w:right w:w="85" w:type="dxa"/>
            </w:tcMar>
            <w:vAlign w:val="center"/>
          </w:tcPr>
          <w:p w:rsidR="00071E65" w:rsidRPr="007A720A" w:rsidRDefault="00071E65" w:rsidP="00D73E98">
            <w:pPr>
              <w:jc w:val="center"/>
              <w:rPr>
                <w:lang w:val="it-IT"/>
              </w:rPr>
            </w:pPr>
          </w:p>
        </w:tc>
        <w:tc>
          <w:tcPr>
            <w:tcW w:w="573" w:type="dxa"/>
            <w:tcMar>
              <w:left w:w="108" w:type="dxa"/>
            </w:tcMar>
            <w:vAlign w:val="center"/>
          </w:tcPr>
          <w:p w:rsidR="00071E65" w:rsidRPr="007A720A" w:rsidRDefault="00071E65" w:rsidP="00D73E98">
            <w:pPr>
              <w:jc w:val="center"/>
              <w:rPr>
                <w:lang w:val="it-IT"/>
              </w:rPr>
            </w:pPr>
          </w:p>
        </w:tc>
        <w:tc>
          <w:tcPr>
            <w:tcW w:w="570" w:type="dxa"/>
            <w:tcMar>
              <w:left w:w="108" w:type="dxa"/>
            </w:tcMar>
            <w:vAlign w:val="center"/>
          </w:tcPr>
          <w:p w:rsidR="00071E65" w:rsidRPr="007A720A" w:rsidRDefault="00071E65" w:rsidP="00D73E98">
            <w:pPr>
              <w:jc w:val="center"/>
              <w:rPr>
                <w:lang w:val="it-IT"/>
              </w:rPr>
            </w:pPr>
          </w:p>
        </w:tc>
      </w:tr>
      <w:tr w:rsidR="00071E65" w:rsidRPr="00CC242B" w:rsidTr="00D73E98">
        <w:trPr>
          <w:cantSplit/>
          <w:trHeight w:val="20"/>
        </w:trPr>
        <w:tc>
          <w:tcPr>
            <w:tcW w:w="680" w:type="dxa"/>
          </w:tcPr>
          <w:p w:rsidR="00071E65" w:rsidRPr="007A720A" w:rsidRDefault="00071E65" w:rsidP="00D73E98">
            <w:pPr>
              <w:jc w:val="center"/>
              <w:rPr>
                <w:b/>
                <w:lang w:val="it-IT"/>
              </w:rPr>
            </w:pPr>
          </w:p>
        </w:tc>
        <w:tc>
          <w:tcPr>
            <w:tcW w:w="851" w:type="dxa"/>
            <w:tcMar>
              <w:left w:w="108" w:type="dxa"/>
              <w:right w:w="0" w:type="dxa"/>
            </w:tcMar>
          </w:tcPr>
          <w:p w:rsidR="00071E65" w:rsidRPr="007A720A" w:rsidRDefault="00071E65" w:rsidP="00D73E98">
            <w:pPr>
              <w:pStyle w:val="PrincCont"/>
              <w:jc w:val="left"/>
              <w:rPr>
                <w:lang w:val="it-IT"/>
              </w:rPr>
            </w:pPr>
            <w:r w:rsidRPr="007A720A">
              <w:t>OIC 17.165</w:t>
            </w:r>
          </w:p>
        </w:tc>
        <w:tc>
          <w:tcPr>
            <w:tcW w:w="7060" w:type="dxa"/>
            <w:tcMar>
              <w:left w:w="108" w:type="dxa"/>
            </w:tcMar>
            <w:vAlign w:val="center"/>
          </w:tcPr>
          <w:p w:rsidR="00071E65" w:rsidRDefault="00071E65" w:rsidP="00D73E98">
            <w:pPr>
              <w:pStyle w:val="Commentiriquadro"/>
            </w:pPr>
            <w:r w:rsidRPr="007A720A">
              <w:t>Nel caso in cui la data di chiusura del bilancio diverga da quella della partecipante, ai fini dell’applicazione del metodo del patrimonio netto si fa riferimento ad un bilancio intermedio della partecipata la cui chiusura coincida con quella della società partecipante</w:t>
            </w:r>
          </w:p>
        </w:tc>
        <w:tc>
          <w:tcPr>
            <w:tcW w:w="586" w:type="dxa"/>
            <w:tcMar>
              <w:left w:w="85" w:type="dxa"/>
              <w:right w:w="85" w:type="dxa"/>
            </w:tcMar>
            <w:vAlign w:val="center"/>
          </w:tcPr>
          <w:p w:rsidR="00071E65" w:rsidRPr="006F27B7" w:rsidRDefault="00071E65" w:rsidP="00D73E98">
            <w:pPr>
              <w:jc w:val="center"/>
              <w:rPr>
                <w:lang w:val="it-IT"/>
              </w:rPr>
            </w:pPr>
          </w:p>
        </w:tc>
        <w:tc>
          <w:tcPr>
            <w:tcW w:w="573" w:type="dxa"/>
            <w:tcMar>
              <w:left w:w="108" w:type="dxa"/>
            </w:tcMar>
            <w:vAlign w:val="center"/>
          </w:tcPr>
          <w:p w:rsidR="00071E65" w:rsidRPr="006F27B7" w:rsidRDefault="00071E65" w:rsidP="00D73E98">
            <w:pPr>
              <w:jc w:val="center"/>
              <w:rPr>
                <w:lang w:val="it-IT"/>
              </w:rPr>
            </w:pPr>
          </w:p>
        </w:tc>
        <w:tc>
          <w:tcPr>
            <w:tcW w:w="570" w:type="dxa"/>
            <w:tcMar>
              <w:left w:w="108" w:type="dxa"/>
            </w:tcMar>
            <w:vAlign w:val="center"/>
          </w:tcPr>
          <w:p w:rsidR="00071E65" w:rsidRPr="006F27B7" w:rsidRDefault="00071E65" w:rsidP="00D73E98">
            <w:pPr>
              <w:jc w:val="center"/>
              <w:rPr>
                <w:lang w:val="it-IT"/>
              </w:rPr>
            </w:pPr>
          </w:p>
        </w:tc>
      </w:tr>
      <w:tr w:rsidR="00071E65" w:rsidRPr="00CC242B" w:rsidTr="00D73E98">
        <w:trPr>
          <w:cantSplit/>
          <w:trHeight w:val="20"/>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pPr>
            <w:r>
              <w:t>OIC 17.166</w:t>
            </w:r>
          </w:p>
        </w:tc>
        <w:tc>
          <w:tcPr>
            <w:tcW w:w="7060" w:type="dxa"/>
            <w:tcMar>
              <w:left w:w="108" w:type="dxa"/>
            </w:tcMar>
            <w:vAlign w:val="center"/>
          </w:tcPr>
          <w:p w:rsidR="00071E65" w:rsidRDefault="00071E65" w:rsidP="00D73E98">
            <w:pPr>
              <w:pStyle w:val="Commentiriquadro"/>
            </w:pPr>
            <w:r>
              <w:t>Nel solo caso di società collegate, se la data di chiusura dell’esercizio è diversa dalla data di riferimento del bilancio della partecipante è accettabile utilizzare un bilancio a data diversa purché si verifichino le seguenti condizioni:</w:t>
            </w:r>
          </w:p>
          <w:p w:rsidR="00071E65" w:rsidRDefault="00071E65" w:rsidP="004E27C2">
            <w:pPr>
              <w:pStyle w:val="Commentiriquadro"/>
              <w:numPr>
                <w:ilvl w:val="0"/>
                <w:numId w:val="28"/>
              </w:numPr>
              <w:ind w:left="176" w:hanging="119"/>
            </w:pPr>
            <w:r>
              <w:t>la differenza non ecceda i tre mesi;</w:t>
            </w:r>
          </w:p>
          <w:p w:rsidR="00071E65" w:rsidRDefault="00071E65" w:rsidP="004E27C2">
            <w:pPr>
              <w:pStyle w:val="Commentiriquadro"/>
              <w:numPr>
                <w:ilvl w:val="0"/>
                <w:numId w:val="28"/>
              </w:numPr>
              <w:ind w:left="176" w:hanging="119"/>
            </w:pPr>
            <w:r>
              <w:t>la differenza di data del bilancio sia mantenuta costante;</w:t>
            </w:r>
          </w:p>
          <w:p w:rsidR="00071E65" w:rsidRDefault="00071E65" w:rsidP="00D73E98">
            <w:pPr>
              <w:pStyle w:val="Commentiriquadro"/>
              <w:ind w:left="176" w:hanging="119"/>
            </w:pPr>
            <w:r>
              <w:t>-</w:t>
            </w:r>
            <w:r>
              <w:tab/>
              <w:t>la diversità di data venga indicata nella Nota Integrativa della partecipante;</w:t>
            </w:r>
          </w:p>
          <w:p w:rsidR="00071E65" w:rsidRDefault="00071E65" w:rsidP="00D73E98">
            <w:pPr>
              <w:pStyle w:val="Commentiriquadro"/>
              <w:ind w:left="176" w:hanging="119"/>
            </w:pPr>
            <w:r>
              <w:t xml:space="preserve">- </w:t>
            </w:r>
            <w:r>
              <w:tab/>
              <w:t>vengano riflessi gli effetti di operazioni ed eventi significativi verificatisi tra la data del bilancio della collegata e quella della partecipante, ed essi siano posti in evidenza nella Nota Integrativa della partecipante.</w:t>
            </w:r>
          </w:p>
        </w:tc>
        <w:tc>
          <w:tcPr>
            <w:tcW w:w="586" w:type="dxa"/>
            <w:tcMar>
              <w:left w:w="85" w:type="dxa"/>
              <w:right w:w="85" w:type="dxa"/>
            </w:tcMar>
            <w:vAlign w:val="center"/>
          </w:tcPr>
          <w:p w:rsidR="00071E65" w:rsidRPr="006F27B7" w:rsidRDefault="00071E65" w:rsidP="00D73E98">
            <w:pPr>
              <w:jc w:val="center"/>
              <w:rPr>
                <w:lang w:val="it-IT"/>
              </w:rPr>
            </w:pPr>
          </w:p>
        </w:tc>
        <w:tc>
          <w:tcPr>
            <w:tcW w:w="573" w:type="dxa"/>
            <w:tcMar>
              <w:left w:w="108" w:type="dxa"/>
            </w:tcMar>
            <w:vAlign w:val="center"/>
          </w:tcPr>
          <w:p w:rsidR="00071E65" w:rsidRPr="006F27B7" w:rsidRDefault="00071E65" w:rsidP="00D73E98">
            <w:pPr>
              <w:jc w:val="center"/>
              <w:rPr>
                <w:lang w:val="it-IT"/>
              </w:rPr>
            </w:pPr>
          </w:p>
        </w:tc>
        <w:tc>
          <w:tcPr>
            <w:tcW w:w="570" w:type="dxa"/>
            <w:tcMar>
              <w:left w:w="108" w:type="dxa"/>
            </w:tcMar>
            <w:vAlign w:val="center"/>
          </w:tcPr>
          <w:p w:rsidR="00071E65" w:rsidRPr="006F27B7" w:rsidRDefault="00071E65" w:rsidP="00D73E98">
            <w:pPr>
              <w:jc w:val="center"/>
              <w:rPr>
                <w:lang w:val="it-IT"/>
              </w:rPr>
            </w:pPr>
          </w:p>
        </w:tc>
      </w:tr>
      <w:tr w:rsidR="00071E65" w:rsidRPr="00DB38AE" w:rsidTr="00D73E98">
        <w:trPr>
          <w:cantSplit/>
          <w:trHeight w:val="20"/>
        </w:trPr>
        <w:tc>
          <w:tcPr>
            <w:tcW w:w="680" w:type="dxa"/>
          </w:tcPr>
          <w:p w:rsidR="00071E65" w:rsidRPr="004C73AD" w:rsidRDefault="00071E65" w:rsidP="00D73E98">
            <w:pPr>
              <w:jc w:val="center"/>
              <w:rPr>
                <w:b/>
                <w:lang w:val="it-IT"/>
              </w:rPr>
            </w:pPr>
            <w:r w:rsidRPr="004C73AD">
              <w:rPr>
                <w:b/>
                <w:lang w:val="it-IT"/>
              </w:rPr>
              <w:t>5)</w:t>
            </w:r>
          </w:p>
        </w:tc>
        <w:tc>
          <w:tcPr>
            <w:tcW w:w="851" w:type="dxa"/>
            <w:tcMar>
              <w:left w:w="108" w:type="dxa"/>
              <w:right w:w="0" w:type="dxa"/>
            </w:tcMar>
          </w:tcPr>
          <w:p w:rsidR="00071E65" w:rsidRPr="00F85E20" w:rsidRDefault="00071E65" w:rsidP="00D73E98">
            <w:pPr>
              <w:pStyle w:val="PrincCont"/>
              <w:jc w:val="left"/>
            </w:pPr>
            <w:r>
              <w:t>OIC 17.156</w:t>
            </w:r>
          </w:p>
        </w:tc>
        <w:tc>
          <w:tcPr>
            <w:tcW w:w="7060" w:type="dxa"/>
            <w:tcMar>
              <w:left w:w="108" w:type="dxa"/>
            </w:tcMar>
            <w:vAlign w:val="center"/>
          </w:tcPr>
          <w:p w:rsidR="00071E65" w:rsidRDefault="00071E65" w:rsidP="00D73E98">
            <w:pPr>
              <w:spacing w:line="230" w:lineRule="exact"/>
              <w:rPr>
                <w:lang w:val="it-IT"/>
              </w:rPr>
            </w:pPr>
            <w:r>
              <w:rPr>
                <w:lang w:val="it-IT"/>
              </w:rPr>
              <w:t>Tale differenza è stata ammortizzata limitatamente alla parte attribuibile ai beni ammortizzabili, compreso l’avviamento?</w:t>
            </w:r>
          </w:p>
        </w:tc>
        <w:tc>
          <w:tcPr>
            <w:tcW w:w="586" w:type="dxa"/>
            <w:tcMar>
              <w:left w:w="85" w:type="dxa"/>
              <w:right w:w="85" w:type="dxa"/>
            </w:tcMar>
            <w:vAlign w:val="center"/>
          </w:tcPr>
          <w:p w:rsidR="00071E65" w:rsidRPr="00DB38AE"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71E65" w:rsidRPr="00DB38AE"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71E65" w:rsidRPr="00DB38AE"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71E65" w:rsidRPr="00862A11" w:rsidTr="00D73E98">
        <w:trPr>
          <w:cantSplit/>
          <w:trHeight w:val="20"/>
        </w:trPr>
        <w:tc>
          <w:tcPr>
            <w:tcW w:w="680" w:type="dxa"/>
          </w:tcPr>
          <w:p w:rsidR="00071E65" w:rsidRPr="004C73AD" w:rsidRDefault="00071E65" w:rsidP="00D73E98">
            <w:pPr>
              <w:jc w:val="center"/>
              <w:rPr>
                <w:b/>
                <w:lang w:val="it-IT"/>
              </w:rPr>
            </w:pPr>
            <w:r>
              <w:rPr>
                <w:b/>
                <w:lang w:val="it-IT"/>
              </w:rPr>
              <w:t>6)</w:t>
            </w:r>
          </w:p>
        </w:tc>
        <w:tc>
          <w:tcPr>
            <w:tcW w:w="851" w:type="dxa"/>
            <w:tcMar>
              <w:left w:w="108" w:type="dxa"/>
              <w:right w:w="0" w:type="dxa"/>
            </w:tcMar>
          </w:tcPr>
          <w:p w:rsidR="00071E65" w:rsidRDefault="00071E65" w:rsidP="00D73E98">
            <w:pPr>
              <w:pStyle w:val="PrincCont"/>
              <w:jc w:val="left"/>
            </w:pPr>
            <w:r>
              <w:rPr>
                <w:lang w:val="it-IT"/>
              </w:rPr>
              <w:t>OIC 17.161 a)</w:t>
            </w:r>
          </w:p>
        </w:tc>
        <w:tc>
          <w:tcPr>
            <w:tcW w:w="7060" w:type="dxa"/>
            <w:tcMar>
              <w:left w:w="108" w:type="dxa"/>
            </w:tcMar>
            <w:vAlign w:val="center"/>
          </w:tcPr>
          <w:p w:rsidR="00071E65" w:rsidRDefault="00071E65" w:rsidP="00D73E98">
            <w:pPr>
              <w:spacing w:line="230" w:lineRule="exact"/>
              <w:rPr>
                <w:lang w:val="it-IT"/>
              </w:rPr>
            </w:pPr>
            <w:r>
              <w:rPr>
                <w:lang w:val="it-IT"/>
              </w:rPr>
              <w:t xml:space="preserve">Se </w:t>
            </w:r>
            <w:r w:rsidRPr="00862A11">
              <w:rPr>
                <w:lang w:val="it-IT"/>
              </w:rPr>
              <w:t>la differenza iniziale positiva è riconducibile a maggiori valori dell’attivo dello stato</w:t>
            </w:r>
            <w:r>
              <w:rPr>
                <w:lang w:val="it-IT"/>
              </w:rPr>
              <w:t xml:space="preserve"> </w:t>
            </w:r>
            <w:r w:rsidRPr="00862A11">
              <w:rPr>
                <w:lang w:val="it-IT"/>
              </w:rPr>
              <w:t>patrimoniale della partecipata, valutati a valori correnti, o alla presenza di avviamento, la partecipante iscrive la partecipazione al costo di acquisto comprensivo di tale</w:t>
            </w:r>
            <w:r>
              <w:rPr>
                <w:lang w:val="it-IT"/>
              </w:rPr>
              <w:t xml:space="preserve"> </w:t>
            </w:r>
            <w:r w:rsidRPr="00862A11">
              <w:rPr>
                <w:lang w:val="it-IT"/>
              </w:rPr>
              <w:t>differenza iniziale positiva</w:t>
            </w:r>
            <w:r>
              <w:rPr>
                <w:lang w:val="it-IT"/>
              </w:rPr>
              <w:t>?</w:t>
            </w:r>
          </w:p>
        </w:tc>
        <w:tc>
          <w:tcPr>
            <w:tcW w:w="586" w:type="dxa"/>
            <w:tcMar>
              <w:left w:w="85" w:type="dxa"/>
              <w:right w:w="85" w:type="dxa"/>
            </w:tcMar>
            <w:vAlign w:val="center"/>
          </w:tcPr>
          <w:p w:rsidR="00071E65" w:rsidRPr="00862A11"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71E65" w:rsidRPr="00862A11"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71E65" w:rsidRPr="00862A11"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71E65" w:rsidRPr="00CC1ACF" w:rsidTr="00D73E98">
        <w:trPr>
          <w:cantSplit/>
          <w:trHeight w:val="20"/>
        </w:trPr>
        <w:tc>
          <w:tcPr>
            <w:tcW w:w="680" w:type="dxa"/>
          </w:tcPr>
          <w:p w:rsidR="00071E65" w:rsidRPr="004C73AD" w:rsidRDefault="00071E65" w:rsidP="00D73E98">
            <w:pPr>
              <w:jc w:val="center"/>
              <w:rPr>
                <w:b/>
                <w:lang w:val="it-IT"/>
              </w:rPr>
            </w:pPr>
            <w:r>
              <w:rPr>
                <w:b/>
                <w:lang w:val="it-IT"/>
              </w:rPr>
              <w:t>7</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17.161 b)</w:t>
            </w:r>
          </w:p>
        </w:tc>
        <w:tc>
          <w:tcPr>
            <w:tcW w:w="7060" w:type="dxa"/>
            <w:tcMar>
              <w:left w:w="108" w:type="dxa"/>
            </w:tcMar>
            <w:vAlign w:val="center"/>
          </w:tcPr>
          <w:p w:rsidR="00071E65" w:rsidRPr="00A844E4" w:rsidRDefault="00071E65" w:rsidP="00D73E98">
            <w:pPr>
              <w:spacing w:line="230" w:lineRule="exact"/>
              <w:rPr>
                <w:lang w:val="it-IT"/>
              </w:rPr>
            </w:pPr>
            <w:r>
              <w:rPr>
                <w:lang w:val="it-IT"/>
              </w:rPr>
              <w:t>Se l</w:t>
            </w:r>
            <w:r w:rsidRPr="00A844E4">
              <w:rPr>
                <w:lang w:val="it-IT"/>
              </w:rPr>
              <w:t>a differenza iniziale positiva non corrisponde ad un maggior valore dell’attivo e/o avv</w:t>
            </w:r>
            <w:r>
              <w:rPr>
                <w:lang w:val="it-IT"/>
              </w:rPr>
              <w:t xml:space="preserve">iamento della partecipata, </w:t>
            </w:r>
            <w:r w:rsidRPr="00A844E4">
              <w:rPr>
                <w:lang w:val="it-IT"/>
              </w:rPr>
              <w:t xml:space="preserve">la partecipazione è </w:t>
            </w:r>
            <w:r>
              <w:rPr>
                <w:lang w:val="it-IT"/>
              </w:rPr>
              <w:t xml:space="preserve">stata </w:t>
            </w:r>
            <w:r w:rsidRPr="00A844E4">
              <w:rPr>
                <w:lang w:val="it-IT"/>
              </w:rPr>
              <w:t xml:space="preserve">oggetto di svalutazione e la differenza è </w:t>
            </w:r>
            <w:r>
              <w:rPr>
                <w:lang w:val="it-IT"/>
              </w:rPr>
              <w:t xml:space="preserve">stata </w:t>
            </w:r>
            <w:r w:rsidRPr="00A844E4">
              <w:rPr>
                <w:lang w:val="it-IT"/>
              </w:rPr>
              <w:t>imputata a conto economico</w:t>
            </w:r>
            <w:r>
              <w:rPr>
                <w:lang w:val="it-IT"/>
              </w:rPr>
              <w:t xml:space="preserve"> nella voce D 19 a) “svalutazioni di partecipazioni”?</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71E65" w:rsidRPr="00CC242B" w:rsidTr="00D73E98">
        <w:trPr>
          <w:cantSplit/>
          <w:trHeight w:val="20"/>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p>
        </w:tc>
        <w:tc>
          <w:tcPr>
            <w:tcW w:w="7060" w:type="dxa"/>
            <w:tcMar>
              <w:left w:w="108" w:type="dxa"/>
            </w:tcMar>
            <w:vAlign w:val="center"/>
          </w:tcPr>
          <w:p w:rsidR="00071E65" w:rsidRPr="0008252E" w:rsidRDefault="00071E65" w:rsidP="00D73E98">
            <w:pPr>
              <w:pStyle w:val="Titolo4"/>
              <w:spacing w:line="230" w:lineRule="exact"/>
              <w:rPr>
                <w:b/>
              </w:rPr>
            </w:pPr>
            <w:r w:rsidRPr="00392742">
              <w:t>Costo sostenuto per l’acquisto della partecipazione inferiore al valore della corrispondente quota del patrimonio netto contabile della partecipata</w:t>
            </w:r>
          </w:p>
        </w:tc>
        <w:tc>
          <w:tcPr>
            <w:tcW w:w="586" w:type="dxa"/>
            <w:tcMar>
              <w:left w:w="85" w:type="dxa"/>
              <w:right w:w="85" w:type="dxa"/>
            </w:tcMar>
            <w:vAlign w:val="center"/>
          </w:tcPr>
          <w:p w:rsidR="00071E65" w:rsidRPr="0045739F" w:rsidRDefault="00071E65" w:rsidP="00D73E98">
            <w:pPr>
              <w:jc w:val="center"/>
              <w:rPr>
                <w:lang w:val="it-IT"/>
              </w:rPr>
            </w:pPr>
          </w:p>
        </w:tc>
        <w:tc>
          <w:tcPr>
            <w:tcW w:w="573" w:type="dxa"/>
            <w:tcMar>
              <w:left w:w="108" w:type="dxa"/>
            </w:tcMar>
            <w:vAlign w:val="center"/>
          </w:tcPr>
          <w:p w:rsidR="00071E65" w:rsidRPr="0045739F" w:rsidRDefault="00071E65" w:rsidP="00D73E98">
            <w:pPr>
              <w:jc w:val="center"/>
              <w:rPr>
                <w:lang w:val="it-IT"/>
              </w:rPr>
            </w:pPr>
          </w:p>
        </w:tc>
        <w:tc>
          <w:tcPr>
            <w:tcW w:w="570" w:type="dxa"/>
            <w:tcMar>
              <w:left w:w="108" w:type="dxa"/>
            </w:tcMar>
            <w:vAlign w:val="center"/>
          </w:tcPr>
          <w:p w:rsidR="00071E65" w:rsidRPr="0045739F" w:rsidRDefault="00071E65" w:rsidP="00D73E98">
            <w:pPr>
              <w:jc w:val="center"/>
              <w:rPr>
                <w:lang w:val="it-IT"/>
              </w:rPr>
            </w:pPr>
          </w:p>
        </w:tc>
      </w:tr>
      <w:tr w:rsidR="00071E65" w:rsidRPr="00CC1ACF" w:rsidTr="00D73E98">
        <w:trPr>
          <w:cantSplit/>
          <w:trHeight w:val="20"/>
        </w:trPr>
        <w:tc>
          <w:tcPr>
            <w:tcW w:w="680" w:type="dxa"/>
          </w:tcPr>
          <w:p w:rsidR="00071E65" w:rsidRPr="004C73AD" w:rsidRDefault="00071E65" w:rsidP="00D73E98">
            <w:pPr>
              <w:jc w:val="center"/>
              <w:rPr>
                <w:b/>
                <w:lang w:val="it-IT"/>
              </w:rPr>
            </w:pPr>
            <w:r>
              <w:rPr>
                <w:b/>
                <w:lang w:val="it-IT"/>
              </w:rPr>
              <w:t>8</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17.162 a)</w:t>
            </w:r>
          </w:p>
        </w:tc>
        <w:tc>
          <w:tcPr>
            <w:tcW w:w="7060" w:type="dxa"/>
            <w:tcMar>
              <w:left w:w="108" w:type="dxa"/>
            </w:tcMar>
            <w:vAlign w:val="center"/>
          </w:tcPr>
          <w:p w:rsidR="00071E65" w:rsidRPr="00293B7D" w:rsidRDefault="00071E65" w:rsidP="00D73E98">
            <w:pPr>
              <w:spacing w:line="230" w:lineRule="exact"/>
              <w:rPr>
                <w:lang w:val="it-IT"/>
              </w:rPr>
            </w:pPr>
            <w:r w:rsidRPr="00293B7D">
              <w:rPr>
                <w:lang w:val="it-IT"/>
              </w:rPr>
              <w:t>Se la differenza iniziale negativa non è riconducibile alla previsione di perdite ma al compimento di un buon affare, la partecipazione è stata iscritta al maggior valore del patrimonio netto rettificato della partecipata rispetto al prezzo di costo, iscrivendo quale contropartita, all’interno della voce AVI “Altre riserve”, una “Riserva per plusvalori</w:t>
            </w:r>
            <w:r>
              <w:rPr>
                <w:lang w:val="it-IT"/>
              </w:rPr>
              <w:t xml:space="preserve"> di partecipazioni acquisite”, </w:t>
            </w:r>
            <w:r w:rsidRPr="00293B7D">
              <w:rPr>
                <w:lang w:val="it-IT"/>
              </w:rPr>
              <w:t>n</w:t>
            </w:r>
            <w:r>
              <w:rPr>
                <w:lang w:val="it-IT"/>
              </w:rPr>
              <w:t xml:space="preserve">on </w:t>
            </w:r>
            <w:r w:rsidRPr="00293B7D">
              <w:rPr>
                <w:lang w:val="it-IT"/>
              </w:rPr>
              <w:t>distribuibile?</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71E65" w:rsidRPr="00CC1ACF" w:rsidTr="00D73E98">
        <w:trPr>
          <w:cantSplit/>
          <w:trHeight w:val="20"/>
        </w:trPr>
        <w:tc>
          <w:tcPr>
            <w:tcW w:w="680" w:type="dxa"/>
          </w:tcPr>
          <w:p w:rsidR="00071E65" w:rsidRPr="004C73AD" w:rsidRDefault="00071E65" w:rsidP="00D73E98">
            <w:pPr>
              <w:jc w:val="center"/>
              <w:rPr>
                <w:b/>
                <w:lang w:val="it-IT"/>
              </w:rPr>
            </w:pPr>
            <w:r>
              <w:rPr>
                <w:b/>
                <w:lang w:val="it-IT"/>
              </w:rPr>
              <w:t>9</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17.162 b)</w:t>
            </w:r>
          </w:p>
        </w:tc>
        <w:tc>
          <w:tcPr>
            <w:tcW w:w="7060" w:type="dxa"/>
            <w:tcMar>
              <w:left w:w="108" w:type="dxa"/>
            </w:tcMar>
            <w:vAlign w:val="center"/>
          </w:tcPr>
          <w:p w:rsidR="00071E65" w:rsidRPr="00293B7D" w:rsidRDefault="00071E65" w:rsidP="00D73E98">
            <w:pPr>
              <w:spacing w:line="230" w:lineRule="exact"/>
              <w:rPr>
                <w:lang w:val="it-IT"/>
              </w:rPr>
            </w:pPr>
            <w:r>
              <w:rPr>
                <w:lang w:val="it-IT"/>
              </w:rPr>
              <w:t>Se la</w:t>
            </w:r>
            <w:r w:rsidRPr="00293B7D">
              <w:rPr>
                <w:lang w:val="it-IT"/>
              </w:rPr>
              <w:t xml:space="preserve"> differenza iniziale negativa è dovuta alla presenza di attività iscritte per valori superiori al loro valore recuperabile o passività iscritte ad un valore inferiore al loro valore di estinzione o, ancora, alla previsione di risultati economici sfavorevoli, per cui tale differenza rappresenta un “Fondo per rischi e oneri futuri” di cui si mantiene memoria extracontabilmente, la partecipazione è stata inizialmente iscritta per un valore pari al costo sostenuto?</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71E65" w:rsidRPr="00CC242B" w:rsidTr="00D73E98">
        <w:trPr>
          <w:cantSplit/>
          <w:trHeight w:val="20"/>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r>
              <w:rPr>
                <w:lang w:val="it-IT"/>
              </w:rPr>
              <w:t>OIC 17.158</w:t>
            </w:r>
          </w:p>
        </w:tc>
        <w:tc>
          <w:tcPr>
            <w:tcW w:w="7060" w:type="dxa"/>
            <w:tcMar>
              <w:left w:w="108" w:type="dxa"/>
            </w:tcMar>
            <w:vAlign w:val="center"/>
          </w:tcPr>
          <w:p w:rsidR="00071E65" w:rsidRPr="00BF37C1" w:rsidRDefault="00071E65" w:rsidP="00D73E98">
            <w:pPr>
              <w:pStyle w:val="Commentiriquadro"/>
              <w:rPr>
                <w:rFonts w:ascii="Arial" w:hAnsi="Arial" w:cs="Arial"/>
                <w:sz w:val="24"/>
                <w:szCs w:val="24"/>
              </w:rPr>
            </w:pPr>
            <w:r w:rsidRPr="00BF37C1">
              <w:t>Quando il costo d’acquisto della partecipazione differisce rispetto alla quota di pertinenza del valore netto contabile alla data dell’acquisizione, si determina una differenza iniziale, positiva o negativa, che va identificata nella sua composizione e trattata contabilmente in modo analogo alle differenze iniziali da annullamento emergenti in sede di preparazione nel bilancio consolidato.</w:t>
            </w:r>
            <w:r>
              <w:t xml:space="preserve"> </w:t>
            </w:r>
          </w:p>
        </w:tc>
        <w:tc>
          <w:tcPr>
            <w:tcW w:w="586" w:type="dxa"/>
            <w:tcMar>
              <w:left w:w="85" w:type="dxa"/>
              <w:right w:w="85" w:type="dxa"/>
            </w:tcMar>
            <w:vAlign w:val="center"/>
          </w:tcPr>
          <w:p w:rsidR="00071E65" w:rsidRPr="0008252E" w:rsidRDefault="00071E65" w:rsidP="00D73E98">
            <w:pPr>
              <w:jc w:val="center"/>
              <w:rPr>
                <w:lang w:val="it-IT"/>
              </w:rPr>
            </w:pPr>
          </w:p>
        </w:tc>
        <w:tc>
          <w:tcPr>
            <w:tcW w:w="573" w:type="dxa"/>
            <w:tcMar>
              <w:left w:w="108" w:type="dxa"/>
            </w:tcMar>
            <w:vAlign w:val="center"/>
          </w:tcPr>
          <w:p w:rsidR="00071E65" w:rsidRPr="0008252E" w:rsidRDefault="00071E65" w:rsidP="00D73E98">
            <w:pPr>
              <w:jc w:val="center"/>
              <w:rPr>
                <w:lang w:val="it-IT"/>
              </w:rPr>
            </w:pPr>
          </w:p>
        </w:tc>
        <w:tc>
          <w:tcPr>
            <w:tcW w:w="570" w:type="dxa"/>
            <w:tcMar>
              <w:left w:w="108" w:type="dxa"/>
            </w:tcMar>
            <w:vAlign w:val="center"/>
          </w:tcPr>
          <w:p w:rsidR="00071E65" w:rsidRPr="0008252E" w:rsidRDefault="00071E65" w:rsidP="00D73E98">
            <w:pPr>
              <w:jc w:val="center"/>
              <w:rPr>
                <w:lang w:val="it-IT"/>
              </w:rPr>
            </w:pPr>
          </w:p>
        </w:tc>
      </w:tr>
      <w:tr w:rsidR="00071E65" w:rsidRPr="00CC242B" w:rsidTr="00D73E98">
        <w:trPr>
          <w:cantSplit/>
          <w:trHeight w:val="20"/>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Pr="00CC1ACF" w:rsidRDefault="00071E65" w:rsidP="00D73E98">
            <w:pPr>
              <w:pStyle w:val="PrincCont"/>
              <w:jc w:val="left"/>
              <w:rPr>
                <w:lang w:val="it-IT"/>
              </w:rPr>
            </w:pPr>
          </w:p>
        </w:tc>
        <w:tc>
          <w:tcPr>
            <w:tcW w:w="7060" w:type="dxa"/>
            <w:tcMar>
              <w:left w:w="108" w:type="dxa"/>
            </w:tcMar>
            <w:vAlign w:val="center"/>
          </w:tcPr>
          <w:p w:rsidR="00071E65" w:rsidRPr="00DE5214" w:rsidRDefault="00071E65" w:rsidP="00D73E98">
            <w:pPr>
              <w:pStyle w:val="Titolo3"/>
              <w:rPr>
                <w:lang w:val="it-IT"/>
              </w:rPr>
            </w:pPr>
            <w:r w:rsidRPr="00DE5214">
              <w:rPr>
                <w:lang w:val="it-IT"/>
              </w:rPr>
              <w:t xml:space="preserve">Rettifiche del risultato della partecipata ai fini dell’applicazione del metodo del patrimonio netto </w:t>
            </w:r>
          </w:p>
        </w:tc>
        <w:tc>
          <w:tcPr>
            <w:tcW w:w="586" w:type="dxa"/>
            <w:tcMar>
              <w:left w:w="85" w:type="dxa"/>
              <w:right w:w="85" w:type="dxa"/>
            </w:tcMar>
            <w:vAlign w:val="center"/>
          </w:tcPr>
          <w:p w:rsidR="00071E65" w:rsidRPr="00A32A16" w:rsidRDefault="00071E65" w:rsidP="00D73E98">
            <w:pPr>
              <w:jc w:val="center"/>
              <w:rPr>
                <w:lang w:val="it-IT"/>
              </w:rPr>
            </w:pPr>
          </w:p>
        </w:tc>
        <w:tc>
          <w:tcPr>
            <w:tcW w:w="573" w:type="dxa"/>
            <w:tcMar>
              <w:left w:w="108" w:type="dxa"/>
            </w:tcMar>
            <w:vAlign w:val="center"/>
          </w:tcPr>
          <w:p w:rsidR="00071E65" w:rsidRPr="00A32A16" w:rsidRDefault="00071E65" w:rsidP="00D73E98">
            <w:pPr>
              <w:jc w:val="center"/>
              <w:rPr>
                <w:lang w:val="it-IT"/>
              </w:rPr>
            </w:pPr>
          </w:p>
        </w:tc>
        <w:tc>
          <w:tcPr>
            <w:tcW w:w="570" w:type="dxa"/>
            <w:tcMar>
              <w:left w:w="108" w:type="dxa"/>
            </w:tcMar>
            <w:vAlign w:val="center"/>
          </w:tcPr>
          <w:p w:rsidR="00071E65" w:rsidRPr="00A32A16" w:rsidRDefault="00071E65" w:rsidP="00D73E98">
            <w:pPr>
              <w:jc w:val="center"/>
              <w:rPr>
                <w:lang w:val="it-IT"/>
              </w:rPr>
            </w:pPr>
          </w:p>
        </w:tc>
      </w:tr>
      <w:tr w:rsidR="00071E65" w:rsidRPr="00CC242B" w:rsidTr="00D73E98">
        <w:trPr>
          <w:cantSplit/>
          <w:trHeight w:val="20"/>
        </w:trPr>
        <w:tc>
          <w:tcPr>
            <w:tcW w:w="680" w:type="dxa"/>
          </w:tcPr>
          <w:p w:rsidR="00071E65" w:rsidRPr="004C73AD" w:rsidRDefault="00071E65" w:rsidP="00D73E98">
            <w:pPr>
              <w:jc w:val="center"/>
              <w:rPr>
                <w:b/>
                <w:lang w:val="it-IT"/>
              </w:rPr>
            </w:pPr>
            <w:r>
              <w:rPr>
                <w:b/>
                <w:lang w:val="it-IT"/>
              </w:rPr>
              <w:t>10</w:t>
            </w:r>
            <w:r w:rsidRPr="004C73AD">
              <w:rPr>
                <w:b/>
                <w:lang w:val="it-IT"/>
              </w:rPr>
              <w:t>)</w:t>
            </w:r>
          </w:p>
        </w:tc>
        <w:tc>
          <w:tcPr>
            <w:tcW w:w="851" w:type="dxa"/>
            <w:tcMar>
              <w:left w:w="108" w:type="dxa"/>
              <w:right w:w="0" w:type="dxa"/>
            </w:tcMar>
          </w:tcPr>
          <w:p w:rsidR="00071E65" w:rsidRPr="00CC1ACF" w:rsidRDefault="00071E65" w:rsidP="00D73E98">
            <w:pPr>
              <w:pStyle w:val="PrincCont"/>
              <w:jc w:val="left"/>
              <w:rPr>
                <w:lang w:val="it-IT"/>
              </w:rPr>
            </w:pPr>
            <w:r>
              <w:rPr>
                <w:lang w:val="it-IT"/>
              </w:rPr>
              <w:t>OIC 17.167</w:t>
            </w:r>
          </w:p>
        </w:tc>
        <w:tc>
          <w:tcPr>
            <w:tcW w:w="7060" w:type="dxa"/>
            <w:tcMar>
              <w:left w:w="108" w:type="dxa"/>
            </w:tcMar>
            <w:vAlign w:val="center"/>
          </w:tcPr>
          <w:p w:rsidR="00071E65" w:rsidRPr="0098266C" w:rsidRDefault="00071E65" w:rsidP="00D73E98">
            <w:pPr>
              <w:spacing w:line="230" w:lineRule="exact"/>
              <w:rPr>
                <w:lang w:val="it-IT"/>
              </w:rPr>
            </w:pPr>
            <w:r w:rsidRPr="0098266C">
              <w:rPr>
                <w:lang w:val="it-IT"/>
              </w:rPr>
              <w:t xml:space="preserve">Nell’applicazione del metodo del patrimonio netto </w:t>
            </w:r>
            <w:r>
              <w:rPr>
                <w:lang w:val="it-IT"/>
              </w:rPr>
              <w:t>il risultato (utile o perdita) d’esercizio risultante dal bilancio della partecipata è stato oggetto delle seguenti rettifiche, ove applicabili:</w:t>
            </w:r>
          </w:p>
        </w:tc>
        <w:tc>
          <w:tcPr>
            <w:tcW w:w="586" w:type="dxa"/>
            <w:tcMar>
              <w:left w:w="85" w:type="dxa"/>
              <w:right w:w="85" w:type="dxa"/>
            </w:tcMar>
            <w:vAlign w:val="center"/>
          </w:tcPr>
          <w:p w:rsidR="00071E65" w:rsidRPr="00A32A16" w:rsidRDefault="00071E65" w:rsidP="00D73E98">
            <w:pPr>
              <w:jc w:val="center"/>
              <w:rPr>
                <w:lang w:val="it-IT"/>
              </w:rPr>
            </w:pPr>
          </w:p>
        </w:tc>
        <w:tc>
          <w:tcPr>
            <w:tcW w:w="573" w:type="dxa"/>
            <w:tcMar>
              <w:left w:w="108" w:type="dxa"/>
            </w:tcMar>
            <w:vAlign w:val="center"/>
          </w:tcPr>
          <w:p w:rsidR="00071E65" w:rsidRPr="00A32A16" w:rsidRDefault="00071E65" w:rsidP="00D73E98">
            <w:pPr>
              <w:jc w:val="center"/>
              <w:rPr>
                <w:lang w:val="it-IT"/>
              </w:rPr>
            </w:pPr>
          </w:p>
        </w:tc>
        <w:tc>
          <w:tcPr>
            <w:tcW w:w="570" w:type="dxa"/>
            <w:tcMar>
              <w:left w:w="108" w:type="dxa"/>
            </w:tcMar>
            <w:vAlign w:val="center"/>
          </w:tcPr>
          <w:p w:rsidR="00071E65" w:rsidRPr="00A32A16" w:rsidRDefault="00071E65" w:rsidP="00D73E98">
            <w:pPr>
              <w:jc w:val="center"/>
              <w:rPr>
                <w:lang w:val="it-IT"/>
              </w:rPr>
            </w:pPr>
          </w:p>
        </w:tc>
      </w:tr>
      <w:tr w:rsidR="00071E65" w:rsidRPr="00CC1ACF" w:rsidTr="00D73E98">
        <w:trPr>
          <w:cantSplit/>
          <w:trHeight w:val="20"/>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Pr="00CC1ACF" w:rsidRDefault="00071E65" w:rsidP="00D73E98">
            <w:pPr>
              <w:pStyle w:val="PrincCont"/>
              <w:jc w:val="left"/>
              <w:rPr>
                <w:lang w:val="it-IT"/>
              </w:rPr>
            </w:pPr>
          </w:p>
        </w:tc>
        <w:tc>
          <w:tcPr>
            <w:tcW w:w="7060" w:type="dxa"/>
            <w:tcMar>
              <w:left w:w="108" w:type="dxa"/>
            </w:tcMar>
          </w:tcPr>
          <w:p w:rsidR="00071E65" w:rsidRPr="0098266C" w:rsidRDefault="001162DB" w:rsidP="001162DB">
            <w:pPr>
              <w:pStyle w:val="Rientroa"/>
              <w:numPr>
                <w:ilvl w:val="0"/>
                <w:numId w:val="0"/>
              </w:numPr>
              <w:spacing w:line="230" w:lineRule="exact"/>
              <w:ind w:left="392" w:hanging="360"/>
            </w:pPr>
            <w:r>
              <w:t>a)</w:t>
            </w:r>
            <w:r>
              <w:tab/>
            </w:r>
            <w:r w:rsidR="00071E65" w:rsidRPr="0098266C">
              <w:t>rettifiche derivanti dalla mancata applicazione di principi contabili uniformi a quelli applicati dalla parteci</w:t>
            </w:r>
            <w:r w:rsidR="00071E65">
              <w:t>pante</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71E65" w:rsidRPr="00CC1ACF" w:rsidTr="00D73E98">
        <w:trPr>
          <w:cantSplit/>
          <w:trHeight w:val="20"/>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Pr="00CC1ACF" w:rsidRDefault="00071E65" w:rsidP="00D73E98">
            <w:pPr>
              <w:pStyle w:val="PrincCont"/>
              <w:jc w:val="left"/>
              <w:rPr>
                <w:lang w:val="it-IT"/>
              </w:rPr>
            </w:pPr>
          </w:p>
        </w:tc>
        <w:tc>
          <w:tcPr>
            <w:tcW w:w="7060" w:type="dxa"/>
            <w:tcMar>
              <w:left w:w="108" w:type="dxa"/>
            </w:tcMar>
            <w:vAlign w:val="center"/>
          </w:tcPr>
          <w:p w:rsidR="00071E65" w:rsidRPr="0098266C" w:rsidRDefault="001162DB" w:rsidP="001162DB">
            <w:pPr>
              <w:pStyle w:val="Rientroa"/>
              <w:numPr>
                <w:ilvl w:val="0"/>
                <w:numId w:val="0"/>
              </w:numPr>
              <w:spacing w:line="230" w:lineRule="exact"/>
              <w:ind w:left="392" w:hanging="360"/>
            </w:pPr>
            <w:r>
              <w:t>b)</w:t>
            </w:r>
            <w:r>
              <w:tab/>
            </w:r>
            <w:r w:rsidR="00071E65" w:rsidRPr="0098266C">
              <w:t>rettifiche derivanti da eventuali eventi significativi verificatisi tra la data di chiusura dell’esercizio della collegata e quello della partecipante nell’ipotesi in cui tali date non coincidano, da effettuarsi, comunque, nel rispetto di quanto d</w:t>
            </w:r>
            <w:r w:rsidR="00071E65">
              <w:t>isposto nel paragrafo 165 del Principio</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71E65" w:rsidRPr="00CC1ACF" w:rsidTr="00D73E98">
        <w:trPr>
          <w:cantSplit/>
          <w:trHeight w:val="20"/>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Pr="00CC1ACF" w:rsidRDefault="00071E65" w:rsidP="00D73E98">
            <w:pPr>
              <w:pStyle w:val="PrincCont"/>
              <w:jc w:val="left"/>
              <w:rPr>
                <w:lang w:val="it-IT"/>
              </w:rPr>
            </w:pPr>
          </w:p>
        </w:tc>
        <w:tc>
          <w:tcPr>
            <w:tcW w:w="7060" w:type="dxa"/>
            <w:tcMar>
              <w:left w:w="108" w:type="dxa"/>
            </w:tcMar>
            <w:vAlign w:val="center"/>
          </w:tcPr>
          <w:p w:rsidR="00071E65" w:rsidRPr="0098266C" w:rsidRDefault="001162DB" w:rsidP="001162DB">
            <w:pPr>
              <w:pStyle w:val="Rientroa"/>
              <w:numPr>
                <w:ilvl w:val="0"/>
                <w:numId w:val="0"/>
              </w:numPr>
              <w:spacing w:line="230" w:lineRule="exact"/>
              <w:ind w:left="392" w:hanging="360"/>
            </w:pPr>
            <w:r>
              <w:t>c)</w:t>
            </w:r>
            <w:r>
              <w:tab/>
            </w:r>
            <w:r w:rsidR="00071E65" w:rsidRPr="0098266C">
              <w:t>rettifiche derivanti dall’eliminazione degli utili e perdite interni relativi ad operazioni intersocietarie</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71E65" w:rsidRPr="00CC1ACF" w:rsidTr="00D73E98">
        <w:trPr>
          <w:cantSplit/>
          <w:trHeight w:val="20"/>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Pr="00CC1ACF" w:rsidRDefault="00071E65" w:rsidP="00D73E98">
            <w:pPr>
              <w:pStyle w:val="PrincCont"/>
              <w:jc w:val="left"/>
              <w:rPr>
                <w:lang w:val="it-IT"/>
              </w:rPr>
            </w:pPr>
          </w:p>
        </w:tc>
        <w:tc>
          <w:tcPr>
            <w:tcW w:w="7060" w:type="dxa"/>
            <w:tcMar>
              <w:left w:w="108" w:type="dxa"/>
            </w:tcMar>
            <w:vAlign w:val="center"/>
          </w:tcPr>
          <w:p w:rsidR="00071E65" w:rsidRPr="0098266C" w:rsidRDefault="001162DB" w:rsidP="001162DB">
            <w:pPr>
              <w:pStyle w:val="Rientroa"/>
              <w:numPr>
                <w:ilvl w:val="0"/>
                <w:numId w:val="0"/>
              </w:numPr>
              <w:spacing w:line="230" w:lineRule="exact"/>
              <w:ind w:left="392" w:hanging="360"/>
            </w:pPr>
            <w:r>
              <w:t>d)</w:t>
            </w:r>
            <w:r>
              <w:tab/>
            </w:r>
            <w:r w:rsidR="00071E65" w:rsidRPr="0098266C">
              <w:t>rettifiche per riflettere gli effetti, aggiornati annualmente, derivanti dall’iniziale imputazione delle differenze fra i valori contabili e i valori che tengono conto del diverso prezzo di ac</w:t>
            </w:r>
            <w:r w:rsidR="00071E65">
              <w:t>quisizione</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71E65" w:rsidRPr="00CC1ACF" w:rsidTr="00D73E98">
        <w:trPr>
          <w:cantSplit/>
          <w:trHeight w:val="20"/>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Pr="00CC1ACF" w:rsidRDefault="00071E65" w:rsidP="00D73E98">
            <w:pPr>
              <w:pStyle w:val="PrincCont"/>
              <w:jc w:val="left"/>
              <w:rPr>
                <w:lang w:val="it-IT"/>
              </w:rPr>
            </w:pPr>
          </w:p>
        </w:tc>
        <w:tc>
          <w:tcPr>
            <w:tcW w:w="7060" w:type="dxa"/>
            <w:tcMar>
              <w:left w:w="108" w:type="dxa"/>
            </w:tcMar>
            <w:vAlign w:val="center"/>
          </w:tcPr>
          <w:p w:rsidR="00071E65" w:rsidRPr="0098266C" w:rsidRDefault="001162DB" w:rsidP="001162DB">
            <w:pPr>
              <w:pStyle w:val="Rientroa"/>
              <w:numPr>
                <w:ilvl w:val="0"/>
                <w:numId w:val="0"/>
              </w:numPr>
              <w:spacing w:line="230" w:lineRule="exact"/>
              <w:ind w:left="392" w:hanging="360"/>
            </w:pPr>
            <w:r>
              <w:t xml:space="preserve">e) </w:t>
            </w:r>
            <w:r>
              <w:tab/>
            </w:r>
            <w:r w:rsidR="00071E65" w:rsidRPr="0098266C">
              <w:t>rettifiche derivanti dalla percentuale di capitale della partecipata posseduto dalla partecipante</w:t>
            </w:r>
            <w:r w:rsidR="00071E65">
              <w:t>?</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71E65" w:rsidRPr="000960EC" w:rsidTr="00D73E98">
        <w:trPr>
          <w:cantSplit/>
          <w:trHeight w:val="20"/>
        </w:trPr>
        <w:tc>
          <w:tcPr>
            <w:tcW w:w="680" w:type="dxa"/>
          </w:tcPr>
          <w:p w:rsidR="00071E65" w:rsidRPr="004C73AD" w:rsidRDefault="00071E65" w:rsidP="00D73E98">
            <w:pPr>
              <w:jc w:val="center"/>
              <w:rPr>
                <w:b/>
                <w:lang w:val="it-IT"/>
              </w:rPr>
            </w:pPr>
            <w:r w:rsidRPr="004C73AD">
              <w:rPr>
                <w:b/>
                <w:lang w:val="it-IT"/>
              </w:rPr>
              <w:t>1</w:t>
            </w:r>
            <w:r>
              <w:rPr>
                <w:b/>
                <w:lang w:val="it-IT"/>
              </w:rPr>
              <w:t>1</w:t>
            </w:r>
            <w:r w:rsidRPr="004C73AD">
              <w:rPr>
                <w:b/>
                <w:lang w:val="it-IT"/>
              </w:rPr>
              <w:t>)</w:t>
            </w:r>
          </w:p>
        </w:tc>
        <w:tc>
          <w:tcPr>
            <w:tcW w:w="851" w:type="dxa"/>
            <w:tcMar>
              <w:left w:w="108" w:type="dxa"/>
              <w:right w:w="0" w:type="dxa"/>
            </w:tcMar>
          </w:tcPr>
          <w:p w:rsidR="00071E65" w:rsidRPr="00CC1ACF" w:rsidRDefault="00071E65" w:rsidP="00D73E98">
            <w:pPr>
              <w:pStyle w:val="PrincCont"/>
              <w:jc w:val="left"/>
              <w:rPr>
                <w:lang w:val="it-IT"/>
              </w:rPr>
            </w:pPr>
            <w:r>
              <w:rPr>
                <w:lang w:val="it-IT"/>
              </w:rPr>
              <w:t>OIC 17.168</w:t>
            </w:r>
          </w:p>
        </w:tc>
        <w:tc>
          <w:tcPr>
            <w:tcW w:w="7060" w:type="dxa"/>
            <w:tcMar>
              <w:left w:w="108" w:type="dxa"/>
            </w:tcMar>
            <w:vAlign w:val="center"/>
          </w:tcPr>
          <w:p w:rsidR="00071E65" w:rsidRPr="00F85E20" w:rsidRDefault="00071E65" w:rsidP="00D73E98">
            <w:pPr>
              <w:spacing w:line="230" w:lineRule="exact"/>
              <w:rPr>
                <w:lang w:val="it-IT"/>
              </w:rPr>
            </w:pPr>
            <w:r>
              <w:rPr>
                <w:lang w:val="it-IT"/>
              </w:rPr>
              <w:t>Il risultato di bilancio della partecipata al termine delle rettifiche di cui al punto precedente è stato assunto nel bilancio della partecipante in misura corrispondente alla frazione di capitale posseduto?</w:t>
            </w:r>
          </w:p>
        </w:tc>
        <w:tc>
          <w:tcPr>
            <w:tcW w:w="586" w:type="dxa"/>
            <w:tcMar>
              <w:left w:w="85" w:type="dxa"/>
              <w:right w:w="85" w:type="dxa"/>
            </w:tcMar>
            <w:vAlign w:val="center"/>
          </w:tcPr>
          <w:p w:rsidR="00071E65" w:rsidRPr="00F85E20"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71E65" w:rsidRPr="00F85E20"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71E65" w:rsidRPr="00F85E20"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71E65" w:rsidRPr="00CC242B" w:rsidTr="00D73E98">
        <w:trPr>
          <w:cantSplit/>
          <w:trHeight w:val="492"/>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r>
              <w:rPr>
                <w:lang w:val="it-IT"/>
              </w:rPr>
              <w:t>OIC 17.169</w:t>
            </w:r>
          </w:p>
        </w:tc>
        <w:tc>
          <w:tcPr>
            <w:tcW w:w="7060" w:type="dxa"/>
            <w:tcMar>
              <w:left w:w="108" w:type="dxa"/>
            </w:tcMar>
            <w:vAlign w:val="center"/>
          </w:tcPr>
          <w:p w:rsidR="00071E65" w:rsidRPr="00AD2501" w:rsidRDefault="00071E65" w:rsidP="00D73E98">
            <w:pPr>
              <w:pStyle w:val="Commentiriquadro"/>
              <w:rPr>
                <w:rFonts w:ascii="Arial" w:hAnsi="Arial" w:cs="Arial"/>
                <w:sz w:val="24"/>
                <w:szCs w:val="24"/>
              </w:rPr>
            </w:pPr>
            <w:r w:rsidRPr="007717B2">
              <w:t xml:space="preserve">Nel caso di utili e perdite derivanti da operazioni tra la partecipante (incluse le sue controllate consolidate) e una partecipata, la partecipante elimina nel proprio bilancio tali utili o perdita solo per la sua quota d’interessenza nella partecipata. </w:t>
            </w:r>
          </w:p>
        </w:tc>
        <w:tc>
          <w:tcPr>
            <w:tcW w:w="586" w:type="dxa"/>
            <w:tcMar>
              <w:left w:w="85" w:type="dxa"/>
              <w:right w:w="85" w:type="dxa"/>
            </w:tcMar>
            <w:vAlign w:val="center"/>
          </w:tcPr>
          <w:p w:rsidR="00071E65" w:rsidRPr="0029541C" w:rsidRDefault="00071E65" w:rsidP="00D73E98">
            <w:pPr>
              <w:jc w:val="center"/>
              <w:rPr>
                <w:lang w:val="it-IT"/>
              </w:rPr>
            </w:pPr>
          </w:p>
        </w:tc>
        <w:tc>
          <w:tcPr>
            <w:tcW w:w="573" w:type="dxa"/>
            <w:tcMar>
              <w:left w:w="108" w:type="dxa"/>
            </w:tcMar>
            <w:vAlign w:val="center"/>
          </w:tcPr>
          <w:p w:rsidR="00071E65" w:rsidRPr="0029541C" w:rsidRDefault="00071E65" w:rsidP="00D73E98">
            <w:pPr>
              <w:jc w:val="center"/>
              <w:rPr>
                <w:lang w:val="it-IT"/>
              </w:rPr>
            </w:pPr>
          </w:p>
        </w:tc>
        <w:tc>
          <w:tcPr>
            <w:tcW w:w="570" w:type="dxa"/>
            <w:tcMar>
              <w:left w:w="108" w:type="dxa"/>
            </w:tcMar>
            <w:vAlign w:val="center"/>
          </w:tcPr>
          <w:p w:rsidR="00071E65" w:rsidRPr="0029541C" w:rsidRDefault="00071E65" w:rsidP="00D73E98">
            <w:pPr>
              <w:jc w:val="center"/>
              <w:rPr>
                <w:lang w:val="it-IT"/>
              </w:rPr>
            </w:pPr>
          </w:p>
        </w:tc>
      </w:tr>
      <w:tr w:rsidR="00071E65" w:rsidRPr="00CC242B" w:rsidTr="00D73E98">
        <w:trPr>
          <w:cantSplit/>
          <w:trHeight w:val="20"/>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Pr="00CC1ACF" w:rsidRDefault="00071E65" w:rsidP="00D73E98">
            <w:pPr>
              <w:pStyle w:val="PrincCont"/>
              <w:jc w:val="left"/>
              <w:rPr>
                <w:lang w:val="it-IT"/>
              </w:rPr>
            </w:pPr>
          </w:p>
        </w:tc>
        <w:tc>
          <w:tcPr>
            <w:tcW w:w="7060" w:type="dxa"/>
            <w:tcMar>
              <w:left w:w="108" w:type="dxa"/>
            </w:tcMar>
            <w:vAlign w:val="center"/>
          </w:tcPr>
          <w:p w:rsidR="00071E65" w:rsidRPr="00DE5214" w:rsidRDefault="00071E65" w:rsidP="00D73E98">
            <w:pPr>
              <w:pStyle w:val="Titolo3"/>
              <w:rPr>
                <w:lang w:val="it-IT"/>
              </w:rPr>
            </w:pPr>
            <w:r w:rsidRPr="00DE5214">
              <w:rPr>
                <w:lang w:val="it-IT"/>
              </w:rPr>
              <w:t xml:space="preserve">Rilevazione negli esercizi successivi degli utili e delle perdite della partecipata e iscrizione della riserva </w:t>
            </w:r>
          </w:p>
        </w:tc>
        <w:tc>
          <w:tcPr>
            <w:tcW w:w="586" w:type="dxa"/>
            <w:tcMar>
              <w:left w:w="85" w:type="dxa"/>
              <w:right w:w="85" w:type="dxa"/>
            </w:tcMar>
            <w:vAlign w:val="center"/>
          </w:tcPr>
          <w:p w:rsidR="00071E65" w:rsidRPr="00A32A16" w:rsidRDefault="00071E65" w:rsidP="00D73E98">
            <w:pPr>
              <w:jc w:val="center"/>
              <w:rPr>
                <w:lang w:val="it-IT"/>
              </w:rPr>
            </w:pPr>
          </w:p>
        </w:tc>
        <w:tc>
          <w:tcPr>
            <w:tcW w:w="573" w:type="dxa"/>
            <w:tcMar>
              <w:left w:w="108" w:type="dxa"/>
            </w:tcMar>
            <w:vAlign w:val="center"/>
          </w:tcPr>
          <w:p w:rsidR="00071E65" w:rsidRPr="00A32A16" w:rsidRDefault="00071E65" w:rsidP="00D73E98">
            <w:pPr>
              <w:jc w:val="center"/>
              <w:rPr>
                <w:lang w:val="it-IT"/>
              </w:rPr>
            </w:pPr>
          </w:p>
        </w:tc>
        <w:tc>
          <w:tcPr>
            <w:tcW w:w="570" w:type="dxa"/>
            <w:tcMar>
              <w:left w:w="108" w:type="dxa"/>
            </w:tcMar>
            <w:vAlign w:val="center"/>
          </w:tcPr>
          <w:p w:rsidR="00071E65" w:rsidRPr="00A32A16" w:rsidRDefault="00071E65" w:rsidP="00D73E98">
            <w:pPr>
              <w:jc w:val="center"/>
              <w:rPr>
                <w:lang w:val="it-IT"/>
              </w:rPr>
            </w:pPr>
          </w:p>
        </w:tc>
      </w:tr>
      <w:tr w:rsidR="00071E65" w:rsidRPr="00CC1ACF" w:rsidTr="00D73E98">
        <w:trPr>
          <w:cantSplit/>
          <w:trHeight w:val="20"/>
        </w:trPr>
        <w:tc>
          <w:tcPr>
            <w:tcW w:w="680" w:type="dxa"/>
          </w:tcPr>
          <w:p w:rsidR="00071E65" w:rsidRPr="004C73AD" w:rsidRDefault="00071E65" w:rsidP="00D73E98">
            <w:pPr>
              <w:jc w:val="center"/>
              <w:rPr>
                <w:b/>
                <w:lang w:val="it-IT"/>
              </w:rPr>
            </w:pPr>
            <w:r w:rsidRPr="004C73AD">
              <w:rPr>
                <w:b/>
                <w:lang w:val="it-IT"/>
              </w:rPr>
              <w:t>1</w:t>
            </w:r>
            <w:r>
              <w:rPr>
                <w:b/>
                <w:lang w:val="it-IT"/>
              </w:rPr>
              <w:t>2</w:t>
            </w:r>
            <w:r w:rsidRPr="004C73AD">
              <w:rPr>
                <w:b/>
                <w:lang w:val="it-IT"/>
              </w:rPr>
              <w:t>)</w:t>
            </w:r>
          </w:p>
        </w:tc>
        <w:tc>
          <w:tcPr>
            <w:tcW w:w="851" w:type="dxa"/>
            <w:tcMar>
              <w:left w:w="108" w:type="dxa"/>
              <w:right w:w="0" w:type="dxa"/>
            </w:tcMar>
          </w:tcPr>
          <w:p w:rsidR="00071E65" w:rsidRPr="00CC1ACF" w:rsidRDefault="00071E65" w:rsidP="00D73E98">
            <w:pPr>
              <w:pStyle w:val="PrincCont"/>
              <w:jc w:val="left"/>
              <w:rPr>
                <w:lang w:val="it-IT"/>
              </w:rPr>
            </w:pPr>
            <w:r>
              <w:rPr>
                <w:lang w:val="it-IT"/>
              </w:rPr>
              <w:t>OIC 17.170</w:t>
            </w:r>
          </w:p>
        </w:tc>
        <w:tc>
          <w:tcPr>
            <w:tcW w:w="7060" w:type="dxa"/>
            <w:tcMar>
              <w:left w:w="108" w:type="dxa"/>
            </w:tcMar>
            <w:vAlign w:val="center"/>
          </w:tcPr>
          <w:p w:rsidR="00071E65" w:rsidRPr="00013836" w:rsidRDefault="00071E65" w:rsidP="00D73E98">
            <w:pPr>
              <w:spacing w:line="230" w:lineRule="exact"/>
              <w:rPr>
                <w:lang w:val="it-IT"/>
              </w:rPr>
            </w:pPr>
            <w:r w:rsidRPr="00013836">
              <w:rPr>
                <w:lang w:val="it-IT"/>
              </w:rPr>
              <w:t>L’utile o la perdita d’esercizio della partecipata, debitamente rettificato, è</w:t>
            </w:r>
            <w:r>
              <w:rPr>
                <w:lang w:val="it-IT"/>
              </w:rPr>
              <w:t xml:space="preserve"> stato</w:t>
            </w:r>
            <w:r w:rsidRPr="00013836">
              <w:rPr>
                <w:lang w:val="it-IT"/>
              </w:rPr>
              <w:t xml:space="preserve"> imputato nel conto economico della partecipante, per la quota di sua pertinenza, secondo il principio di competenza </w:t>
            </w:r>
            <w:r>
              <w:rPr>
                <w:lang w:val="it-IT"/>
              </w:rPr>
              <w:t>economica,quindi nello stesso esercizio al quale si riferisce?</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71E65" w:rsidRPr="00CC1ACF" w:rsidTr="00D73E98">
        <w:trPr>
          <w:cantSplit/>
          <w:trHeight w:val="20"/>
        </w:trPr>
        <w:tc>
          <w:tcPr>
            <w:tcW w:w="680" w:type="dxa"/>
          </w:tcPr>
          <w:p w:rsidR="00071E65" w:rsidRPr="004C73AD" w:rsidRDefault="00071E65" w:rsidP="00D73E98">
            <w:pPr>
              <w:jc w:val="center"/>
              <w:rPr>
                <w:b/>
                <w:lang w:val="it-IT"/>
              </w:rPr>
            </w:pPr>
            <w:r w:rsidRPr="004C73AD">
              <w:rPr>
                <w:b/>
                <w:lang w:val="it-IT"/>
              </w:rPr>
              <w:t>1</w:t>
            </w:r>
            <w:r>
              <w:rPr>
                <w:b/>
                <w:lang w:val="it-IT"/>
              </w:rPr>
              <w:t>3</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17.170</w:t>
            </w:r>
          </w:p>
        </w:tc>
        <w:tc>
          <w:tcPr>
            <w:tcW w:w="7060" w:type="dxa"/>
            <w:tcMar>
              <w:left w:w="108" w:type="dxa"/>
            </w:tcMar>
            <w:vAlign w:val="center"/>
          </w:tcPr>
          <w:p w:rsidR="00071E65" w:rsidRPr="00293B7D" w:rsidRDefault="00071E65" w:rsidP="00D73E98">
            <w:pPr>
              <w:spacing w:line="230" w:lineRule="exact"/>
              <w:rPr>
                <w:lang w:val="it-IT"/>
              </w:rPr>
            </w:pPr>
            <w:r w:rsidRPr="00293B7D">
              <w:rPr>
                <w:lang w:val="it-IT"/>
              </w:rPr>
              <w:t xml:space="preserve">L’utile è stato rilevato nella voce D18a) “rivalutazioni di partecipazioni” </w:t>
            </w:r>
            <w:r>
              <w:rPr>
                <w:lang w:val="it-IT"/>
              </w:rPr>
              <w:t xml:space="preserve">con </w:t>
            </w:r>
            <w:r w:rsidRPr="00293B7D">
              <w:rPr>
                <w:lang w:val="it-IT"/>
              </w:rPr>
              <w:t>contropartita l’incremento nello stato patrimoniale della voce BIII1a) “partecipazioni in imprese controllate” oppure della voce BIII1b) “partecipazioni in imprese collegate”?</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71E65" w:rsidRPr="00CC1ACF" w:rsidTr="00D73E98">
        <w:trPr>
          <w:cantSplit/>
          <w:trHeight w:val="20"/>
        </w:trPr>
        <w:tc>
          <w:tcPr>
            <w:tcW w:w="680" w:type="dxa"/>
          </w:tcPr>
          <w:p w:rsidR="00071E65" w:rsidRPr="004C73AD" w:rsidRDefault="00071E65" w:rsidP="00D73E98">
            <w:pPr>
              <w:jc w:val="center"/>
              <w:rPr>
                <w:b/>
                <w:lang w:val="it-IT"/>
              </w:rPr>
            </w:pPr>
            <w:r w:rsidRPr="004C73AD">
              <w:rPr>
                <w:b/>
                <w:lang w:val="it-IT"/>
              </w:rPr>
              <w:t>1</w:t>
            </w:r>
            <w:r>
              <w:rPr>
                <w:b/>
                <w:lang w:val="it-IT"/>
              </w:rPr>
              <w:t>4</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17.170</w:t>
            </w:r>
          </w:p>
        </w:tc>
        <w:tc>
          <w:tcPr>
            <w:tcW w:w="7060" w:type="dxa"/>
            <w:tcMar>
              <w:left w:w="108" w:type="dxa"/>
            </w:tcMar>
            <w:vAlign w:val="center"/>
          </w:tcPr>
          <w:p w:rsidR="00071E65" w:rsidRPr="00293B7D" w:rsidRDefault="00071E65" w:rsidP="00D73E98">
            <w:pPr>
              <w:spacing w:line="230" w:lineRule="exact"/>
              <w:rPr>
                <w:lang w:val="it-IT"/>
              </w:rPr>
            </w:pPr>
            <w:r w:rsidRPr="00293B7D">
              <w:rPr>
                <w:lang w:val="it-IT"/>
              </w:rPr>
              <w:t>La perdita è stata rilevata nella voce D19a) “svalutazioni di partecipazioni” comporta</w:t>
            </w:r>
            <w:r>
              <w:rPr>
                <w:lang w:val="it-IT"/>
              </w:rPr>
              <w:t>ndo</w:t>
            </w:r>
            <w:r w:rsidRPr="00293B7D">
              <w:rPr>
                <w:lang w:val="it-IT"/>
              </w:rPr>
              <w:t xml:space="preserve"> una riduzione delle voci delle partecipazioni iscritte nell’attivo immobilizzato? </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r w:rsidR="00071E65" w:rsidRPr="00CA2F4E" w:rsidTr="00D73E98">
        <w:trPr>
          <w:cantSplit/>
          <w:trHeight w:val="20"/>
        </w:trPr>
        <w:tc>
          <w:tcPr>
            <w:tcW w:w="680" w:type="dxa"/>
          </w:tcPr>
          <w:p w:rsidR="00071E65" w:rsidRPr="004C73AD" w:rsidRDefault="00071E65" w:rsidP="00D73E98">
            <w:pPr>
              <w:jc w:val="center"/>
              <w:rPr>
                <w:b/>
                <w:lang w:val="it-IT"/>
              </w:rPr>
            </w:pPr>
            <w:r>
              <w:rPr>
                <w:b/>
                <w:lang w:val="it-IT"/>
              </w:rPr>
              <w:t>15)</w:t>
            </w:r>
          </w:p>
        </w:tc>
        <w:tc>
          <w:tcPr>
            <w:tcW w:w="851" w:type="dxa"/>
            <w:tcMar>
              <w:left w:w="108" w:type="dxa"/>
              <w:right w:w="0" w:type="dxa"/>
            </w:tcMar>
          </w:tcPr>
          <w:p w:rsidR="00071E65" w:rsidRDefault="00071E65" w:rsidP="00D73E98">
            <w:pPr>
              <w:pStyle w:val="PrincCont"/>
              <w:jc w:val="left"/>
              <w:rPr>
                <w:lang w:val="it-IT"/>
              </w:rPr>
            </w:pPr>
            <w:r>
              <w:rPr>
                <w:lang w:val="it-IT"/>
              </w:rPr>
              <w:t xml:space="preserve">Art. 2426, c.1, n.4 </w:t>
            </w:r>
          </w:p>
          <w:p w:rsidR="00071E65" w:rsidRDefault="00071E65" w:rsidP="00D73E98">
            <w:pPr>
              <w:pStyle w:val="PrincCont"/>
              <w:jc w:val="left"/>
              <w:rPr>
                <w:lang w:val="it-IT"/>
              </w:rPr>
            </w:pPr>
            <w:r>
              <w:rPr>
                <w:lang w:val="it-IT"/>
              </w:rPr>
              <w:t>OIC17.171</w:t>
            </w:r>
          </w:p>
        </w:tc>
        <w:tc>
          <w:tcPr>
            <w:tcW w:w="7060" w:type="dxa"/>
            <w:tcMar>
              <w:left w:w="108" w:type="dxa"/>
            </w:tcMar>
            <w:vAlign w:val="center"/>
          </w:tcPr>
          <w:p w:rsidR="00071E65" w:rsidRPr="00293B7D" w:rsidRDefault="00071E65" w:rsidP="00D73E98">
            <w:pPr>
              <w:spacing w:line="230" w:lineRule="exact"/>
              <w:rPr>
                <w:lang w:val="it-IT"/>
              </w:rPr>
            </w:pPr>
            <w:r>
              <w:rPr>
                <w:lang w:val="it-IT"/>
              </w:rPr>
              <w:t>N</w:t>
            </w:r>
            <w:r w:rsidRPr="00CA2F4E">
              <w:rPr>
                <w:lang w:val="it-IT"/>
              </w:rPr>
              <w:t>egli esercizi successivi le</w:t>
            </w:r>
            <w:r>
              <w:rPr>
                <w:lang w:val="it-IT"/>
              </w:rPr>
              <w:t xml:space="preserve"> </w:t>
            </w:r>
            <w:r w:rsidRPr="00CA2F4E">
              <w:rPr>
                <w:lang w:val="it-IT"/>
              </w:rPr>
              <w:t>plusvalenze, derivanti dall’applicazione del metodo del patrimonio netto, rispetto al valore</w:t>
            </w:r>
            <w:r>
              <w:rPr>
                <w:lang w:val="it-IT"/>
              </w:rPr>
              <w:t xml:space="preserve"> </w:t>
            </w:r>
            <w:r w:rsidRPr="00CA2F4E">
              <w:rPr>
                <w:lang w:val="it-IT"/>
              </w:rPr>
              <w:t>indicato nel bilancio dell’esercizio precedente sono iscritte in una riserva non distribuibile</w:t>
            </w:r>
            <w:r>
              <w:rPr>
                <w:lang w:val="it-IT"/>
              </w:rPr>
              <w:t xml:space="preserve">? </w:t>
            </w:r>
          </w:p>
        </w:tc>
        <w:tc>
          <w:tcPr>
            <w:tcW w:w="586" w:type="dxa"/>
            <w:tcMar>
              <w:left w:w="85" w:type="dxa"/>
              <w:right w:w="85" w:type="dxa"/>
            </w:tcMar>
            <w:vAlign w:val="center"/>
          </w:tcPr>
          <w:p w:rsidR="00071E65" w:rsidRPr="00CA2F4E"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CA2F4E"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CA2F4E"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r w:rsidR="00071E65" w:rsidRPr="00CC242B" w:rsidTr="00D73E98">
        <w:trPr>
          <w:cantSplit/>
          <w:trHeight w:val="20"/>
        </w:trPr>
        <w:tc>
          <w:tcPr>
            <w:tcW w:w="680" w:type="dxa"/>
          </w:tcPr>
          <w:p w:rsidR="00071E65" w:rsidRPr="004C73AD" w:rsidRDefault="00071E65" w:rsidP="00D73E98">
            <w:pPr>
              <w:pageBreakBefore/>
              <w:jc w:val="center"/>
              <w:rPr>
                <w:b/>
                <w:lang w:val="it-IT"/>
              </w:rPr>
            </w:pPr>
          </w:p>
        </w:tc>
        <w:tc>
          <w:tcPr>
            <w:tcW w:w="851" w:type="dxa"/>
            <w:tcMar>
              <w:left w:w="108" w:type="dxa"/>
              <w:right w:w="0" w:type="dxa"/>
            </w:tcMar>
          </w:tcPr>
          <w:p w:rsidR="00071E65" w:rsidRDefault="00071E65" w:rsidP="00D73E98">
            <w:pPr>
              <w:pStyle w:val="PrincCont"/>
              <w:pageBreakBefore/>
              <w:jc w:val="left"/>
              <w:rPr>
                <w:lang w:val="it-IT"/>
              </w:rPr>
            </w:pPr>
          </w:p>
        </w:tc>
        <w:tc>
          <w:tcPr>
            <w:tcW w:w="7060" w:type="dxa"/>
            <w:tcMar>
              <w:left w:w="108" w:type="dxa"/>
            </w:tcMar>
            <w:vAlign w:val="center"/>
          </w:tcPr>
          <w:p w:rsidR="00071E65" w:rsidRPr="00DE5214" w:rsidRDefault="00071E65" w:rsidP="00D73E98">
            <w:pPr>
              <w:pStyle w:val="Titolo3"/>
              <w:keepNext w:val="0"/>
              <w:pageBreakBefore/>
              <w:rPr>
                <w:lang w:val="it-IT"/>
              </w:rPr>
            </w:pPr>
            <w:r w:rsidRPr="00DE5214">
              <w:rPr>
                <w:lang w:val="it-IT"/>
              </w:rPr>
              <w:t>Perdite che eccedono il valore della partecipazione e perdite durevoli di valore</w:t>
            </w:r>
          </w:p>
        </w:tc>
        <w:tc>
          <w:tcPr>
            <w:tcW w:w="586" w:type="dxa"/>
            <w:tcMar>
              <w:left w:w="85" w:type="dxa"/>
              <w:right w:w="85" w:type="dxa"/>
            </w:tcMar>
            <w:vAlign w:val="center"/>
          </w:tcPr>
          <w:p w:rsidR="00071E65" w:rsidRPr="00013836" w:rsidRDefault="00071E65" w:rsidP="00D73E98">
            <w:pPr>
              <w:pageBreakBefore/>
              <w:jc w:val="center"/>
              <w:rPr>
                <w:lang w:val="it-IT"/>
              </w:rPr>
            </w:pPr>
          </w:p>
        </w:tc>
        <w:tc>
          <w:tcPr>
            <w:tcW w:w="573" w:type="dxa"/>
            <w:tcMar>
              <w:left w:w="108" w:type="dxa"/>
            </w:tcMar>
            <w:vAlign w:val="center"/>
          </w:tcPr>
          <w:p w:rsidR="00071E65" w:rsidRPr="00013836" w:rsidRDefault="00071E65" w:rsidP="00D73E98">
            <w:pPr>
              <w:pageBreakBefore/>
              <w:jc w:val="center"/>
              <w:rPr>
                <w:lang w:val="it-IT"/>
              </w:rPr>
            </w:pPr>
          </w:p>
        </w:tc>
        <w:tc>
          <w:tcPr>
            <w:tcW w:w="570" w:type="dxa"/>
            <w:tcMar>
              <w:left w:w="108" w:type="dxa"/>
            </w:tcMar>
            <w:vAlign w:val="center"/>
          </w:tcPr>
          <w:p w:rsidR="00071E65" w:rsidRPr="00013836" w:rsidRDefault="00071E65" w:rsidP="00D73E98">
            <w:pPr>
              <w:pageBreakBefore/>
              <w:jc w:val="center"/>
              <w:rPr>
                <w:lang w:val="it-IT"/>
              </w:rPr>
            </w:pPr>
          </w:p>
        </w:tc>
      </w:tr>
      <w:tr w:rsidR="00071E65" w:rsidRPr="006F41B9" w:rsidTr="00D73E98">
        <w:trPr>
          <w:cantSplit/>
          <w:trHeight w:val="492"/>
        </w:trPr>
        <w:tc>
          <w:tcPr>
            <w:tcW w:w="680" w:type="dxa"/>
          </w:tcPr>
          <w:p w:rsidR="00071E65" w:rsidRPr="004C73AD" w:rsidRDefault="00071E65" w:rsidP="00D73E98">
            <w:pPr>
              <w:jc w:val="center"/>
              <w:rPr>
                <w:b/>
                <w:lang w:val="it-IT"/>
              </w:rPr>
            </w:pPr>
            <w:r w:rsidRPr="004C73AD">
              <w:rPr>
                <w:b/>
                <w:lang w:val="it-IT"/>
              </w:rPr>
              <w:t>1</w:t>
            </w:r>
            <w:r>
              <w:rPr>
                <w:b/>
                <w:lang w:val="it-IT"/>
              </w:rPr>
              <w:t>6</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17.172</w:t>
            </w:r>
          </w:p>
        </w:tc>
        <w:tc>
          <w:tcPr>
            <w:tcW w:w="7060" w:type="dxa"/>
            <w:tcMar>
              <w:left w:w="108" w:type="dxa"/>
            </w:tcMar>
            <w:vAlign w:val="center"/>
          </w:tcPr>
          <w:p w:rsidR="00071E65" w:rsidRPr="00DD3FEC" w:rsidRDefault="00071E65" w:rsidP="00D73E98">
            <w:pPr>
              <w:rPr>
                <w:lang w:val="it-IT"/>
              </w:rPr>
            </w:pPr>
            <w:r>
              <w:rPr>
                <w:lang w:val="it-IT"/>
              </w:rPr>
              <w:t>Se, per effetto di perdite, il valore della partecipazione diventa negativo, la partecipazione è stata azzerata?</w:t>
            </w:r>
          </w:p>
        </w:tc>
        <w:tc>
          <w:tcPr>
            <w:tcW w:w="586" w:type="dxa"/>
            <w:tcMar>
              <w:left w:w="85" w:type="dxa"/>
              <w:right w:w="85" w:type="dxa"/>
            </w:tcMar>
            <w:vAlign w:val="center"/>
          </w:tcPr>
          <w:p w:rsidR="00071E65" w:rsidRPr="006F41B9"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6F41B9"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6F41B9"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r w:rsidR="00071E65" w:rsidRPr="00CC1ACF" w:rsidTr="00D73E98">
        <w:trPr>
          <w:cantSplit/>
          <w:trHeight w:val="492"/>
        </w:trPr>
        <w:tc>
          <w:tcPr>
            <w:tcW w:w="680" w:type="dxa"/>
          </w:tcPr>
          <w:p w:rsidR="00071E65" w:rsidRPr="004C73AD" w:rsidRDefault="00071E65" w:rsidP="00D73E98">
            <w:pPr>
              <w:jc w:val="center"/>
              <w:rPr>
                <w:b/>
                <w:lang w:val="it-IT"/>
              </w:rPr>
            </w:pPr>
            <w:r w:rsidRPr="004C73AD">
              <w:rPr>
                <w:b/>
                <w:lang w:val="it-IT"/>
              </w:rPr>
              <w:t>1</w:t>
            </w:r>
            <w:r>
              <w:rPr>
                <w:b/>
                <w:lang w:val="it-IT"/>
              </w:rPr>
              <w:t>7</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17.172</w:t>
            </w:r>
          </w:p>
        </w:tc>
        <w:tc>
          <w:tcPr>
            <w:tcW w:w="7060" w:type="dxa"/>
            <w:tcMar>
              <w:left w:w="108" w:type="dxa"/>
            </w:tcMar>
            <w:vAlign w:val="center"/>
          </w:tcPr>
          <w:p w:rsidR="00071E65" w:rsidRPr="00DD3FEC" w:rsidRDefault="00071E65" w:rsidP="00D73E98">
            <w:pPr>
              <w:rPr>
                <w:lang w:val="it-IT"/>
              </w:rPr>
            </w:pPr>
            <w:r w:rsidRPr="00DD3FEC">
              <w:rPr>
                <w:lang w:val="it-IT"/>
              </w:rPr>
              <w:t>Se la partecipante è legalmente o altrimenti impegnata al sostenimento</w:t>
            </w:r>
            <w:r>
              <w:rPr>
                <w:lang w:val="it-IT"/>
              </w:rPr>
              <w:t xml:space="preserve"> </w:t>
            </w:r>
            <w:r w:rsidRPr="00DD3FEC">
              <w:rPr>
                <w:lang w:val="it-IT"/>
              </w:rPr>
              <w:t>della partecipata, le perdite ulteriori rispetto a quelle che hanno comportato l’azzeramento della</w:t>
            </w:r>
            <w:r>
              <w:rPr>
                <w:lang w:val="it-IT"/>
              </w:rPr>
              <w:t xml:space="preserve"> </w:t>
            </w:r>
            <w:r w:rsidRPr="00DD3FEC">
              <w:rPr>
                <w:lang w:val="it-IT"/>
              </w:rPr>
              <w:t xml:space="preserve">partecipazione sono </w:t>
            </w:r>
            <w:r>
              <w:rPr>
                <w:lang w:val="it-IT"/>
              </w:rPr>
              <w:t xml:space="preserve">state </w:t>
            </w:r>
            <w:r w:rsidRPr="00DD3FEC">
              <w:rPr>
                <w:lang w:val="it-IT"/>
              </w:rPr>
              <w:t>contabilizzate i</w:t>
            </w:r>
            <w:r>
              <w:rPr>
                <w:lang w:val="it-IT"/>
              </w:rPr>
              <w:t>n un fondo per rischi ed oneri?</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r w:rsidR="00071E65" w:rsidRPr="00CC1ACF" w:rsidTr="00D73E98">
        <w:trPr>
          <w:cantSplit/>
          <w:trHeight w:val="492"/>
        </w:trPr>
        <w:tc>
          <w:tcPr>
            <w:tcW w:w="680" w:type="dxa"/>
          </w:tcPr>
          <w:p w:rsidR="00071E65" w:rsidRPr="004C73AD" w:rsidRDefault="00071E65" w:rsidP="00D73E98">
            <w:pPr>
              <w:jc w:val="center"/>
              <w:rPr>
                <w:b/>
                <w:lang w:val="it-IT"/>
              </w:rPr>
            </w:pPr>
            <w:r w:rsidRPr="004C73AD">
              <w:rPr>
                <w:b/>
                <w:lang w:val="it-IT"/>
              </w:rPr>
              <w:t>1</w:t>
            </w:r>
            <w:r>
              <w:rPr>
                <w:b/>
                <w:lang w:val="it-IT"/>
              </w:rPr>
              <w:t>8</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17.173</w:t>
            </w:r>
          </w:p>
        </w:tc>
        <w:tc>
          <w:tcPr>
            <w:tcW w:w="7060" w:type="dxa"/>
            <w:tcMar>
              <w:left w:w="108" w:type="dxa"/>
            </w:tcMar>
            <w:vAlign w:val="center"/>
          </w:tcPr>
          <w:p w:rsidR="00071E65" w:rsidRPr="00DD3FEC" w:rsidRDefault="00071E65" w:rsidP="00D73E98">
            <w:pPr>
              <w:rPr>
                <w:lang w:val="it-IT"/>
              </w:rPr>
            </w:pPr>
            <w:r>
              <w:rPr>
                <w:lang w:val="it-IT"/>
              </w:rPr>
              <w:t>I</w:t>
            </w:r>
            <w:r w:rsidRPr="00DD3FEC">
              <w:rPr>
                <w:lang w:val="it-IT"/>
              </w:rPr>
              <w:t>n presenza di perdite durevoli di valore, determinate ai sensi di quanto disposto dall’OIC 21,</w:t>
            </w:r>
            <w:r>
              <w:rPr>
                <w:lang w:val="it-IT"/>
              </w:rPr>
              <w:t xml:space="preserve"> la partecipazione è conseguentemente stata svalutata?</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r w:rsidR="00071E65" w:rsidRPr="00CC242B" w:rsidTr="00D73E98">
        <w:trPr>
          <w:cantSplit/>
          <w:trHeight w:val="492"/>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r>
              <w:rPr>
                <w:lang w:val="it-IT"/>
              </w:rPr>
              <w:t>OIC 17.173</w:t>
            </w:r>
          </w:p>
        </w:tc>
        <w:tc>
          <w:tcPr>
            <w:tcW w:w="7060" w:type="dxa"/>
            <w:tcMar>
              <w:left w:w="108" w:type="dxa"/>
            </w:tcMar>
            <w:vAlign w:val="center"/>
          </w:tcPr>
          <w:p w:rsidR="00071E65" w:rsidRPr="006E4FC2" w:rsidRDefault="00071E65" w:rsidP="00D73E98">
            <w:pPr>
              <w:pStyle w:val="Commentiriquadro"/>
            </w:pPr>
            <w:r w:rsidRPr="000960EC">
              <w:t>In presenza di perdite durevoli di valore, la partecipazione viene svalutata anche nei casi in cui ciò comporti la necessità di iscrivere la partecipazione stessa ad un importo inferiore a quello determinato applicando il metodo del patrimonio netto. Ciò si verifica quando la perdita di valore sia causata da fattori che non trovano riflesso immediato nei risultati negativi della partecipata.</w:t>
            </w:r>
          </w:p>
        </w:tc>
        <w:tc>
          <w:tcPr>
            <w:tcW w:w="586" w:type="dxa"/>
            <w:tcMar>
              <w:left w:w="85" w:type="dxa"/>
              <w:right w:w="85" w:type="dxa"/>
            </w:tcMar>
            <w:vAlign w:val="center"/>
          </w:tcPr>
          <w:p w:rsidR="00071E65" w:rsidRPr="000960EC" w:rsidRDefault="00071E65" w:rsidP="00D73E98">
            <w:pPr>
              <w:jc w:val="center"/>
              <w:rPr>
                <w:lang w:val="it-IT"/>
              </w:rPr>
            </w:pPr>
          </w:p>
        </w:tc>
        <w:tc>
          <w:tcPr>
            <w:tcW w:w="573" w:type="dxa"/>
            <w:tcMar>
              <w:left w:w="108" w:type="dxa"/>
            </w:tcMar>
            <w:vAlign w:val="center"/>
          </w:tcPr>
          <w:p w:rsidR="00071E65" w:rsidRPr="000960EC" w:rsidRDefault="00071E65" w:rsidP="00D73E98">
            <w:pPr>
              <w:jc w:val="center"/>
              <w:rPr>
                <w:lang w:val="it-IT"/>
              </w:rPr>
            </w:pPr>
          </w:p>
        </w:tc>
        <w:tc>
          <w:tcPr>
            <w:tcW w:w="570" w:type="dxa"/>
            <w:tcMar>
              <w:left w:w="108" w:type="dxa"/>
            </w:tcMar>
            <w:vAlign w:val="center"/>
          </w:tcPr>
          <w:p w:rsidR="00071E65" w:rsidRPr="000960EC" w:rsidRDefault="00071E65" w:rsidP="00D73E98">
            <w:pPr>
              <w:jc w:val="center"/>
              <w:rPr>
                <w:lang w:val="it-IT"/>
              </w:rPr>
            </w:pPr>
          </w:p>
        </w:tc>
      </w:tr>
      <w:tr w:rsidR="00071E65" w:rsidRPr="00CC1ACF" w:rsidTr="00D73E98">
        <w:trPr>
          <w:cantSplit/>
          <w:trHeight w:val="492"/>
        </w:trPr>
        <w:tc>
          <w:tcPr>
            <w:tcW w:w="680" w:type="dxa"/>
          </w:tcPr>
          <w:p w:rsidR="00071E65" w:rsidRPr="004C73AD" w:rsidRDefault="00071E65" w:rsidP="00D73E98">
            <w:pPr>
              <w:jc w:val="center"/>
              <w:rPr>
                <w:b/>
                <w:lang w:val="it-IT"/>
              </w:rPr>
            </w:pPr>
            <w:r w:rsidRPr="004C73AD">
              <w:rPr>
                <w:b/>
                <w:lang w:val="it-IT"/>
              </w:rPr>
              <w:t>1</w:t>
            </w:r>
            <w:r>
              <w:rPr>
                <w:b/>
                <w:lang w:val="it-IT"/>
              </w:rPr>
              <w:t>9</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17.174</w:t>
            </w:r>
          </w:p>
        </w:tc>
        <w:tc>
          <w:tcPr>
            <w:tcW w:w="7060" w:type="dxa"/>
            <w:tcMar>
              <w:left w:w="108" w:type="dxa"/>
            </w:tcMar>
            <w:vAlign w:val="center"/>
          </w:tcPr>
          <w:p w:rsidR="00071E65" w:rsidRPr="00DD3FEC" w:rsidRDefault="00071E65" w:rsidP="00D73E98">
            <w:pPr>
              <w:spacing w:line="230" w:lineRule="exact"/>
              <w:rPr>
                <w:lang w:val="it-IT"/>
              </w:rPr>
            </w:pPr>
            <w:r>
              <w:rPr>
                <w:lang w:val="it-IT"/>
              </w:rPr>
              <w:t>In presenza di più partecipazioni, il metodo del patrimonio netto è stato applicato alla singola partecipazione e non su base aggregata?</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r w:rsidR="00071E65" w:rsidRPr="00CC242B" w:rsidTr="00D73E98">
        <w:trPr>
          <w:cantSplit/>
          <w:trHeight w:val="360"/>
        </w:trPr>
        <w:tc>
          <w:tcPr>
            <w:tcW w:w="680" w:type="dxa"/>
          </w:tcPr>
          <w:p w:rsidR="00071E65" w:rsidRPr="004C73AD" w:rsidRDefault="00071E65" w:rsidP="00D73E98">
            <w:pPr>
              <w:rPr>
                <w:b/>
                <w:lang w:val="it-IT"/>
              </w:rPr>
            </w:pPr>
          </w:p>
        </w:tc>
        <w:tc>
          <w:tcPr>
            <w:tcW w:w="851" w:type="dxa"/>
            <w:tcMar>
              <w:left w:w="108" w:type="dxa"/>
              <w:right w:w="0" w:type="dxa"/>
            </w:tcMar>
          </w:tcPr>
          <w:p w:rsidR="00071E65" w:rsidRDefault="00071E65" w:rsidP="00D73E98">
            <w:pPr>
              <w:pStyle w:val="PrincCont"/>
              <w:jc w:val="left"/>
              <w:rPr>
                <w:lang w:val="it-IT"/>
              </w:rPr>
            </w:pPr>
          </w:p>
        </w:tc>
        <w:tc>
          <w:tcPr>
            <w:tcW w:w="7060" w:type="dxa"/>
            <w:tcMar>
              <w:left w:w="108" w:type="dxa"/>
            </w:tcMar>
            <w:vAlign w:val="center"/>
          </w:tcPr>
          <w:p w:rsidR="00071E65" w:rsidRPr="00DE5214" w:rsidRDefault="00071E65" w:rsidP="00D73E98">
            <w:pPr>
              <w:pStyle w:val="Titolo3"/>
              <w:rPr>
                <w:lang w:val="it-IT"/>
              </w:rPr>
            </w:pPr>
            <w:r w:rsidRPr="00DE5214">
              <w:rPr>
                <w:lang w:val="it-IT"/>
              </w:rPr>
              <w:t>Variazioni del patrimonio netto della partecipata che non hanno concorso alla formazione del risultato economico dell’esercizio</w:t>
            </w:r>
          </w:p>
        </w:tc>
        <w:tc>
          <w:tcPr>
            <w:tcW w:w="586" w:type="dxa"/>
            <w:tcMar>
              <w:left w:w="85" w:type="dxa"/>
              <w:right w:w="85" w:type="dxa"/>
            </w:tcMar>
            <w:vAlign w:val="center"/>
          </w:tcPr>
          <w:p w:rsidR="00071E65" w:rsidRPr="00013836" w:rsidRDefault="00071E65" w:rsidP="00D73E98">
            <w:pPr>
              <w:rPr>
                <w:lang w:val="it-IT"/>
              </w:rPr>
            </w:pPr>
          </w:p>
        </w:tc>
        <w:tc>
          <w:tcPr>
            <w:tcW w:w="573" w:type="dxa"/>
            <w:tcMar>
              <w:left w:w="108" w:type="dxa"/>
            </w:tcMar>
            <w:vAlign w:val="center"/>
          </w:tcPr>
          <w:p w:rsidR="00071E65" w:rsidRPr="00013836" w:rsidRDefault="00071E65" w:rsidP="00D73E98">
            <w:pPr>
              <w:jc w:val="center"/>
              <w:rPr>
                <w:lang w:val="it-IT"/>
              </w:rPr>
            </w:pPr>
          </w:p>
        </w:tc>
        <w:tc>
          <w:tcPr>
            <w:tcW w:w="570" w:type="dxa"/>
            <w:tcMar>
              <w:left w:w="108" w:type="dxa"/>
            </w:tcMar>
            <w:vAlign w:val="center"/>
          </w:tcPr>
          <w:p w:rsidR="00071E65" w:rsidRPr="00013836" w:rsidRDefault="00071E65" w:rsidP="00D73E98">
            <w:pPr>
              <w:jc w:val="center"/>
              <w:rPr>
                <w:lang w:val="it-IT"/>
              </w:rPr>
            </w:pPr>
          </w:p>
        </w:tc>
      </w:tr>
      <w:tr w:rsidR="00071E65" w:rsidRPr="00E168E5" w:rsidTr="00D73E98">
        <w:trPr>
          <w:cantSplit/>
          <w:trHeight w:val="360"/>
        </w:trPr>
        <w:tc>
          <w:tcPr>
            <w:tcW w:w="680" w:type="dxa"/>
          </w:tcPr>
          <w:p w:rsidR="00071E65" w:rsidRPr="004C73AD" w:rsidRDefault="00071E65" w:rsidP="00D73E98">
            <w:pPr>
              <w:jc w:val="center"/>
              <w:rPr>
                <w:b/>
                <w:lang w:val="it-IT"/>
              </w:rPr>
            </w:pPr>
            <w:r>
              <w:rPr>
                <w:b/>
                <w:lang w:val="it-IT"/>
              </w:rPr>
              <w:t>20</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17.175</w:t>
            </w:r>
          </w:p>
        </w:tc>
        <w:tc>
          <w:tcPr>
            <w:tcW w:w="7060" w:type="dxa"/>
            <w:tcMar>
              <w:left w:w="108" w:type="dxa"/>
            </w:tcMar>
            <w:vAlign w:val="center"/>
          </w:tcPr>
          <w:p w:rsidR="00071E65" w:rsidRPr="00B259E6" w:rsidRDefault="00071E65" w:rsidP="00D73E98">
            <w:pPr>
              <w:rPr>
                <w:lang w:val="it-IT"/>
              </w:rPr>
            </w:pPr>
            <w:r w:rsidRPr="00E168E5">
              <w:rPr>
                <w:lang w:val="it-IT"/>
              </w:rPr>
              <w:t>Se il patrimonio netto della partecipata è aumentato, in conseguenza di rivalutazione monetaria disposta in forza di leggi speciali,</w:t>
            </w:r>
            <w:r w:rsidRPr="005B397F">
              <w:rPr>
                <w:lang w:val="it-IT"/>
              </w:rPr>
              <w:t xml:space="preserve"> della movimentazione della riserva per operazioni di copertura di flussi finanziari attesi</w:t>
            </w:r>
            <w:r>
              <w:rPr>
                <w:lang w:val="it-IT"/>
              </w:rPr>
              <w:t xml:space="preserve"> </w:t>
            </w:r>
            <w:r w:rsidRPr="005B397F">
              <w:rPr>
                <w:lang w:val="it-IT"/>
              </w:rPr>
              <w:t>(disciplinata dall’OIC 32),</w:t>
            </w:r>
            <w:r w:rsidRPr="00E168E5">
              <w:rPr>
                <w:lang w:val="it-IT"/>
              </w:rPr>
              <w:t xml:space="preserve"> o diminuito, per riduzione del capitale sociale o distribuzione di riserve, è stato rispettivamente aumentato o ridotto in misura corrispondente nello stato patrimoniale della partecipante il valore della partecipazione e quello della riserva indistribuibile?</w:t>
            </w:r>
          </w:p>
        </w:tc>
        <w:tc>
          <w:tcPr>
            <w:tcW w:w="586" w:type="dxa"/>
            <w:tcMar>
              <w:left w:w="85" w:type="dxa"/>
              <w:right w:w="85" w:type="dxa"/>
            </w:tcMar>
            <w:vAlign w:val="center"/>
          </w:tcPr>
          <w:p w:rsidR="00071E65" w:rsidRPr="00013836" w:rsidRDefault="00071E65" w:rsidP="00D73E98">
            <w:pP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01383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01383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r w:rsidR="00071E65" w:rsidRPr="00E168E5" w:rsidTr="00D73E98">
        <w:trPr>
          <w:cantSplit/>
          <w:trHeight w:val="360"/>
        </w:trPr>
        <w:tc>
          <w:tcPr>
            <w:tcW w:w="680" w:type="dxa"/>
          </w:tcPr>
          <w:p w:rsidR="00071E65" w:rsidRPr="004C73AD" w:rsidRDefault="00071E65" w:rsidP="00D73E98">
            <w:pPr>
              <w:jc w:val="center"/>
              <w:rPr>
                <w:b/>
                <w:lang w:val="it-IT"/>
              </w:rPr>
            </w:pPr>
            <w:r>
              <w:rPr>
                <w:b/>
                <w:lang w:val="it-IT"/>
              </w:rPr>
              <w:t>21</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17.175</w:t>
            </w:r>
          </w:p>
        </w:tc>
        <w:tc>
          <w:tcPr>
            <w:tcW w:w="7060" w:type="dxa"/>
            <w:tcMar>
              <w:left w:w="108" w:type="dxa"/>
            </w:tcMar>
            <w:vAlign w:val="center"/>
          </w:tcPr>
          <w:p w:rsidR="00071E65" w:rsidRPr="00B259E6" w:rsidRDefault="00071E65" w:rsidP="00D73E98">
            <w:pPr>
              <w:rPr>
                <w:lang w:val="it-IT"/>
              </w:rPr>
            </w:pPr>
            <w:r w:rsidRPr="007717B2">
              <w:rPr>
                <w:lang w:val="it-IT"/>
              </w:rPr>
              <w:t>Tali variazioni</w:t>
            </w:r>
            <w:r>
              <w:rPr>
                <w:lang w:val="it-IT"/>
              </w:rPr>
              <w:t>, in accordo con il principio di riferimento,</w:t>
            </w:r>
            <w:r w:rsidRPr="007717B2">
              <w:rPr>
                <w:lang w:val="it-IT"/>
              </w:rPr>
              <w:t xml:space="preserve"> non sono </w:t>
            </w:r>
            <w:r>
              <w:rPr>
                <w:lang w:val="it-IT"/>
              </w:rPr>
              <w:t xml:space="preserve">state </w:t>
            </w:r>
            <w:r w:rsidRPr="007717B2">
              <w:rPr>
                <w:lang w:val="it-IT"/>
              </w:rPr>
              <w:t>imputate nel conto economico della partecipante</w:t>
            </w:r>
            <w:r>
              <w:rPr>
                <w:lang w:val="it-IT"/>
              </w:rPr>
              <w:t>?</w:t>
            </w:r>
          </w:p>
        </w:tc>
        <w:tc>
          <w:tcPr>
            <w:tcW w:w="586" w:type="dxa"/>
            <w:tcMar>
              <w:left w:w="85" w:type="dxa"/>
              <w:right w:w="85" w:type="dxa"/>
            </w:tcMar>
            <w:vAlign w:val="center"/>
          </w:tcPr>
          <w:p w:rsidR="00071E65" w:rsidRPr="00013836" w:rsidRDefault="00071E65" w:rsidP="00D73E98">
            <w:pP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01383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01383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r w:rsidR="00071E65" w:rsidRPr="00802D1D" w:rsidTr="00D73E98">
        <w:trPr>
          <w:cantSplit/>
          <w:trHeight w:val="360"/>
        </w:trPr>
        <w:tc>
          <w:tcPr>
            <w:tcW w:w="680" w:type="dxa"/>
          </w:tcPr>
          <w:p w:rsidR="00071E65" w:rsidRPr="004C73AD" w:rsidRDefault="00071E65" w:rsidP="00D73E98">
            <w:pPr>
              <w:jc w:val="center"/>
              <w:rPr>
                <w:b/>
                <w:lang w:val="it-IT"/>
              </w:rPr>
            </w:pPr>
            <w:r w:rsidRPr="004C73AD">
              <w:rPr>
                <w:b/>
                <w:lang w:val="it-IT"/>
              </w:rPr>
              <w:t>2</w:t>
            </w:r>
            <w:r>
              <w:rPr>
                <w:b/>
                <w:lang w:val="it-IT"/>
              </w:rPr>
              <w:t>2</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17.176</w:t>
            </w:r>
          </w:p>
        </w:tc>
        <w:tc>
          <w:tcPr>
            <w:tcW w:w="7060" w:type="dxa"/>
            <w:tcMar>
              <w:left w:w="108" w:type="dxa"/>
            </w:tcMar>
            <w:vAlign w:val="center"/>
          </w:tcPr>
          <w:p w:rsidR="00071E65" w:rsidRPr="00B259E6" w:rsidRDefault="00071E65" w:rsidP="00D73E98">
            <w:pPr>
              <w:rPr>
                <w:lang w:val="it-IT"/>
              </w:rPr>
            </w:pPr>
            <w:r w:rsidRPr="007717B2">
              <w:rPr>
                <w:lang w:val="it-IT"/>
              </w:rPr>
              <w:t>Nel caso di operazioni sul capitale che modificano la misura del patrimonio netto della</w:t>
            </w:r>
            <w:r>
              <w:rPr>
                <w:lang w:val="it-IT"/>
              </w:rPr>
              <w:t xml:space="preserve"> </w:t>
            </w:r>
            <w:r w:rsidRPr="007717B2">
              <w:rPr>
                <w:lang w:val="it-IT"/>
              </w:rPr>
              <w:t>partecipata di pertinenza della partecipante (come ad esempio nel caso in cui la partecipata faccia un aumento di capitale a favore di un altro socio oppure acquisti le proprie azioni da un terzo</w:t>
            </w:r>
            <w:r>
              <w:rPr>
                <w:lang w:val="it-IT"/>
              </w:rPr>
              <w:t xml:space="preserve"> </w:t>
            </w:r>
            <w:r w:rsidRPr="007717B2">
              <w:rPr>
                <w:lang w:val="it-IT"/>
              </w:rPr>
              <w:t xml:space="preserve">socio per poi annullarle), la variazione di valore della partecipazione </w:t>
            </w:r>
            <w:r>
              <w:rPr>
                <w:lang w:val="it-IT"/>
              </w:rPr>
              <w:t>è stata</w:t>
            </w:r>
            <w:r w:rsidRPr="007717B2">
              <w:rPr>
                <w:lang w:val="it-IT"/>
              </w:rPr>
              <w:t xml:space="preserve"> iscritta alla stregua di un’operazione realizzativa effettuata con terzi che incrementa o riduce il valore della partecipazione</w:t>
            </w:r>
            <w:r>
              <w:rPr>
                <w:lang w:val="it-IT"/>
              </w:rPr>
              <w:t>?</w:t>
            </w:r>
          </w:p>
        </w:tc>
        <w:tc>
          <w:tcPr>
            <w:tcW w:w="586" w:type="dxa"/>
            <w:tcMar>
              <w:left w:w="85" w:type="dxa"/>
              <w:right w:w="85" w:type="dxa"/>
            </w:tcMar>
            <w:vAlign w:val="center"/>
          </w:tcPr>
          <w:p w:rsidR="00071E65" w:rsidRPr="00013836" w:rsidRDefault="00071E65" w:rsidP="00D73E98">
            <w:pP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01383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01383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r w:rsidR="00071E65" w:rsidRPr="00E168E5" w:rsidTr="00D73E98">
        <w:trPr>
          <w:cantSplit/>
          <w:trHeight w:val="360"/>
        </w:trPr>
        <w:tc>
          <w:tcPr>
            <w:tcW w:w="680" w:type="dxa"/>
          </w:tcPr>
          <w:p w:rsidR="00071E65" w:rsidRPr="004C73AD" w:rsidRDefault="00071E65" w:rsidP="00D73E98">
            <w:pPr>
              <w:jc w:val="center"/>
              <w:rPr>
                <w:b/>
                <w:lang w:val="it-IT"/>
              </w:rPr>
            </w:pPr>
            <w:r w:rsidRPr="004C73AD">
              <w:rPr>
                <w:b/>
                <w:lang w:val="it-IT"/>
              </w:rPr>
              <w:t>2</w:t>
            </w:r>
            <w:r>
              <w:rPr>
                <w:b/>
                <w:lang w:val="it-IT"/>
              </w:rPr>
              <w:t>3</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17.176</w:t>
            </w:r>
          </w:p>
        </w:tc>
        <w:tc>
          <w:tcPr>
            <w:tcW w:w="7060" w:type="dxa"/>
            <w:tcMar>
              <w:left w:w="108" w:type="dxa"/>
            </w:tcMar>
            <w:vAlign w:val="center"/>
          </w:tcPr>
          <w:p w:rsidR="00071E65" w:rsidRPr="00B259E6" w:rsidRDefault="00071E65" w:rsidP="00D73E98">
            <w:pPr>
              <w:rPr>
                <w:lang w:val="it-IT"/>
              </w:rPr>
            </w:pPr>
            <w:r>
              <w:rPr>
                <w:lang w:val="it-IT"/>
              </w:rPr>
              <w:t>S</w:t>
            </w:r>
            <w:r w:rsidRPr="00E168E5">
              <w:rPr>
                <w:lang w:val="it-IT"/>
              </w:rPr>
              <w:t xml:space="preserve">e l’ammontare di patrimonio netto riferibile alla partecipante </w:t>
            </w:r>
            <w:r>
              <w:rPr>
                <w:lang w:val="it-IT"/>
              </w:rPr>
              <w:t xml:space="preserve">è </w:t>
            </w:r>
            <w:r w:rsidRPr="00E168E5">
              <w:rPr>
                <w:lang w:val="it-IT"/>
              </w:rPr>
              <w:t>aumenta</w:t>
            </w:r>
            <w:r>
              <w:rPr>
                <w:lang w:val="it-IT"/>
              </w:rPr>
              <w:t>to</w:t>
            </w:r>
            <w:r w:rsidRPr="00E168E5">
              <w:rPr>
                <w:lang w:val="it-IT"/>
              </w:rPr>
              <w:t xml:space="preserve">, è stato incrementato il valore della partecipazione iscritto nell’attivo dello stato patrimoniale in contropartita della voce D18a) “rivalutazioni di partecipazioni”? </w:t>
            </w:r>
          </w:p>
        </w:tc>
        <w:tc>
          <w:tcPr>
            <w:tcW w:w="586" w:type="dxa"/>
            <w:tcMar>
              <w:left w:w="85" w:type="dxa"/>
              <w:right w:w="85" w:type="dxa"/>
            </w:tcMar>
            <w:vAlign w:val="center"/>
          </w:tcPr>
          <w:p w:rsidR="00071E65" w:rsidRPr="0001383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01383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01383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r w:rsidR="00071E65" w:rsidRPr="00E168E5" w:rsidTr="00D73E98">
        <w:trPr>
          <w:cantSplit/>
          <w:trHeight w:val="360"/>
        </w:trPr>
        <w:tc>
          <w:tcPr>
            <w:tcW w:w="680" w:type="dxa"/>
          </w:tcPr>
          <w:p w:rsidR="00071E65" w:rsidRPr="004C73AD" w:rsidRDefault="00071E65" w:rsidP="00D73E98">
            <w:pPr>
              <w:jc w:val="center"/>
              <w:rPr>
                <w:b/>
                <w:lang w:val="it-IT"/>
              </w:rPr>
            </w:pPr>
            <w:r w:rsidRPr="004C73AD">
              <w:rPr>
                <w:b/>
                <w:lang w:val="it-IT"/>
              </w:rPr>
              <w:t>2</w:t>
            </w:r>
            <w:r>
              <w:rPr>
                <w:b/>
                <w:lang w:val="it-IT"/>
              </w:rPr>
              <w:t>4</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17.176</w:t>
            </w:r>
          </w:p>
        </w:tc>
        <w:tc>
          <w:tcPr>
            <w:tcW w:w="7060" w:type="dxa"/>
            <w:tcMar>
              <w:left w:w="108" w:type="dxa"/>
            </w:tcMar>
            <w:vAlign w:val="center"/>
          </w:tcPr>
          <w:p w:rsidR="00071E65" w:rsidRPr="00B259E6" w:rsidRDefault="00071E65" w:rsidP="00D73E98">
            <w:pPr>
              <w:rPr>
                <w:lang w:val="it-IT"/>
              </w:rPr>
            </w:pPr>
            <w:r>
              <w:rPr>
                <w:lang w:val="it-IT"/>
              </w:rPr>
              <w:t>S</w:t>
            </w:r>
            <w:r w:rsidRPr="00E168E5">
              <w:rPr>
                <w:lang w:val="it-IT"/>
              </w:rPr>
              <w:t xml:space="preserve">e </w:t>
            </w:r>
            <w:r>
              <w:rPr>
                <w:lang w:val="it-IT"/>
              </w:rPr>
              <w:t xml:space="preserve">l’ammontare di patrimonio netto riferibile alla partecipante è </w:t>
            </w:r>
            <w:r w:rsidRPr="00E168E5">
              <w:rPr>
                <w:lang w:val="it-IT"/>
              </w:rPr>
              <w:t>diminui</w:t>
            </w:r>
            <w:r>
              <w:rPr>
                <w:lang w:val="it-IT"/>
              </w:rPr>
              <w:t>to</w:t>
            </w:r>
            <w:r w:rsidRPr="00E168E5">
              <w:rPr>
                <w:lang w:val="it-IT"/>
              </w:rPr>
              <w:t xml:space="preserve"> è stato ridotto il valore della partecipazione in contropartita alla voce D19a) “svalutazioni di partecipazioni”?</w:t>
            </w:r>
            <w:r>
              <w:rPr>
                <w:lang w:val="it-IT"/>
              </w:rPr>
              <w:t xml:space="preserve"> </w:t>
            </w:r>
          </w:p>
        </w:tc>
        <w:tc>
          <w:tcPr>
            <w:tcW w:w="586" w:type="dxa"/>
            <w:tcMar>
              <w:left w:w="85" w:type="dxa"/>
              <w:right w:w="85" w:type="dxa"/>
            </w:tcMar>
            <w:vAlign w:val="center"/>
          </w:tcPr>
          <w:p w:rsidR="00071E65" w:rsidRPr="0001383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01383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01383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r w:rsidR="00071E65" w:rsidRPr="00CC242B" w:rsidTr="00D73E98">
        <w:trPr>
          <w:cantSplit/>
          <w:trHeight w:val="360"/>
        </w:trPr>
        <w:tc>
          <w:tcPr>
            <w:tcW w:w="680" w:type="dxa"/>
          </w:tcPr>
          <w:p w:rsidR="00071E65" w:rsidRPr="004C73AD" w:rsidRDefault="00071E65" w:rsidP="00D73E98">
            <w:pPr>
              <w:rPr>
                <w:b/>
                <w:lang w:val="it-IT"/>
              </w:rPr>
            </w:pPr>
          </w:p>
        </w:tc>
        <w:tc>
          <w:tcPr>
            <w:tcW w:w="851" w:type="dxa"/>
            <w:tcMar>
              <w:left w:w="108" w:type="dxa"/>
              <w:right w:w="0" w:type="dxa"/>
            </w:tcMar>
          </w:tcPr>
          <w:p w:rsidR="00071E65" w:rsidRDefault="00071E65" w:rsidP="00D73E98">
            <w:pPr>
              <w:pStyle w:val="PrincCont"/>
              <w:jc w:val="left"/>
              <w:rPr>
                <w:lang w:val="it-IT"/>
              </w:rPr>
            </w:pPr>
          </w:p>
        </w:tc>
        <w:tc>
          <w:tcPr>
            <w:tcW w:w="7060" w:type="dxa"/>
            <w:tcMar>
              <w:left w:w="108" w:type="dxa"/>
            </w:tcMar>
            <w:vAlign w:val="center"/>
          </w:tcPr>
          <w:p w:rsidR="00071E65" w:rsidRPr="007A720A" w:rsidRDefault="00071E65" w:rsidP="00D73E98">
            <w:pPr>
              <w:pStyle w:val="Titolo3"/>
              <w:rPr>
                <w:lang w:val="it-IT"/>
              </w:rPr>
            </w:pPr>
            <w:r w:rsidRPr="007A720A">
              <w:rPr>
                <w:lang w:val="it-IT"/>
              </w:rPr>
              <w:t>Il trattamento dei dividendi e degli utili distribuiti</w:t>
            </w:r>
          </w:p>
        </w:tc>
        <w:tc>
          <w:tcPr>
            <w:tcW w:w="586" w:type="dxa"/>
            <w:tcMar>
              <w:left w:w="85" w:type="dxa"/>
              <w:right w:w="85" w:type="dxa"/>
            </w:tcMar>
            <w:vAlign w:val="center"/>
          </w:tcPr>
          <w:p w:rsidR="00071E65" w:rsidRPr="00013836" w:rsidRDefault="00071E65" w:rsidP="00D73E98">
            <w:pPr>
              <w:rPr>
                <w:lang w:val="it-IT"/>
              </w:rPr>
            </w:pPr>
          </w:p>
        </w:tc>
        <w:tc>
          <w:tcPr>
            <w:tcW w:w="573" w:type="dxa"/>
            <w:tcMar>
              <w:left w:w="108" w:type="dxa"/>
            </w:tcMar>
            <w:vAlign w:val="center"/>
          </w:tcPr>
          <w:p w:rsidR="00071E65" w:rsidRPr="00013836" w:rsidRDefault="00071E65" w:rsidP="00D73E98">
            <w:pPr>
              <w:jc w:val="center"/>
              <w:rPr>
                <w:lang w:val="it-IT"/>
              </w:rPr>
            </w:pPr>
          </w:p>
        </w:tc>
        <w:tc>
          <w:tcPr>
            <w:tcW w:w="570" w:type="dxa"/>
            <w:tcMar>
              <w:left w:w="108" w:type="dxa"/>
            </w:tcMar>
            <w:vAlign w:val="center"/>
          </w:tcPr>
          <w:p w:rsidR="00071E65" w:rsidRPr="00013836" w:rsidRDefault="00071E65" w:rsidP="00D73E98">
            <w:pPr>
              <w:jc w:val="center"/>
              <w:rPr>
                <w:lang w:val="it-IT"/>
              </w:rPr>
            </w:pPr>
          </w:p>
        </w:tc>
      </w:tr>
      <w:tr w:rsidR="00071E65" w:rsidRPr="00CC1ACF" w:rsidTr="00D73E98">
        <w:trPr>
          <w:cantSplit/>
          <w:trHeight w:val="492"/>
        </w:trPr>
        <w:tc>
          <w:tcPr>
            <w:tcW w:w="680" w:type="dxa"/>
          </w:tcPr>
          <w:p w:rsidR="00071E65" w:rsidRPr="004C73AD" w:rsidRDefault="00071E65" w:rsidP="00D73E98">
            <w:pPr>
              <w:jc w:val="center"/>
              <w:rPr>
                <w:b/>
                <w:lang w:val="it-IT"/>
              </w:rPr>
            </w:pPr>
            <w:r w:rsidRPr="004C73AD">
              <w:rPr>
                <w:b/>
                <w:lang w:val="it-IT"/>
              </w:rPr>
              <w:t>2</w:t>
            </w:r>
            <w:r>
              <w:rPr>
                <w:b/>
                <w:lang w:val="it-IT"/>
              </w:rPr>
              <w:t>5</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17.177</w:t>
            </w:r>
          </w:p>
        </w:tc>
        <w:tc>
          <w:tcPr>
            <w:tcW w:w="7060" w:type="dxa"/>
            <w:tcMar>
              <w:left w:w="108" w:type="dxa"/>
            </w:tcMar>
            <w:vAlign w:val="center"/>
          </w:tcPr>
          <w:p w:rsidR="00071E65" w:rsidRPr="00293B7D" w:rsidRDefault="00071E65" w:rsidP="00D73E98">
            <w:pPr>
              <w:rPr>
                <w:lang w:val="it-IT"/>
              </w:rPr>
            </w:pPr>
            <w:r w:rsidRPr="00293B7D">
              <w:rPr>
                <w:lang w:val="it-IT"/>
              </w:rPr>
              <w:t>I dividendi</w:t>
            </w:r>
            <w:r>
              <w:rPr>
                <w:lang w:val="it-IT"/>
              </w:rPr>
              <w:t xml:space="preserve"> e gli utili </w:t>
            </w:r>
            <w:r w:rsidRPr="00293B7D">
              <w:rPr>
                <w:lang w:val="it-IT"/>
              </w:rPr>
              <w:t>percepiti dalla partecipa</w:t>
            </w:r>
            <w:r>
              <w:rPr>
                <w:lang w:val="it-IT"/>
              </w:rPr>
              <w:t>n</w:t>
            </w:r>
            <w:r w:rsidRPr="00293B7D">
              <w:rPr>
                <w:lang w:val="it-IT"/>
              </w:rPr>
              <w:t>t</w:t>
            </w:r>
            <w:r>
              <w:rPr>
                <w:lang w:val="it-IT"/>
              </w:rPr>
              <w:t>e</w:t>
            </w:r>
            <w:r w:rsidRPr="00293B7D">
              <w:rPr>
                <w:lang w:val="it-IT"/>
              </w:rPr>
              <w:t xml:space="preserve"> sono stati portati a riduzione della corrispondente voce “partecipazioni”?</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r w:rsidR="00071E65" w:rsidRPr="005B397F" w:rsidTr="00D73E98">
        <w:trPr>
          <w:cantSplit/>
          <w:trHeight w:val="492"/>
        </w:trPr>
        <w:tc>
          <w:tcPr>
            <w:tcW w:w="680" w:type="dxa"/>
          </w:tcPr>
          <w:p w:rsidR="00071E65" w:rsidRPr="004C73AD" w:rsidRDefault="00071E65" w:rsidP="00D73E98">
            <w:pPr>
              <w:jc w:val="center"/>
              <w:rPr>
                <w:b/>
                <w:lang w:val="it-IT"/>
              </w:rPr>
            </w:pPr>
            <w:r>
              <w:rPr>
                <w:b/>
                <w:lang w:val="it-IT"/>
              </w:rPr>
              <w:t>26)</w:t>
            </w:r>
          </w:p>
        </w:tc>
        <w:tc>
          <w:tcPr>
            <w:tcW w:w="851" w:type="dxa"/>
            <w:tcMar>
              <w:left w:w="108" w:type="dxa"/>
              <w:right w:w="0" w:type="dxa"/>
            </w:tcMar>
          </w:tcPr>
          <w:p w:rsidR="00071E65" w:rsidRDefault="00071E65" w:rsidP="00D73E98">
            <w:pPr>
              <w:pStyle w:val="PrincCont"/>
              <w:jc w:val="left"/>
              <w:rPr>
                <w:lang w:val="it-IT"/>
              </w:rPr>
            </w:pPr>
            <w:r>
              <w:rPr>
                <w:lang w:val="it-IT"/>
              </w:rPr>
              <w:t>OIC 17.177</w:t>
            </w:r>
          </w:p>
        </w:tc>
        <w:tc>
          <w:tcPr>
            <w:tcW w:w="7060" w:type="dxa"/>
            <w:tcMar>
              <w:left w:w="108" w:type="dxa"/>
            </w:tcMar>
            <w:vAlign w:val="center"/>
          </w:tcPr>
          <w:p w:rsidR="00071E65" w:rsidRPr="00293B7D" w:rsidRDefault="00071E65" w:rsidP="00D73E98">
            <w:pPr>
              <w:rPr>
                <w:lang w:val="it-IT"/>
              </w:rPr>
            </w:pPr>
            <w:r>
              <w:rPr>
                <w:lang w:val="it-IT"/>
              </w:rPr>
              <w:t>È stata n</w:t>
            </w:r>
            <w:r w:rsidRPr="005B397F">
              <w:rPr>
                <w:lang w:val="it-IT"/>
              </w:rPr>
              <w:t xml:space="preserve">el contempo </w:t>
            </w:r>
            <w:r>
              <w:rPr>
                <w:lang w:val="it-IT"/>
              </w:rPr>
              <w:t>liberata</w:t>
            </w:r>
            <w:r w:rsidRPr="005B397F">
              <w:rPr>
                <w:lang w:val="it-IT"/>
              </w:rPr>
              <w:t>, diventando disponibile, una corrispondente quota della</w:t>
            </w:r>
            <w:r>
              <w:rPr>
                <w:lang w:val="it-IT"/>
              </w:rPr>
              <w:t xml:space="preserve"> </w:t>
            </w:r>
            <w:r w:rsidRPr="005B397F">
              <w:rPr>
                <w:lang w:val="it-IT"/>
              </w:rPr>
              <w:t>riserva non distribuibile da rivalutazione della partecipazione</w:t>
            </w:r>
            <w:r>
              <w:rPr>
                <w:lang w:val="it-IT"/>
              </w:rPr>
              <w:t xml:space="preserve">? </w:t>
            </w:r>
          </w:p>
        </w:tc>
        <w:tc>
          <w:tcPr>
            <w:tcW w:w="586" w:type="dxa"/>
            <w:tcMar>
              <w:left w:w="85" w:type="dxa"/>
              <w:right w:w="85" w:type="dxa"/>
            </w:tcMar>
            <w:vAlign w:val="center"/>
          </w:tcPr>
          <w:p w:rsidR="00071E65" w:rsidRPr="005B397F"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5B397F"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5B397F"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r w:rsidR="00071E65" w:rsidRPr="007641FF" w:rsidTr="00D73E98">
        <w:trPr>
          <w:cantSplit/>
          <w:trHeight w:val="492"/>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r>
              <w:rPr>
                <w:lang w:val="it-IT"/>
              </w:rPr>
              <w:t>OIC 17.178</w:t>
            </w:r>
          </w:p>
        </w:tc>
        <w:tc>
          <w:tcPr>
            <w:tcW w:w="7060" w:type="dxa"/>
            <w:tcMar>
              <w:left w:w="108" w:type="dxa"/>
            </w:tcMar>
            <w:vAlign w:val="center"/>
          </w:tcPr>
          <w:p w:rsidR="00071E65" w:rsidRPr="00AD2501" w:rsidRDefault="00071E65" w:rsidP="00D73E98">
            <w:pPr>
              <w:pStyle w:val="Commentiriquadro"/>
              <w:rPr>
                <w:rFonts w:ascii="Arial" w:hAnsi="Arial" w:cs="Arial"/>
                <w:sz w:val="24"/>
                <w:szCs w:val="24"/>
              </w:rPr>
            </w:pPr>
            <w:r w:rsidRPr="00584AEF">
              <w:t>Se la partecipata possiede una partecipazione nella partecipante, legittimamente assunta n</w:t>
            </w:r>
            <w:r>
              <w:t>ei limiti indicati all’art.</w:t>
            </w:r>
            <w:r w:rsidRPr="00584AEF">
              <w:t xml:space="preserve"> 2359-</w:t>
            </w:r>
            <w:r>
              <w:t>bis, c.</w:t>
            </w:r>
            <w:r w:rsidRPr="00622142">
              <w:t xml:space="preserve"> 1, </w:t>
            </w:r>
            <w:r>
              <w:t>CC</w:t>
            </w:r>
            <w:r w:rsidRPr="00622142">
              <w:t>, e quest’ultima ha assegnato parte dei propri</w:t>
            </w:r>
            <w:r>
              <w:t xml:space="preserve"> </w:t>
            </w:r>
            <w:r w:rsidRPr="00622142">
              <w:t>utili alla partecipata, riducendo così il proprio patrimonio netto, il risultato d’esercizio della</w:t>
            </w:r>
            <w:r>
              <w:t xml:space="preserve"> </w:t>
            </w:r>
            <w:r w:rsidRPr="00622142">
              <w:t xml:space="preserve">partecipata — che comprende tali dividendi e che la partecipante assume nel proprio conto </w:t>
            </w:r>
            <w:r w:rsidRPr="005F0AE8">
              <w:t xml:space="preserve">economico con il metodo del patrimonio netto — non è depurato dei suddetti dividendi. </w:t>
            </w:r>
            <w:r w:rsidRPr="003657A2">
              <w:t>Essi</w:t>
            </w:r>
            <w:r>
              <w:t xml:space="preserve"> </w:t>
            </w:r>
            <w:r w:rsidRPr="003657A2">
              <w:t xml:space="preserve">vanno a reintegrare il patrimonio netto della partecipante. </w:t>
            </w:r>
          </w:p>
        </w:tc>
        <w:tc>
          <w:tcPr>
            <w:tcW w:w="586" w:type="dxa"/>
            <w:tcMar>
              <w:left w:w="85" w:type="dxa"/>
              <w:right w:w="85" w:type="dxa"/>
            </w:tcMar>
            <w:vAlign w:val="center"/>
          </w:tcPr>
          <w:p w:rsidR="00071E65" w:rsidRPr="0029541C" w:rsidRDefault="00071E65" w:rsidP="00D73E98">
            <w:pPr>
              <w:jc w:val="center"/>
              <w:rPr>
                <w:lang w:val="it-IT"/>
              </w:rPr>
            </w:pPr>
          </w:p>
        </w:tc>
        <w:tc>
          <w:tcPr>
            <w:tcW w:w="573" w:type="dxa"/>
            <w:tcMar>
              <w:left w:w="108" w:type="dxa"/>
            </w:tcMar>
            <w:vAlign w:val="center"/>
          </w:tcPr>
          <w:p w:rsidR="00071E65" w:rsidRPr="0029541C" w:rsidRDefault="00071E65" w:rsidP="00D73E98">
            <w:pPr>
              <w:jc w:val="center"/>
              <w:rPr>
                <w:lang w:val="it-IT"/>
              </w:rPr>
            </w:pPr>
          </w:p>
        </w:tc>
        <w:tc>
          <w:tcPr>
            <w:tcW w:w="570" w:type="dxa"/>
            <w:tcMar>
              <w:left w:w="108" w:type="dxa"/>
            </w:tcMar>
            <w:vAlign w:val="center"/>
          </w:tcPr>
          <w:p w:rsidR="00071E65" w:rsidRPr="0029541C" w:rsidRDefault="00071E65" w:rsidP="00D73E98">
            <w:pPr>
              <w:jc w:val="center"/>
              <w:rPr>
                <w:lang w:val="it-IT"/>
              </w:rPr>
            </w:pPr>
          </w:p>
        </w:tc>
      </w:tr>
      <w:tr w:rsidR="00071E65" w:rsidRPr="00CC242B" w:rsidTr="00D73E98">
        <w:trPr>
          <w:cantSplit/>
          <w:trHeight w:val="356"/>
        </w:trPr>
        <w:tc>
          <w:tcPr>
            <w:tcW w:w="680" w:type="dxa"/>
          </w:tcPr>
          <w:p w:rsidR="00071E65" w:rsidRPr="004C73AD" w:rsidRDefault="00071E65" w:rsidP="00D73E98">
            <w:pPr>
              <w:pStyle w:val="Titolo2"/>
              <w:keepNext w:val="0"/>
              <w:rPr>
                <w:lang w:val="it-IT"/>
              </w:rPr>
            </w:pPr>
          </w:p>
        </w:tc>
        <w:tc>
          <w:tcPr>
            <w:tcW w:w="851" w:type="dxa"/>
            <w:tcMar>
              <w:left w:w="108" w:type="dxa"/>
              <w:right w:w="0" w:type="dxa"/>
            </w:tcMar>
          </w:tcPr>
          <w:p w:rsidR="00071E65" w:rsidRPr="007A720A" w:rsidRDefault="00071E65" w:rsidP="00D73E98">
            <w:pPr>
              <w:pStyle w:val="Titolo2"/>
              <w:keepNext w:val="0"/>
              <w:rPr>
                <w:lang w:val="it-IT"/>
              </w:rPr>
            </w:pPr>
          </w:p>
        </w:tc>
        <w:tc>
          <w:tcPr>
            <w:tcW w:w="7060" w:type="dxa"/>
            <w:tcMar>
              <w:left w:w="108" w:type="dxa"/>
            </w:tcMar>
            <w:vAlign w:val="center"/>
          </w:tcPr>
          <w:p w:rsidR="00071E65" w:rsidRPr="007A720A" w:rsidRDefault="00071E65" w:rsidP="00D73E98">
            <w:pPr>
              <w:pStyle w:val="Titolo2"/>
              <w:keepNext w:val="0"/>
              <w:rPr>
                <w:lang w:val="it-IT"/>
              </w:rPr>
            </w:pPr>
            <w:r w:rsidRPr="007A720A">
              <w:rPr>
                <w:lang w:val="it-IT"/>
              </w:rPr>
              <w:t>Acquisizione e cessione di quote di partecipazione</w:t>
            </w:r>
          </w:p>
        </w:tc>
        <w:tc>
          <w:tcPr>
            <w:tcW w:w="586" w:type="dxa"/>
            <w:tcMar>
              <w:left w:w="85" w:type="dxa"/>
              <w:right w:w="85" w:type="dxa"/>
            </w:tcMar>
            <w:vAlign w:val="center"/>
          </w:tcPr>
          <w:p w:rsidR="00071E65" w:rsidRPr="000042B5" w:rsidRDefault="00071E65" w:rsidP="00D73E98">
            <w:pPr>
              <w:pStyle w:val="Titolo2"/>
              <w:keepNext w:val="0"/>
              <w:rPr>
                <w:lang w:val="it-IT"/>
              </w:rPr>
            </w:pPr>
          </w:p>
        </w:tc>
        <w:tc>
          <w:tcPr>
            <w:tcW w:w="573" w:type="dxa"/>
            <w:tcMar>
              <w:left w:w="108" w:type="dxa"/>
            </w:tcMar>
            <w:vAlign w:val="center"/>
          </w:tcPr>
          <w:p w:rsidR="00071E65" w:rsidRPr="000042B5" w:rsidRDefault="00071E65" w:rsidP="00D73E98">
            <w:pPr>
              <w:pStyle w:val="Titolo2"/>
              <w:keepNext w:val="0"/>
              <w:rPr>
                <w:lang w:val="it-IT"/>
              </w:rPr>
            </w:pPr>
          </w:p>
        </w:tc>
        <w:tc>
          <w:tcPr>
            <w:tcW w:w="570" w:type="dxa"/>
            <w:tcMar>
              <w:left w:w="108" w:type="dxa"/>
            </w:tcMar>
            <w:vAlign w:val="center"/>
          </w:tcPr>
          <w:p w:rsidR="00071E65" w:rsidRPr="000042B5" w:rsidRDefault="00071E65" w:rsidP="00D73E98">
            <w:pPr>
              <w:pStyle w:val="Titolo2"/>
              <w:keepNext w:val="0"/>
              <w:rPr>
                <w:lang w:val="it-IT"/>
              </w:rPr>
            </w:pPr>
          </w:p>
        </w:tc>
      </w:tr>
      <w:tr w:rsidR="00071E65" w:rsidRPr="00CC242B" w:rsidTr="00D73E98">
        <w:trPr>
          <w:cantSplit/>
          <w:trHeight w:val="492"/>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Pr="00C966B8" w:rsidRDefault="00071E65" w:rsidP="00D73E98">
            <w:pPr>
              <w:pStyle w:val="PrincCont"/>
              <w:jc w:val="left"/>
              <w:rPr>
                <w:highlight w:val="yellow"/>
                <w:lang w:val="it-IT"/>
              </w:rPr>
            </w:pPr>
          </w:p>
        </w:tc>
        <w:tc>
          <w:tcPr>
            <w:tcW w:w="7060" w:type="dxa"/>
            <w:tcMar>
              <w:left w:w="108" w:type="dxa"/>
            </w:tcMar>
            <w:vAlign w:val="center"/>
          </w:tcPr>
          <w:p w:rsidR="00071E65" w:rsidRPr="00C966B8" w:rsidRDefault="00071E65" w:rsidP="00D73E98">
            <w:pPr>
              <w:pStyle w:val="Titolo3"/>
              <w:rPr>
                <w:highlight w:val="yellow"/>
                <w:lang w:val="it-IT"/>
              </w:rPr>
            </w:pPr>
            <w:r w:rsidRPr="00C966B8">
              <w:rPr>
                <w:lang w:val="it-IT"/>
              </w:rPr>
              <w:t xml:space="preserve">Acquisizione e cessione di ulteriori quote di partecipazione – trattamento della differenza tra costo d’acquisto e patrimonio netto contabile della partecipata </w:t>
            </w:r>
          </w:p>
        </w:tc>
        <w:tc>
          <w:tcPr>
            <w:tcW w:w="586" w:type="dxa"/>
            <w:tcMar>
              <w:left w:w="85" w:type="dxa"/>
              <w:right w:w="85" w:type="dxa"/>
            </w:tcMar>
            <w:vAlign w:val="center"/>
          </w:tcPr>
          <w:p w:rsidR="00071E65" w:rsidRPr="000042B5" w:rsidRDefault="00071E65" w:rsidP="00D73E98">
            <w:pPr>
              <w:jc w:val="center"/>
              <w:rPr>
                <w:lang w:val="it-IT"/>
              </w:rPr>
            </w:pPr>
          </w:p>
        </w:tc>
        <w:tc>
          <w:tcPr>
            <w:tcW w:w="573" w:type="dxa"/>
            <w:tcMar>
              <w:left w:w="108" w:type="dxa"/>
            </w:tcMar>
            <w:vAlign w:val="center"/>
          </w:tcPr>
          <w:p w:rsidR="00071E65" w:rsidRPr="000042B5" w:rsidRDefault="00071E65" w:rsidP="00D73E98">
            <w:pPr>
              <w:jc w:val="center"/>
              <w:rPr>
                <w:lang w:val="it-IT"/>
              </w:rPr>
            </w:pPr>
          </w:p>
        </w:tc>
        <w:tc>
          <w:tcPr>
            <w:tcW w:w="570" w:type="dxa"/>
            <w:tcMar>
              <w:left w:w="108" w:type="dxa"/>
            </w:tcMar>
            <w:vAlign w:val="center"/>
          </w:tcPr>
          <w:p w:rsidR="00071E65" w:rsidRPr="000042B5" w:rsidRDefault="00071E65" w:rsidP="00D73E98">
            <w:pPr>
              <w:jc w:val="center"/>
              <w:rPr>
                <w:lang w:val="it-IT"/>
              </w:rPr>
            </w:pPr>
          </w:p>
        </w:tc>
      </w:tr>
      <w:tr w:rsidR="00071E65" w:rsidRPr="00D4607B" w:rsidTr="00D73E98">
        <w:trPr>
          <w:cantSplit/>
          <w:trHeight w:val="492"/>
        </w:trPr>
        <w:tc>
          <w:tcPr>
            <w:tcW w:w="680" w:type="dxa"/>
          </w:tcPr>
          <w:p w:rsidR="00071E65" w:rsidRPr="004C73AD" w:rsidRDefault="00071E65" w:rsidP="00D73E98">
            <w:pPr>
              <w:jc w:val="center"/>
              <w:rPr>
                <w:b/>
                <w:lang w:val="it-IT"/>
              </w:rPr>
            </w:pPr>
            <w:r w:rsidRPr="004C73AD">
              <w:rPr>
                <w:b/>
                <w:lang w:val="it-IT"/>
              </w:rPr>
              <w:t>2</w:t>
            </w:r>
            <w:r>
              <w:rPr>
                <w:b/>
                <w:lang w:val="it-IT"/>
              </w:rPr>
              <w:t>7</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17.180</w:t>
            </w:r>
          </w:p>
        </w:tc>
        <w:tc>
          <w:tcPr>
            <w:tcW w:w="7060" w:type="dxa"/>
            <w:tcMar>
              <w:left w:w="108" w:type="dxa"/>
            </w:tcMar>
            <w:vAlign w:val="center"/>
          </w:tcPr>
          <w:p w:rsidR="00071E65" w:rsidRPr="004D6061" w:rsidRDefault="00071E65" w:rsidP="00D73E98">
            <w:pPr>
              <w:pStyle w:val="Titolo2"/>
              <w:spacing w:line="220" w:lineRule="exact"/>
              <w:jc w:val="both"/>
              <w:rPr>
                <w:b w:val="0"/>
                <w:i/>
                <w:sz w:val="20"/>
                <w:lang w:val="it-IT"/>
              </w:rPr>
            </w:pPr>
            <w:r w:rsidRPr="004D6061">
              <w:rPr>
                <w:b w:val="0"/>
                <w:sz w:val="20"/>
                <w:lang w:val="it-IT"/>
              </w:rPr>
              <w:t xml:space="preserve">Dopo l’acquisizione del controllo, o influenza notevole, in caso di acquisizione di ulteriori quote di partecipazione nella partecipata, la differenza tra il prezzo di acquisto della quota aggiuntiva </w:t>
            </w:r>
            <w:r>
              <w:rPr>
                <w:b w:val="0"/>
                <w:sz w:val="20"/>
                <w:lang w:val="it-IT"/>
              </w:rPr>
              <w:t xml:space="preserve">e </w:t>
            </w:r>
            <w:r w:rsidRPr="00C30423">
              <w:rPr>
                <w:b w:val="0"/>
                <w:sz w:val="20"/>
                <w:lang w:val="it-IT"/>
              </w:rPr>
              <w:t>l’ammontare pari all’incremento della corrispondente</w:t>
            </w:r>
            <w:r>
              <w:rPr>
                <w:b w:val="0"/>
                <w:sz w:val="20"/>
                <w:lang w:val="it-IT"/>
              </w:rPr>
              <w:t xml:space="preserve"> </w:t>
            </w:r>
            <w:r w:rsidRPr="00C30423">
              <w:rPr>
                <w:b w:val="0"/>
                <w:sz w:val="20"/>
                <w:lang w:val="it-IT"/>
              </w:rPr>
              <w:t>frazione del patrimonio netto contabile riferito alla data di acquisizione o, in alternativa, risultante</w:t>
            </w:r>
            <w:r>
              <w:rPr>
                <w:b w:val="0"/>
                <w:sz w:val="20"/>
                <w:lang w:val="it-IT"/>
              </w:rPr>
              <w:t xml:space="preserve"> </w:t>
            </w:r>
            <w:r w:rsidRPr="00C30423">
              <w:rPr>
                <w:b w:val="0"/>
                <w:sz w:val="20"/>
                <w:lang w:val="it-IT"/>
              </w:rPr>
              <w:t>dall’ultimo bilancio della partecipata è trattata analogamente alla differenza</w:t>
            </w:r>
            <w:r>
              <w:rPr>
                <w:b w:val="0"/>
                <w:sz w:val="20"/>
                <w:lang w:val="it-IT"/>
              </w:rPr>
              <w:t xml:space="preserve"> </w:t>
            </w:r>
            <w:r w:rsidRPr="00C30423">
              <w:rPr>
                <w:b w:val="0"/>
                <w:sz w:val="20"/>
                <w:lang w:val="it-IT"/>
              </w:rPr>
              <w:t xml:space="preserve">iniziale. </w:t>
            </w:r>
            <w:r w:rsidRPr="004D6061">
              <w:rPr>
                <w:b w:val="0"/>
                <w:sz w:val="20"/>
                <w:lang w:val="it-IT"/>
              </w:rPr>
              <w:t xml:space="preserve">(si veda </w:t>
            </w:r>
            <w:r>
              <w:rPr>
                <w:b w:val="0"/>
                <w:sz w:val="20"/>
                <w:lang w:val="it-IT"/>
              </w:rPr>
              <w:t>la sezione Rilevazione iniziale e Valutazione e rilevazioni successive</w:t>
            </w:r>
            <w:r w:rsidRPr="004D6061">
              <w:rPr>
                <w:b w:val="0"/>
                <w:sz w:val="20"/>
                <w:lang w:val="it-IT"/>
              </w:rPr>
              <w:t>)?</w:t>
            </w:r>
          </w:p>
        </w:tc>
        <w:tc>
          <w:tcPr>
            <w:tcW w:w="586" w:type="dxa"/>
            <w:tcMar>
              <w:left w:w="85" w:type="dxa"/>
              <w:right w:w="85" w:type="dxa"/>
            </w:tcMar>
            <w:vAlign w:val="center"/>
          </w:tcPr>
          <w:p w:rsidR="00071E65" w:rsidRPr="000042B5"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0042B5"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0042B5"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r w:rsidR="00071E65" w:rsidRPr="00CC242B" w:rsidTr="00D73E98">
        <w:trPr>
          <w:cantSplit/>
          <w:trHeight w:val="492"/>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p>
        </w:tc>
        <w:tc>
          <w:tcPr>
            <w:tcW w:w="7060" w:type="dxa"/>
            <w:tcMar>
              <w:left w:w="108" w:type="dxa"/>
            </w:tcMar>
            <w:vAlign w:val="center"/>
          </w:tcPr>
          <w:p w:rsidR="00071E65" w:rsidRPr="00DE5214" w:rsidRDefault="00071E65" w:rsidP="00D73E98">
            <w:pPr>
              <w:pStyle w:val="Titolo3"/>
              <w:rPr>
                <w:lang w:val="it-IT"/>
              </w:rPr>
            </w:pPr>
            <w:r w:rsidRPr="00DE5214">
              <w:rPr>
                <w:lang w:val="it-IT"/>
              </w:rPr>
              <w:t xml:space="preserve">Determinazione della plusvalenza/minusvalenza in caso di cessione della partecipazione contabilizzata con il metodo del patrimonio netto </w:t>
            </w:r>
          </w:p>
        </w:tc>
        <w:tc>
          <w:tcPr>
            <w:tcW w:w="586" w:type="dxa"/>
            <w:tcMar>
              <w:left w:w="85" w:type="dxa"/>
              <w:right w:w="85" w:type="dxa"/>
            </w:tcMar>
            <w:vAlign w:val="center"/>
          </w:tcPr>
          <w:p w:rsidR="00071E65" w:rsidRPr="000042B5" w:rsidRDefault="00071E65" w:rsidP="00D73E98">
            <w:pPr>
              <w:jc w:val="center"/>
              <w:rPr>
                <w:lang w:val="it-IT"/>
              </w:rPr>
            </w:pPr>
          </w:p>
        </w:tc>
        <w:tc>
          <w:tcPr>
            <w:tcW w:w="573" w:type="dxa"/>
            <w:tcMar>
              <w:left w:w="108" w:type="dxa"/>
            </w:tcMar>
            <w:vAlign w:val="center"/>
          </w:tcPr>
          <w:p w:rsidR="00071E65" w:rsidRPr="000042B5" w:rsidRDefault="00071E65" w:rsidP="00D73E98">
            <w:pPr>
              <w:jc w:val="center"/>
              <w:rPr>
                <w:lang w:val="it-IT"/>
              </w:rPr>
            </w:pPr>
          </w:p>
        </w:tc>
        <w:tc>
          <w:tcPr>
            <w:tcW w:w="570" w:type="dxa"/>
            <w:tcMar>
              <w:left w:w="108" w:type="dxa"/>
            </w:tcMar>
            <w:vAlign w:val="center"/>
          </w:tcPr>
          <w:p w:rsidR="00071E65" w:rsidRPr="000042B5" w:rsidRDefault="00071E65" w:rsidP="00D73E98">
            <w:pPr>
              <w:jc w:val="center"/>
              <w:rPr>
                <w:lang w:val="it-IT"/>
              </w:rPr>
            </w:pPr>
          </w:p>
        </w:tc>
      </w:tr>
      <w:tr w:rsidR="00071E65" w:rsidRPr="00CC1ACF" w:rsidTr="00D73E98">
        <w:trPr>
          <w:cantSplit/>
          <w:trHeight w:val="492"/>
        </w:trPr>
        <w:tc>
          <w:tcPr>
            <w:tcW w:w="680" w:type="dxa"/>
          </w:tcPr>
          <w:p w:rsidR="00071E65" w:rsidRPr="004C73AD" w:rsidRDefault="00071E65" w:rsidP="00D73E98">
            <w:pPr>
              <w:jc w:val="center"/>
              <w:rPr>
                <w:b/>
                <w:lang w:val="it-IT"/>
              </w:rPr>
            </w:pPr>
            <w:r w:rsidRPr="004C73AD">
              <w:rPr>
                <w:b/>
                <w:lang w:val="it-IT"/>
              </w:rPr>
              <w:t>2</w:t>
            </w:r>
            <w:r>
              <w:rPr>
                <w:b/>
                <w:lang w:val="it-IT"/>
              </w:rPr>
              <w:t>8</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17.181</w:t>
            </w:r>
          </w:p>
        </w:tc>
        <w:tc>
          <w:tcPr>
            <w:tcW w:w="7060" w:type="dxa"/>
            <w:tcMar>
              <w:left w:w="108" w:type="dxa"/>
            </w:tcMar>
            <w:vAlign w:val="center"/>
          </w:tcPr>
          <w:p w:rsidR="00071E65" w:rsidRPr="0029541C" w:rsidRDefault="00071E65" w:rsidP="00D73E98">
            <w:pPr>
              <w:rPr>
                <w:lang w:val="it-IT"/>
              </w:rPr>
            </w:pPr>
            <w:r w:rsidRPr="0029541C">
              <w:rPr>
                <w:lang w:val="it-IT"/>
              </w:rPr>
              <w:t>La plusvalenza o la minusvalenza (utile o perdita) derivante dalla cessione di una partecipazione contabilizzata secondo il</w:t>
            </w:r>
            <w:r>
              <w:rPr>
                <w:lang w:val="it-IT"/>
              </w:rPr>
              <w:t xml:space="preserve"> metodo del patrimonio netto è stata </w:t>
            </w:r>
            <w:r w:rsidRPr="0029541C">
              <w:rPr>
                <w:lang w:val="it-IT"/>
              </w:rPr>
              <w:t xml:space="preserve">calcola come differenza tra prezzo di vendita e </w:t>
            </w:r>
            <w:r>
              <w:rPr>
                <w:lang w:val="it-IT"/>
              </w:rPr>
              <w:t xml:space="preserve">ulltimo </w:t>
            </w:r>
            <w:r w:rsidRPr="0029541C">
              <w:rPr>
                <w:lang w:val="it-IT"/>
              </w:rPr>
              <w:t xml:space="preserve">valore </w:t>
            </w:r>
            <w:r>
              <w:rPr>
                <w:lang w:val="it-IT"/>
              </w:rPr>
              <w:t xml:space="preserve">contabile </w:t>
            </w:r>
            <w:r w:rsidRPr="0029541C">
              <w:rPr>
                <w:lang w:val="it-IT"/>
              </w:rPr>
              <w:t>della partecipazione e</w:t>
            </w:r>
            <w:r>
              <w:rPr>
                <w:lang w:val="it-IT"/>
              </w:rPr>
              <w:t>d è stata</w:t>
            </w:r>
            <w:r w:rsidRPr="0029541C">
              <w:rPr>
                <w:lang w:val="it-IT"/>
              </w:rPr>
              <w:t xml:space="preserve"> imputa</w:t>
            </w:r>
            <w:r>
              <w:rPr>
                <w:lang w:val="it-IT"/>
              </w:rPr>
              <w:t>ta</w:t>
            </w:r>
            <w:r w:rsidRPr="0029541C">
              <w:rPr>
                <w:lang w:val="it-IT"/>
              </w:rPr>
              <w:t xml:space="preserve"> al conto economico</w:t>
            </w:r>
            <w:r>
              <w:rPr>
                <w:lang w:val="it-IT"/>
              </w:rPr>
              <w:t>?</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r w:rsidR="00071E65" w:rsidRPr="00CC242B" w:rsidTr="00D73E98">
        <w:trPr>
          <w:cantSplit/>
          <w:trHeight w:val="424"/>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r>
              <w:rPr>
                <w:lang w:val="it-IT"/>
              </w:rPr>
              <w:t>OIC 17.181</w:t>
            </w:r>
          </w:p>
        </w:tc>
        <w:tc>
          <w:tcPr>
            <w:tcW w:w="7060" w:type="dxa"/>
            <w:tcMar>
              <w:left w:w="108" w:type="dxa"/>
            </w:tcMar>
            <w:vAlign w:val="center"/>
          </w:tcPr>
          <w:p w:rsidR="00071E65" w:rsidRPr="0029541C" w:rsidRDefault="00071E65" w:rsidP="00D73E98">
            <w:pPr>
              <w:pStyle w:val="Commentiriquadro"/>
            </w:pPr>
            <w:r w:rsidRPr="00C30423">
              <w:t>Gli</w:t>
            </w:r>
            <w:r>
              <w:t xml:space="preserve"> </w:t>
            </w:r>
            <w:r w:rsidRPr="00C30423">
              <w:t xml:space="preserve">eventuali oneri di transazione non </w:t>
            </w:r>
            <w:r>
              <w:t>devono concorrere</w:t>
            </w:r>
            <w:r w:rsidRPr="00C30423">
              <w:t xml:space="preserve"> alla formazione del saldo della plus/minusvalenza.</w:t>
            </w:r>
          </w:p>
        </w:tc>
        <w:tc>
          <w:tcPr>
            <w:tcW w:w="586" w:type="dxa"/>
            <w:tcMar>
              <w:left w:w="85" w:type="dxa"/>
              <w:right w:w="85" w:type="dxa"/>
            </w:tcMar>
            <w:vAlign w:val="center"/>
          </w:tcPr>
          <w:p w:rsidR="00071E65" w:rsidRPr="00C30423" w:rsidRDefault="00071E65" w:rsidP="00D73E98">
            <w:pPr>
              <w:jc w:val="center"/>
              <w:rPr>
                <w:lang w:val="it-IT"/>
              </w:rPr>
            </w:pPr>
          </w:p>
        </w:tc>
        <w:tc>
          <w:tcPr>
            <w:tcW w:w="573" w:type="dxa"/>
            <w:tcMar>
              <w:left w:w="108" w:type="dxa"/>
            </w:tcMar>
            <w:vAlign w:val="center"/>
          </w:tcPr>
          <w:p w:rsidR="00071E65" w:rsidRPr="00C30423" w:rsidRDefault="00071E65" w:rsidP="00D73E98">
            <w:pPr>
              <w:jc w:val="center"/>
              <w:rPr>
                <w:lang w:val="it-IT"/>
              </w:rPr>
            </w:pPr>
          </w:p>
        </w:tc>
        <w:tc>
          <w:tcPr>
            <w:tcW w:w="570" w:type="dxa"/>
            <w:tcMar>
              <w:left w:w="108" w:type="dxa"/>
            </w:tcMar>
            <w:vAlign w:val="center"/>
          </w:tcPr>
          <w:p w:rsidR="00071E65" w:rsidRPr="00C30423" w:rsidRDefault="00071E65" w:rsidP="00D73E98">
            <w:pPr>
              <w:jc w:val="center"/>
              <w:rPr>
                <w:lang w:val="it-IT"/>
              </w:rPr>
            </w:pPr>
          </w:p>
        </w:tc>
      </w:tr>
      <w:tr w:rsidR="00071E65" w:rsidRPr="00CC1ACF" w:rsidTr="00D73E98">
        <w:trPr>
          <w:cantSplit/>
          <w:trHeight w:val="492"/>
        </w:trPr>
        <w:tc>
          <w:tcPr>
            <w:tcW w:w="680" w:type="dxa"/>
          </w:tcPr>
          <w:p w:rsidR="00071E65" w:rsidRPr="004C73AD" w:rsidRDefault="00071E65" w:rsidP="00D73E98">
            <w:pPr>
              <w:jc w:val="center"/>
              <w:rPr>
                <w:b/>
                <w:lang w:val="it-IT"/>
              </w:rPr>
            </w:pPr>
            <w:r w:rsidRPr="004C73AD">
              <w:rPr>
                <w:b/>
                <w:lang w:val="it-IT"/>
              </w:rPr>
              <w:t>2</w:t>
            </w:r>
            <w:r>
              <w:rPr>
                <w:b/>
                <w:lang w:val="it-IT"/>
              </w:rPr>
              <w:t>9</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17.182</w:t>
            </w:r>
          </w:p>
        </w:tc>
        <w:tc>
          <w:tcPr>
            <w:tcW w:w="7060" w:type="dxa"/>
            <w:tcMar>
              <w:left w:w="108" w:type="dxa"/>
            </w:tcMar>
            <w:vAlign w:val="center"/>
          </w:tcPr>
          <w:p w:rsidR="00071E65" w:rsidRPr="0029541C" w:rsidRDefault="00071E65" w:rsidP="00D73E98">
            <w:pPr>
              <w:spacing w:line="230" w:lineRule="exact"/>
              <w:rPr>
                <w:lang w:val="it-IT"/>
              </w:rPr>
            </w:pPr>
            <w:r w:rsidRPr="0029541C">
              <w:rPr>
                <w:lang w:val="it-IT"/>
              </w:rPr>
              <w:t>Nel caso di cessione solo di una parte delle azioni o di una</w:t>
            </w:r>
            <w:r>
              <w:rPr>
                <w:lang w:val="it-IT"/>
              </w:rPr>
              <w:t xml:space="preserve"> quota della partecipata, è stato verificato se </w:t>
            </w:r>
            <w:r w:rsidRPr="0029541C">
              <w:rPr>
                <w:lang w:val="it-IT"/>
              </w:rPr>
              <w:t>la cessione parziale della partecipazione abbia diminuito durevolmente il valore della parte non ceduta</w:t>
            </w:r>
            <w:r>
              <w:rPr>
                <w:lang w:val="it-IT"/>
              </w:rPr>
              <w:t>?</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r w:rsidR="00071E65" w:rsidRPr="003876EA" w:rsidTr="00D73E98">
        <w:trPr>
          <w:cantSplit/>
          <w:trHeight w:val="492"/>
        </w:trPr>
        <w:tc>
          <w:tcPr>
            <w:tcW w:w="680" w:type="dxa"/>
          </w:tcPr>
          <w:p w:rsidR="00071E65" w:rsidRPr="004C73AD" w:rsidRDefault="00071E65" w:rsidP="00D73E98">
            <w:pPr>
              <w:jc w:val="center"/>
              <w:rPr>
                <w:b/>
                <w:lang w:val="it-IT"/>
              </w:rPr>
            </w:pPr>
            <w:r>
              <w:rPr>
                <w:b/>
                <w:lang w:val="it-IT"/>
              </w:rPr>
              <w:t>30</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17.182</w:t>
            </w:r>
          </w:p>
        </w:tc>
        <w:tc>
          <w:tcPr>
            <w:tcW w:w="7060" w:type="dxa"/>
            <w:tcMar>
              <w:left w:w="108" w:type="dxa"/>
            </w:tcMar>
            <w:vAlign w:val="center"/>
          </w:tcPr>
          <w:p w:rsidR="00071E65" w:rsidRPr="0029541C" w:rsidRDefault="00071E65" w:rsidP="00D73E98">
            <w:pPr>
              <w:spacing w:line="230" w:lineRule="exact"/>
              <w:rPr>
                <w:lang w:val="it-IT"/>
              </w:rPr>
            </w:pPr>
            <w:r>
              <w:rPr>
                <w:lang w:val="it-IT"/>
              </w:rPr>
              <w:t>Qualora esista evidenza che la cessione parziale abbia diminuito durevolmente il valore della parte non ceduta, il residuo valore della partecipazione è stato adeguatamente svalutato per l’ammontare del valore di carico residuo eccedente il valore recuperabile?</w:t>
            </w:r>
          </w:p>
        </w:tc>
        <w:tc>
          <w:tcPr>
            <w:tcW w:w="586" w:type="dxa"/>
            <w:tcMar>
              <w:left w:w="85" w:type="dxa"/>
              <w:right w:w="85" w:type="dxa"/>
            </w:tcMar>
            <w:vAlign w:val="center"/>
          </w:tcPr>
          <w:p w:rsidR="00071E65" w:rsidRPr="003876EA"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3876EA"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3876EA"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r w:rsidR="00071E65" w:rsidRPr="00CC242B" w:rsidTr="00D73E98">
        <w:trPr>
          <w:cantSplit/>
          <w:trHeight w:val="334"/>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p>
        </w:tc>
        <w:tc>
          <w:tcPr>
            <w:tcW w:w="7060" w:type="dxa"/>
            <w:tcMar>
              <w:left w:w="108" w:type="dxa"/>
            </w:tcMar>
            <w:vAlign w:val="center"/>
          </w:tcPr>
          <w:p w:rsidR="00071E65" w:rsidRPr="00DE5214" w:rsidRDefault="00071E65" w:rsidP="00D73E98">
            <w:pPr>
              <w:pStyle w:val="Titolo2"/>
              <w:rPr>
                <w:lang w:val="it-IT"/>
              </w:rPr>
            </w:pPr>
            <w:r w:rsidRPr="00DE5214">
              <w:rPr>
                <w:lang w:val="it-IT"/>
              </w:rPr>
              <w:t>Cambiamento del criterio di valutazione</w:t>
            </w:r>
          </w:p>
        </w:tc>
        <w:tc>
          <w:tcPr>
            <w:tcW w:w="586" w:type="dxa"/>
            <w:tcMar>
              <w:left w:w="85" w:type="dxa"/>
              <w:right w:w="85" w:type="dxa"/>
            </w:tcMar>
            <w:vAlign w:val="center"/>
          </w:tcPr>
          <w:p w:rsidR="00071E65" w:rsidRPr="0029541C" w:rsidRDefault="00071E65" w:rsidP="00D73E98">
            <w:pPr>
              <w:jc w:val="center"/>
              <w:rPr>
                <w:lang w:val="it-IT"/>
              </w:rPr>
            </w:pPr>
          </w:p>
        </w:tc>
        <w:tc>
          <w:tcPr>
            <w:tcW w:w="573" w:type="dxa"/>
            <w:tcMar>
              <w:left w:w="108" w:type="dxa"/>
            </w:tcMar>
            <w:vAlign w:val="center"/>
          </w:tcPr>
          <w:p w:rsidR="00071E65" w:rsidRPr="0029541C" w:rsidRDefault="00071E65" w:rsidP="00D73E98">
            <w:pPr>
              <w:jc w:val="center"/>
              <w:rPr>
                <w:lang w:val="it-IT"/>
              </w:rPr>
            </w:pPr>
          </w:p>
        </w:tc>
        <w:tc>
          <w:tcPr>
            <w:tcW w:w="570" w:type="dxa"/>
            <w:tcMar>
              <w:left w:w="108" w:type="dxa"/>
            </w:tcMar>
            <w:vAlign w:val="center"/>
          </w:tcPr>
          <w:p w:rsidR="00071E65" w:rsidRPr="0029541C" w:rsidRDefault="00071E65" w:rsidP="00D73E98">
            <w:pPr>
              <w:jc w:val="center"/>
              <w:rPr>
                <w:lang w:val="it-IT"/>
              </w:rPr>
            </w:pPr>
          </w:p>
        </w:tc>
      </w:tr>
      <w:tr w:rsidR="00071E65" w:rsidRPr="009A0A5D" w:rsidTr="00D73E98">
        <w:trPr>
          <w:cantSplit/>
          <w:trHeight w:val="492"/>
        </w:trPr>
        <w:tc>
          <w:tcPr>
            <w:tcW w:w="680" w:type="dxa"/>
          </w:tcPr>
          <w:p w:rsidR="00071E65" w:rsidRPr="004C73AD" w:rsidRDefault="00071E65" w:rsidP="00D73E98">
            <w:pPr>
              <w:jc w:val="center"/>
              <w:rPr>
                <w:b/>
                <w:lang w:val="it-IT"/>
              </w:rPr>
            </w:pPr>
            <w:r>
              <w:rPr>
                <w:b/>
                <w:lang w:val="it-IT"/>
              </w:rPr>
              <w:t>31)</w:t>
            </w:r>
          </w:p>
        </w:tc>
        <w:tc>
          <w:tcPr>
            <w:tcW w:w="851" w:type="dxa"/>
            <w:tcMar>
              <w:left w:w="108" w:type="dxa"/>
              <w:right w:w="0" w:type="dxa"/>
            </w:tcMar>
          </w:tcPr>
          <w:p w:rsidR="00071E65" w:rsidRDefault="00071E65" w:rsidP="00D73E98">
            <w:pPr>
              <w:pStyle w:val="PrincCont"/>
              <w:jc w:val="left"/>
              <w:rPr>
                <w:lang w:val="it-IT"/>
              </w:rPr>
            </w:pPr>
            <w:r>
              <w:rPr>
                <w:lang w:val="it-IT"/>
              </w:rPr>
              <w:t>OIC 17.136</w:t>
            </w:r>
          </w:p>
        </w:tc>
        <w:tc>
          <w:tcPr>
            <w:tcW w:w="7060" w:type="dxa"/>
            <w:tcMar>
              <w:left w:w="108" w:type="dxa"/>
            </w:tcMar>
            <w:vAlign w:val="center"/>
          </w:tcPr>
          <w:p w:rsidR="00071E65" w:rsidRPr="00011753" w:rsidRDefault="00071E65" w:rsidP="00D73E98">
            <w:pPr>
              <w:spacing w:line="230" w:lineRule="exact"/>
              <w:rPr>
                <w:lang w:val="it-IT"/>
              </w:rPr>
            </w:pPr>
            <w:r w:rsidRPr="00011753">
              <w:rPr>
                <w:lang w:val="it-IT"/>
              </w:rPr>
              <w:t>Nel caso di cambiamento del criterio di valutazione delle partecipazioni di controllo, di</w:t>
            </w:r>
            <w:r>
              <w:rPr>
                <w:lang w:val="it-IT"/>
              </w:rPr>
              <w:t xml:space="preserve"> </w:t>
            </w:r>
            <w:r w:rsidRPr="00011753">
              <w:rPr>
                <w:lang w:val="it-IT"/>
              </w:rPr>
              <w:t>collegamento e a controllo congiunto, mediante l’abbandono di un criterio di valutazione a favore</w:t>
            </w:r>
            <w:r>
              <w:rPr>
                <w:lang w:val="it-IT"/>
              </w:rPr>
              <w:t xml:space="preserve"> </w:t>
            </w:r>
            <w:r w:rsidRPr="00011753">
              <w:rPr>
                <w:lang w:val="it-IT"/>
              </w:rPr>
              <w:t xml:space="preserve">di altro previsto dalle norme, </w:t>
            </w:r>
            <w:r>
              <w:rPr>
                <w:lang w:val="it-IT"/>
              </w:rPr>
              <w:t>sono state applicate</w:t>
            </w:r>
            <w:r w:rsidRPr="00011753">
              <w:rPr>
                <w:lang w:val="it-IT"/>
              </w:rPr>
              <w:t xml:space="preserve"> le disposizioni in tema di cambiamenti di principi</w:t>
            </w:r>
            <w:r>
              <w:rPr>
                <w:lang w:val="it-IT"/>
              </w:rPr>
              <w:t xml:space="preserve"> </w:t>
            </w:r>
            <w:r w:rsidRPr="00011753">
              <w:rPr>
                <w:lang w:val="it-IT"/>
              </w:rPr>
              <w:t>contabili previste dall’OIC 29 “Cambiamenti di principi contabili, cambiamenti di stime</w:t>
            </w:r>
            <w:r>
              <w:rPr>
                <w:lang w:val="it-IT"/>
              </w:rPr>
              <w:t xml:space="preserve"> </w:t>
            </w:r>
            <w:r w:rsidRPr="00011753">
              <w:rPr>
                <w:lang w:val="it-IT"/>
              </w:rPr>
              <w:t>contabili, correzione di errori, fatti intervenuti d</w:t>
            </w:r>
            <w:r>
              <w:rPr>
                <w:lang w:val="it-IT"/>
              </w:rPr>
              <w:t>opo la chiusura dell’esercizio”?</w:t>
            </w:r>
          </w:p>
        </w:tc>
        <w:tc>
          <w:tcPr>
            <w:tcW w:w="586" w:type="dxa"/>
            <w:tcMar>
              <w:left w:w="85" w:type="dxa"/>
              <w:right w:w="85" w:type="dxa"/>
            </w:tcMar>
            <w:vAlign w:val="center"/>
          </w:tcPr>
          <w:p w:rsidR="00071E65" w:rsidRPr="0029541C"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29541C"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29541C"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r w:rsidR="00071E65" w:rsidRPr="00CC1ACF" w:rsidTr="00D73E98">
        <w:trPr>
          <w:cantSplit/>
          <w:trHeight w:val="282"/>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p>
        </w:tc>
        <w:tc>
          <w:tcPr>
            <w:tcW w:w="7060" w:type="dxa"/>
            <w:tcMar>
              <w:left w:w="108" w:type="dxa"/>
            </w:tcMar>
          </w:tcPr>
          <w:p w:rsidR="00071E65" w:rsidRPr="00111A9F" w:rsidRDefault="00071E65" w:rsidP="00D73E98">
            <w:pPr>
              <w:pStyle w:val="Titolo2"/>
            </w:pPr>
            <w:r>
              <w:t>Nota Integrativa</w:t>
            </w:r>
          </w:p>
        </w:tc>
        <w:tc>
          <w:tcPr>
            <w:tcW w:w="586" w:type="dxa"/>
            <w:tcMar>
              <w:left w:w="85" w:type="dxa"/>
              <w:right w:w="85" w:type="dxa"/>
            </w:tcMar>
            <w:vAlign w:val="center"/>
          </w:tcPr>
          <w:p w:rsidR="00071E65" w:rsidRPr="00AD2501" w:rsidRDefault="00071E65" w:rsidP="00D73E98">
            <w:pPr>
              <w:jc w:val="center"/>
              <w:rPr>
                <w:lang w:val="it-IT"/>
              </w:rPr>
            </w:pPr>
          </w:p>
        </w:tc>
        <w:tc>
          <w:tcPr>
            <w:tcW w:w="573" w:type="dxa"/>
            <w:tcMar>
              <w:left w:w="108" w:type="dxa"/>
            </w:tcMar>
            <w:vAlign w:val="center"/>
          </w:tcPr>
          <w:p w:rsidR="00071E65" w:rsidRPr="00AD2501" w:rsidRDefault="00071E65" w:rsidP="00D73E98">
            <w:pPr>
              <w:jc w:val="center"/>
              <w:rPr>
                <w:lang w:val="it-IT"/>
              </w:rPr>
            </w:pPr>
          </w:p>
        </w:tc>
        <w:tc>
          <w:tcPr>
            <w:tcW w:w="570" w:type="dxa"/>
            <w:tcMar>
              <w:left w:w="108" w:type="dxa"/>
            </w:tcMar>
            <w:vAlign w:val="center"/>
          </w:tcPr>
          <w:p w:rsidR="00071E65" w:rsidRPr="00AD2501" w:rsidRDefault="00071E65" w:rsidP="00D73E98">
            <w:pPr>
              <w:jc w:val="center"/>
              <w:rPr>
                <w:lang w:val="it-IT"/>
              </w:rPr>
            </w:pPr>
          </w:p>
        </w:tc>
      </w:tr>
      <w:tr w:rsidR="00071E65" w:rsidRPr="00CC242B" w:rsidTr="00D73E98">
        <w:trPr>
          <w:cantSplit/>
          <w:trHeight w:val="282"/>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p>
        </w:tc>
        <w:tc>
          <w:tcPr>
            <w:tcW w:w="7060" w:type="dxa"/>
            <w:tcMar>
              <w:left w:w="108" w:type="dxa"/>
            </w:tcMar>
          </w:tcPr>
          <w:p w:rsidR="00071E65" w:rsidRDefault="00071E65" w:rsidP="00D73E98">
            <w:pPr>
              <w:pStyle w:val="Titolo3"/>
              <w:rPr>
                <w:lang w:val="it-IT"/>
              </w:rPr>
            </w:pPr>
            <w:r>
              <w:rPr>
                <w:lang w:val="it-IT"/>
              </w:rPr>
              <w:t>Informazioni relative alle soci</w:t>
            </w:r>
            <w:r w:rsidRPr="00F92FA2">
              <w:rPr>
                <w:lang w:val="it-IT"/>
              </w:rPr>
              <w:t>età che redigono il bilancio in forma</w:t>
            </w:r>
            <w:r>
              <w:rPr>
                <w:lang w:val="it-IT"/>
              </w:rPr>
              <w:t xml:space="preserve"> ordinaria</w:t>
            </w:r>
          </w:p>
        </w:tc>
        <w:tc>
          <w:tcPr>
            <w:tcW w:w="586" w:type="dxa"/>
            <w:tcMar>
              <w:left w:w="85" w:type="dxa"/>
              <w:right w:w="85" w:type="dxa"/>
            </w:tcMar>
            <w:vAlign w:val="center"/>
          </w:tcPr>
          <w:p w:rsidR="00071E65" w:rsidRPr="00AD2501" w:rsidRDefault="00071E65" w:rsidP="00D73E98">
            <w:pPr>
              <w:jc w:val="center"/>
              <w:rPr>
                <w:lang w:val="it-IT"/>
              </w:rPr>
            </w:pPr>
          </w:p>
        </w:tc>
        <w:tc>
          <w:tcPr>
            <w:tcW w:w="573" w:type="dxa"/>
            <w:tcMar>
              <w:left w:w="108" w:type="dxa"/>
            </w:tcMar>
            <w:vAlign w:val="center"/>
          </w:tcPr>
          <w:p w:rsidR="00071E65" w:rsidRPr="00AD2501" w:rsidRDefault="00071E65" w:rsidP="00D73E98">
            <w:pPr>
              <w:jc w:val="center"/>
              <w:rPr>
                <w:lang w:val="it-IT"/>
              </w:rPr>
            </w:pPr>
          </w:p>
        </w:tc>
        <w:tc>
          <w:tcPr>
            <w:tcW w:w="570" w:type="dxa"/>
            <w:tcMar>
              <w:left w:w="108" w:type="dxa"/>
            </w:tcMar>
            <w:vAlign w:val="center"/>
          </w:tcPr>
          <w:p w:rsidR="00071E65" w:rsidRPr="00AD2501" w:rsidRDefault="00071E65" w:rsidP="00D73E98">
            <w:pPr>
              <w:jc w:val="center"/>
              <w:rPr>
                <w:lang w:val="it-IT"/>
              </w:rPr>
            </w:pPr>
          </w:p>
        </w:tc>
      </w:tr>
      <w:tr w:rsidR="00071E65" w:rsidRPr="00CC242B" w:rsidTr="00D73E98">
        <w:trPr>
          <w:cantSplit/>
          <w:trHeight w:val="282"/>
        </w:trPr>
        <w:tc>
          <w:tcPr>
            <w:tcW w:w="680" w:type="dxa"/>
          </w:tcPr>
          <w:p w:rsidR="00071E65" w:rsidRPr="004C73AD" w:rsidRDefault="00071E65" w:rsidP="00D73E98">
            <w:pPr>
              <w:jc w:val="center"/>
              <w:rPr>
                <w:b/>
                <w:lang w:val="it-IT"/>
              </w:rPr>
            </w:pPr>
            <w:r w:rsidRPr="004C73AD">
              <w:rPr>
                <w:b/>
                <w:lang w:val="it-IT"/>
              </w:rPr>
              <w:t>3</w:t>
            </w:r>
            <w:r>
              <w:rPr>
                <w:b/>
                <w:lang w:val="it-IT"/>
              </w:rPr>
              <w:t>2</w:t>
            </w:r>
            <w:r w:rsidRPr="004C73AD">
              <w:rPr>
                <w:b/>
                <w:lang w:val="it-IT"/>
              </w:rPr>
              <w:t xml:space="preserve">) </w:t>
            </w:r>
          </w:p>
        </w:tc>
        <w:tc>
          <w:tcPr>
            <w:tcW w:w="851" w:type="dxa"/>
            <w:tcMar>
              <w:left w:w="108" w:type="dxa"/>
              <w:right w:w="0" w:type="dxa"/>
            </w:tcMar>
          </w:tcPr>
          <w:p w:rsidR="00071E65" w:rsidRDefault="00071E65" w:rsidP="00D73E98">
            <w:pPr>
              <w:pStyle w:val="PrincCont"/>
              <w:jc w:val="left"/>
              <w:rPr>
                <w:lang w:val="it-IT"/>
              </w:rPr>
            </w:pPr>
          </w:p>
        </w:tc>
        <w:tc>
          <w:tcPr>
            <w:tcW w:w="7060" w:type="dxa"/>
            <w:tcMar>
              <w:left w:w="108" w:type="dxa"/>
            </w:tcMar>
          </w:tcPr>
          <w:p w:rsidR="00071E65" w:rsidRDefault="00071E65" w:rsidP="00D73E98">
            <w:pPr>
              <w:spacing w:line="230" w:lineRule="exact"/>
              <w:rPr>
                <w:lang w:val="it-IT"/>
              </w:rPr>
            </w:pPr>
            <w:r>
              <w:rPr>
                <w:lang w:val="it-IT"/>
              </w:rPr>
              <w:t>La Nota Integrativa riporta le seguenti informazioni:</w:t>
            </w:r>
          </w:p>
        </w:tc>
        <w:tc>
          <w:tcPr>
            <w:tcW w:w="586" w:type="dxa"/>
            <w:tcMar>
              <w:left w:w="85" w:type="dxa"/>
              <w:right w:w="85" w:type="dxa"/>
            </w:tcMar>
            <w:vAlign w:val="center"/>
          </w:tcPr>
          <w:p w:rsidR="00071E65" w:rsidRPr="00AD2501" w:rsidRDefault="00071E65" w:rsidP="00D73E98">
            <w:pPr>
              <w:jc w:val="center"/>
              <w:rPr>
                <w:lang w:val="it-IT"/>
              </w:rPr>
            </w:pPr>
          </w:p>
        </w:tc>
        <w:tc>
          <w:tcPr>
            <w:tcW w:w="573" w:type="dxa"/>
            <w:tcMar>
              <w:left w:w="108" w:type="dxa"/>
            </w:tcMar>
            <w:vAlign w:val="center"/>
          </w:tcPr>
          <w:p w:rsidR="00071E65" w:rsidRPr="00AD2501" w:rsidRDefault="00071E65" w:rsidP="00D73E98">
            <w:pPr>
              <w:jc w:val="center"/>
              <w:rPr>
                <w:lang w:val="it-IT"/>
              </w:rPr>
            </w:pPr>
          </w:p>
        </w:tc>
        <w:tc>
          <w:tcPr>
            <w:tcW w:w="570" w:type="dxa"/>
            <w:tcMar>
              <w:left w:w="108" w:type="dxa"/>
            </w:tcMar>
            <w:vAlign w:val="center"/>
          </w:tcPr>
          <w:p w:rsidR="00071E65" w:rsidRPr="00AD2501" w:rsidRDefault="00071E65" w:rsidP="00D73E98">
            <w:pPr>
              <w:jc w:val="center"/>
              <w:rPr>
                <w:lang w:val="it-IT"/>
              </w:rPr>
            </w:pPr>
          </w:p>
        </w:tc>
      </w:tr>
      <w:tr w:rsidR="00071E65" w:rsidRPr="007A720A" w:rsidTr="00D73E98">
        <w:trPr>
          <w:cantSplit/>
          <w:trHeight w:val="282"/>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Pr="00071E65" w:rsidRDefault="00071E65" w:rsidP="00D73E98">
            <w:pPr>
              <w:pStyle w:val="PrincCont"/>
              <w:jc w:val="left"/>
            </w:pPr>
            <w:r w:rsidRPr="00503631">
              <w:t>Art. 2426, c.1, n.4, CC</w:t>
            </w:r>
            <w:r>
              <w:t xml:space="preserve">      </w:t>
            </w:r>
            <w:r w:rsidRPr="00503631">
              <w:t>OIC 17.1</w:t>
            </w:r>
            <w:r>
              <w:t>84</w:t>
            </w:r>
          </w:p>
        </w:tc>
        <w:tc>
          <w:tcPr>
            <w:tcW w:w="7060" w:type="dxa"/>
            <w:tcMar>
              <w:left w:w="108" w:type="dxa"/>
            </w:tcMar>
          </w:tcPr>
          <w:p w:rsidR="00071E65" w:rsidRDefault="00A819F9" w:rsidP="00A819F9">
            <w:pPr>
              <w:pStyle w:val="Rientroa"/>
              <w:numPr>
                <w:ilvl w:val="0"/>
                <w:numId w:val="0"/>
              </w:numPr>
              <w:ind w:left="392" w:hanging="360"/>
            </w:pPr>
            <w:r w:rsidRPr="00A819F9">
              <w:t>a)</w:t>
            </w:r>
            <w:r w:rsidRPr="00A819F9">
              <w:tab/>
            </w:r>
            <w:r w:rsidR="00071E65" w:rsidRPr="007A720A">
              <w:t>nel caso in cui la partecipazione è iscritta per la prima volta in base al metodo del patrimonio netto, e l’eccedenza del costo di acquisto rispetto alla quota di patrimonio netto acquisito è stata iscritta nell’attivo e ammortizzato, per la parte attribuibile ai beni ammortizzabili o all’avviamento, le ragioni di tale trattamento</w:t>
            </w:r>
          </w:p>
        </w:tc>
        <w:tc>
          <w:tcPr>
            <w:tcW w:w="586" w:type="dxa"/>
            <w:tcMar>
              <w:left w:w="85" w:type="dxa"/>
              <w:right w:w="85"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r w:rsidR="00071E65" w:rsidRPr="00A819F9" w:rsidTr="00D73E98">
        <w:trPr>
          <w:cantSplit/>
          <w:trHeight w:val="282"/>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pPr>
            <w:r w:rsidRPr="00503631">
              <w:t>OIC 17.1</w:t>
            </w:r>
            <w:r>
              <w:t>65</w:t>
            </w:r>
          </w:p>
          <w:p w:rsidR="00071E65" w:rsidRDefault="00071E65" w:rsidP="00D73E98">
            <w:pPr>
              <w:pStyle w:val="PrincCont"/>
              <w:jc w:val="left"/>
              <w:rPr>
                <w:lang w:val="it-IT"/>
              </w:rPr>
            </w:pPr>
            <w:r w:rsidRPr="00503631">
              <w:t>OIC 17.1</w:t>
            </w:r>
            <w:r>
              <w:t>84</w:t>
            </w:r>
          </w:p>
        </w:tc>
        <w:tc>
          <w:tcPr>
            <w:tcW w:w="7060" w:type="dxa"/>
            <w:tcMar>
              <w:left w:w="108" w:type="dxa"/>
            </w:tcMar>
          </w:tcPr>
          <w:p w:rsidR="00071E65" w:rsidRDefault="00A819F9" w:rsidP="00A819F9">
            <w:pPr>
              <w:pStyle w:val="Rientroa"/>
              <w:numPr>
                <w:ilvl w:val="0"/>
                <w:numId w:val="0"/>
              </w:numPr>
              <w:ind w:left="392" w:hanging="360"/>
            </w:pPr>
            <w:r>
              <w:t>b)</w:t>
            </w:r>
            <w:r>
              <w:tab/>
            </w:r>
            <w:r w:rsidR="00071E65" w:rsidRPr="007A720A">
              <w:t>Nel caso in cui la data di chiusura del bilancio diverga da quella della partecipante, ai fini dell’applicazione del metodo del patrimonio netto si fa riferimento ad un bilancio intermedio della partecipata la cui chiusura coincida con quella della società partecipante;</w:t>
            </w:r>
          </w:p>
        </w:tc>
        <w:tc>
          <w:tcPr>
            <w:tcW w:w="586" w:type="dxa"/>
            <w:tcMar>
              <w:left w:w="85" w:type="dxa"/>
              <w:right w:w="85"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r w:rsidR="00071E65" w:rsidRPr="007A720A" w:rsidTr="00D73E98">
        <w:trPr>
          <w:cantSplit/>
          <w:trHeight w:val="282"/>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p>
        </w:tc>
        <w:tc>
          <w:tcPr>
            <w:tcW w:w="7060" w:type="dxa"/>
            <w:tcMar>
              <w:left w:w="108" w:type="dxa"/>
            </w:tcMar>
          </w:tcPr>
          <w:p w:rsidR="00071E65" w:rsidRDefault="00A819F9" w:rsidP="00A819F9">
            <w:pPr>
              <w:pStyle w:val="Rientroa"/>
              <w:numPr>
                <w:ilvl w:val="0"/>
                <w:numId w:val="0"/>
              </w:numPr>
              <w:ind w:left="392" w:hanging="360"/>
            </w:pPr>
            <w:r>
              <w:t>c)</w:t>
            </w:r>
            <w:r>
              <w:tab/>
            </w:r>
            <w:r w:rsidR="00071E65" w:rsidRPr="007A720A">
              <w:t>l’ammontare della riserva non distribuibile che deriva dall’applicazione del metodo del patrimonio netto</w:t>
            </w:r>
          </w:p>
        </w:tc>
        <w:tc>
          <w:tcPr>
            <w:tcW w:w="586" w:type="dxa"/>
            <w:tcMar>
              <w:left w:w="85" w:type="dxa"/>
              <w:right w:w="85"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r w:rsidR="00071E65" w:rsidRPr="00A819F9" w:rsidTr="00D73E98">
        <w:trPr>
          <w:cantSplit/>
          <w:trHeight w:val="282"/>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r>
              <w:rPr>
                <w:lang w:val="it-IT"/>
              </w:rPr>
              <w:t>OIC 29.25</w:t>
            </w:r>
          </w:p>
        </w:tc>
        <w:tc>
          <w:tcPr>
            <w:tcW w:w="7060" w:type="dxa"/>
            <w:tcMar>
              <w:left w:w="108" w:type="dxa"/>
            </w:tcMar>
          </w:tcPr>
          <w:p w:rsidR="00071E65" w:rsidRDefault="00A819F9" w:rsidP="00A819F9">
            <w:pPr>
              <w:pStyle w:val="Rientroa"/>
              <w:numPr>
                <w:ilvl w:val="0"/>
                <w:numId w:val="0"/>
              </w:numPr>
              <w:ind w:left="392" w:hanging="360"/>
            </w:pPr>
            <w:r>
              <w:t>d)</w:t>
            </w:r>
            <w:r>
              <w:tab/>
            </w:r>
            <w:r w:rsidR="00071E65" w:rsidRPr="007A720A">
              <w:t>nel caso di modificazione del criterio, le motivazioni alla base del cambiamento e gli effetti del nuovo criterio sulle voci di stato patrimoniale, di conto economico e del rendiconto finanziario dell’esercizio in corso e di quello precedente,</w:t>
            </w:r>
          </w:p>
        </w:tc>
        <w:tc>
          <w:tcPr>
            <w:tcW w:w="586" w:type="dxa"/>
            <w:tcMar>
              <w:left w:w="85" w:type="dxa"/>
              <w:right w:w="85"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r w:rsidR="00071E65" w:rsidRPr="00CC242B" w:rsidTr="00D73E98">
        <w:trPr>
          <w:cantSplit/>
          <w:trHeight w:val="282"/>
        </w:trPr>
        <w:tc>
          <w:tcPr>
            <w:tcW w:w="680" w:type="dxa"/>
          </w:tcPr>
          <w:p w:rsidR="00071E65" w:rsidRDefault="00071E65" w:rsidP="00D73E98">
            <w:pPr>
              <w:jc w:val="center"/>
              <w:rPr>
                <w:lang w:val="it-IT"/>
              </w:rPr>
            </w:pPr>
          </w:p>
        </w:tc>
        <w:tc>
          <w:tcPr>
            <w:tcW w:w="851" w:type="dxa"/>
            <w:tcMar>
              <w:left w:w="108" w:type="dxa"/>
              <w:right w:w="0" w:type="dxa"/>
            </w:tcMar>
          </w:tcPr>
          <w:p w:rsidR="00071E65" w:rsidRDefault="00071E65" w:rsidP="00D73E98">
            <w:pPr>
              <w:pStyle w:val="PrincCont"/>
              <w:jc w:val="left"/>
              <w:rPr>
                <w:lang w:val="it-IT"/>
              </w:rPr>
            </w:pPr>
          </w:p>
        </w:tc>
        <w:tc>
          <w:tcPr>
            <w:tcW w:w="7060" w:type="dxa"/>
            <w:tcMar>
              <w:left w:w="108" w:type="dxa"/>
            </w:tcMar>
          </w:tcPr>
          <w:p w:rsidR="00071E65" w:rsidRPr="00F92FA2" w:rsidRDefault="00071E65" w:rsidP="00D73E98">
            <w:pPr>
              <w:pStyle w:val="Titolo3"/>
              <w:rPr>
                <w:lang w:val="it-IT"/>
              </w:rPr>
            </w:pPr>
            <w:r>
              <w:rPr>
                <w:lang w:val="it-IT"/>
              </w:rPr>
              <w:t>Informazioni relative alle soci</w:t>
            </w:r>
            <w:r w:rsidRPr="00F92FA2">
              <w:rPr>
                <w:lang w:val="it-IT"/>
              </w:rPr>
              <w:t>età che redigono il bilancio in forma abbreviata</w:t>
            </w:r>
          </w:p>
        </w:tc>
        <w:tc>
          <w:tcPr>
            <w:tcW w:w="586" w:type="dxa"/>
            <w:tcMar>
              <w:left w:w="85" w:type="dxa"/>
              <w:right w:w="85" w:type="dxa"/>
            </w:tcMar>
            <w:vAlign w:val="center"/>
          </w:tcPr>
          <w:p w:rsidR="00071E65" w:rsidRPr="000960EC" w:rsidRDefault="00071E65" w:rsidP="00D73E98">
            <w:pPr>
              <w:jc w:val="center"/>
              <w:rPr>
                <w:lang w:val="it-IT"/>
              </w:rPr>
            </w:pPr>
          </w:p>
        </w:tc>
        <w:tc>
          <w:tcPr>
            <w:tcW w:w="573" w:type="dxa"/>
            <w:tcMar>
              <w:left w:w="108" w:type="dxa"/>
            </w:tcMar>
            <w:vAlign w:val="center"/>
          </w:tcPr>
          <w:p w:rsidR="00071E65" w:rsidRPr="000960EC" w:rsidRDefault="00071E65" w:rsidP="00D73E98">
            <w:pPr>
              <w:jc w:val="center"/>
              <w:rPr>
                <w:lang w:val="it-IT"/>
              </w:rPr>
            </w:pPr>
          </w:p>
        </w:tc>
        <w:tc>
          <w:tcPr>
            <w:tcW w:w="570" w:type="dxa"/>
            <w:tcMar>
              <w:left w:w="108" w:type="dxa"/>
            </w:tcMar>
            <w:vAlign w:val="center"/>
          </w:tcPr>
          <w:p w:rsidR="00071E65" w:rsidRPr="000960EC" w:rsidRDefault="00071E65" w:rsidP="00D73E98">
            <w:pPr>
              <w:jc w:val="center"/>
              <w:rPr>
                <w:lang w:val="it-IT"/>
              </w:rPr>
            </w:pPr>
          </w:p>
        </w:tc>
      </w:tr>
      <w:tr w:rsidR="00071E65" w:rsidRPr="00F92FA2" w:rsidTr="00D73E98">
        <w:trPr>
          <w:cantSplit/>
          <w:trHeight w:val="282"/>
        </w:trPr>
        <w:tc>
          <w:tcPr>
            <w:tcW w:w="680" w:type="dxa"/>
          </w:tcPr>
          <w:p w:rsidR="00071E65" w:rsidRDefault="00071E65" w:rsidP="00D73E98">
            <w:pPr>
              <w:jc w:val="center"/>
              <w:rPr>
                <w:lang w:val="it-IT"/>
              </w:rPr>
            </w:pPr>
            <w:r w:rsidRPr="000960EC">
              <w:rPr>
                <w:b/>
                <w:lang w:val="it-IT"/>
              </w:rPr>
              <w:t>3</w:t>
            </w:r>
            <w:r>
              <w:rPr>
                <w:b/>
                <w:lang w:val="it-IT"/>
              </w:rPr>
              <w:t>3</w:t>
            </w:r>
            <w:r w:rsidRPr="000960EC">
              <w:rPr>
                <w:b/>
                <w:lang w:val="it-IT"/>
              </w:rPr>
              <w:t>)</w:t>
            </w:r>
          </w:p>
        </w:tc>
        <w:tc>
          <w:tcPr>
            <w:tcW w:w="851" w:type="dxa"/>
            <w:tcMar>
              <w:left w:w="108" w:type="dxa"/>
              <w:right w:w="0" w:type="dxa"/>
            </w:tcMar>
          </w:tcPr>
          <w:p w:rsidR="00071E65" w:rsidRPr="000960EC" w:rsidRDefault="00071E65" w:rsidP="00D73E98">
            <w:pPr>
              <w:pStyle w:val="PrincCont"/>
              <w:jc w:val="left"/>
            </w:pPr>
            <w:r w:rsidRPr="00503631">
              <w:t>Art. 2426, c.1, n.4, CC</w:t>
            </w:r>
            <w:r>
              <w:t xml:space="preserve">      </w:t>
            </w:r>
            <w:r w:rsidRPr="00503631">
              <w:t>OIC 17.1</w:t>
            </w:r>
            <w:r>
              <w:t>85</w:t>
            </w:r>
          </w:p>
        </w:tc>
        <w:tc>
          <w:tcPr>
            <w:tcW w:w="7060" w:type="dxa"/>
            <w:tcMar>
              <w:left w:w="108" w:type="dxa"/>
            </w:tcMar>
          </w:tcPr>
          <w:p w:rsidR="00071E65" w:rsidRPr="00682074" w:rsidRDefault="00071E65" w:rsidP="00D73E98">
            <w:pPr>
              <w:pStyle w:val="Rientroa"/>
              <w:numPr>
                <w:ilvl w:val="0"/>
                <w:numId w:val="0"/>
              </w:numPr>
              <w:spacing w:line="230" w:lineRule="exact"/>
            </w:pPr>
            <w:r w:rsidRPr="000960EC">
              <w:t>N</w:t>
            </w:r>
            <w:r w:rsidRPr="00D544B2">
              <w:t>el caso in cui la partecipazione è iscritta per la prima volta in base al metodo del patrimonio netto, e l’eccedenza del costo di acquisto rispetto alla quota di patrimonio netto acquisito è stata iscritta nell’attivo e ammortizzato, per la parte attribuibile ai beni ammortizzabili o all’avviamento, le ragioni di tale trattamento</w:t>
            </w:r>
            <w:r>
              <w:t>.</w:t>
            </w:r>
          </w:p>
        </w:tc>
        <w:tc>
          <w:tcPr>
            <w:tcW w:w="586" w:type="dxa"/>
            <w:tcMar>
              <w:left w:w="85" w:type="dxa"/>
              <w:right w:w="85" w:type="dxa"/>
            </w:tcMar>
            <w:vAlign w:val="center"/>
          </w:tcPr>
          <w:p w:rsidR="00071E65" w:rsidRPr="00682074"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3" w:type="dxa"/>
            <w:tcMar>
              <w:left w:w="108" w:type="dxa"/>
            </w:tcMar>
            <w:vAlign w:val="center"/>
          </w:tcPr>
          <w:p w:rsidR="00071E65" w:rsidRPr="00682074"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c>
          <w:tcPr>
            <w:tcW w:w="570" w:type="dxa"/>
            <w:tcMar>
              <w:left w:w="108" w:type="dxa"/>
            </w:tcMar>
            <w:vAlign w:val="center"/>
          </w:tcPr>
          <w:p w:rsidR="00071E65" w:rsidRPr="00682074"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CA1681">
              <w:fldChar w:fldCharType="separate"/>
            </w:r>
            <w:r>
              <w:fldChar w:fldCharType="end"/>
            </w:r>
          </w:p>
        </w:tc>
      </w:tr>
    </w:tbl>
    <w:p w:rsidR="00071E65" w:rsidRPr="00682074" w:rsidRDefault="00071E65" w:rsidP="00071E65">
      <w:pPr>
        <w:rPr>
          <w:lang w:val="it-IT"/>
        </w:rPr>
      </w:pPr>
    </w:p>
    <w:p w:rsidR="00071E65" w:rsidRDefault="00071E65" w:rsidP="00A43012">
      <w:pPr>
        <w:rPr>
          <w:lang w:val="it-IT"/>
        </w:rPr>
        <w:sectPr w:rsidR="00071E65" w:rsidSect="008E5F3E">
          <w:headerReference w:type="default" r:id="rId33"/>
          <w:footerReference w:type="default" r:id="rId34"/>
          <w:pgSz w:w="11906" w:h="16838" w:code="9"/>
          <w:pgMar w:top="1134" w:right="851" w:bottom="851" w:left="851" w:header="709" w:footer="567" w:gutter="0"/>
          <w:cols w:space="708"/>
          <w:docGrid w:linePitch="360"/>
        </w:sectPr>
      </w:pPr>
    </w:p>
    <w:p w:rsidR="00024F9E" w:rsidRPr="00024F9E" w:rsidRDefault="00024F9E" w:rsidP="00024F9E"/>
    <w:p w:rsidR="00024F9E" w:rsidRPr="00024F9E" w:rsidRDefault="00024F9E" w:rsidP="00024F9E">
      <w:pPr>
        <w:tabs>
          <w:tab w:val="left" w:pos="1890"/>
        </w:tabs>
        <w:spacing w:line="260" w:lineRule="exact"/>
        <w:ind w:left="990" w:hanging="990"/>
        <w:jc w:val="left"/>
        <w:rPr>
          <w:b/>
          <w:color w:val="0070C0"/>
        </w:rPr>
      </w:pPr>
      <w:r w:rsidRPr="00024F9E">
        <w:rPr>
          <w:b/>
          <w:color w:val="0070C0"/>
          <w:sz w:val="28"/>
        </w:rPr>
        <w:t>R</w:t>
      </w:r>
      <w:r w:rsidRPr="00024F9E">
        <w:rPr>
          <w:b/>
          <w:color w:val="0070C0"/>
          <w:sz w:val="28"/>
          <w:szCs w:val="22"/>
          <w:lang w:val="it-IT"/>
        </w:rPr>
        <w:t>imanenze</w:t>
      </w:r>
    </w:p>
    <w:p w:rsidR="00024F9E" w:rsidRPr="00024F9E" w:rsidRDefault="00024F9E" w:rsidP="00024F9E"/>
    <w:p w:rsidR="00024F9E" w:rsidRPr="00024F9E" w:rsidRDefault="00024F9E" w:rsidP="00024F9E"/>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024F9E" w:rsidRPr="00024F9E" w:rsidTr="00D73E98">
        <w:trPr>
          <w:cantSplit/>
          <w:trHeight w:val="20"/>
          <w:tblHeader/>
        </w:trPr>
        <w:tc>
          <w:tcPr>
            <w:tcW w:w="680" w:type="dxa"/>
            <w:shd w:val="clear" w:color="auto" w:fill="F2F2F2" w:themeFill="background1" w:themeFillShade="F2"/>
          </w:tcPr>
          <w:p w:rsidR="00024F9E" w:rsidRPr="00024F9E" w:rsidRDefault="00024F9E" w:rsidP="00024F9E">
            <w:pPr>
              <w:jc w:val="center"/>
              <w:rPr>
                <w:lang w:val="it-IT"/>
              </w:rPr>
            </w:pPr>
          </w:p>
        </w:tc>
        <w:tc>
          <w:tcPr>
            <w:tcW w:w="851" w:type="dxa"/>
            <w:shd w:val="clear" w:color="auto" w:fill="F2F2F2" w:themeFill="background1" w:themeFillShade="F2"/>
            <w:tcMar>
              <w:left w:w="108" w:type="dxa"/>
              <w:right w:w="0" w:type="dxa"/>
            </w:tcMar>
          </w:tcPr>
          <w:p w:rsidR="00024F9E" w:rsidRPr="00024F9E" w:rsidRDefault="00024F9E" w:rsidP="00024F9E">
            <w:pPr>
              <w:jc w:val="left"/>
              <w:rPr>
                <w:b/>
                <w:lang w:val="it-IT"/>
              </w:rPr>
            </w:pPr>
          </w:p>
        </w:tc>
        <w:tc>
          <w:tcPr>
            <w:tcW w:w="7060" w:type="dxa"/>
            <w:shd w:val="clear" w:color="auto" w:fill="F2F2F2" w:themeFill="background1" w:themeFillShade="F2"/>
            <w:tcMar>
              <w:left w:w="108" w:type="dxa"/>
            </w:tcMar>
          </w:tcPr>
          <w:p w:rsidR="00024F9E" w:rsidRPr="00024F9E" w:rsidRDefault="00024F9E" w:rsidP="00024F9E">
            <w:pPr>
              <w:jc w:val="center"/>
              <w:rPr>
                <w:b/>
                <w:lang w:val="it-IT"/>
              </w:rPr>
            </w:pPr>
          </w:p>
        </w:tc>
        <w:tc>
          <w:tcPr>
            <w:tcW w:w="586" w:type="dxa"/>
            <w:shd w:val="clear" w:color="auto" w:fill="F2F2F2" w:themeFill="background1" w:themeFillShade="F2"/>
            <w:tcMar>
              <w:left w:w="85" w:type="dxa"/>
              <w:right w:w="85" w:type="dxa"/>
            </w:tcMar>
            <w:vAlign w:val="bottom"/>
          </w:tcPr>
          <w:p w:rsidR="00024F9E" w:rsidRPr="00024F9E" w:rsidRDefault="00024F9E" w:rsidP="00024F9E">
            <w:pPr>
              <w:jc w:val="center"/>
              <w:rPr>
                <w:b/>
                <w:lang w:val="it-IT"/>
              </w:rPr>
            </w:pPr>
            <w:r w:rsidRPr="00024F9E">
              <w:rPr>
                <w:b/>
                <w:lang w:val="it-IT"/>
              </w:rPr>
              <w:t>SI</w:t>
            </w:r>
          </w:p>
        </w:tc>
        <w:tc>
          <w:tcPr>
            <w:tcW w:w="573" w:type="dxa"/>
            <w:shd w:val="clear" w:color="auto" w:fill="F2F2F2" w:themeFill="background1" w:themeFillShade="F2"/>
            <w:tcMar>
              <w:left w:w="108" w:type="dxa"/>
            </w:tcMar>
            <w:vAlign w:val="bottom"/>
          </w:tcPr>
          <w:p w:rsidR="00024F9E" w:rsidRPr="00024F9E" w:rsidRDefault="00024F9E" w:rsidP="00024F9E">
            <w:pPr>
              <w:jc w:val="center"/>
              <w:rPr>
                <w:b/>
                <w:lang w:val="it-IT"/>
              </w:rPr>
            </w:pPr>
            <w:r w:rsidRPr="00024F9E">
              <w:rPr>
                <w:b/>
                <w:lang w:val="it-IT"/>
              </w:rPr>
              <w:t>NO</w:t>
            </w:r>
          </w:p>
        </w:tc>
        <w:tc>
          <w:tcPr>
            <w:tcW w:w="570" w:type="dxa"/>
            <w:shd w:val="clear" w:color="auto" w:fill="F2F2F2" w:themeFill="background1" w:themeFillShade="F2"/>
            <w:tcMar>
              <w:left w:w="108" w:type="dxa"/>
            </w:tcMar>
            <w:vAlign w:val="bottom"/>
          </w:tcPr>
          <w:p w:rsidR="00024F9E" w:rsidRPr="00024F9E" w:rsidRDefault="00024F9E" w:rsidP="00024F9E">
            <w:pPr>
              <w:jc w:val="center"/>
              <w:rPr>
                <w:b/>
                <w:lang w:val="it-IT"/>
              </w:rPr>
            </w:pPr>
            <w:r w:rsidRPr="00024F9E">
              <w:rPr>
                <w:b/>
                <w:lang w:val="it-IT"/>
              </w:rPr>
              <w:t>N/A</w:t>
            </w:r>
          </w:p>
        </w:tc>
      </w:tr>
      <w:tr w:rsidR="00024F9E" w:rsidRPr="00024F9E" w:rsidTr="00D73E98">
        <w:trPr>
          <w:cantSplit/>
          <w:trHeight w:val="20"/>
        </w:trPr>
        <w:tc>
          <w:tcPr>
            <w:tcW w:w="680" w:type="dxa"/>
            <w:vAlign w:val="center"/>
          </w:tcPr>
          <w:p w:rsidR="00024F9E" w:rsidRPr="00024F9E" w:rsidRDefault="00024F9E" w:rsidP="00024F9E">
            <w:pPr>
              <w:jc w:val="center"/>
              <w:rPr>
                <w:lang w:val="it-IT"/>
              </w:rPr>
            </w:pPr>
          </w:p>
        </w:tc>
        <w:tc>
          <w:tcPr>
            <w:tcW w:w="851" w:type="dxa"/>
            <w:tcMar>
              <w:left w:w="108" w:type="dxa"/>
              <w:right w:w="0" w:type="dxa"/>
            </w:tcMar>
            <w:vAlign w:val="center"/>
          </w:tcPr>
          <w:p w:rsidR="00024F9E" w:rsidRPr="00024F9E" w:rsidRDefault="00024F9E" w:rsidP="00024F9E">
            <w:pPr>
              <w:spacing w:before="40" w:line="240" w:lineRule="exact"/>
              <w:ind w:right="28"/>
              <w:jc w:val="left"/>
              <w:rPr>
                <w:sz w:val="13"/>
                <w:szCs w:val="13"/>
                <w:lang w:val="it-IT"/>
              </w:rPr>
            </w:pPr>
          </w:p>
        </w:tc>
        <w:tc>
          <w:tcPr>
            <w:tcW w:w="7060" w:type="dxa"/>
            <w:tcMar>
              <w:left w:w="108" w:type="dxa"/>
            </w:tcMar>
            <w:vAlign w:val="center"/>
          </w:tcPr>
          <w:p w:rsidR="00024F9E" w:rsidRPr="00024F9E" w:rsidRDefault="00024F9E" w:rsidP="00024F9E">
            <w:pPr>
              <w:keepNext/>
              <w:overflowPunct/>
              <w:autoSpaceDE/>
              <w:autoSpaceDN/>
              <w:adjustRightInd/>
              <w:spacing w:before="0" w:after="0" w:line="240" w:lineRule="exact"/>
              <w:jc w:val="left"/>
              <w:textAlignment w:val="auto"/>
              <w:outlineLvl w:val="0"/>
              <w:rPr>
                <w:b/>
                <w:caps/>
                <w:kern w:val="28"/>
                <w:sz w:val="22"/>
                <w:szCs w:val="22"/>
                <w:lang w:val="it-IT"/>
              </w:rPr>
            </w:pPr>
            <w:r w:rsidRPr="00024F9E">
              <w:rPr>
                <w:b/>
                <w:caps/>
                <w:kern w:val="28"/>
                <w:sz w:val="22"/>
                <w:szCs w:val="22"/>
                <w:lang w:val="it-IT"/>
              </w:rPr>
              <w:t>Rimanenze</w:t>
            </w:r>
          </w:p>
        </w:tc>
        <w:tc>
          <w:tcPr>
            <w:tcW w:w="586" w:type="dxa"/>
            <w:tcMar>
              <w:left w:w="85" w:type="dxa"/>
              <w:right w:w="85" w:type="dxa"/>
            </w:tcMar>
            <w:vAlign w:val="center"/>
          </w:tcPr>
          <w:p w:rsidR="00024F9E" w:rsidRPr="00024F9E" w:rsidRDefault="00024F9E" w:rsidP="00024F9E">
            <w:pPr>
              <w:jc w:val="left"/>
              <w:rPr>
                <w:lang w:val="it-IT"/>
              </w:rPr>
            </w:pPr>
          </w:p>
        </w:tc>
        <w:tc>
          <w:tcPr>
            <w:tcW w:w="573" w:type="dxa"/>
            <w:tcMar>
              <w:left w:w="108" w:type="dxa"/>
            </w:tcMar>
            <w:vAlign w:val="center"/>
          </w:tcPr>
          <w:p w:rsidR="00024F9E" w:rsidRPr="00024F9E" w:rsidRDefault="00024F9E" w:rsidP="00024F9E">
            <w:pPr>
              <w:jc w:val="left"/>
              <w:rPr>
                <w:lang w:val="it-IT"/>
              </w:rPr>
            </w:pPr>
          </w:p>
        </w:tc>
        <w:tc>
          <w:tcPr>
            <w:tcW w:w="570" w:type="dxa"/>
            <w:tcMar>
              <w:left w:w="108" w:type="dxa"/>
            </w:tcMar>
            <w:vAlign w:val="center"/>
          </w:tcPr>
          <w:p w:rsidR="00024F9E" w:rsidRPr="00024F9E" w:rsidRDefault="00024F9E" w:rsidP="00024F9E">
            <w:pPr>
              <w:jc w:val="left"/>
              <w:rPr>
                <w:lang w:val="it-IT"/>
              </w:rPr>
            </w:pPr>
          </w:p>
        </w:tc>
      </w:tr>
      <w:tr w:rsidR="00024F9E" w:rsidRPr="00CC242B"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13.4</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Le rimanenze di magazzino rappresentano beni destinati alla vendita o che concorrono alla loro produzione nella normale attività della società.</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CC242B"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keepNext/>
              <w:overflowPunct/>
              <w:autoSpaceDE/>
              <w:autoSpaceDN/>
              <w:adjustRightInd/>
              <w:spacing w:line="240" w:lineRule="exact"/>
              <w:textAlignment w:val="auto"/>
              <w:outlineLvl w:val="1"/>
              <w:rPr>
                <w:b/>
                <w:sz w:val="22"/>
                <w:lang w:val="it-IT"/>
              </w:rPr>
            </w:pPr>
            <w:r w:rsidRPr="00024F9E">
              <w:rPr>
                <w:b/>
                <w:sz w:val="22"/>
                <w:lang w:val="it-IT"/>
              </w:rPr>
              <w:t>Classificazione e contenuto delle voci</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spacing w:line="240" w:lineRule="exact"/>
              <w:rPr>
                <w:b/>
                <w:i/>
              </w:rPr>
            </w:pPr>
            <w:r w:rsidRPr="00024F9E">
              <w:rPr>
                <w:b/>
                <w:i/>
              </w:rPr>
              <w:t>Stato patrimoniale</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CC242B" w:rsidTr="00D73E98">
        <w:trPr>
          <w:cantSplit/>
          <w:trHeight w:val="20"/>
        </w:trPr>
        <w:tc>
          <w:tcPr>
            <w:tcW w:w="680" w:type="dxa"/>
          </w:tcPr>
          <w:p w:rsidR="00024F9E" w:rsidRPr="00024F9E" w:rsidRDefault="00024F9E" w:rsidP="00024F9E">
            <w:pPr>
              <w:jc w:val="center"/>
              <w:rPr>
                <w:b/>
                <w:lang w:val="it-IT"/>
              </w:rPr>
            </w:pPr>
            <w:r w:rsidRPr="00024F9E">
              <w:rPr>
                <w:b/>
                <w:lang w:val="it-IT"/>
              </w:rPr>
              <w:t>1)</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Art. 2424 CC</w:t>
            </w:r>
          </w:p>
          <w:p w:rsidR="00024F9E" w:rsidRPr="00024F9E" w:rsidRDefault="00024F9E" w:rsidP="00024F9E">
            <w:pPr>
              <w:spacing w:before="40" w:line="240" w:lineRule="auto"/>
              <w:ind w:right="28"/>
              <w:jc w:val="left"/>
              <w:rPr>
                <w:sz w:val="13"/>
                <w:szCs w:val="13"/>
                <w:lang w:val="it-IT"/>
              </w:rPr>
            </w:pPr>
            <w:r w:rsidRPr="00024F9E">
              <w:rPr>
                <w:sz w:val="13"/>
                <w:szCs w:val="13"/>
                <w:lang w:val="it-IT"/>
              </w:rPr>
              <w:t>OIC 13.11</w:t>
            </w:r>
          </w:p>
        </w:tc>
        <w:tc>
          <w:tcPr>
            <w:tcW w:w="7060" w:type="dxa"/>
            <w:tcMar>
              <w:left w:w="108" w:type="dxa"/>
            </w:tcMar>
          </w:tcPr>
          <w:p w:rsidR="00024F9E" w:rsidRPr="00024F9E" w:rsidRDefault="00024F9E" w:rsidP="00024F9E">
            <w:pPr>
              <w:spacing w:line="230" w:lineRule="exact"/>
              <w:rPr>
                <w:lang w:val="it-IT"/>
              </w:rPr>
            </w:pPr>
            <w:r w:rsidRPr="00024F9E">
              <w:rPr>
                <w:lang w:val="it-IT"/>
              </w:rPr>
              <w:t>Le rimanenze sono state classificate nelle seguenti voci:</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spacing w:line="230" w:lineRule="exact"/>
            </w:pPr>
            <w:r w:rsidRPr="00024F9E">
              <w:t>C.I Rimanenze</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tabs>
                <w:tab w:val="num" w:pos="318"/>
              </w:tabs>
              <w:overflowPunct/>
              <w:autoSpaceDE/>
              <w:autoSpaceDN/>
              <w:adjustRightInd/>
              <w:spacing w:line="230" w:lineRule="exact"/>
              <w:ind w:left="318"/>
              <w:textAlignment w:val="auto"/>
              <w:rPr>
                <w:lang w:val="it-IT"/>
              </w:rPr>
            </w:pPr>
            <w:r w:rsidRPr="00024F9E">
              <w:rPr>
                <w:lang w:val="it-IT"/>
              </w:rPr>
              <w:t>1) materie prime, sussidiarie e di consumo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overflowPunct/>
              <w:autoSpaceDE/>
              <w:autoSpaceDN/>
              <w:adjustRightInd/>
              <w:spacing w:line="230" w:lineRule="exact"/>
              <w:ind w:left="318"/>
              <w:textAlignment w:val="auto"/>
              <w:rPr>
                <w:lang w:val="it-IT"/>
              </w:rPr>
            </w:pPr>
            <w:r w:rsidRPr="00024F9E">
              <w:rPr>
                <w:lang w:val="it-IT"/>
              </w:rPr>
              <w:t>2) prodotti in corso di lavorazione e semilavorati</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overflowPunct/>
              <w:autoSpaceDE/>
              <w:autoSpaceDN/>
              <w:adjustRightInd/>
              <w:spacing w:line="230" w:lineRule="exact"/>
              <w:ind w:left="318"/>
              <w:textAlignment w:val="auto"/>
              <w:rPr>
                <w:lang w:val="it-IT"/>
              </w:rPr>
            </w:pPr>
            <w:r w:rsidRPr="00024F9E">
              <w:rPr>
                <w:lang w:val="it-IT"/>
              </w:rPr>
              <w:t>3) lavori in corso su ordinazione</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overflowPunct/>
              <w:autoSpaceDE/>
              <w:autoSpaceDN/>
              <w:adjustRightInd/>
              <w:spacing w:line="230" w:lineRule="exact"/>
              <w:ind w:left="318"/>
              <w:textAlignment w:val="auto"/>
              <w:rPr>
                <w:lang w:val="it-IT"/>
              </w:rPr>
            </w:pPr>
            <w:r w:rsidRPr="00024F9E">
              <w:rPr>
                <w:lang w:val="it-IT"/>
              </w:rPr>
              <w:t>4) prodotti finiti e merci</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overflowPunct/>
              <w:autoSpaceDE/>
              <w:autoSpaceDN/>
              <w:adjustRightInd/>
              <w:spacing w:line="230" w:lineRule="exact"/>
              <w:ind w:left="318"/>
              <w:textAlignment w:val="auto"/>
              <w:rPr>
                <w:lang w:val="it-IT"/>
              </w:rPr>
            </w:pPr>
            <w:r w:rsidRPr="00024F9E">
              <w:rPr>
                <w:lang w:val="it-IT"/>
              </w:rPr>
              <w:t>5) acconti?</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2)</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13.13</w:t>
            </w:r>
          </w:p>
        </w:tc>
        <w:tc>
          <w:tcPr>
            <w:tcW w:w="7060" w:type="dxa"/>
            <w:tcMar>
              <w:left w:w="108" w:type="dxa"/>
            </w:tcMar>
          </w:tcPr>
          <w:p w:rsidR="00024F9E" w:rsidRPr="00024F9E" w:rsidRDefault="00024F9E" w:rsidP="00024F9E">
            <w:pPr>
              <w:spacing w:line="230" w:lineRule="exact"/>
              <w:rPr>
                <w:lang w:val="it-IT"/>
              </w:rPr>
            </w:pPr>
            <w:r w:rsidRPr="00024F9E">
              <w:rPr>
                <w:lang w:val="it-IT"/>
              </w:rPr>
              <w:t>Le svalutazioni dei beni inclusi nelle rimanenze di magazzino sono state rilevate a rettifica diretta dei relative valori iscritti nell’attivo?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3)</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13.13</w:t>
            </w:r>
          </w:p>
        </w:tc>
        <w:tc>
          <w:tcPr>
            <w:tcW w:w="7060" w:type="dxa"/>
            <w:tcMar>
              <w:left w:w="108" w:type="dxa"/>
            </w:tcMar>
          </w:tcPr>
          <w:p w:rsidR="00024F9E" w:rsidRPr="00024F9E" w:rsidRDefault="00024F9E" w:rsidP="00024F9E">
            <w:pPr>
              <w:spacing w:line="230" w:lineRule="exact"/>
              <w:rPr>
                <w:lang w:val="it-IT"/>
              </w:rPr>
            </w:pPr>
            <w:r w:rsidRPr="00024F9E">
              <w:rPr>
                <w:lang w:val="it-IT"/>
              </w:rPr>
              <w:t>Eventuali ripristini di valore hanno determinato un incremento delle rimanenze di magazzino, nei limiti del costo originariamente sostenuto?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4)</w:t>
            </w: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r w:rsidRPr="00024F9E">
              <w:rPr>
                <w:sz w:val="13"/>
                <w:szCs w:val="13"/>
                <w:lang w:val="it-IT"/>
              </w:rPr>
              <w:t>OIC 13.14</w:t>
            </w:r>
          </w:p>
        </w:tc>
        <w:tc>
          <w:tcPr>
            <w:tcW w:w="7060" w:type="dxa"/>
            <w:tcMar>
              <w:left w:w="108" w:type="dxa"/>
            </w:tcMar>
          </w:tcPr>
          <w:p w:rsidR="00024F9E" w:rsidRPr="00024F9E" w:rsidRDefault="00024F9E" w:rsidP="00024F9E">
            <w:pPr>
              <w:spacing w:line="230" w:lineRule="exact"/>
              <w:rPr>
                <w:lang w:val="it-IT"/>
              </w:rPr>
            </w:pPr>
            <w:r w:rsidRPr="00024F9E">
              <w:rPr>
                <w:lang w:val="it-IT"/>
              </w:rPr>
              <w:t>I contributi in conto esercizio ricevuti per l’acquisto di beni inclusi nelle rimanenze sono stati  rilevati nella voce A5 “altri ricavi e proventi”, in linea con quanto espressamente previsto dall’articolo2425 codice civile?</w:t>
            </w:r>
          </w:p>
        </w:tc>
        <w:tc>
          <w:tcPr>
            <w:tcW w:w="586" w:type="dxa"/>
            <w:tcMar>
              <w:left w:w="85" w:type="dxa"/>
              <w:right w:w="85" w:type="dxa"/>
            </w:tcMar>
            <w:vAlign w:val="center"/>
          </w:tcPr>
          <w:p w:rsidR="00024F9E" w:rsidRPr="00024F9E" w:rsidRDefault="00024F9E" w:rsidP="00024F9E">
            <w:pPr>
              <w:jc w:val="cente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keepNext/>
              <w:jc w:val="cente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keepNext/>
              <w:jc w:val="cente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5)</w:t>
            </w: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r w:rsidRPr="00024F9E">
              <w:rPr>
                <w:sz w:val="13"/>
                <w:szCs w:val="13"/>
                <w:lang w:val="it-IT"/>
              </w:rPr>
              <w:t>OIC 13.14</w:t>
            </w:r>
          </w:p>
        </w:tc>
        <w:tc>
          <w:tcPr>
            <w:tcW w:w="7060" w:type="dxa"/>
            <w:tcMar>
              <w:left w:w="108" w:type="dxa"/>
            </w:tcMar>
          </w:tcPr>
          <w:p w:rsidR="00024F9E" w:rsidRPr="00024F9E" w:rsidRDefault="00024F9E" w:rsidP="00024F9E">
            <w:pPr>
              <w:spacing w:line="230" w:lineRule="exact"/>
              <w:rPr>
                <w:lang w:val="it-IT"/>
              </w:rPr>
            </w:pPr>
            <w:r w:rsidRPr="00024F9E">
              <w:rPr>
                <w:lang w:val="it-IT"/>
              </w:rPr>
              <w:t>La voce “acconti” comprende le somme corrisposte ai fornitori prima della consegna dei relativi beni?</w:t>
            </w:r>
          </w:p>
        </w:tc>
        <w:tc>
          <w:tcPr>
            <w:tcW w:w="586" w:type="dxa"/>
            <w:tcMar>
              <w:left w:w="85" w:type="dxa"/>
              <w:right w:w="85" w:type="dxa"/>
            </w:tcMar>
            <w:vAlign w:val="center"/>
          </w:tcPr>
          <w:p w:rsidR="00024F9E" w:rsidRPr="00024F9E" w:rsidRDefault="00024F9E" w:rsidP="00024F9E">
            <w:pPr>
              <w:jc w:val="cente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keepNext/>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keepNext/>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CC242B"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keepNext/>
              <w:overflowPunct/>
              <w:autoSpaceDE/>
              <w:autoSpaceDN/>
              <w:adjustRightInd/>
              <w:spacing w:line="240" w:lineRule="exact"/>
              <w:textAlignment w:val="auto"/>
              <w:outlineLvl w:val="1"/>
              <w:rPr>
                <w:b/>
                <w:lang w:val="it-IT"/>
              </w:rPr>
            </w:pPr>
            <w:r w:rsidRPr="00024F9E">
              <w:rPr>
                <w:b/>
                <w:i/>
                <w:lang w:val="it-IT"/>
              </w:rPr>
              <w:t>Componenti economiche relative alle rimanenze</w:t>
            </w:r>
          </w:p>
        </w:tc>
        <w:tc>
          <w:tcPr>
            <w:tcW w:w="586" w:type="dxa"/>
            <w:tcMar>
              <w:left w:w="85" w:type="dxa"/>
              <w:right w:w="85" w:type="dxa"/>
            </w:tcMar>
            <w:vAlign w:val="bottom"/>
          </w:tcPr>
          <w:p w:rsidR="00024F9E" w:rsidRPr="00024F9E" w:rsidRDefault="00024F9E" w:rsidP="00024F9E">
            <w:pPr>
              <w:keepNext/>
              <w:rPr>
                <w:lang w:val="it-IT"/>
              </w:rPr>
            </w:pPr>
          </w:p>
        </w:tc>
        <w:tc>
          <w:tcPr>
            <w:tcW w:w="573" w:type="dxa"/>
            <w:tcMar>
              <w:left w:w="108" w:type="dxa"/>
            </w:tcMar>
            <w:vAlign w:val="bottom"/>
          </w:tcPr>
          <w:p w:rsidR="00024F9E" w:rsidRPr="00024F9E" w:rsidRDefault="00024F9E" w:rsidP="00024F9E">
            <w:pPr>
              <w:keepNext/>
              <w:rPr>
                <w:lang w:val="it-IT"/>
              </w:rPr>
            </w:pPr>
          </w:p>
        </w:tc>
        <w:tc>
          <w:tcPr>
            <w:tcW w:w="570" w:type="dxa"/>
            <w:tcMar>
              <w:left w:w="108" w:type="dxa"/>
            </w:tcMar>
            <w:vAlign w:val="bottom"/>
          </w:tcPr>
          <w:p w:rsidR="00024F9E" w:rsidRPr="00024F9E" w:rsidRDefault="00024F9E" w:rsidP="00024F9E">
            <w:pPr>
              <w:keepNext/>
              <w:rPr>
                <w:lang w:val="it-IT"/>
              </w:rPr>
            </w:pPr>
          </w:p>
        </w:tc>
      </w:tr>
      <w:tr w:rsidR="00024F9E" w:rsidRPr="00CC242B" w:rsidTr="00D73E98">
        <w:trPr>
          <w:cantSplit/>
          <w:trHeight w:val="20"/>
        </w:trPr>
        <w:tc>
          <w:tcPr>
            <w:tcW w:w="680" w:type="dxa"/>
          </w:tcPr>
          <w:p w:rsidR="00024F9E" w:rsidRPr="00024F9E" w:rsidRDefault="00024F9E" w:rsidP="00024F9E">
            <w:pPr>
              <w:jc w:val="center"/>
              <w:rPr>
                <w:b/>
                <w:lang w:val="it-IT"/>
              </w:rPr>
            </w:pPr>
            <w:r w:rsidRPr="00024F9E">
              <w:rPr>
                <w:b/>
                <w:lang w:val="it-IT"/>
              </w:rPr>
              <w:t>6)</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Art. 2425 CC</w:t>
            </w:r>
          </w:p>
          <w:p w:rsidR="00024F9E" w:rsidRPr="00024F9E" w:rsidRDefault="00024F9E" w:rsidP="00024F9E">
            <w:pPr>
              <w:keepNext/>
              <w:spacing w:before="40" w:line="240" w:lineRule="auto"/>
              <w:ind w:right="28"/>
              <w:jc w:val="left"/>
              <w:rPr>
                <w:sz w:val="13"/>
                <w:szCs w:val="13"/>
                <w:lang w:val="it-IT"/>
              </w:rPr>
            </w:pPr>
            <w:r w:rsidRPr="00024F9E">
              <w:rPr>
                <w:sz w:val="13"/>
                <w:szCs w:val="13"/>
                <w:lang w:val="it-IT"/>
              </w:rPr>
              <w:t>OIC 13.12</w:t>
            </w:r>
          </w:p>
        </w:tc>
        <w:tc>
          <w:tcPr>
            <w:tcW w:w="7060" w:type="dxa"/>
            <w:shd w:val="clear" w:color="auto" w:fill="FFFFFF" w:themeFill="background1"/>
            <w:tcMar>
              <w:left w:w="108" w:type="dxa"/>
            </w:tcMar>
          </w:tcPr>
          <w:p w:rsidR="00024F9E" w:rsidRPr="00024F9E" w:rsidRDefault="00024F9E" w:rsidP="00024F9E">
            <w:pPr>
              <w:spacing w:line="230" w:lineRule="exact"/>
              <w:rPr>
                <w:lang w:val="it-IT"/>
              </w:rPr>
            </w:pPr>
            <w:r w:rsidRPr="00024F9E">
              <w:rPr>
                <w:lang w:val="it-IT"/>
              </w:rPr>
              <w:t>Le componenti originate dalle rimanenze sono classificate nelle seguenti voci:</w:t>
            </w:r>
          </w:p>
        </w:tc>
        <w:tc>
          <w:tcPr>
            <w:tcW w:w="586" w:type="dxa"/>
            <w:tcMar>
              <w:left w:w="85" w:type="dxa"/>
              <w:right w:w="85" w:type="dxa"/>
            </w:tcMar>
            <w:vAlign w:val="bottom"/>
          </w:tcPr>
          <w:p w:rsidR="00024F9E" w:rsidRPr="00024F9E" w:rsidRDefault="00024F9E" w:rsidP="00024F9E">
            <w:pPr>
              <w:keepNext/>
              <w:rPr>
                <w:lang w:val="it-IT"/>
              </w:rPr>
            </w:pPr>
          </w:p>
        </w:tc>
        <w:tc>
          <w:tcPr>
            <w:tcW w:w="573" w:type="dxa"/>
            <w:tcMar>
              <w:left w:w="108" w:type="dxa"/>
            </w:tcMar>
            <w:vAlign w:val="bottom"/>
          </w:tcPr>
          <w:p w:rsidR="00024F9E" w:rsidRPr="00024F9E" w:rsidRDefault="00024F9E" w:rsidP="00024F9E">
            <w:pPr>
              <w:keepNext/>
              <w:rPr>
                <w:lang w:val="it-IT"/>
              </w:rPr>
            </w:pPr>
          </w:p>
        </w:tc>
        <w:tc>
          <w:tcPr>
            <w:tcW w:w="570" w:type="dxa"/>
            <w:tcMar>
              <w:left w:w="108" w:type="dxa"/>
            </w:tcMar>
            <w:vAlign w:val="bottom"/>
          </w:tcPr>
          <w:p w:rsidR="00024F9E" w:rsidRPr="00024F9E" w:rsidRDefault="00024F9E" w:rsidP="00024F9E">
            <w:pPr>
              <w:keepNext/>
              <w:rPr>
                <w:lang w:val="it-IT"/>
              </w:rPr>
            </w:pP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024F9E">
              <w:rPr>
                <w:lang w:val="it-IT"/>
              </w:rPr>
              <w:t>gli acquisti di materie prime, sussidiarie, di consumo e merci sono rilevati tra i costi di produzione, alla voce B6?</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p>
        </w:tc>
        <w:tc>
          <w:tcPr>
            <w:tcW w:w="7060" w:type="dxa"/>
            <w:tcMar>
              <w:left w:w="108" w:type="dxa"/>
            </w:tcMar>
          </w:tcPr>
          <w:p w:rsidR="00024F9E" w:rsidRPr="00024F9E" w:rsidRDefault="00024F9E" w:rsidP="00E13709">
            <w:pPr>
              <w:numPr>
                <w:ilvl w:val="0"/>
                <w:numId w:val="1"/>
              </w:numPr>
              <w:tabs>
                <w:tab w:val="clear" w:pos="704"/>
              </w:tabs>
              <w:overflowPunct/>
              <w:autoSpaceDE/>
              <w:autoSpaceDN/>
              <w:adjustRightInd/>
              <w:spacing w:line="230" w:lineRule="exact"/>
              <w:ind w:left="460" w:hanging="284"/>
              <w:textAlignment w:val="auto"/>
              <w:rPr>
                <w:lang w:val="it-IT"/>
              </w:rPr>
            </w:pPr>
            <w:r w:rsidRPr="00024F9E">
              <w:rPr>
                <w:lang w:val="it-IT"/>
              </w:rPr>
              <w:t>le variazioni delle rimanenze di prodotti in corso di lavorazione, semilavorati e finiti sono comprese nel valore della produzione, nella voce A2?</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024F9E">
              <w:rPr>
                <w:lang w:val="it-IT"/>
              </w:rPr>
              <w:t>le variazioni delle rimanenze di materie prime, sussidiarie e di consumo e merci sono comprese nei costi della produzione, nella voce B11?</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CC242B"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r w:rsidRPr="00024F9E">
              <w:rPr>
                <w:sz w:val="13"/>
                <w:szCs w:val="13"/>
                <w:lang w:val="it-IT"/>
              </w:rPr>
              <w:t>OIC 13.13</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Le componenti negative o positive di conto economico derivanti da svalutazioni e ripristini si riflettono, a seconda della natura della rimanenza cui si riferiscono, nelle voci A2 “variazioni delle rimanenze di prodotti in corso di lavorazione, semilavorati e finiti” e B11 “variazioni delle rimanenze di materie prime, sussidiarie e di consumo e merci”.</w:t>
            </w:r>
          </w:p>
        </w:tc>
        <w:tc>
          <w:tcPr>
            <w:tcW w:w="586" w:type="dxa"/>
            <w:tcMar>
              <w:left w:w="85" w:type="dxa"/>
              <w:right w:w="85" w:type="dxa"/>
            </w:tcMar>
            <w:vAlign w:val="bottom"/>
          </w:tcPr>
          <w:p w:rsidR="00024F9E" w:rsidRPr="00024F9E" w:rsidRDefault="00024F9E" w:rsidP="00024F9E">
            <w:pPr>
              <w:keepNext/>
              <w:rPr>
                <w:lang w:val="it-IT"/>
              </w:rPr>
            </w:pPr>
          </w:p>
        </w:tc>
        <w:tc>
          <w:tcPr>
            <w:tcW w:w="573" w:type="dxa"/>
            <w:tcMar>
              <w:left w:w="108" w:type="dxa"/>
            </w:tcMar>
            <w:vAlign w:val="bottom"/>
          </w:tcPr>
          <w:p w:rsidR="00024F9E" w:rsidRPr="00024F9E" w:rsidRDefault="00024F9E" w:rsidP="00024F9E">
            <w:pPr>
              <w:keepNext/>
              <w:rPr>
                <w:lang w:val="it-IT"/>
              </w:rPr>
            </w:pPr>
          </w:p>
        </w:tc>
        <w:tc>
          <w:tcPr>
            <w:tcW w:w="570" w:type="dxa"/>
            <w:tcMar>
              <w:left w:w="108" w:type="dxa"/>
            </w:tcMar>
            <w:vAlign w:val="bottom"/>
          </w:tcPr>
          <w:p w:rsidR="00024F9E" w:rsidRPr="00024F9E" w:rsidRDefault="00024F9E" w:rsidP="00024F9E">
            <w:pPr>
              <w:keepNext/>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7)</w:t>
            </w: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r w:rsidRPr="00024F9E">
              <w:rPr>
                <w:sz w:val="13"/>
                <w:szCs w:val="13"/>
                <w:lang w:val="it-IT"/>
              </w:rPr>
              <w:t>OIC 13.14</w:t>
            </w:r>
          </w:p>
        </w:tc>
        <w:tc>
          <w:tcPr>
            <w:tcW w:w="7060" w:type="dxa"/>
            <w:tcMar>
              <w:left w:w="108" w:type="dxa"/>
            </w:tcMar>
          </w:tcPr>
          <w:p w:rsidR="00024F9E" w:rsidRPr="00024F9E" w:rsidRDefault="00024F9E" w:rsidP="00024F9E">
            <w:pPr>
              <w:spacing w:line="230" w:lineRule="exact"/>
              <w:rPr>
                <w:lang w:val="it-IT"/>
              </w:rPr>
            </w:pPr>
            <w:r w:rsidRPr="00024F9E">
              <w:rPr>
                <w:lang w:val="it-IT"/>
              </w:rPr>
              <w:t>I costi sostenuti per gli acquisti di materie prime, sussidiarie, di consumo e merci sono stati rilevati tra i costi di produzione, alla voce B6, al lordo dei contributi in conto esercizio ricevuti per tali acquisti?</w:t>
            </w:r>
          </w:p>
        </w:tc>
        <w:tc>
          <w:tcPr>
            <w:tcW w:w="586" w:type="dxa"/>
            <w:tcMar>
              <w:left w:w="85" w:type="dxa"/>
              <w:right w:w="85" w:type="dxa"/>
            </w:tcMar>
            <w:vAlign w:val="center"/>
          </w:tcPr>
          <w:p w:rsidR="00024F9E" w:rsidRPr="00024F9E" w:rsidRDefault="00024F9E" w:rsidP="00024F9E">
            <w:pPr>
              <w:jc w:val="cente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keepNext/>
              <w:jc w:val="cente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keepNext/>
              <w:jc w:val="cente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8)</w:t>
            </w: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r w:rsidRPr="00024F9E">
              <w:rPr>
                <w:sz w:val="13"/>
                <w:szCs w:val="13"/>
                <w:lang w:val="it-IT"/>
              </w:rPr>
              <w:t>OIC 13.14</w:t>
            </w:r>
          </w:p>
        </w:tc>
        <w:tc>
          <w:tcPr>
            <w:tcW w:w="7060" w:type="dxa"/>
            <w:tcMar>
              <w:left w:w="108" w:type="dxa"/>
            </w:tcMar>
          </w:tcPr>
          <w:p w:rsidR="00024F9E" w:rsidRPr="00024F9E" w:rsidRDefault="00024F9E" w:rsidP="00024F9E">
            <w:pPr>
              <w:spacing w:line="230" w:lineRule="exact"/>
              <w:rPr>
                <w:lang w:val="it-IT"/>
              </w:rPr>
            </w:pPr>
            <w:r w:rsidRPr="00024F9E">
              <w:rPr>
                <w:lang w:val="it-IT"/>
              </w:rPr>
              <w:t>Alla chiusura dell’esercizio, la variazione delle rimanenze di materie prime, semilavorati e prodotti finiti è stata rilevata nelle voci B11 “variazioni delle rimanenze di materie prime, sussidiarie e di consumo e merci” o A2 “variazioni delle rimanenze di prodotti in corso di lavorazione, semilavorati e finiti” al netto dei contributi ricevuti?</w:t>
            </w:r>
          </w:p>
        </w:tc>
        <w:tc>
          <w:tcPr>
            <w:tcW w:w="586" w:type="dxa"/>
            <w:tcMar>
              <w:left w:w="85" w:type="dxa"/>
              <w:right w:w="85" w:type="dxa"/>
            </w:tcMar>
            <w:vAlign w:val="center"/>
          </w:tcPr>
          <w:p w:rsidR="00024F9E" w:rsidRPr="00024F9E" w:rsidRDefault="00024F9E" w:rsidP="00024F9E">
            <w:pPr>
              <w:jc w:val="cente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keepNext/>
              <w:jc w:val="cente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keepNext/>
              <w:jc w:val="cente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keepNext/>
              <w:overflowPunct/>
              <w:autoSpaceDE/>
              <w:autoSpaceDN/>
              <w:adjustRightInd/>
              <w:spacing w:line="240" w:lineRule="exact"/>
              <w:textAlignment w:val="auto"/>
              <w:outlineLvl w:val="1"/>
              <w:rPr>
                <w:b/>
                <w:sz w:val="22"/>
                <w:lang w:val="it-IT"/>
              </w:rPr>
            </w:pPr>
            <w:r w:rsidRPr="00024F9E">
              <w:rPr>
                <w:b/>
                <w:sz w:val="22"/>
                <w:lang w:val="it-IT"/>
              </w:rPr>
              <w:t>Rilevazione iniziale</w:t>
            </w:r>
          </w:p>
        </w:tc>
        <w:tc>
          <w:tcPr>
            <w:tcW w:w="586" w:type="dxa"/>
            <w:tcMar>
              <w:left w:w="85" w:type="dxa"/>
              <w:right w:w="85" w:type="dxa"/>
            </w:tcMar>
            <w:vAlign w:val="bottom"/>
          </w:tcPr>
          <w:p w:rsidR="00024F9E" w:rsidRPr="00024F9E" w:rsidRDefault="00024F9E" w:rsidP="00024F9E">
            <w:pPr>
              <w:keepNext/>
              <w:rPr>
                <w:lang w:val="it-IT"/>
              </w:rPr>
            </w:pPr>
          </w:p>
        </w:tc>
        <w:tc>
          <w:tcPr>
            <w:tcW w:w="573" w:type="dxa"/>
            <w:tcMar>
              <w:left w:w="108" w:type="dxa"/>
            </w:tcMar>
            <w:vAlign w:val="bottom"/>
          </w:tcPr>
          <w:p w:rsidR="00024F9E" w:rsidRPr="00024F9E" w:rsidRDefault="00024F9E" w:rsidP="00024F9E">
            <w:pPr>
              <w:keepNext/>
              <w:rPr>
                <w:lang w:val="it-IT"/>
              </w:rPr>
            </w:pPr>
          </w:p>
        </w:tc>
        <w:tc>
          <w:tcPr>
            <w:tcW w:w="570" w:type="dxa"/>
            <w:tcMar>
              <w:left w:w="108" w:type="dxa"/>
            </w:tcMar>
            <w:vAlign w:val="bottom"/>
          </w:tcPr>
          <w:p w:rsidR="00024F9E" w:rsidRPr="00024F9E" w:rsidRDefault="00024F9E" w:rsidP="00024F9E">
            <w:pPr>
              <w:keepNext/>
              <w:rPr>
                <w:lang w:val="it-IT"/>
              </w:rPr>
            </w:pP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p>
        </w:tc>
        <w:tc>
          <w:tcPr>
            <w:tcW w:w="7060" w:type="dxa"/>
            <w:tcMar>
              <w:left w:w="108" w:type="dxa"/>
            </w:tcMar>
          </w:tcPr>
          <w:p w:rsidR="00024F9E" w:rsidRPr="00024F9E" w:rsidRDefault="00024F9E" w:rsidP="00024F9E">
            <w:pPr>
              <w:spacing w:line="240" w:lineRule="exact"/>
              <w:rPr>
                <w:b/>
                <w:i/>
                <w:lang w:val="it-IT"/>
              </w:rPr>
            </w:pPr>
            <w:r w:rsidRPr="00024F9E">
              <w:rPr>
                <w:b/>
                <w:i/>
                <w:lang w:val="it-IT"/>
              </w:rPr>
              <w:t>Considerazioni generali</w:t>
            </w:r>
          </w:p>
        </w:tc>
        <w:tc>
          <w:tcPr>
            <w:tcW w:w="586" w:type="dxa"/>
            <w:tcMar>
              <w:left w:w="85" w:type="dxa"/>
              <w:right w:w="85" w:type="dxa"/>
            </w:tcMar>
            <w:vAlign w:val="center"/>
          </w:tcPr>
          <w:p w:rsidR="00024F9E" w:rsidRPr="00024F9E" w:rsidRDefault="00024F9E" w:rsidP="00024F9E">
            <w:pPr>
              <w:jc w:val="center"/>
            </w:pPr>
          </w:p>
        </w:tc>
        <w:tc>
          <w:tcPr>
            <w:tcW w:w="573" w:type="dxa"/>
            <w:tcMar>
              <w:left w:w="108" w:type="dxa"/>
            </w:tcMar>
            <w:vAlign w:val="center"/>
          </w:tcPr>
          <w:p w:rsidR="00024F9E" w:rsidRPr="00024F9E" w:rsidRDefault="00024F9E" w:rsidP="00024F9E">
            <w:pPr>
              <w:jc w:val="center"/>
            </w:pPr>
          </w:p>
        </w:tc>
        <w:tc>
          <w:tcPr>
            <w:tcW w:w="570" w:type="dxa"/>
            <w:tcMar>
              <w:left w:w="108" w:type="dxa"/>
            </w:tcMar>
            <w:vAlign w:val="center"/>
          </w:tcPr>
          <w:p w:rsidR="00024F9E" w:rsidRPr="00024F9E" w:rsidRDefault="00024F9E" w:rsidP="00024F9E">
            <w:pPr>
              <w:jc w:val="center"/>
            </w:pP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9)</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OIC 13.16</w:t>
            </w:r>
          </w:p>
        </w:tc>
        <w:tc>
          <w:tcPr>
            <w:tcW w:w="7060" w:type="dxa"/>
            <w:tcMar>
              <w:left w:w="108" w:type="dxa"/>
            </w:tcMar>
          </w:tcPr>
          <w:p w:rsidR="00024F9E" w:rsidRPr="00024F9E" w:rsidRDefault="00024F9E" w:rsidP="00024F9E">
            <w:pPr>
              <w:spacing w:line="230" w:lineRule="exact"/>
              <w:rPr>
                <w:lang w:val="it-IT"/>
              </w:rPr>
            </w:pPr>
            <w:r w:rsidRPr="00024F9E">
              <w:rPr>
                <w:lang w:val="it-IT"/>
              </w:rPr>
              <w:t>I beni rientranti nelle rimanenze di magazzino sono stati rilevati inizialmente alla data in cui avviene il trasferimento dei rischi e benefici connessi al bene acquisito?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CC242B"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OIC 13.17</w:t>
            </w:r>
          </w:p>
          <w:p w:rsidR="00024F9E" w:rsidRPr="00024F9E" w:rsidRDefault="00024F9E" w:rsidP="00024F9E">
            <w:pPr>
              <w:spacing w:before="40" w:line="240" w:lineRule="auto"/>
              <w:ind w:right="28"/>
              <w:jc w:val="left"/>
              <w:rPr>
                <w:sz w:val="13"/>
                <w:szCs w:val="13"/>
                <w:lang w:val="en-US"/>
              </w:rPr>
            </w:pPr>
            <w:r w:rsidRPr="00024F9E">
              <w:rPr>
                <w:sz w:val="13"/>
                <w:szCs w:val="13"/>
                <w:lang w:val="en-US"/>
              </w:rPr>
              <w:t>OIC 13.18</w:t>
            </w:r>
          </w:p>
          <w:p w:rsidR="00024F9E" w:rsidRPr="00024F9E" w:rsidRDefault="00024F9E" w:rsidP="00024F9E">
            <w:pPr>
              <w:spacing w:before="40" w:line="240" w:lineRule="auto"/>
              <w:ind w:right="28"/>
              <w:jc w:val="left"/>
              <w:rPr>
                <w:sz w:val="13"/>
                <w:szCs w:val="13"/>
                <w:lang w:val="en-US"/>
              </w:rPr>
            </w:pPr>
          </w:p>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Il trasferimento dei rischi e dei benefici avviene di solito quando viene trasferito il titolo di proprietà secondo le modalità contrattualmente stabilite. Se, in virtù di specifiche clausole contrattuali, non vi sia coincidenza tra la data in cui avviene il trasferimento dei rischi e dei benefici e la data in cui viene trasferito il titolo di proprietà, prevale la data in cui è avvenuto il trasferimento dei rischi e dei benefici.</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CC242B" w:rsidTr="00D73E98">
        <w:trPr>
          <w:cantSplit/>
          <w:trHeight w:val="20"/>
        </w:trPr>
        <w:tc>
          <w:tcPr>
            <w:tcW w:w="680" w:type="dxa"/>
          </w:tcPr>
          <w:p w:rsidR="00024F9E" w:rsidRPr="00024F9E" w:rsidRDefault="00024F9E" w:rsidP="00024F9E">
            <w:pPr>
              <w:jc w:val="center"/>
              <w:rPr>
                <w:b/>
                <w:lang w:val="it-IT"/>
              </w:rPr>
            </w:pPr>
            <w:r w:rsidRPr="00024F9E">
              <w:rPr>
                <w:b/>
                <w:lang w:val="it-IT"/>
              </w:rPr>
              <w:t>10)</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13.18</w:t>
            </w:r>
          </w:p>
        </w:tc>
        <w:tc>
          <w:tcPr>
            <w:tcW w:w="7060" w:type="dxa"/>
            <w:tcMar>
              <w:left w:w="108" w:type="dxa"/>
            </w:tcMar>
          </w:tcPr>
          <w:p w:rsidR="00024F9E" w:rsidRPr="00024F9E" w:rsidRDefault="00024F9E" w:rsidP="00024F9E">
            <w:pPr>
              <w:spacing w:line="230" w:lineRule="exact"/>
              <w:rPr>
                <w:lang w:val="it-IT"/>
              </w:rPr>
            </w:pPr>
            <w:r w:rsidRPr="00024F9E">
              <w:rPr>
                <w:lang w:val="it-IT"/>
              </w:rPr>
              <w:t>Le rimanenze di magazzino includono:</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4E27C2">
            <w:pPr>
              <w:numPr>
                <w:ilvl w:val="0"/>
                <w:numId w:val="29"/>
              </w:numPr>
              <w:overflowPunct/>
              <w:autoSpaceDE/>
              <w:autoSpaceDN/>
              <w:adjustRightInd/>
              <w:spacing w:line="230" w:lineRule="exact"/>
              <w:ind w:left="391" w:hanging="357"/>
              <w:textAlignment w:val="auto"/>
              <w:rPr>
                <w:lang w:val="it-IT"/>
              </w:rPr>
            </w:pPr>
            <w:r w:rsidRPr="00024F9E">
              <w:rPr>
                <w:lang w:val="it-IT"/>
              </w:rPr>
              <w:t>le rimanenze di magazzino presso gli stabilimenti e magazzini della società, ad esclusione di quelle ricevute da terzi in visione, in prova, in conto lavorazione e/o deposito, ecc.?</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4E27C2">
            <w:pPr>
              <w:numPr>
                <w:ilvl w:val="0"/>
                <w:numId w:val="29"/>
              </w:numPr>
              <w:overflowPunct/>
              <w:autoSpaceDE/>
              <w:autoSpaceDN/>
              <w:adjustRightInd/>
              <w:spacing w:line="230" w:lineRule="exact"/>
              <w:textAlignment w:val="auto"/>
              <w:rPr>
                <w:lang w:val="it-IT"/>
              </w:rPr>
            </w:pPr>
            <w:r w:rsidRPr="00024F9E">
              <w:rPr>
                <w:lang w:val="it-IT"/>
              </w:rPr>
              <w:t>le giacenze di proprietà della società presso terzi in conto deposito, lavorazione, prova, ecc.?</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4E27C2">
            <w:pPr>
              <w:numPr>
                <w:ilvl w:val="0"/>
                <w:numId w:val="29"/>
              </w:numPr>
              <w:overflowPunct/>
              <w:autoSpaceDE/>
              <w:autoSpaceDN/>
              <w:adjustRightInd/>
              <w:spacing w:line="230" w:lineRule="exact"/>
              <w:textAlignment w:val="auto"/>
              <w:rPr>
                <w:lang w:val="it-IT"/>
              </w:rPr>
            </w:pPr>
            <w:r w:rsidRPr="00024F9E">
              <w:rPr>
                <w:lang w:val="it-IT"/>
              </w:rPr>
              <w:t>materiali, merci e prodotti acquistati, non ancora pervenuti bensì in viaggio quando, secondo le modalità dell’acquisto, la società ha già acquisito il titolo di proprietà (ad esempio: consegna stabilimento o magazzino del fornitore)?</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11)</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13.19</w:t>
            </w:r>
          </w:p>
        </w:tc>
        <w:tc>
          <w:tcPr>
            <w:tcW w:w="7060" w:type="dxa"/>
            <w:tcMar>
              <w:left w:w="108" w:type="dxa"/>
            </w:tcMar>
          </w:tcPr>
          <w:p w:rsidR="00024F9E" w:rsidRPr="00024F9E" w:rsidRDefault="00024F9E" w:rsidP="00024F9E">
            <w:pPr>
              <w:spacing w:line="230" w:lineRule="exact"/>
              <w:rPr>
                <w:lang w:val="it-IT"/>
              </w:rPr>
            </w:pPr>
            <w:r w:rsidRPr="00024F9E">
              <w:rPr>
                <w:lang w:val="it-IT"/>
              </w:rPr>
              <w:t>Gli acconti versati ai fornitori per l’acquisto di beni rientranti nelle rimanenze di magazzino sono stati rilevati inizialmente alla data in cui sorge l’obbligo al pagamento di tali importi o, in assenza di un tale obbligo, al momento in cui è versato?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CC242B"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rPr>
                <w:b/>
                <w:i/>
                <w:lang w:val="it-IT"/>
              </w:rPr>
            </w:pPr>
            <w:r w:rsidRPr="00024F9E">
              <w:rPr>
                <w:b/>
                <w:i/>
                <w:lang w:val="it-IT"/>
              </w:rPr>
              <w:t>Costo d’acquisto e costi accessori d’acquisto</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12)</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13.20</w:t>
            </w:r>
          </w:p>
        </w:tc>
        <w:tc>
          <w:tcPr>
            <w:tcW w:w="7060" w:type="dxa"/>
            <w:tcMar>
              <w:left w:w="108" w:type="dxa"/>
            </w:tcMar>
          </w:tcPr>
          <w:p w:rsidR="00024F9E" w:rsidRPr="00024F9E" w:rsidRDefault="00024F9E" w:rsidP="00024F9E">
            <w:pPr>
              <w:spacing w:line="230" w:lineRule="exact"/>
              <w:rPr>
                <w:lang w:val="it-IT"/>
              </w:rPr>
            </w:pPr>
            <w:r w:rsidRPr="00024F9E">
              <w:rPr>
                <w:lang w:val="it-IT"/>
              </w:rPr>
              <w:t>il costo d’acquisto comprende anchei costi accessori (quali, ad esempio, i costi di trasporto, dogana, altri tributi direttamente imputabili a quel materiale)?</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13)</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13.21</w:t>
            </w:r>
          </w:p>
        </w:tc>
        <w:tc>
          <w:tcPr>
            <w:tcW w:w="7060" w:type="dxa"/>
            <w:tcMar>
              <w:left w:w="108" w:type="dxa"/>
            </w:tcMar>
          </w:tcPr>
          <w:p w:rsidR="00024F9E" w:rsidRPr="00024F9E" w:rsidRDefault="00024F9E" w:rsidP="00024F9E">
            <w:pPr>
              <w:spacing w:line="230" w:lineRule="exact"/>
              <w:rPr>
                <w:lang w:val="it-IT"/>
              </w:rPr>
            </w:pPr>
            <w:r w:rsidRPr="00024F9E">
              <w:rPr>
                <w:lang w:val="it-IT"/>
              </w:rPr>
              <w:t xml:space="preserve">I resi, gli sconti commerciali, gli abbuoni e premi sono stati portati in diminuzione dei costi? </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14)</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13.22</w:t>
            </w:r>
          </w:p>
        </w:tc>
        <w:tc>
          <w:tcPr>
            <w:tcW w:w="7060" w:type="dxa"/>
            <w:tcMar>
              <w:left w:w="108" w:type="dxa"/>
            </w:tcMar>
          </w:tcPr>
          <w:p w:rsidR="00024F9E" w:rsidRPr="00024F9E" w:rsidRDefault="00024F9E" w:rsidP="00024F9E">
            <w:pPr>
              <w:spacing w:line="230" w:lineRule="exact"/>
              <w:rPr>
                <w:lang w:val="it-IT"/>
              </w:rPr>
            </w:pPr>
            <w:r w:rsidRPr="00024F9E">
              <w:rPr>
                <w:lang w:val="it-IT"/>
              </w:rPr>
              <w:t>Nel caso in cui il pagamento sia differito rispetto alle normali condizioni di mercato, per operazioni similari o equiparabili, i beni sono iscritti in bilancio al valore corrispondente al debito determinato ai sensi dell’OIC 19 “Debiti”, ovvero al costo ammortizzato?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spacing w:line="240" w:lineRule="exact"/>
              <w:rPr>
                <w:b/>
                <w:i/>
                <w:lang w:val="it-IT"/>
              </w:rPr>
            </w:pPr>
            <w:r w:rsidRPr="00024F9E">
              <w:rPr>
                <w:b/>
                <w:i/>
                <w:lang w:val="it-IT"/>
              </w:rPr>
              <w:t>Costo di produzione</w:t>
            </w:r>
          </w:p>
        </w:tc>
        <w:tc>
          <w:tcPr>
            <w:tcW w:w="586" w:type="dxa"/>
            <w:tcMar>
              <w:left w:w="85" w:type="dxa"/>
              <w:right w:w="85" w:type="dxa"/>
            </w:tcMar>
            <w:vAlign w:val="center"/>
          </w:tcPr>
          <w:p w:rsidR="00024F9E" w:rsidRPr="00024F9E" w:rsidRDefault="00024F9E" w:rsidP="00024F9E">
            <w:pPr>
              <w:jc w:val="center"/>
            </w:pPr>
          </w:p>
        </w:tc>
        <w:tc>
          <w:tcPr>
            <w:tcW w:w="573" w:type="dxa"/>
            <w:tcMar>
              <w:left w:w="108" w:type="dxa"/>
            </w:tcMar>
            <w:vAlign w:val="center"/>
          </w:tcPr>
          <w:p w:rsidR="00024F9E" w:rsidRPr="00024F9E" w:rsidRDefault="00024F9E" w:rsidP="00024F9E">
            <w:pPr>
              <w:jc w:val="center"/>
            </w:pPr>
          </w:p>
        </w:tc>
        <w:tc>
          <w:tcPr>
            <w:tcW w:w="570" w:type="dxa"/>
            <w:tcMar>
              <w:left w:w="108" w:type="dxa"/>
            </w:tcMar>
            <w:vAlign w:val="center"/>
          </w:tcPr>
          <w:p w:rsidR="00024F9E" w:rsidRPr="00024F9E" w:rsidRDefault="00024F9E" w:rsidP="00024F9E">
            <w:pPr>
              <w:jc w:val="center"/>
            </w:pP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15)</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13.23</w:t>
            </w:r>
          </w:p>
        </w:tc>
        <w:tc>
          <w:tcPr>
            <w:tcW w:w="7060" w:type="dxa"/>
            <w:tcMar>
              <w:left w:w="108" w:type="dxa"/>
            </w:tcMar>
          </w:tcPr>
          <w:p w:rsidR="00024F9E" w:rsidRPr="00024F9E" w:rsidRDefault="00024F9E" w:rsidP="00024F9E">
            <w:pPr>
              <w:spacing w:line="230" w:lineRule="exact"/>
              <w:rPr>
                <w:lang w:val="it-IT"/>
              </w:rPr>
            </w:pPr>
            <w:r w:rsidRPr="00024F9E">
              <w:rPr>
                <w:lang w:val="it-IT"/>
              </w:rPr>
              <w:t>Il costo di produzione comprende i costi diretti ed i costi indiretti (cd. costi generali di produzione) sostenuti nel corso della produzione e necessari per portare le rimanenze di magazzino nelle condizioni e nel luogo attuali per la quota ragionevolmente imputabile al prodotto relativa al periodo di fabbricazione e fino al momento dal quale il bene può essereutilizzato?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16)</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13.23</w:t>
            </w:r>
          </w:p>
        </w:tc>
        <w:tc>
          <w:tcPr>
            <w:tcW w:w="7060" w:type="dxa"/>
            <w:tcMar>
              <w:left w:w="108" w:type="dxa"/>
            </w:tcMar>
          </w:tcPr>
          <w:p w:rsidR="00024F9E" w:rsidRPr="00024F9E" w:rsidRDefault="00024F9E" w:rsidP="00024F9E">
            <w:pPr>
              <w:spacing w:line="230" w:lineRule="exact"/>
              <w:rPr>
                <w:lang w:val="it-IT"/>
              </w:rPr>
            </w:pPr>
            <w:r w:rsidRPr="00024F9E">
              <w:rPr>
                <w:lang w:val="it-IT"/>
              </w:rPr>
              <w:t>Se sono stati aggiunti gli oneri relativi al finanziamento della fabbricazione, interna o presso terzi vi sono le condizioni previste dal paragrafo 39?</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CC242B"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13.39</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Gli oneri finanziari sono generalmente esclusi dalla determinazione del costo delle rimanenze. La capitalizzazione degli oneri finanziari è ammessa solo con riferimento a beni che richiedono un periodo di produzione (ad esempio, per la maturazione o l’invecchiamento) significativo. Il limite della capitalizzazione degli oneri finanziari è rappresentato dal valore realizzabile del bene desumibile dall’andamento del mercato (sulla misura e sui requisiti per la capitalizzazione degli oneri finanziari si veda l’OIC 16 “Immobilizzazioni materiali”). Il passaggio dalla capitalizzazione degli oneri finanziari all’imputazione direttamente a conto economico di tali oneri (o viceversa) costituisce un cambiamento di principio contabile (cfr. OIC 29 “Cambiamenti di principi contabili, cambiamenti di stime contabili, correzione di errori, fatti intervenuti dopo la chiusura dell’esercizio”).</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17)</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13.28</w:t>
            </w:r>
          </w:p>
        </w:tc>
        <w:tc>
          <w:tcPr>
            <w:tcW w:w="7060" w:type="dxa"/>
            <w:tcBorders>
              <w:bottom w:val="single" w:sz="4" w:space="0" w:color="auto"/>
            </w:tcBorders>
            <w:tcMar>
              <w:left w:w="108" w:type="dxa"/>
            </w:tcMar>
          </w:tcPr>
          <w:p w:rsidR="00024F9E" w:rsidRPr="00024F9E" w:rsidRDefault="00024F9E" w:rsidP="00024F9E">
            <w:pPr>
              <w:spacing w:line="230" w:lineRule="exact"/>
              <w:rPr>
                <w:lang w:val="it-IT"/>
              </w:rPr>
            </w:pPr>
            <w:r w:rsidRPr="00024F9E">
              <w:rPr>
                <w:lang w:val="it-IT"/>
              </w:rPr>
              <w:t>I costi generali fissi di produzione sono stati attribuiti a ciascuna unità prodotta in base alla normale capacità produttiva?</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CC242B" w:rsidTr="00D73E98">
        <w:trPr>
          <w:cantSplit/>
          <w:trHeight w:val="20"/>
        </w:trPr>
        <w:tc>
          <w:tcPr>
            <w:tcW w:w="680" w:type="dxa"/>
          </w:tcPr>
          <w:p w:rsidR="00024F9E" w:rsidRPr="00024F9E" w:rsidRDefault="00024F9E" w:rsidP="00024F9E">
            <w:pPr>
              <w:jc w:val="center"/>
              <w:rPr>
                <w:b/>
                <w:lang w:val="it-IT"/>
              </w:rPr>
            </w:pPr>
          </w:p>
        </w:tc>
        <w:tc>
          <w:tcPr>
            <w:tcW w:w="851" w:type="dxa"/>
            <w:tcBorders>
              <w:right w:val="single" w:sz="4" w:space="0" w:color="auto"/>
            </w:tcBorders>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13.28</w:t>
            </w:r>
          </w:p>
        </w:tc>
        <w:tc>
          <w:tcPr>
            <w:tcW w:w="7060" w:type="dxa"/>
            <w:tcBorders>
              <w:top w:val="single" w:sz="4" w:space="0" w:color="auto"/>
              <w:left w:val="single" w:sz="4" w:space="0" w:color="auto"/>
              <w:bottom w:val="single" w:sz="4" w:space="0" w:color="auto"/>
              <w:right w:val="single" w:sz="4" w:space="0" w:color="auto"/>
            </w:tcBorders>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La normale capacità produttiva rappresenta la produzione che si prevede di realizzare in media durante un numero di esercizi o periodi stagionali in condizioni normali, tenendo conto della perdita di capacità derivante dalla manutenzione pianificata; essa è inferiore alla capacità massima teorica, in quanto da essa devono essere dedotti i tempi dei fermi per riparazione, indisponibilità di materiale o manodopera, altre cause di interruzione non prevedibili, ecc. Nella ripartizione dei costi generali fissi di produzione può essere utilizzato il livello effettivo di produzione qualora questo approssimi la normale capacità produttiva.</w:t>
            </w:r>
          </w:p>
        </w:tc>
        <w:tc>
          <w:tcPr>
            <w:tcW w:w="586" w:type="dxa"/>
            <w:tcBorders>
              <w:left w:val="single" w:sz="4" w:space="0" w:color="auto"/>
            </w:tcBorders>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CC242B" w:rsidTr="00D73E98">
        <w:trPr>
          <w:cantSplit/>
          <w:trHeight w:val="20"/>
        </w:trPr>
        <w:tc>
          <w:tcPr>
            <w:tcW w:w="680" w:type="dxa"/>
          </w:tcPr>
          <w:p w:rsidR="00024F9E" w:rsidRPr="00024F9E" w:rsidRDefault="00024F9E" w:rsidP="00024F9E">
            <w:pPr>
              <w:jc w:val="center"/>
              <w:rPr>
                <w:b/>
                <w:lang w:val="it-IT"/>
              </w:rPr>
            </w:pPr>
            <w:r w:rsidRPr="00024F9E">
              <w:rPr>
                <w:b/>
                <w:lang w:val="it-IT"/>
              </w:rPr>
              <w:t>18)</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13.31</w:t>
            </w:r>
          </w:p>
        </w:tc>
        <w:tc>
          <w:tcPr>
            <w:tcW w:w="7060" w:type="dxa"/>
            <w:tcMar>
              <w:left w:w="108" w:type="dxa"/>
            </w:tcMar>
          </w:tcPr>
          <w:p w:rsidR="00024F9E" w:rsidRPr="00024F9E" w:rsidRDefault="00024F9E" w:rsidP="00024F9E">
            <w:pPr>
              <w:spacing w:line="240" w:lineRule="exact"/>
              <w:rPr>
                <w:lang w:val="it-IT"/>
              </w:rPr>
            </w:pPr>
            <w:r w:rsidRPr="00024F9E">
              <w:rPr>
                <w:lang w:val="it-IT"/>
              </w:rPr>
              <w:t>I costi generali variabili di produzione sono stati attribuiti a ciascuna unità prodotta in base al livello effettivo di produzione?</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19)</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13.32</w:t>
            </w:r>
          </w:p>
        </w:tc>
        <w:tc>
          <w:tcPr>
            <w:tcW w:w="7060" w:type="dxa"/>
            <w:tcMar>
              <w:left w:w="108" w:type="dxa"/>
            </w:tcMar>
          </w:tcPr>
          <w:p w:rsidR="00024F9E" w:rsidRPr="00024F9E" w:rsidRDefault="00024F9E" w:rsidP="00024F9E">
            <w:pPr>
              <w:spacing w:line="230" w:lineRule="exact"/>
              <w:rPr>
                <w:lang w:val="it-IT"/>
              </w:rPr>
            </w:pPr>
            <w:r w:rsidRPr="00024F9E">
              <w:rPr>
                <w:lang w:val="it-IT"/>
              </w:rPr>
              <w:t>Sono stati esclusi dal costo di produzione i costi di natura eccezionale o anomali; ad esempio: i costi di trasferimento di un impianto da uno stabilimento ad un altro (a meno che non siano necessari nel processo di produzione prima di un ulteriore stadio di produzione), i costi di riparazione di natura eccezionale dovute ad incendi, agli uragani ecc.?</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20)</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13.33</w:t>
            </w:r>
          </w:p>
        </w:tc>
        <w:tc>
          <w:tcPr>
            <w:tcW w:w="7060" w:type="dxa"/>
            <w:tcMar>
              <w:left w:w="108" w:type="dxa"/>
            </w:tcMar>
          </w:tcPr>
          <w:p w:rsidR="00024F9E" w:rsidRPr="00024F9E" w:rsidRDefault="00024F9E" w:rsidP="00024F9E">
            <w:pPr>
              <w:spacing w:line="240" w:lineRule="exact"/>
              <w:rPr>
                <w:lang w:val="it-IT"/>
              </w:rPr>
            </w:pPr>
            <w:r w:rsidRPr="00024F9E">
              <w:rPr>
                <w:lang w:val="it-IT"/>
              </w:rPr>
              <w:t>Oltre ai costi generali ed amministrativi, i costi di distribuzione sono esclusi dalla valutazione delle rimanenze?</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CC242B"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OIC 13.35</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I costi di ricerca e sviluppo sono generalmente esclusi dal costo di produzione delle rimanenze in quanto nella maggioranza dei casi tali costi difficilmente possono concorrere, nel medesimo esercizio del loro sostenimento, a portare le rimanenze di magazzino nelle condizioni e nel luogo attuali.</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spacing w:line="240" w:lineRule="exact"/>
              <w:rPr>
                <w:i/>
              </w:rPr>
            </w:pPr>
            <w:r w:rsidRPr="00024F9E">
              <w:rPr>
                <w:b/>
                <w:i/>
                <w:lang w:val="it-IT"/>
              </w:rPr>
              <w:t>Produzioni congiunte e sottoprodotti</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21)</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en-US"/>
              </w:rPr>
              <w:t>OIC 13.37</w:t>
            </w:r>
          </w:p>
        </w:tc>
        <w:tc>
          <w:tcPr>
            <w:tcW w:w="7060" w:type="dxa"/>
            <w:tcMar>
              <w:left w:w="108" w:type="dxa"/>
            </w:tcMar>
          </w:tcPr>
          <w:p w:rsidR="00024F9E" w:rsidRPr="00024F9E" w:rsidRDefault="00024F9E" w:rsidP="00024F9E">
            <w:pPr>
              <w:spacing w:line="230" w:lineRule="exact"/>
              <w:rPr>
                <w:lang w:val="it-IT"/>
              </w:rPr>
            </w:pPr>
            <w:r w:rsidRPr="00024F9E">
              <w:rPr>
                <w:lang w:val="it-IT"/>
              </w:rPr>
              <w:t>Con riferimento ai prodotti con costi comuni non scindibili, nei casi in cui non sia tecnicamente determinabile con ragionevolezza la quota di costo da imputare a ciascun prodotto, essa è stata determinata in proporzione al valore di realizzazione desumibile dall’andamento del mercato dei diversi prodotti?</w:t>
            </w:r>
          </w:p>
        </w:tc>
        <w:tc>
          <w:tcPr>
            <w:tcW w:w="586" w:type="dxa"/>
            <w:tcMar>
              <w:left w:w="85" w:type="dxa"/>
              <w:right w:w="85" w:type="dxa"/>
            </w:tcMar>
            <w:vAlign w:val="center"/>
          </w:tcPr>
          <w:p w:rsidR="00024F9E" w:rsidRPr="00024F9E" w:rsidRDefault="00024F9E" w:rsidP="00024F9E">
            <w:pPr>
              <w:ind w:firstLine="57"/>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ind w:firstLine="57"/>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ind w:firstLine="57"/>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22)</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OIC 13.38</w:t>
            </w:r>
          </w:p>
        </w:tc>
        <w:tc>
          <w:tcPr>
            <w:tcW w:w="7060" w:type="dxa"/>
            <w:tcMar>
              <w:left w:w="108" w:type="dxa"/>
            </w:tcMar>
          </w:tcPr>
          <w:p w:rsidR="00024F9E" w:rsidRPr="00024F9E" w:rsidRDefault="00024F9E" w:rsidP="00024F9E">
            <w:pPr>
              <w:spacing w:line="230" w:lineRule="exact"/>
              <w:rPr>
                <w:lang w:val="it-IT"/>
              </w:rPr>
            </w:pPr>
            <w:r w:rsidRPr="00024F9E">
              <w:rPr>
                <w:lang w:val="it-IT"/>
              </w:rPr>
              <w:t>I sottoprodotti o scarti di lavorazione di importo irrilevante sono stati valutati direttamente al valore di realizzazione desumibile dall’andamento del mercato, purché questo valore sia dedotto dal costo del prodotto principale?</w:t>
            </w:r>
          </w:p>
        </w:tc>
        <w:tc>
          <w:tcPr>
            <w:tcW w:w="586" w:type="dxa"/>
            <w:tcMar>
              <w:left w:w="85" w:type="dxa"/>
              <w:right w:w="85" w:type="dxa"/>
            </w:tcMar>
            <w:vAlign w:val="center"/>
          </w:tcPr>
          <w:p w:rsidR="00024F9E" w:rsidRPr="00024F9E" w:rsidRDefault="00024F9E" w:rsidP="00024F9E">
            <w:pPr>
              <w:ind w:firstLine="57"/>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ind w:firstLine="57"/>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ind w:firstLine="57"/>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pageBreakBefore/>
              <w:jc w:val="center"/>
              <w:rPr>
                <w:b/>
                <w:lang w:val="it-IT"/>
              </w:rPr>
            </w:pPr>
          </w:p>
        </w:tc>
        <w:tc>
          <w:tcPr>
            <w:tcW w:w="851" w:type="dxa"/>
            <w:tcMar>
              <w:left w:w="108" w:type="dxa"/>
              <w:right w:w="0" w:type="dxa"/>
            </w:tcMar>
          </w:tcPr>
          <w:p w:rsidR="00024F9E" w:rsidRPr="00024F9E" w:rsidRDefault="00024F9E" w:rsidP="00024F9E">
            <w:pPr>
              <w:pageBreakBefore/>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pageBreakBefore/>
              <w:outlineLvl w:val="2"/>
              <w:rPr>
                <w:b/>
                <w:bCs/>
                <w:i/>
              </w:rPr>
            </w:pPr>
            <w:r w:rsidRPr="00024F9E">
              <w:rPr>
                <w:b/>
                <w:bCs/>
                <w:i/>
              </w:rPr>
              <w:t>Oneri finanziari</w:t>
            </w:r>
          </w:p>
        </w:tc>
        <w:tc>
          <w:tcPr>
            <w:tcW w:w="586" w:type="dxa"/>
            <w:tcMar>
              <w:left w:w="85" w:type="dxa"/>
              <w:right w:w="85" w:type="dxa"/>
            </w:tcMar>
            <w:vAlign w:val="center"/>
          </w:tcPr>
          <w:p w:rsidR="00024F9E" w:rsidRPr="00024F9E" w:rsidRDefault="00024F9E" w:rsidP="00024F9E">
            <w:pPr>
              <w:pageBreakBefore/>
              <w:ind w:firstLine="57"/>
              <w:rPr>
                <w:lang w:val="it-IT"/>
              </w:rPr>
            </w:pPr>
          </w:p>
        </w:tc>
        <w:tc>
          <w:tcPr>
            <w:tcW w:w="573" w:type="dxa"/>
            <w:tcMar>
              <w:left w:w="108" w:type="dxa"/>
            </w:tcMar>
            <w:vAlign w:val="center"/>
          </w:tcPr>
          <w:p w:rsidR="00024F9E" w:rsidRPr="00024F9E" w:rsidRDefault="00024F9E" w:rsidP="00024F9E">
            <w:pPr>
              <w:pageBreakBefore/>
              <w:ind w:firstLine="57"/>
              <w:rPr>
                <w:lang w:val="it-IT"/>
              </w:rPr>
            </w:pPr>
          </w:p>
        </w:tc>
        <w:tc>
          <w:tcPr>
            <w:tcW w:w="570" w:type="dxa"/>
            <w:tcMar>
              <w:left w:w="108" w:type="dxa"/>
            </w:tcMar>
            <w:vAlign w:val="center"/>
          </w:tcPr>
          <w:p w:rsidR="00024F9E" w:rsidRPr="00024F9E" w:rsidRDefault="00024F9E" w:rsidP="00024F9E">
            <w:pPr>
              <w:pageBreakBefore/>
              <w:ind w:firstLine="57"/>
              <w:rPr>
                <w:lang w:val="it-IT"/>
              </w:rPr>
            </w:pPr>
          </w:p>
        </w:tc>
      </w:tr>
      <w:tr w:rsidR="00024F9E" w:rsidRPr="00CC242B"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23.39</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eastAsia="it-IT"/>
              </w:rPr>
              <w:t>Gli oneri finanziari sono generalmente esclusi dalla determinazione del costo delle rimanenze.</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CC242B" w:rsidTr="00D73E98">
        <w:trPr>
          <w:cantSplit/>
          <w:trHeight w:val="20"/>
        </w:trPr>
        <w:tc>
          <w:tcPr>
            <w:tcW w:w="680" w:type="dxa"/>
          </w:tcPr>
          <w:p w:rsidR="00024F9E" w:rsidRPr="00024F9E" w:rsidRDefault="00024F9E" w:rsidP="00024F9E">
            <w:pPr>
              <w:jc w:val="center"/>
              <w:rPr>
                <w:b/>
                <w:lang w:val="it-IT"/>
              </w:rPr>
            </w:pPr>
            <w:r w:rsidRPr="00024F9E">
              <w:rPr>
                <w:b/>
                <w:lang w:val="it-IT"/>
              </w:rPr>
              <w:t>23)</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23.39</w:t>
            </w:r>
          </w:p>
        </w:tc>
        <w:tc>
          <w:tcPr>
            <w:tcW w:w="7060" w:type="dxa"/>
            <w:tcMar>
              <w:left w:w="108" w:type="dxa"/>
            </w:tcMar>
          </w:tcPr>
          <w:p w:rsidR="00024F9E" w:rsidRPr="00024F9E" w:rsidRDefault="00024F9E" w:rsidP="00024F9E">
            <w:pPr>
              <w:spacing w:line="230" w:lineRule="exact"/>
              <w:rPr>
                <w:lang w:val="it-IT" w:eastAsia="it-IT"/>
              </w:rPr>
            </w:pPr>
            <w:r w:rsidRPr="00024F9E">
              <w:rPr>
                <w:lang w:val="it-IT" w:eastAsia="it-IT"/>
              </w:rPr>
              <w:t>La società ha capitalizzato gli oneri finanziari solo con riferimento a beni che richiedono un periodo di produzione (ad esempio, per la maturazione o l’invecchiamento) significativo?</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CC242B"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23.39</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eastAsia="it-IT"/>
              </w:rPr>
            </w:pPr>
            <w:r w:rsidRPr="00024F9E">
              <w:rPr>
                <w:sz w:val="16"/>
                <w:szCs w:val="16"/>
                <w:lang w:val="it-IT" w:eastAsia="it-IT"/>
              </w:rPr>
              <w:t>Il limite della capitalizzazione degli oneri finanziari è rappresentato dal valore realizzabile del bene desumibile dall’andamento del mercato (sulla misura e sui requisiti per la capitalizzazione degli oneri finanziari si veda l’OIC 16 “Immobilizzazioni materiali”).</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keepNext/>
              <w:overflowPunct/>
              <w:autoSpaceDE/>
              <w:autoSpaceDN/>
              <w:adjustRightInd/>
              <w:spacing w:line="240" w:lineRule="exact"/>
              <w:jc w:val="left"/>
              <w:textAlignment w:val="auto"/>
              <w:outlineLvl w:val="1"/>
              <w:rPr>
                <w:b/>
                <w:sz w:val="22"/>
              </w:rPr>
            </w:pPr>
            <w:r w:rsidRPr="00024F9E">
              <w:rPr>
                <w:b/>
                <w:sz w:val="22"/>
              </w:rPr>
              <w:t>Valutazione e rilevazioni successive</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p>
        </w:tc>
        <w:tc>
          <w:tcPr>
            <w:tcW w:w="7060" w:type="dxa"/>
            <w:tcMar>
              <w:left w:w="108" w:type="dxa"/>
            </w:tcMar>
          </w:tcPr>
          <w:p w:rsidR="00024F9E" w:rsidRPr="00024F9E" w:rsidRDefault="00024F9E" w:rsidP="00024F9E">
            <w:pPr>
              <w:keepNext/>
              <w:outlineLvl w:val="2"/>
              <w:rPr>
                <w:b/>
                <w:bCs/>
                <w:i/>
                <w:lang w:val="it-IT"/>
              </w:rPr>
            </w:pPr>
            <w:r w:rsidRPr="00024F9E">
              <w:rPr>
                <w:b/>
                <w:bCs/>
                <w:i/>
                <w:lang w:val="it-IT"/>
              </w:rPr>
              <w:t>Considerazioni generali</w:t>
            </w:r>
          </w:p>
        </w:tc>
        <w:tc>
          <w:tcPr>
            <w:tcW w:w="586" w:type="dxa"/>
            <w:tcMar>
              <w:left w:w="85" w:type="dxa"/>
              <w:right w:w="85" w:type="dxa"/>
            </w:tcMar>
            <w:vAlign w:val="center"/>
          </w:tcPr>
          <w:p w:rsidR="00024F9E" w:rsidRPr="00024F9E" w:rsidRDefault="00024F9E" w:rsidP="00024F9E">
            <w:pPr>
              <w:jc w:val="center"/>
            </w:pPr>
          </w:p>
        </w:tc>
        <w:tc>
          <w:tcPr>
            <w:tcW w:w="573" w:type="dxa"/>
            <w:tcMar>
              <w:left w:w="108" w:type="dxa"/>
            </w:tcMar>
            <w:vAlign w:val="center"/>
          </w:tcPr>
          <w:p w:rsidR="00024F9E" w:rsidRPr="00024F9E" w:rsidRDefault="00024F9E" w:rsidP="00024F9E">
            <w:pPr>
              <w:jc w:val="center"/>
            </w:pPr>
          </w:p>
        </w:tc>
        <w:tc>
          <w:tcPr>
            <w:tcW w:w="570" w:type="dxa"/>
            <w:tcMar>
              <w:left w:w="108" w:type="dxa"/>
            </w:tcMar>
            <w:vAlign w:val="center"/>
          </w:tcPr>
          <w:p w:rsidR="00024F9E" w:rsidRPr="00024F9E" w:rsidRDefault="00024F9E" w:rsidP="00024F9E">
            <w:pPr>
              <w:jc w:val="center"/>
            </w:pP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24)</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Art. 2426, c.1, n. 9, CC     OIC 13.40</w:t>
            </w:r>
          </w:p>
        </w:tc>
        <w:tc>
          <w:tcPr>
            <w:tcW w:w="7060" w:type="dxa"/>
            <w:tcMar>
              <w:left w:w="108" w:type="dxa"/>
            </w:tcMar>
          </w:tcPr>
          <w:p w:rsidR="00024F9E" w:rsidRPr="00024F9E" w:rsidRDefault="00024F9E" w:rsidP="00024F9E">
            <w:pPr>
              <w:spacing w:line="230" w:lineRule="exact"/>
              <w:rPr>
                <w:lang w:val="it-IT"/>
              </w:rPr>
            </w:pPr>
            <w:r w:rsidRPr="00024F9E">
              <w:rPr>
                <w:lang w:val="it-IT"/>
              </w:rPr>
              <w:t>Le rimanenze sono valutate in bilancio al minore tra il costo di acquisto o produzione e il valore di realizzazione desumibile dal mercato?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25)</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en-US"/>
              </w:rPr>
              <w:t>OIC 13.41</w:t>
            </w:r>
          </w:p>
        </w:tc>
        <w:tc>
          <w:tcPr>
            <w:tcW w:w="7060" w:type="dxa"/>
            <w:tcMar>
              <w:left w:w="108" w:type="dxa"/>
            </w:tcMar>
          </w:tcPr>
          <w:p w:rsidR="00024F9E" w:rsidRPr="00024F9E" w:rsidRDefault="00024F9E" w:rsidP="00024F9E">
            <w:pPr>
              <w:spacing w:line="230" w:lineRule="exact"/>
              <w:rPr>
                <w:lang w:val="it-IT"/>
              </w:rPr>
            </w:pPr>
            <w:r w:rsidRPr="00024F9E">
              <w:rPr>
                <w:lang w:val="it-IT"/>
              </w:rPr>
              <w:t>La valutazione delle rimanenze è effettuata autonomamente per ciascuna categoria di elementi?</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26)</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13.42</w:t>
            </w:r>
          </w:p>
        </w:tc>
        <w:tc>
          <w:tcPr>
            <w:tcW w:w="7060" w:type="dxa"/>
            <w:tcMar>
              <w:left w:w="108" w:type="dxa"/>
            </w:tcMar>
          </w:tcPr>
          <w:p w:rsidR="00024F9E" w:rsidRPr="00024F9E" w:rsidRDefault="00024F9E" w:rsidP="00024F9E">
            <w:pPr>
              <w:spacing w:line="230" w:lineRule="exact"/>
              <w:rPr>
                <w:lang w:val="it-IT"/>
              </w:rPr>
            </w:pPr>
            <w:r w:rsidRPr="00024F9E">
              <w:rPr>
                <w:lang w:val="it-IT"/>
              </w:rPr>
              <w:t>I contributi in conto esercizio acquisiti a titolo definitivo sono stato portati in deduzione al costo di acquisto dei beni in rimanenza?</w:t>
            </w:r>
          </w:p>
        </w:tc>
        <w:tc>
          <w:tcPr>
            <w:tcW w:w="586" w:type="dxa"/>
            <w:tcMar>
              <w:left w:w="85" w:type="dxa"/>
              <w:right w:w="85" w:type="dxa"/>
            </w:tcMar>
            <w:vAlign w:val="center"/>
          </w:tcPr>
          <w:p w:rsidR="00024F9E" w:rsidRPr="00024F9E" w:rsidRDefault="00024F9E" w:rsidP="00024F9E">
            <w:pPr>
              <w:ind w:firstLine="57"/>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ind w:firstLine="57"/>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ind w:firstLine="57"/>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CC242B"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13.43</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Il metodo generale per la determinazione del costo dei beni è il costo specifico. Questo metodo identifica i singoli beni acquistati ed i relativi costi ed è adottato nei casi in cui le voci delle rimanenze non sono intercambiabili.</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CC242B" w:rsidTr="00D73E98">
        <w:trPr>
          <w:cantSplit/>
          <w:trHeight w:val="20"/>
        </w:trPr>
        <w:tc>
          <w:tcPr>
            <w:tcW w:w="680" w:type="dxa"/>
          </w:tcPr>
          <w:p w:rsidR="00024F9E" w:rsidRPr="00024F9E" w:rsidRDefault="00024F9E" w:rsidP="00024F9E">
            <w:pPr>
              <w:jc w:val="center"/>
              <w:rPr>
                <w:b/>
                <w:lang w:val="it-IT"/>
              </w:rPr>
            </w:pPr>
            <w:r w:rsidRPr="00024F9E">
              <w:rPr>
                <w:b/>
                <w:lang w:val="it-IT"/>
              </w:rPr>
              <w:t>27)</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Art. 2426, c.1, n.10, CC    OIC 13.44</w:t>
            </w:r>
          </w:p>
        </w:tc>
        <w:tc>
          <w:tcPr>
            <w:tcW w:w="7060" w:type="dxa"/>
            <w:tcMar>
              <w:left w:w="108" w:type="dxa"/>
            </w:tcMar>
          </w:tcPr>
          <w:p w:rsidR="00024F9E" w:rsidRPr="00024F9E" w:rsidRDefault="00024F9E" w:rsidP="00024F9E">
            <w:pPr>
              <w:spacing w:line="230" w:lineRule="exact"/>
              <w:rPr>
                <w:lang w:val="it-IT"/>
              </w:rPr>
            </w:pPr>
            <w:r w:rsidRPr="00024F9E">
              <w:rPr>
                <w:lang w:val="it-IT"/>
              </w:rPr>
              <w:t>Il costo delle rimanenze di magazzino di beni fungibili è stato determinato alternativamente con i seguenti metodi:</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024F9E">
              <w:rPr>
                <w:lang w:val="it-IT"/>
              </w:rPr>
              <w:t>costo medio ponderato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CC242B"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024F9E">
              <w:rPr>
                <w:lang w:val="it-IT"/>
              </w:rPr>
              <w:t>primo entrato, primo uscito, detto anche FIFO</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024F9E">
              <w:rPr>
                <w:lang w:val="it-IT"/>
              </w:rPr>
              <w:t>ultimo entrato, primo uscito, detto anche LIFO?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28)</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13.46</w:t>
            </w:r>
          </w:p>
        </w:tc>
        <w:tc>
          <w:tcPr>
            <w:tcW w:w="7060" w:type="dxa"/>
            <w:tcMar>
              <w:left w:w="108" w:type="dxa"/>
            </w:tcMar>
          </w:tcPr>
          <w:p w:rsidR="00024F9E" w:rsidRPr="00024F9E" w:rsidRDefault="00024F9E" w:rsidP="00024F9E">
            <w:pPr>
              <w:spacing w:line="230" w:lineRule="exact"/>
              <w:rPr>
                <w:lang w:val="it-IT"/>
              </w:rPr>
            </w:pPr>
            <w:r w:rsidRPr="00024F9E">
              <w:rPr>
                <w:lang w:val="it-IT"/>
              </w:rPr>
              <w:t>Se sono stati utilizzati il metodo dei costi standard, del prezzo al dettaglio e del valore costante, può essere dimostrato che i risultati approssimano il costo effettivo delle rimanenze?</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CA1681">
              <w:fldChar w:fldCharType="separate"/>
            </w:r>
            <w:r w:rsidRPr="00024F9E">
              <w:fldChar w:fldCharType="end"/>
            </w:r>
          </w:p>
        </w:tc>
      </w:tr>
      <w:tr w:rsidR="00024F9E" w:rsidRPr="00CC242B"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13.47</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I costi standard approssimano il costo effettivo delle rimanenze quando considerano livelli normali di efficienza e di capacità produttiva, sono regolarmente sottoposti a revisione e riveduti alla luce delle condizioni effettive del momento</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CC242B"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13.48</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Il metodo del prezzo al dettaglio approssima il costo effettivo delle rimanenze quando si valutano rimanenze di grandi quantità di beni soggetti a rapido rigiro con margini di importo simile e per le quali è particolarmente difficoltosa l’adozione di altri metodi di calcolo del costo. Il costo delle rimanenze viene determinato detraendo dal valore di vendita delle rimanenze una adeguata percentuale di margine lordo.</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CC242B"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13.49</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Il metodo del valore costante si applica alle materie prime, sussidiarie e di consumo qualora siano costantemente rinnovate e complessivamente di scarsa rilevanza rispetto all’attivo di bilancio. Tale metodo approssima il costo effettivo delle rimanenze quando non si hanno variazioni sensibili nell’ entità, valore e composizione di tali rimanenze</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CC242B"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keepNext/>
              <w:outlineLvl w:val="2"/>
              <w:rPr>
                <w:b/>
                <w:bCs/>
                <w:i/>
                <w:lang w:val="it-IT"/>
              </w:rPr>
            </w:pPr>
            <w:r w:rsidRPr="00024F9E">
              <w:rPr>
                <w:b/>
                <w:bCs/>
                <w:i/>
                <w:lang w:val="it-IT"/>
              </w:rPr>
              <w:t>Determinazione del valore di realizzazione desunto dall’andamento del mercato</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29)</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13.51</w:t>
            </w:r>
          </w:p>
        </w:tc>
        <w:tc>
          <w:tcPr>
            <w:tcW w:w="7060" w:type="dxa"/>
            <w:tcMar>
              <w:left w:w="108" w:type="dxa"/>
            </w:tcMar>
          </w:tcPr>
          <w:p w:rsidR="00024F9E" w:rsidRPr="00024F9E" w:rsidRDefault="00024F9E" w:rsidP="00024F9E">
            <w:pPr>
              <w:spacing w:line="230" w:lineRule="exact"/>
              <w:rPr>
                <w:lang w:val="it-IT"/>
              </w:rPr>
            </w:pPr>
            <w:r w:rsidRPr="00024F9E">
              <w:rPr>
                <w:lang w:val="it-IT"/>
              </w:rPr>
              <w:t>Per la determinazione del valore di realizzazione delle merci, dei prodotti finiti, dei semilavorati e dei prodotti in corso di lavorazione è stato preso come riferimento il valore netto di realizzazione di tali beni?</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30)</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13.51</w:t>
            </w:r>
          </w:p>
        </w:tc>
        <w:tc>
          <w:tcPr>
            <w:tcW w:w="7060" w:type="dxa"/>
            <w:tcMar>
              <w:left w:w="108" w:type="dxa"/>
            </w:tcMar>
          </w:tcPr>
          <w:p w:rsidR="00024F9E" w:rsidRPr="00024F9E" w:rsidRDefault="00024F9E" w:rsidP="00024F9E">
            <w:pPr>
              <w:spacing w:line="230" w:lineRule="exact"/>
              <w:rPr>
                <w:lang w:val="it-IT"/>
              </w:rPr>
            </w:pPr>
            <w:r w:rsidRPr="00024F9E">
              <w:rPr>
                <w:lang w:val="it-IT"/>
              </w:rPr>
              <w:t xml:space="preserve">Il valore di realizzazione desumibile dall’andamento del mercato delle materie prime e sussidiarie, delle merci, dei prodotti finiti, semilavorati e prodotti in corso di lavorazione è stato determinato come stima del prezzo di vendita delle merci e dei prodotti finiti nel corso della normale gestione, avuto riguardo alle informazioni desumibili dal mercato, al netto dei presunti costi di completamento e dei costi diretti di vendita (quali, ad esempio, provvigioni, trasporto, imballaggio)? </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31)</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13.51</w:t>
            </w:r>
          </w:p>
        </w:tc>
        <w:tc>
          <w:tcPr>
            <w:tcW w:w="7060" w:type="dxa"/>
            <w:tcMar>
              <w:left w:w="108" w:type="dxa"/>
            </w:tcMar>
          </w:tcPr>
          <w:p w:rsidR="00024F9E" w:rsidRPr="00024F9E" w:rsidRDefault="00024F9E" w:rsidP="00024F9E">
            <w:pPr>
              <w:spacing w:line="230" w:lineRule="exact"/>
              <w:rPr>
                <w:lang w:val="it-IT"/>
              </w:rPr>
            </w:pPr>
            <w:r w:rsidRPr="00024F9E">
              <w:rPr>
                <w:lang w:val="it-IT"/>
              </w:rPr>
              <w:t>Ai fini della determinazione del valore di realizzazione desumibile dall’andamento del mercato, è stato tenuto conto, tra l’altro, del tasso di obsolescenza e dei tempi di rigiro del magazzino?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CC242B"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13.52</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 xml:space="preserve">In presenza di ordini di vendita confermati con prezzo prefissato si utilizza tale prezzo per la determinazione del valore di realizzazione desumibile dall’andamento del mercato delle relative rimanenze presenti in magazzino. Per cui, le quantità in giacenza relative a ordini di vendita confermati con prezzo prefissato restano valutate al costo, nonostante un declino dei prezzi desumibili dall’andamento del mercato. </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CC242B"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13.53</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Le materie prime e sussidiarie che partecipano alla fabbricazione di prodotti finiti non sono oggetto di svalutazione se ci si attende che i prodotti finiti nei quali saranno incorporate possono essere oggetto di realizzazione per un valore pari o superiori al costo di produzione del prodotto finito. Tuttavia, quando una diminuzione nel prezzo delle materie prime e sussidiarie indica che il costo dei prodotti finiti eccede il valore netto di realizzazione desumibile dall’andamento del mercato dei prodotti finiti, le materie prime e sussidiarie sono svalutate fino al valore netto di realizzazione. In tali circostanze, il prezzo di mercato delle materie prime e sussidiarie può rappresentare la migliore stima disponibile del loro valore netto di realizzazione desumibile dall’andamento del mercato.</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024F9E" w:rsidTr="00D73E98">
        <w:trPr>
          <w:cantSplit/>
          <w:trHeight w:val="20"/>
        </w:trPr>
        <w:tc>
          <w:tcPr>
            <w:tcW w:w="680" w:type="dxa"/>
          </w:tcPr>
          <w:p w:rsidR="00024F9E" w:rsidRPr="00024F9E" w:rsidRDefault="00024F9E" w:rsidP="00024F9E">
            <w:pPr>
              <w:pageBreakBefore/>
              <w:jc w:val="center"/>
              <w:rPr>
                <w:lang w:val="it-IT"/>
              </w:rPr>
            </w:pPr>
          </w:p>
        </w:tc>
        <w:tc>
          <w:tcPr>
            <w:tcW w:w="851" w:type="dxa"/>
            <w:tcMar>
              <w:left w:w="108" w:type="dxa"/>
              <w:right w:w="0" w:type="dxa"/>
            </w:tcMar>
          </w:tcPr>
          <w:p w:rsidR="00024F9E" w:rsidRPr="00024F9E" w:rsidRDefault="00024F9E" w:rsidP="00024F9E">
            <w:pPr>
              <w:pageBreakBefore/>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keepNext/>
              <w:pageBreakBefore/>
              <w:outlineLvl w:val="2"/>
              <w:rPr>
                <w:b/>
                <w:bCs/>
                <w:i/>
                <w:lang w:val="it-IT"/>
              </w:rPr>
            </w:pPr>
            <w:r w:rsidRPr="00024F9E">
              <w:rPr>
                <w:b/>
                <w:bCs/>
                <w:i/>
                <w:lang w:val="it-IT"/>
              </w:rPr>
              <w:t>Rettifiche di valore</w:t>
            </w:r>
          </w:p>
        </w:tc>
        <w:tc>
          <w:tcPr>
            <w:tcW w:w="586" w:type="dxa"/>
            <w:tcMar>
              <w:left w:w="85" w:type="dxa"/>
              <w:right w:w="85" w:type="dxa"/>
            </w:tcMar>
            <w:vAlign w:val="center"/>
          </w:tcPr>
          <w:p w:rsidR="00024F9E" w:rsidRPr="00024F9E" w:rsidRDefault="00024F9E" w:rsidP="00024F9E">
            <w:pPr>
              <w:pageBreakBefore/>
              <w:ind w:firstLine="57"/>
              <w:rPr>
                <w:lang w:val="it-IT"/>
              </w:rPr>
            </w:pPr>
          </w:p>
        </w:tc>
        <w:tc>
          <w:tcPr>
            <w:tcW w:w="573" w:type="dxa"/>
            <w:tcMar>
              <w:left w:w="108" w:type="dxa"/>
            </w:tcMar>
            <w:vAlign w:val="center"/>
          </w:tcPr>
          <w:p w:rsidR="00024F9E" w:rsidRPr="00024F9E" w:rsidRDefault="00024F9E" w:rsidP="00024F9E">
            <w:pPr>
              <w:pageBreakBefore/>
              <w:ind w:firstLine="57"/>
              <w:rPr>
                <w:lang w:val="it-IT"/>
              </w:rPr>
            </w:pPr>
          </w:p>
        </w:tc>
        <w:tc>
          <w:tcPr>
            <w:tcW w:w="570" w:type="dxa"/>
            <w:tcMar>
              <w:left w:w="108" w:type="dxa"/>
            </w:tcMar>
            <w:vAlign w:val="center"/>
          </w:tcPr>
          <w:p w:rsidR="00024F9E" w:rsidRPr="00024F9E" w:rsidRDefault="00024F9E" w:rsidP="00024F9E">
            <w:pPr>
              <w:pageBreakBefore/>
              <w:ind w:firstLine="57"/>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32)</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13.54</w:t>
            </w:r>
          </w:p>
        </w:tc>
        <w:tc>
          <w:tcPr>
            <w:tcW w:w="7060" w:type="dxa"/>
            <w:tcMar>
              <w:left w:w="108" w:type="dxa"/>
            </w:tcMar>
          </w:tcPr>
          <w:p w:rsidR="00024F9E" w:rsidRPr="00024F9E" w:rsidRDefault="00024F9E" w:rsidP="00024F9E">
            <w:pPr>
              <w:spacing w:line="230" w:lineRule="exact"/>
              <w:rPr>
                <w:lang w:val="it-IT"/>
              </w:rPr>
            </w:pPr>
            <w:r w:rsidRPr="00024F9E">
              <w:rPr>
                <w:lang w:val="it-IT"/>
              </w:rPr>
              <w:t>Quando il valore di realizzazione desumibile dall’andamento del mercato è risultato minore del relativo valore contabile le rimanenze sono state oggetto di svalutazione in bilancio?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33)</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13.56</w:t>
            </w:r>
          </w:p>
        </w:tc>
        <w:tc>
          <w:tcPr>
            <w:tcW w:w="7060" w:type="dxa"/>
            <w:tcMar>
              <w:left w:w="108" w:type="dxa"/>
            </w:tcMar>
          </w:tcPr>
          <w:p w:rsidR="00024F9E" w:rsidRPr="00024F9E" w:rsidRDefault="00024F9E" w:rsidP="00024F9E">
            <w:pPr>
              <w:spacing w:line="230" w:lineRule="exact"/>
              <w:rPr>
                <w:lang w:val="it-IT"/>
              </w:rPr>
            </w:pPr>
            <w:r w:rsidRPr="00024F9E">
              <w:rPr>
                <w:lang w:val="it-IT"/>
              </w:rPr>
              <w:t>Se vengono meno, in tutto o in parte, i presupposti della svalutazione per effetto dell’aumento del valore di realizzazione desumibile dal mercato, la rettifica di valore effettuata è stata annullata nei limiti del costo originariamente sostenuto?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CC242B" w:rsidTr="00D73E98">
        <w:trPr>
          <w:cantSplit/>
          <w:trHeight w:val="20"/>
        </w:trPr>
        <w:tc>
          <w:tcPr>
            <w:tcW w:w="680" w:type="dxa"/>
          </w:tcPr>
          <w:p w:rsidR="00024F9E" w:rsidRPr="00024F9E" w:rsidRDefault="00024F9E" w:rsidP="00024F9E">
            <w:pPr>
              <w:keepNext/>
              <w:jc w:val="center"/>
              <w:rPr>
                <w:b/>
                <w:lang w:val="it-IT"/>
              </w:rPr>
            </w:pP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keepNext/>
              <w:spacing w:line="210" w:lineRule="exact"/>
              <w:outlineLvl w:val="2"/>
              <w:rPr>
                <w:b/>
                <w:bCs/>
                <w:i/>
                <w:lang w:val="it-IT"/>
              </w:rPr>
            </w:pPr>
            <w:r w:rsidRPr="00024F9E">
              <w:rPr>
                <w:b/>
                <w:bCs/>
                <w:i/>
                <w:lang w:val="it-IT"/>
              </w:rPr>
              <w:t>Costanza di applicazione dei metodi prescelti nella valutazione delle rimanenze di magazzino</w:t>
            </w:r>
          </w:p>
        </w:tc>
        <w:tc>
          <w:tcPr>
            <w:tcW w:w="586" w:type="dxa"/>
            <w:tcMar>
              <w:left w:w="85" w:type="dxa"/>
              <w:right w:w="85" w:type="dxa"/>
            </w:tcMar>
            <w:vAlign w:val="center"/>
          </w:tcPr>
          <w:p w:rsidR="00024F9E" w:rsidRPr="00024F9E" w:rsidRDefault="00024F9E" w:rsidP="00024F9E">
            <w:pPr>
              <w:keepNext/>
              <w:ind w:firstLine="57"/>
              <w:rPr>
                <w:lang w:val="it-IT"/>
              </w:rPr>
            </w:pPr>
          </w:p>
        </w:tc>
        <w:tc>
          <w:tcPr>
            <w:tcW w:w="573" w:type="dxa"/>
            <w:tcMar>
              <w:left w:w="108" w:type="dxa"/>
            </w:tcMar>
            <w:vAlign w:val="center"/>
          </w:tcPr>
          <w:p w:rsidR="00024F9E" w:rsidRPr="00024F9E" w:rsidRDefault="00024F9E" w:rsidP="00024F9E">
            <w:pPr>
              <w:keepNext/>
              <w:ind w:firstLine="57"/>
              <w:rPr>
                <w:lang w:val="it-IT"/>
              </w:rPr>
            </w:pPr>
          </w:p>
        </w:tc>
        <w:tc>
          <w:tcPr>
            <w:tcW w:w="570" w:type="dxa"/>
            <w:tcMar>
              <w:left w:w="108" w:type="dxa"/>
            </w:tcMar>
            <w:vAlign w:val="center"/>
          </w:tcPr>
          <w:p w:rsidR="00024F9E" w:rsidRPr="00024F9E" w:rsidRDefault="00024F9E" w:rsidP="00024F9E">
            <w:pPr>
              <w:keepNext/>
              <w:ind w:firstLine="57"/>
              <w:rPr>
                <w:lang w:val="it-IT"/>
              </w:rPr>
            </w:pPr>
          </w:p>
        </w:tc>
      </w:tr>
      <w:tr w:rsidR="00024F9E" w:rsidRPr="00CC242B"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13.57</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L’uniformità di metodo (ad esempio, LIFO, FIFO, costo medio ponderato) nella valutazione del magazzino è condizione essenziale per la corretta determinazione dei risultati dell’esercizio. Le rimanenze finali si valutano con gli stessi metodi delle rimanenze iniziali. Nei casi eccezionali in cui si cambi il metodo di valutazione (ad esempio, da costo LIFO a costo FIFO) si determina l’effetto di tale cambiamento. Il cambiamento di metodo per la determinazione del costo dei beni fungibili in rimanenza costituisce un cambiamento di principio contabile (cfr. OIC 29 “Cambiamenti di principi contabili, cambiamenti di stime contabili, correzione di errori, fatti intervenuti dopo la chiusura dell’esercizio”).</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keepNext/>
              <w:overflowPunct/>
              <w:autoSpaceDE/>
              <w:autoSpaceDN/>
              <w:adjustRightInd/>
              <w:jc w:val="left"/>
              <w:textAlignment w:val="auto"/>
              <w:outlineLvl w:val="1"/>
              <w:rPr>
                <w:b/>
                <w:sz w:val="22"/>
                <w:lang w:val="it-IT"/>
              </w:rPr>
            </w:pPr>
            <w:r w:rsidRPr="00024F9E">
              <w:rPr>
                <w:b/>
                <w:sz w:val="22"/>
                <w:lang w:val="it-IT"/>
              </w:rPr>
              <w:t>Nota Integrativa</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CC242B"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keepNext/>
              <w:spacing w:line="210" w:lineRule="exact"/>
              <w:outlineLvl w:val="2"/>
              <w:rPr>
                <w:b/>
                <w:bCs/>
                <w:i/>
                <w:lang w:val="it-IT"/>
              </w:rPr>
            </w:pPr>
            <w:r w:rsidRPr="00024F9E">
              <w:rPr>
                <w:b/>
                <w:bCs/>
                <w:i/>
                <w:lang w:val="it-IT"/>
              </w:rPr>
              <w:t>Informazioni relative alle società che redigono il bilancio in forma ordinaria</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CC242B" w:rsidTr="00D73E98">
        <w:trPr>
          <w:cantSplit/>
          <w:trHeight w:val="20"/>
        </w:trPr>
        <w:tc>
          <w:tcPr>
            <w:tcW w:w="680" w:type="dxa"/>
          </w:tcPr>
          <w:p w:rsidR="00024F9E" w:rsidRPr="00024F9E" w:rsidRDefault="00024F9E" w:rsidP="00024F9E">
            <w:pPr>
              <w:jc w:val="center"/>
              <w:rPr>
                <w:b/>
                <w:lang w:val="it-IT"/>
              </w:rPr>
            </w:pPr>
            <w:r w:rsidRPr="00024F9E">
              <w:rPr>
                <w:b/>
                <w:lang w:val="it-IT"/>
              </w:rPr>
              <w:t>34)</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spacing w:line="230" w:lineRule="exact"/>
              <w:rPr>
                <w:lang w:val="it-IT"/>
              </w:rPr>
            </w:pPr>
            <w:r w:rsidRPr="00024F9E">
              <w:rPr>
                <w:lang w:val="it-IT"/>
              </w:rPr>
              <w:t>La Nota Integrativa contiene le seguenti informazioni:</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Art. 2427, c.1, n. 1, CC     OIC 13.58  OIC 13.59</w:t>
            </w:r>
          </w:p>
        </w:tc>
        <w:tc>
          <w:tcPr>
            <w:tcW w:w="7060" w:type="dxa"/>
            <w:tcMar>
              <w:left w:w="108" w:type="dxa"/>
            </w:tcMar>
          </w:tcPr>
          <w:p w:rsidR="00024F9E" w:rsidRPr="00024F9E" w:rsidRDefault="00024F9E" w:rsidP="00024F9E">
            <w:pPr>
              <w:numPr>
                <w:ilvl w:val="0"/>
                <w:numId w:val="1"/>
              </w:numPr>
              <w:tabs>
                <w:tab w:val="clear" w:pos="704"/>
                <w:tab w:val="num" w:pos="491"/>
                <w:tab w:val="num" w:pos="780"/>
                <w:tab w:val="left" w:pos="1740"/>
              </w:tabs>
              <w:overflowPunct/>
              <w:autoSpaceDE/>
              <w:autoSpaceDN/>
              <w:adjustRightInd/>
              <w:spacing w:line="230" w:lineRule="exact"/>
              <w:ind w:left="491" w:hanging="284"/>
              <w:contextualSpacing/>
              <w:textAlignment w:val="auto"/>
              <w:rPr>
                <w:lang w:val="it-IT"/>
              </w:rPr>
            </w:pPr>
            <w:r w:rsidRPr="00024F9E">
              <w:rPr>
                <w:lang w:val="it-IT"/>
              </w:rPr>
              <w:t xml:space="preserve">i criteri applicati nella valutazione delle voci di bilancio, nelle rettifiche di valore e dei valori non espressi all’origine in moneta avente corso legale nello Stato, i criteri adottati per la svalutazione al valore di realizzazione desumibile dal mercato, le informazioni relative all’eventuale ripristino del costo originario e del conseguente effetto sul conto economico. </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Art. 2427, c.1, n. 4, CC     OIC 13.58</w:t>
            </w:r>
          </w:p>
        </w:tc>
        <w:tc>
          <w:tcPr>
            <w:tcW w:w="7060" w:type="dxa"/>
            <w:tcMar>
              <w:left w:w="108" w:type="dxa"/>
            </w:tcMar>
          </w:tcPr>
          <w:p w:rsidR="00024F9E" w:rsidRPr="00024F9E" w:rsidRDefault="00024F9E" w:rsidP="00024F9E">
            <w:pPr>
              <w:numPr>
                <w:ilvl w:val="0"/>
                <w:numId w:val="1"/>
              </w:numPr>
              <w:tabs>
                <w:tab w:val="clear" w:pos="704"/>
                <w:tab w:val="num" w:pos="491"/>
                <w:tab w:val="num" w:pos="780"/>
              </w:tabs>
              <w:overflowPunct/>
              <w:autoSpaceDE/>
              <w:autoSpaceDN/>
              <w:adjustRightInd/>
              <w:spacing w:line="230" w:lineRule="exact"/>
              <w:ind w:left="491" w:hanging="284"/>
              <w:contextualSpacing/>
              <w:textAlignment w:val="auto"/>
              <w:rPr>
                <w:lang w:val="it-IT"/>
              </w:rPr>
            </w:pPr>
            <w:r w:rsidRPr="00024F9E">
              <w:rPr>
                <w:lang w:val="it-IT"/>
              </w:rPr>
              <w:t>le variazioni intervenute nella consistenza delle altre vocii dell’attivo e del passivo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Art. 2427, c.1, n. 8, CC     OIC 13.58</w:t>
            </w:r>
          </w:p>
        </w:tc>
        <w:tc>
          <w:tcPr>
            <w:tcW w:w="7060" w:type="dxa"/>
            <w:tcMar>
              <w:left w:w="108" w:type="dxa"/>
            </w:tcMar>
          </w:tcPr>
          <w:p w:rsidR="00024F9E" w:rsidRPr="00024F9E" w:rsidRDefault="00024F9E" w:rsidP="00024F9E">
            <w:pPr>
              <w:numPr>
                <w:ilvl w:val="0"/>
                <w:numId w:val="1"/>
              </w:numPr>
              <w:tabs>
                <w:tab w:val="clear" w:pos="704"/>
                <w:tab w:val="num" w:pos="491"/>
                <w:tab w:val="num" w:pos="780"/>
              </w:tabs>
              <w:overflowPunct/>
              <w:autoSpaceDE/>
              <w:autoSpaceDN/>
              <w:adjustRightInd/>
              <w:spacing w:line="230" w:lineRule="exact"/>
              <w:ind w:left="494" w:hanging="284"/>
              <w:contextualSpacing/>
              <w:textAlignment w:val="auto"/>
              <w:rPr>
                <w:lang w:val="it-IT"/>
              </w:rPr>
            </w:pPr>
            <w:r w:rsidRPr="00024F9E">
              <w:rPr>
                <w:lang w:val="it-IT"/>
              </w:rPr>
              <w:t>l’ammontare degli oneri finanziari imputati nell’esercizio ai valori iscritti nell’attivo dello stato patrimoniale, distintamente per ogni voce</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Art. 2427, c. 1, n. 9, CC     OIC 13.58  OIC 13.60</w:t>
            </w:r>
          </w:p>
        </w:tc>
        <w:tc>
          <w:tcPr>
            <w:tcW w:w="7060" w:type="dxa"/>
            <w:tcMar>
              <w:left w:w="108" w:type="dxa"/>
            </w:tcMar>
          </w:tcPr>
          <w:p w:rsidR="00024F9E" w:rsidRPr="00024F9E" w:rsidRDefault="00024F9E" w:rsidP="00024F9E">
            <w:pPr>
              <w:numPr>
                <w:ilvl w:val="0"/>
                <w:numId w:val="1"/>
              </w:numPr>
              <w:tabs>
                <w:tab w:val="clear" w:pos="704"/>
                <w:tab w:val="num" w:pos="491"/>
                <w:tab w:val="num" w:pos="780"/>
              </w:tabs>
              <w:overflowPunct/>
              <w:autoSpaceDE/>
              <w:autoSpaceDN/>
              <w:adjustRightInd/>
              <w:spacing w:line="230" w:lineRule="exact"/>
              <w:ind w:left="491" w:hanging="284"/>
              <w:contextualSpacing/>
              <w:textAlignment w:val="auto"/>
              <w:rPr>
                <w:lang w:val="it-IT"/>
              </w:rPr>
            </w:pPr>
            <w:r w:rsidRPr="00024F9E">
              <w:rPr>
                <w:lang w:val="it-IT"/>
              </w:rPr>
              <w:t>l’importo complessivo degli impegni, delle garanzie e delle passività potenziali non risultanti dallo stato patrimoniale, con indicazione della natura delle garanzie reali prestate; gli impegni esistenti in materia di trattamento di quiescenza e simili, nonché gli impegni assunti nei confronti di imprese controllate, collegate nonché controllanti e imprese sottoposte al controllo diquest'ultime sono distintamente indicati, con evidenza degli eventuali gravami esistenti sulle rimanenze (ad esempio, pegno, patto di riservato dominio ecc.)</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Art. 2426, c.1, n. 10, CC   OIC 13.62</w:t>
            </w:r>
          </w:p>
        </w:tc>
        <w:tc>
          <w:tcPr>
            <w:tcW w:w="7060" w:type="dxa"/>
            <w:tcMar>
              <w:left w:w="108" w:type="dxa"/>
            </w:tcMar>
          </w:tcPr>
          <w:p w:rsidR="00024F9E" w:rsidRPr="00024F9E" w:rsidRDefault="00024F9E" w:rsidP="00024F9E">
            <w:pPr>
              <w:numPr>
                <w:ilvl w:val="0"/>
                <w:numId w:val="1"/>
              </w:numPr>
              <w:tabs>
                <w:tab w:val="clear" w:pos="704"/>
                <w:tab w:val="num" w:pos="491"/>
                <w:tab w:val="num" w:pos="780"/>
              </w:tabs>
              <w:overflowPunct/>
              <w:autoSpaceDE/>
              <w:autoSpaceDN/>
              <w:adjustRightInd/>
              <w:spacing w:line="230" w:lineRule="exact"/>
              <w:ind w:left="491" w:hanging="284"/>
              <w:contextualSpacing/>
              <w:textAlignment w:val="auto"/>
              <w:rPr>
                <w:lang w:val="it-IT"/>
              </w:rPr>
            </w:pPr>
            <w:r w:rsidRPr="00024F9E">
              <w:rPr>
                <w:lang w:val="it-IT"/>
              </w:rPr>
              <w:t>per i beni fungibili qualora il costo (calcolato col metodo della media ponderata o con quelli del “primo entrato, primo uscito” o: “ultimo entrato, primo uscito”) differisce in misura apprezzabile dai costi correnti alla chiusura dell’esercizio, la differenza, per categorie di beni</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Art. 2426, c.1, n. 10, CC   OIC 13.62</w:t>
            </w:r>
          </w:p>
        </w:tc>
        <w:tc>
          <w:tcPr>
            <w:tcW w:w="7060" w:type="dxa"/>
            <w:tcBorders>
              <w:bottom w:val="single" w:sz="4" w:space="0" w:color="auto"/>
            </w:tcBorders>
            <w:tcMar>
              <w:left w:w="108" w:type="dxa"/>
            </w:tcMar>
          </w:tcPr>
          <w:p w:rsidR="00024F9E" w:rsidRPr="00024F9E" w:rsidRDefault="00024F9E" w:rsidP="00024F9E">
            <w:pPr>
              <w:numPr>
                <w:ilvl w:val="0"/>
                <w:numId w:val="1"/>
              </w:numPr>
              <w:tabs>
                <w:tab w:val="clear" w:pos="704"/>
                <w:tab w:val="num" w:pos="491"/>
                <w:tab w:val="num" w:pos="780"/>
              </w:tabs>
              <w:overflowPunct/>
              <w:autoSpaceDE/>
              <w:autoSpaceDN/>
              <w:adjustRightInd/>
              <w:spacing w:line="230" w:lineRule="exact"/>
              <w:ind w:left="491" w:hanging="284"/>
              <w:contextualSpacing/>
              <w:textAlignment w:val="auto"/>
              <w:rPr>
                <w:lang w:val="it-IT"/>
              </w:rPr>
            </w:pPr>
            <w:r w:rsidRPr="00024F9E">
              <w:rPr>
                <w:lang w:val="it-IT"/>
              </w:rPr>
              <w:t>i casi in cui si utilizza il costo specifico per determinare il costo dei beni fungibili in magazzino?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CC242B" w:rsidTr="00D73E98">
        <w:trPr>
          <w:cantSplit/>
          <w:trHeight w:val="20"/>
        </w:trPr>
        <w:tc>
          <w:tcPr>
            <w:tcW w:w="680" w:type="dxa"/>
          </w:tcPr>
          <w:p w:rsidR="00024F9E" w:rsidRPr="00024F9E" w:rsidRDefault="00024F9E" w:rsidP="00024F9E">
            <w:pPr>
              <w:jc w:val="center"/>
              <w:rPr>
                <w:lang w:val="it-IT"/>
              </w:rPr>
            </w:pPr>
          </w:p>
        </w:tc>
        <w:tc>
          <w:tcPr>
            <w:tcW w:w="851" w:type="dxa"/>
            <w:tcBorders>
              <w:right w:val="single" w:sz="4" w:space="0" w:color="auto"/>
            </w:tcBorders>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Art. 2423, c.4, CC             OIC 13.61</w:t>
            </w:r>
          </w:p>
        </w:tc>
        <w:tc>
          <w:tcPr>
            <w:tcW w:w="7060" w:type="dxa"/>
            <w:tcBorders>
              <w:top w:val="single" w:sz="4" w:space="0" w:color="auto"/>
              <w:left w:val="single" w:sz="4" w:space="0" w:color="auto"/>
              <w:bottom w:val="single" w:sz="4" w:space="0" w:color="auto"/>
              <w:right w:val="single" w:sz="4" w:space="0" w:color="auto"/>
            </w:tcBorders>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190" w:lineRule="exact"/>
              <w:ind w:left="57" w:right="57"/>
              <w:rPr>
                <w:sz w:val="16"/>
                <w:szCs w:val="16"/>
                <w:lang w:val="it-IT"/>
              </w:rPr>
            </w:pPr>
            <w:r w:rsidRPr="00024F9E">
              <w:rPr>
                <w:sz w:val="16"/>
                <w:szCs w:val="16"/>
                <w:lang w:val="it-IT"/>
              </w:rPr>
              <w:t>L’articolo 2423, comma 4,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Nota Integrativa i criteri con cui hanno dato attuazione alla presente disposizione”. Esempi di applicazione del principio generale della rilevanza con riguardo alla determinazione del costo delle rimanenze sono: l’utilizzo del metodo dei costi standard, del prezzo al dettaglio, oppure del valore costante delle materie prime, sussidiarie e di consumo.</w:t>
            </w:r>
          </w:p>
        </w:tc>
        <w:tc>
          <w:tcPr>
            <w:tcW w:w="586" w:type="dxa"/>
            <w:tcBorders>
              <w:left w:val="single" w:sz="4" w:space="0" w:color="auto"/>
            </w:tcBorders>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CC242B"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Borders>
              <w:top w:val="single" w:sz="4" w:space="0" w:color="auto"/>
            </w:tcBorders>
            <w:tcMar>
              <w:left w:w="108" w:type="dxa"/>
            </w:tcMar>
            <w:vAlign w:val="center"/>
          </w:tcPr>
          <w:p w:rsidR="00024F9E" w:rsidRPr="00024F9E" w:rsidRDefault="00024F9E" w:rsidP="00024F9E">
            <w:pPr>
              <w:keepNext/>
              <w:spacing w:line="210" w:lineRule="exact"/>
              <w:jc w:val="left"/>
              <w:outlineLvl w:val="2"/>
              <w:rPr>
                <w:b/>
                <w:bCs/>
                <w:i/>
                <w:lang w:val="it-IT"/>
              </w:rPr>
            </w:pPr>
            <w:r w:rsidRPr="00024F9E">
              <w:rPr>
                <w:b/>
                <w:bCs/>
                <w:i/>
                <w:lang w:val="it-IT"/>
              </w:rPr>
              <w:t>Informazioni relative alle società che redigono il bilancio in forma abbreviata</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CC242B" w:rsidTr="00D73E98">
        <w:trPr>
          <w:cantSplit/>
          <w:trHeight w:val="20"/>
        </w:trPr>
        <w:tc>
          <w:tcPr>
            <w:tcW w:w="680" w:type="dxa"/>
          </w:tcPr>
          <w:p w:rsidR="00024F9E" w:rsidRPr="00024F9E" w:rsidRDefault="00024F9E" w:rsidP="00024F9E">
            <w:pPr>
              <w:jc w:val="center"/>
              <w:rPr>
                <w:b/>
                <w:lang w:val="it-IT"/>
              </w:rPr>
            </w:pPr>
            <w:r w:rsidRPr="00024F9E">
              <w:rPr>
                <w:b/>
                <w:lang w:val="it-IT"/>
              </w:rPr>
              <w:t>35)</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p>
        </w:tc>
        <w:tc>
          <w:tcPr>
            <w:tcW w:w="7060" w:type="dxa"/>
            <w:tcMar>
              <w:left w:w="108" w:type="dxa"/>
            </w:tcMar>
          </w:tcPr>
          <w:p w:rsidR="00024F9E" w:rsidRPr="00024F9E" w:rsidRDefault="00024F9E" w:rsidP="00024F9E">
            <w:pPr>
              <w:overflowPunct/>
              <w:autoSpaceDE/>
              <w:autoSpaceDN/>
              <w:adjustRightInd/>
              <w:spacing w:line="230" w:lineRule="exact"/>
              <w:ind w:left="391" w:hanging="357"/>
              <w:textAlignment w:val="auto"/>
              <w:rPr>
                <w:lang w:val="it-IT"/>
              </w:rPr>
            </w:pPr>
            <w:r w:rsidRPr="00024F9E">
              <w:rPr>
                <w:lang w:val="it-IT"/>
              </w:rPr>
              <w:t>La Nota Integrativa contiene le seguenti informazioni:</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Art. 2427, c.1, n. 1, CC      Art. 2435-ter CC             OIC 13.63</w:t>
            </w:r>
          </w:p>
        </w:tc>
        <w:tc>
          <w:tcPr>
            <w:tcW w:w="7060" w:type="dxa"/>
            <w:tcMar>
              <w:left w:w="108" w:type="dxa"/>
            </w:tcMar>
          </w:tcPr>
          <w:p w:rsidR="00024F9E" w:rsidRPr="00024F9E" w:rsidRDefault="00024F9E" w:rsidP="00024F9E">
            <w:pPr>
              <w:numPr>
                <w:ilvl w:val="0"/>
                <w:numId w:val="1"/>
              </w:numPr>
              <w:tabs>
                <w:tab w:val="clear" w:pos="704"/>
                <w:tab w:val="num" w:pos="491"/>
                <w:tab w:val="num" w:pos="780"/>
              </w:tabs>
              <w:overflowPunct/>
              <w:autoSpaceDE/>
              <w:autoSpaceDN/>
              <w:adjustRightInd/>
              <w:spacing w:line="230" w:lineRule="exact"/>
              <w:ind w:left="491" w:hanging="284"/>
              <w:contextualSpacing/>
              <w:textAlignment w:val="auto"/>
              <w:rPr>
                <w:lang w:val="it-IT"/>
              </w:rPr>
            </w:pPr>
            <w:r w:rsidRPr="00024F9E">
              <w:rPr>
                <w:lang w:val="it-IT"/>
              </w:rPr>
              <w:t>i criteri applicati nella valutazione delle voci di bilancio, nelle rettifiche di valore e nella conversione dei valori non espressi all’origine in moneta avente corso legale nello Stato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Art. 2427, c.1, n. 8), CC     Art. 2435-ter CC              OIC 13.63</w:t>
            </w:r>
          </w:p>
        </w:tc>
        <w:tc>
          <w:tcPr>
            <w:tcW w:w="7060" w:type="dxa"/>
            <w:tcMar>
              <w:left w:w="108" w:type="dxa"/>
            </w:tcMar>
          </w:tcPr>
          <w:p w:rsidR="00024F9E" w:rsidRPr="00024F9E" w:rsidRDefault="00024F9E" w:rsidP="00E13709">
            <w:pPr>
              <w:numPr>
                <w:ilvl w:val="0"/>
                <w:numId w:val="1"/>
              </w:numPr>
              <w:tabs>
                <w:tab w:val="clear" w:pos="704"/>
                <w:tab w:val="num" w:pos="491"/>
              </w:tabs>
              <w:overflowPunct/>
              <w:autoSpaceDE/>
              <w:autoSpaceDN/>
              <w:adjustRightInd/>
              <w:spacing w:line="230" w:lineRule="exact"/>
              <w:ind w:left="491" w:hanging="284"/>
              <w:contextualSpacing/>
              <w:textAlignment w:val="auto"/>
              <w:rPr>
                <w:lang w:val="it-IT"/>
              </w:rPr>
            </w:pPr>
            <w:r w:rsidRPr="00024F9E">
              <w:rPr>
                <w:lang w:val="it-IT"/>
              </w:rPr>
              <w:t>l’ammontare degli oneri finanziari imputati nell’esercizio ai valori iscritti nell’attivo dello stato patrimoniale, distintamente per ogni voce</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Art. 2427, c.1, n. 9, CC      Art. 2435-ter CC</w:t>
            </w:r>
          </w:p>
          <w:p w:rsidR="00024F9E" w:rsidRPr="00024F9E" w:rsidRDefault="00024F9E" w:rsidP="00024F9E">
            <w:pPr>
              <w:spacing w:before="40" w:line="120" w:lineRule="exact"/>
              <w:ind w:right="28"/>
              <w:jc w:val="left"/>
              <w:rPr>
                <w:sz w:val="13"/>
                <w:szCs w:val="13"/>
                <w:lang w:val="en-US"/>
              </w:rPr>
            </w:pPr>
            <w:r w:rsidRPr="00024F9E">
              <w:rPr>
                <w:sz w:val="13"/>
                <w:szCs w:val="13"/>
                <w:lang w:val="en-US"/>
              </w:rPr>
              <w:t>OIC 13.63</w:t>
            </w:r>
          </w:p>
        </w:tc>
        <w:tc>
          <w:tcPr>
            <w:tcW w:w="7060" w:type="dxa"/>
            <w:tcMar>
              <w:left w:w="108" w:type="dxa"/>
            </w:tcMar>
          </w:tcPr>
          <w:p w:rsidR="00024F9E" w:rsidRPr="00024F9E" w:rsidRDefault="00024F9E" w:rsidP="00E13709">
            <w:pPr>
              <w:numPr>
                <w:ilvl w:val="0"/>
                <w:numId w:val="1"/>
              </w:numPr>
              <w:tabs>
                <w:tab w:val="clear" w:pos="704"/>
                <w:tab w:val="num" w:pos="491"/>
              </w:tabs>
              <w:overflowPunct/>
              <w:autoSpaceDE/>
              <w:autoSpaceDN/>
              <w:adjustRightInd/>
              <w:spacing w:line="230" w:lineRule="exact"/>
              <w:ind w:left="491" w:hanging="284"/>
              <w:contextualSpacing/>
              <w:textAlignment w:val="auto"/>
              <w:rPr>
                <w:lang w:val="it-IT"/>
              </w:rPr>
            </w:pPr>
            <w:r w:rsidRPr="00024F9E">
              <w:rPr>
                <w:lang w:val="it-IT"/>
              </w:rPr>
              <w:t>l’importo complessivo degli impegni, delle garanzie e delle passività potenziali non risultanti dallo stato patrimoniale, con indicazione della natura delle garanzie reali prestate?</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CC242B" w:rsidTr="00D73E98">
        <w:trPr>
          <w:cantSplit/>
          <w:trHeight w:val="20"/>
        </w:trPr>
        <w:tc>
          <w:tcPr>
            <w:tcW w:w="680" w:type="dxa"/>
          </w:tcPr>
          <w:p w:rsidR="00024F9E" w:rsidRPr="00024F9E" w:rsidRDefault="00024F9E" w:rsidP="00024F9E">
            <w:pPr>
              <w:jc w:val="center"/>
              <w:rPr>
                <w:b/>
                <w:lang w:val="it-IT"/>
              </w:rPr>
            </w:pPr>
            <w:r w:rsidRPr="00024F9E">
              <w:rPr>
                <w:b/>
                <w:lang w:val="it-IT"/>
              </w:rPr>
              <w:t>36)</w:t>
            </w:r>
          </w:p>
        </w:tc>
        <w:tc>
          <w:tcPr>
            <w:tcW w:w="851" w:type="dxa"/>
            <w:tcMar>
              <w:left w:w="108" w:type="dxa"/>
              <w:right w:w="0" w:type="dxa"/>
            </w:tcMar>
          </w:tcPr>
          <w:p w:rsidR="00024F9E" w:rsidRPr="00024F9E" w:rsidRDefault="00024F9E" w:rsidP="00024F9E">
            <w:pPr>
              <w:spacing w:before="40" w:line="130" w:lineRule="exact"/>
              <w:ind w:right="28"/>
              <w:jc w:val="left"/>
              <w:rPr>
                <w:sz w:val="13"/>
                <w:szCs w:val="13"/>
                <w:lang w:val="en-US"/>
              </w:rPr>
            </w:pPr>
            <w:r w:rsidRPr="00024F9E">
              <w:rPr>
                <w:sz w:val="13"/>
                <w:szCs w:val="13"/>
                <w:lang w:val="en-US"/>
              </w:rPr>
              <w:t>Art. 2435-bis, CC</w:t>
            </w:r>
          </w:p>
          <w:p w:rsidR="00024F9E" w:rsidRPr="00024F9E" w:rsidRDefault="00024F9E" w:rsidP="00024F9E">
            <w:pPr>
              <w:spacing w:before="40" w:line="130" w:lineRule="exact"/>
              <w:ind w:right="28"/>
              <w:jc w:val="left"/>
              <w:rPr>
                <w:sz w:val="13"/>
                <w:szCs w:val="13"/>
                <w:lang w:val="en-US"/>
              </w:rPr>
            </w:pPr>
            <w:r w:rsidRPr="00024F9E">
              <w:rPr>
                <w:sz w:val="13"/>
                <w:szCs w:val="13"/>
                <w:lang w:val="en-US"/>
              </w:rPr>
              <w:t>Art. 2435-ter CC</w:t>
            </w:r>
          </w:p>
          <w:p w:rsidR="00024F9E" w:rsidRPr="00024F9E" w:rsidRDefault="00024F9E" w:rsidP="00024F9E">
            <w:pPr>
              <w:spacing w:before="40" w:line="130" w:lineRule="exact"/>
              <w:ind w:right="28"/>
              <w:jc w:val="left"/>
              <w:rPr>
                <w:sz w:val="13"/>
                <w:szCs w:val="13"/>
                <w:lang w:val="it-IT"/>
              </w:rPr>
            </w:pPr>
            <w:r w:rsidRPr="00024F9E">
              <w:rPr>
                <w:sz w:val="13"/>
                <w:szCs w:val="13"/>
                <w:lang w:val="en-US"/>
              </w:rPr>
              <w:t>OIC 13.64</w:t>
            </w:r>
          </w:p>
        </w:tc>
        <w:tc>
          <w:tcPr>
            <w:tcW w:w="7060" w:type="dxa"/>
            <w:tcMar>
              <w:left w:w="108" w:type="dxa"/>
            </w:tcMar>
          </w:tcPr>
          <w:p w:rsidR="00024F9E" w:rsidRPr="00024F9E" w:rsidRDefault="00024F9E" w:rsidP="00024F9E">
            <w:pPr>
              <w:overflowPunct/>
              <w:autoSpaceDE/>
              <w:autoSpaceDN/>
              <w:adjustRightInd/>
              <w:spacing w:line="230" w:lineRule="exact"/>
              <w:ind w:left="392" w:hanging="360"/>
              <w:textAlignment w:val="auto"/>
              <w:rPr>
                <w:lang w:val="it-IT"/>
              </w:rPr>
            </w:pPr>
            <w:r w:rsidRPr="00024F9E">
              <w:rPr>
                <w:lang w:val="it-IT"/>
              </w:rPr>
              <w:t>In Nota Integrativa è stato indicato:</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024F9E">
              <w:rPr>
                <w:lang w:val="it-IT"/>
              </w:rPr>
              <w:t>nel caso di svalutazione delle rimanenze le informazioni richieste al paragrafo 59?</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024F9E">
              <w:rPr>
                <w:lang w:val="it-IT"/>
              </w:rPr>
              <w:t>nel caso dell’esistenza di gravami sulle rimanenze le informazioni richieste al paragrafo 60?</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CA1681">
              <w:fldChar w:fldCharType="separate"/>
            </w:r>
            <w:r w:rsidRPr="00024F9E">
              <w:fldChar w:fldCharType="end"/>
            </w:r>
          </w:p>
        </w:tc>
      </w:tr>
      <w:tr w:rsidR="00024F9E" w:rsidRPr="00CC242B"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Art. 2423, c.4, CC</w:t>
            </w:r>
          </w:p>
          <w:p w:rsidR="00024F9E" w:rsidRPr="00024F9E" w:rsidRDefault="00024F9E" w:rsidP="00024F9E">
            <w:pPr>
              <w:spacing w:before="40" w:line="240" w:lineRule="auto"/>
              <w:ind w:right="28"/>
              <w:jc w:val="left"/>
              <w:rPr>
                <w:sz w:val="13"/>
                <w:szCs w:val="13"/>
                <w:lang w:val="en-US"/>
              </w:rPr>
            </w:pPr>
            <w:r w:rsidRPr="00024F9E">
              <w:rPr>
                <w:sz w:val="13"/>
                <w:szCs w:val="13"/>
                <w:lang w:val="it-IT"/>
              </w:rPr>
              <w:t>OIC 13.63</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b/>
                <w:szCs w:val="16"/>
                <w:lang w:val="it-IT"/>
              </w:rPr>
            </w:pPr>
            <w:r w:rsidRPr="00024F9E">
              <w:rPr>
                <w:sz w:val="16"/>
                <w:szCs w:val="16"/>
                <w:lang w:val="it-IT"/>
              </w:rPr>
              <w:t>L’articolo 2423, comma 4,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Nota Integrativa i criteri con cui hanno dato attuazione alla presente disposizione”.</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keepNext/>
              <w:overflowPunct/>
              <w:autoSpaceDE/>
              <w:autoSpaceDN/>
              <w:adjustRightInd/>
              <w:spacing w:line="240" w:lineRule="exact"/>
              <w:jc w:val="left"/>
              <w:textAlignment w:val="auto"/>
              <w:outlineLvl w:val="1"/>
              <w:rPr>
                <w:b/>
                <w:sz w:val="22"/>
              </w:rPr>
            </w:pPr>
            <w:r w:rsidRPr="00024F9E">
              <w:rPr>
                <w:b/>
                <w:sz w:val="22"/>
              </w:rPr>
              <w:t>Disposizioni di prima applicazione</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CC242B"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13.68</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b/>
                <w:i/>
                <w:sz w:val="16"/>
                <w:szCs w:val="16"/>
                <w:lang w:val="it-IT"/>
              </w:rPr>
            </w:pPr>
            <w:r w:rsidRPr="00024F9E">
              <w:rPr>
                <w:sz w:val="16"/>
                <w:szCs w:val="16"/>
                <w:lang w:val="it-IT" w:eastAsia="it-IT"/>
              </w:rPr>
              <w:t xml:space="preserve">Qualora la Società applichi il criterio del costo ammortizzato retroattivamente, l’iscrizione delle rimanenze di magazzino al costo ammortizzato deve essere effettuata retroattivamente, in caso contrario prospetticamente. </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CC242B"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13.69</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b/>
                <w:sz w:val="16"/>
                <w:szCs w:val="16"/>
                <w:lang w:val="it-IT" w:eastAsia="it-IT"/>
              </w:rPr>
            </w:pPr>
            <w:r w:rsidRPr="00024F9E">
              <w:rPr>
                <w:sz w:val="16"/>
                <w:szCs w:val="16"/>
                <w:lang w:val="it-IT" w:eastAsia="it-IT"/>
              </w:rPr>
              <w:t xml:space="preserve">Le disposizioni relative alla determinazione del presumibile valore di realizzazione desumibile dall’andamento del mercato delle rimanenze di materie prime e sussidiarie contenute nei paragrafi 51-53 si applicano a tutte le rimanenze finali di materie prime e sussidiarie rappresentate nel primo bilancio in cui trovano applicazione le nuove disposizioni. </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CC242B"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13.70</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b/>
                <w:sz w:val="16"/>
                <w:szCs w:val="16"/>
                <w:highlight w:val="yellow"/>
                <w:lang w:val="it-IT" w:eastAsia="it-IT"/>
              </w:rPr>
            </w:pPr>
            <w:r w:rsidRPr="00024F9E">
              <w:rPr>
                <w:sz w:val="16"/>
                <w:szCs w:val="16"/>
                <w:lang w:val="it-IT"/>
              </w:rPr>
              <w:t>Eventuali effetti derivanti dall’applicazione delle altre modifiche apportate alla precedente versione dell’OIC 13 possono essere rilevati in bilancio prospetticamente come previsto dall’OIC 29 per tale modalità di rilevazione. Pertanto le componenti delle voci riferite ad operazioni che non hanno ancora esaurito i loro effetti in bilancio possono continuare ad essere contabilizzati in conformità al precedente principio.</w:t>
            </w:r>
            <w:r w:rsidRPr="00024F9E">
              <w:rPr>
                <w:b/>
                <w:sz w:val="16"/>
                <w:szCs w:val="16"/>
                <w:lang w:val="it-IT"/>
              </w:rPr>
              <w:t xml:space="preserve"> </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bl>
    <w:p w:rsidR="00024F9E" w:rsidRPr="00024F9E" w:rsidRDefault="00024F9E" w:rsidP="00024F9E">
      <w:pPr>
        <w:rPr>
          <w:lang w:val="it-IT"/>
        </w:rPr>
      </w:pPr>
    </w:p>
    <w:p w:rsidR="00445361" w:rsidRDefault="00445361" w:rsidP="00A43012">
      <w:pPr>
        <w:rPr>
          <w:lang w:val="it-IT"/>
        </w:rPr>
        <w:sectPr w:rsidR="00445361" w:rsidSect="008E5F3E">
          <w:headerReference w:type="default" r:id="rId35"/>
          <w:footerReference w:type="default" r:id="rId36"/>
          <w:pgSz w:w="11906" w:h="16838" w:code="9"/>
          <w:pgMar w:top="1134" w:right="851" w:bottom="851" w:left="851" w:header="709" w:footer="567" w:gutter="0"/>
          <w:cols w:space="708"/>
          <w:docGrid w:linePitch="360"/>
        </w:sectPr>
      </w:pPr>
    </w:p>
    <w:p w:rsidR="00445361" w:rsidRPr="00655A70" w:rsidRDefault="00445361" w:rsidP="00445361">
      <w:pPr>
        <w:rPr>
          <w:lang w:val="it-IT"/>
        </w:rPr>
      </w:pPr>
    </w:p>
    <w:p w:rsidR="00445361" w:rsidRPr="007A10E8" w:rsidRDefault="00445361" w:rsidP="00445361">
      <w:pPr>
        <w:tabs>
          <w:tab w:val="left" w:pos="1890"/>
        </w:tabs>
        <w:spacing w:line="260" w:lineRule="exact"/>
        <w:ind w:left="990" w:hanging="990"/>
        <w:jc w:val="left"/>
        <w:rPr>
          <w:b/>
          <w:color w:val="0070C0"/>
          <w:lang w:val="it-IT"/>
        </w:rPr>
      </w:pPr>
      <w:r w:rsidRPr="007A10E8">
        <w:rPr>
          <w:b/>
          <w:color w:val="0070C0"/>
          <w:sz w:val="28"/>
          <w:lang w:val="it-IT"/>
        </w:rPr>
        <w:t xml:space="preserve">Lavori in corso su ordinazione </w:t>
      </w:r>
    </w:p>
    <w:p w:rsidR="00445361" w:rsidRPr="00AD653D" w:rsidRDefault="00445361" w:rsidP="00445361">
      <w:pPr>
        <w:rPr>
          <w:lang w:val="it-IT"/>
        </w:rPr>
      </w:pPr>
    </w:p>
    <w:p w:rsidR="00445361" w:rsidRPr="00AD653D" w:rsidRDefault="00445361" w:rsidP="00445361">
      <w:pPr>
        <w:rPr>
          <w:lang w:val="it-IT"/>
        </w:rPr>
      </w:pPr>
    </w:p>
    <w:tbl>
      <w:tblPr>
        <w:tblpPr w:leftFromText="141" w:rightFromText="141" w:vertAnchor="text" w:tblpY="1"/>
        <w:tblOverlap w:val="never"/>
        <w:tblW w:w="103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79"/>
        <w:gridCol w:w="856"/>
        <w:gridCol w:w="7078"/>
        <w:gridCol w:w="564"/>
        <w:gridCol w:w="573"/>
        <w:gridCol w:w="570"/>
      </w:tblGrid>
      <w:tr w:rsidR="00445361" w:rsidRPr="008A0F36" w:rsidTr="00D73E98">
        <w:trPr>
          <w:cantSplit/>
          <w:trHeight w:val="20"/>
          <w:tblHeader/>
        </w:trPr>
        <w:tc>
          <w:tcPr>
            <w:tcW w:w="679" w:type="dxa"/>
            <w:shd w:val="clear" w:color="auto" w:fill="F2F2F2"/>
          </w:tcPr>
          <w:p w:rsidR="00445361" w:rsidRPr="008A0F36" w:rsidRDefault="00445361" w:rsidP="00D73E98">
            <w:pPr>
              <w:jc w:val="center"/>
              <w:rPr>
                <w:lang w:val="it-IT"/>
              </w:rPr>
            </w:pPr>
          </w:p>
        </w:tc>
        <w:tc>
          <w:tcPr>
            <w:tcW w:w="856" w:type="dxa"/>
            <w:shd w:val="clear" w:color="auto" w:fill="F2F2F2"/>
            <w:tcMar>
              <w:left w:w="108" w:type="dxa"/>
              <w:right w:w="0" w:type="dxa"/>
            </w:tcMar>
          </w:tcPr>
          <w:p w:rsidR="00445361" w:rsidRPr="008A0F36" w:rsidRDefault="00445361" w:rsidP="00D73E98">
            <w:pPr>
              <w:jc w:val="left"/>
              <w:rPr>
                <w:b/>
                <w:lang w:val="it-IT"/>
              </w:rPr>
            </w:pPr>
          </w:p>
        </w:tc>
        <w:tc>
          <w:tcPr>
            <w:tcW w:w="7078" w:type="dxa"/>
            <w:shd w:val="clear" w:color="auto" w:fill="F2F2F2"/>
            <w:tcMar>
              <w:left w:w="108" w:type="dxa"/>
            </w:tcMar>
          </w:tcPr>
          <w:p w:rsidR="00445361" w:rsidRPr="008A0F36" w:rsidRDefault="00445361" w:rsidP="00D73E98">
            <w:pPr>
              <w:jc w:val="center"/>
              <w:rPr>
                <w:b/>
                <w:lang w:val="it-IT"/>
              </w:rPr>
            </w:pPr>
          </w:p>
        </w:tc>
        <w:tc>
          <w:tcPr>
            <w:tcW w:w="564" w:type="dxa"/>
            <w:shd w:val="clear" w:color="auto" w:fill="F2F2F2"/>
            <w:tcMar>
              <w:left w:w="85" w:type="dxa"/>
              <w:right w:w="85" w:type="dxa"/>
            </w:tcMar>
            <w:vAlign w:val="bottom"/>
          </w:tcPr>
          <w:p w:rsidR="00445361" w:rsidRPr="008A0F36" w:rsidRDefault="00445361" w:rsidP="00D73E98">
            <w:pPr>
              <w:jc w:val="center"/>
              <w:rPr>
                <w:b/>
                <w:lang w:val="it-IT"/>
              </w:rPr>
            </w:pPr>
            <w:r w:rsidRPr="008A0F36">
              <w:rPr>
                <w:b/>
                <w:lang w:val="it-IT"/>
              </w:rPr>
              <w:t>SI</w:t>
            </w:r>
          </w:p>
        </w:tc>
        <w:tc>
          <w:tcPr>
            <w:tcW w:w="573" w:type="dxa"/>
            <w:shd w:val="clear" w:color="auto" w:fill="F2F2F2"/>
            <w:tcMar>
              <w:left w:w="108" w:type="dxa"/>
            </w:tcMar>
            <w:vAlign w:val="bottom"/>
          </w:tcPr>
          <w:p w:rsidR="00445361" w:rsidRPr="008A0F36" w:rsidRDefault="00445361" w:rsidP="00D73E98">
            <w:pPr>
              <w:jc w:val="center"/>
              <w:rPr>
                <w:b/>
                <w:lang w:val="it-IT"/>
              </w:rPr>
            </w:pPr>
            <w:r w:rsidRPr="008A0F36">
              <w:rPr>
                <w:b/>
                <w:lang w:val="it-IT"/>
              </w:rPr>
              <w:t>NO</w:t>
            </w:r>
          </w:p>
        </w:tc>
        <w:tc>
          <w:tcPr>
            <w:tcW w:w="570" w:type="dxa"/>
            <w:shd w:val="clear" w:color="auto" w:fill="F2F2F2"/>
            <w:tcMar>
              <w:left w:w="108" w:type="dxa"/>
            </w:tcMar>
            <w:vAlign w:val="bottom"/>
          </w:tcPr>
          <w:p w:rsidR="00445361" w:rsidRPr="008A0F36" w:rsidRDefault="00445361" w:rsidP="00D73E98">
            <w:pPr>
              <w:jc w:val="center"/>
              <w:rPr>
                <w:b/>
                <w:lang w:val="it-IT"/>
              </w:rPr>
            </w:pPr>
            <w:r w:rsidRPr="008A0F36">
              <w:rPr>
                <w:b/>
                <w:lang w:val="it-IT"/>
              </w:rPr>
              <w:t>N/A</w:t>
            </w:r>
          </w:p>
        </w:tc>
      </w:tr>
      <w:tr w:rsidR="00445361" w:rsidRPr="00CC242B" w:rsidTr="00D73E98">
        <w:trPr>
          <w:cantSplit/>
          <w:trHeight w:val="20"/>
        </w:trPr>
        <w:tc>
          <w:tcPr>
            <w:tcW w:w="679" w:type="dxa"/>
            <w:vAlign w:val="center"/>
          </w:tcPr>
          <w:p w:rsidR="00445361" w:rsidRPr="008A0F36" w:rsidRDefault="00445361" w:rsidP="00D73E98">
            <w:pPr>
              <w:jc w:val="center"/>
              <w:rPr>
                <w:lang w:val="it-IT"/>
              </w:rPr>
            </w:pPr>
          </w:p>
        </w:tc>
        <w:tc>
          <w:tcPr>
            <w:tcW w:w="856" w:type="dxa"/>
            <w:tcMar>
              <w:left w:w="108" w:type="dxa"/>
              <w:right w:w="0" w:type="dxa"/>
            </w:tcMar>
            <w:vAlign w:val="center"/>
          </w:tcPr>
          <w:p w:rsidR="00445361" w:rsidRPr="008A0F36" w:rsidRDefault="00445361" w:rsidP="00D73E98">
            <w:pPr>
              <w:pStyle w:val="PrincCont"/>
              <w:jc w:val="left"/>
              <w:rPr>
                <w:lang w:val="it-IT"/>
              </w:rPr>
            </w:pPr>
          </w:p>
        </w:tc>
        <w:tc>
          <w:tcPr>
            <w:tcW w:w="7078" w:type="dxa"/>
            <w:tcMar>
              <w:left w:w="108" w:type="dxa"/>
            </w:tcMar>
            <w:vAlign w:val="center"/>
          </w:tcPr>
          <w:p w:rsidR="00445361" w:rsidRPr="008A0F36" w:rsidRDefault="00445361" w:rsidP="00D73E98">
            <w:pPr>
              <w:pStyle w:val="Titolo1"/>
            </w:pPr>
            <w:r>
              <w:t>Lavori in corso su ordinazione</w:t>
            </w:r>
          </w:p>
        </w:tc>
        <w:tc>
          <w:tcPr>
            <w:tcW w:w="564" w:type="dxa"/>
            <w:tcMar>
              <w:left w:w="85" w:type="dxa"/>
              <w:right w:w="85" w:type="dxa"/>
            </w:tcMar>
            <w:vAlign w:val="center"/>
          </w:tcPr>
          <w:p w:rsidR="00445361" w:rsidRPr="008A0F36" w:rsidRDefault="00445361" w:rsidP="00D73E98">
            <w:pPr>
              <w:jc w:val="left"/>
              <w:rPr>
                <w:lang w:val="it-IT"/>
              </w:rPr>
            </w:pPr>
          </w:p>
        </w:tc>
        <w:tc>
          <w:tcPr>
            <w:tcW w:w="573" w:type="dxa"/>
            <w:tcMar>
              <w:left w:w="108" w:type="dxa"/>
            </w:tcMar>
            <w:vAlign w:val="center"/>
          </w:tcPr>
          <w:p w:rsidR="00445361" w:rsidRPr="008A0F36" w:rsidRDefault="00445361" w:rsidP="00D73E98">
            <w:pPr>
              <w:jc w:val="left"/>
              <w:rPr>
                <w:lang w:val="it-IT"/>
              </w:rPr>
            </w:pPr>
          </w:p>
        </w:tc>
        <w:tc>
          <w:tcPr>
            <w:tcW w:w="570" w:type="dxa"/>
            <w:tcMar>
              <w:left w:w="108" w:type="dxa"/>
            </w:tcMar>
            <w:vAlign w:val="center"/>
          </w:tcPr>
          <w:p w:rsidR="00445361" w:rsidRPr="008A0F36" w:rsidRDefault="00445361" w:rsidP="00D73E98">
            <w:pPr>
              <w:jc w:val="left"/>
              <w:rPr>
                <w:lang w:val="it-IT"/>
              </w:rPr>
            </w:pPr>
          </w:p>
        </w:tc>
      </w:tr>
      <w:tr w:rsidR="00445361" w:rsidRPr="00FC7162" w:rsidTr="00D73E98">
        <w:trPr>
          <w:cantSplit/>
          <w:trHeight w:val="20"/>
        </w:trPr>
        <w:tc>
          <w:tcPr>
            <w:tcW w:w="679" w:type="dxa"/>
            <w:vAlign w:val="center"/>
          </w:tcPr>
          <w:p w:rsidR="00445361" w:rsidRPr="008A0F36" w:rsidRDefault="00445361" w:rsidP="00D73E98">
            <w:pPr>
              <w:jc w:val="center"/>
              <w:rPr>
                <w:lang w:val="it-IT"/>
              </w:rPr>
            </w:pPr>
          </w:p>
        </w:tc>
        <w:tc>
          <w:tcPr>
            <w:tcW w:w="856" w:type="dxa"/>
            <w:tcMar>
              <w:left w:w="108" w:type="dxa"/>
              <w:right w:w="0" w:type="dxa"/>
            </w:tcMar>
            <w:vAlign w:val="center"/>
          </w:tcPr>
          <w:p w:rsidR="00445361" w:rsidRPr="008A0F36" w:rsidRDefault="00445361" w:rsidP="00D73E98">
            <w:pPr>
              <w:pStyle w:val="PrincCont"/>
              <w:jc w:val="left"/>
              <w:rPr>
                <w:lang w:val="it-IT"/>
              </w:rPr>
            </w:pPr>
          </w:p>
        </w:tc>
        <w:tc>
          <w:tcPr>
            <w:tcW w:w="7078" w:type="dxa"/>
            <w:tcMar>
              <w:left w:w="108" w:type="dxa"/>
            </w:tcMar>
            <w:vAlign w:val="center"/>
          </w:tcPr>
          <w:p w:rsidR="00445361" w:rsidRDefault="00445361" w:rsidP="00D73E98">
            <w:pPr>
              <w:pStyle w:val="Titolo2"/>
            </w:pPr>
            <w:r>
              <w:t>Definizioni</w:t>
            </w:r>
          </w:p>
        </w:tc>
        <w:tc>
          <w:tcPr>
            <w:tcW w:w="564" w:type="dxa"/>
            <w:tcMar>
              <w:left w:w="85" w:type="dxa"/>
              <w:right w:w="85" w:type="dxa"/>
            </w:tcMar>
            <w:vAlign w:val="center"/>
          </w:tcPr>
          <w:p w:rsidR="00445361" w:rsidRPr="008A0F36" w:rsidRDefault="00445361" w:rsidP="00D73E98">
            <w:pPr>
              <w:jc w:val="left"/>
              <w:rPr>
                <w:lang w:val="it-IT"/>
              </w:rPr>
            </w:pPr>
          </w:p>
        </w:tc>
        <w:tc>
          <w:tcPr>
            <w:tcW w:w="573" w:type="dxa"/>
            <w:tcMar>
              <w:left w:w="108" w:type="dxa"/>
            </w:tcMar>
            <w:vAlign w:val="center"/>
          </w:tcPr>
          <w:p w:rsidR="00445361" w:rsidRPr="008A0F36" w:rsidRDefault="00445361" w:rsidP="00D73E98">
            <w:pPr>
              <w:jc w:val="left"/>
              <w:rPr>
                <w:lang w:val="it-IT"/>
              </w:rPr>
            </w:pPr>
          </w:p>
        </w:tc>
        <w:tc>
          <w:tcPr>
            <w:tcW w:w="570" w:type="dxa"/>
            <w:tcMar>
              <w:left w:w="108" w:type="dxa"/>
            </w:tcMar>
            <w:vAlign w:val="center"/>
          </w:tcPr>
          <w:p w:rsidR="00445361" w:rsidRPr="008A0F36" w:rsidRDefault="00445361" w:rsidP="00D73E98">
            <w:pPr>
              <w:jc w:val="left"/>
              <w:rPr>
                <w:lang w:val="it-IT"/>
              </w:rPr>
            </w:pPr>
          </w:p>
        </w:tc>
      </w:tr>
      <w:tr w:rsidR="00445361" w:rsidRPr="00CC242B" w:rsidTr="00D73E98">
        <w:trPr>
          <w:cantSplit/>
          <w:trHeight w:val="34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23.5</w:t>
            </w:r>
          </w:p>
        </w:tc>
        <w:tc>
          <w:tcPr>
            <w:tcW w:w="7078" w:type="dxa"/>
            <w:tcMar>
              <w:left w:w="108" w:type="dxa"/>
            </w:tcMar>
          </w:tcPr>
          <w:p w:rsidR="00445361" w:rsidRPr="00F11EA5" w:rsidRDefault="00445361" w:rsidP="00D73E98">
            <w:pPr>
              <w:pStyle w:val="Commentiriquadro"/>
              <w:rPr>
                <w:highlight w:val="yellow"/>
              </w:rPr>
            </w:pPr>
            <w:r w:rsidRPr="00FC09B7">
              <w:t xml:space="preserve">Un </w:t>
            </w:r>
            <w:r w:rsidRPr="00FC09B7">
              <w:rPr>
                <w:i/>
                <w:iCs/>
              </w:rPr>
              <w:t xml:space="preserve">lavoro in corso su ordinazione (o commessa) </w:t>
            </w:r>
            <w:r w:rsidRPr="00FC09B7">
              <w:t>si riferisce a un c</w:t>
            </w:r>
            <w:r>
              <w:t xml:space="preserve">ontratto, di durata normalmente </w:t>
            </w:r>
            <w:r w:rsidRPr="00FC09B7">
              <w:t>ultrannuale, per la realizzazione di un bene (o una combinazione di b</w:t>
            </w:r>
            <w:r>
              <w:t xml:space="preserve">eni) o per la fornitura di beni </w:t>
            </w:r>
            <w:r w:rsidRPr="00FC09B7">
              <w:t>o servizi non di serie che insieme formino un unico progetto, ovv</w:t>
            </w:r>
            <w:r>
              <w:t xml:space="preserve">ero siano strettamente connessi </w:t>
            </w:r>
            <w:r w:rsidRPr="00FC09B7">
              <w:t xml:space="preserve">o interdipendenti per ciò che riguarda la loro progettazione, </w:t>
            </w:r>
            <w:r>
              <w:t xml:space="preserve">tecnologia e funzione o la loro </w:t>
            </w:r>
            <w:r w:rsidRPr="00FC09B7">
              <w:t>utilizzazione finale. I lavori su ordinazione sono eseguiti su ordinazione del committente secondo</w:t>
            </w:r>
            <w:r>
              <w:t xml:space="preserve"> </w:t>
            </w:r>
            <w:r w:rsidRPr="00FC09B7">
              <w:t>le specifich</w:t>
            </w:r>
            <w:r>
              <w:t xml:space="preserve">e tecniche da questi richieste. </w:t>
            </w:r>
            <w:r w:rsidRPr="00FC09B7">
              <w:t>I lavori in corso su ordinazione sono normalmente affidati con co</w:t>
            </w:r>
            <w:r>
              <w:t xml:space="preserve">ntratti di appalto o altri atti </w:t>
            </w:r>
            <w:r w:rsidRPr="00FC09B7">
              <w:t xml:space="preserve">aventi contenuti economici simili (ad esempio, la vendita di cosa futura, alcuni </w:t>
            </w:r>
            <w:r>
              <w:t xml:space="preserve">tipi di concessioni </w:t>
            </w:r>
            <w:r w:rsidRPr="00FC09B7">
              <w:t>amministrative) concernenti la realizzazione di opere, edifici, strade</w:t>
            </w:r>
            <w:r>
              <w:t xml:space="preserve">, ponti, dighe, navi, impianti, </w:t>
            </w:r>
            <w:r w:rsidRPr="00FC09B7">
              <w:t>la fornitura di servizi direttamente correlati alla realizzazione di u</w:t>
            </w:r>
            <w:r>
              <w:t xml:space="preserve">n’opera (ad esempio, servizi di </w:t>
            </w:r>
            <w:r w:rsidRPr="00FC09B7">
              <w:t>progettazione) o la fornitura di più beni o servizi pattuiti come oggetto unitario</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CC242B"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23.6</w:t>
            </w:r>
          </w:p>
        </w:tc>
        <w:tc>
          <w:tcPr>
            <w:tcW w:w="7078" w:type="dxa"/>
            <w:tcMar>
              <w:left w:w="108" w:type="dxa"/>
            </w:tcMar>
          </w:tcPr>
          <w:p w:rsidR="00445361" w:rsidRPr="00F11EA5" w:rsidRDefault="00445361" w:rsidP="00D73E98">
            <w:pPr>
              <w:pStyle w:val="Commentiriquadro"/>
              <w:rPr>
                <w:highlight w:val="yellow"/>
              </w:rPr>
            </w:pPr>
            <w:r w:rsidRPr="00FC09B7">
              <w:t xml:space="preserve">Per </w:t>
            </w:r>
            <w:r w:rsidRPr="00FC09B7">
              <w:rPr>
                <w:i/>
                <w:iCs/>
              </w:rPr>
              <w:t xml:space="preserve">lavoro in corso su ordinazione di durata ultrannuale </w:t>
            </w:r>
            <w:r w:rsidRPr="00FC09B7">
              <w:t>si intende</w:t>
            </w:r>
            <w:r>
              <w:t xml:space="preserve"> un contratto di esecuzione che </w:t>
            </w:r>
            <w:r w:rsidRPr="00FC09B7">
              <w:t xml:space="preserve">investe un periodo superiore a dodici mesi. Per </w:t>
            </w:r>
            <w:r w:rsidRPr="00FC09B7">
              <w:rPr>
                <w:i/>
                <w:iCs/>
              </w:rPr>
              <w:t xml:space="preserve">durata </w:t>
            </w:r>
            <w:r w:rsidRPr="00FC09B7">
              <w:t>si intende</w:t>
            </w:r>
            <w:r>
              <w:t xml:space="preserve"> il tempo che intercorre tra la </w:t>
            </w:r>
            <w:r w:rsidRPr="00FC09B7">
              <w:t>data d’inizio di realizzazione dei beni e/o servizi e la data di ulti</w:t>
            </w:r>
            <w:r>
              <w:t xml:space="preserve">mazione e consegna dei beni e/o </w:t>
            </w:r>
            <w:r w:rsidRPr="00FC09B7">
              <w:t xml:space="preserve">prestazione dei servizi entrambe determinate dal contratto; ciò </w:t>
            </w:r>
            <w:r>
              <w:t xml:space="preserve">indipendentemente dalla data in </w:t>
            </w:r>
            <w:r w:rsidRPr="00FC09B7">
              <w:t>cui si è perfezionato il contratto.</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CC242B"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23.7</w:t>
            </w:r>
          </w:p>
        </w:tc>
        <w:tc>
          <w:tcPr>
            <w:tcW w:w="7078" w:type="dxa"/>
            <w:tcMar>
              <w:left w:w="108" w:type="dxa"/>
            </w:tcMar>
          </w:tcPr>
          <w:p w:rsidR="00445361" w:rsidRPr="00F11EA5" w:rsidRDefault="00445361" w:rsidP="00D73E98">
            <w:pPr>
              <w:pStyle w:val="Commentiriquadro"/>
              <w:rPr>
                <w:highlight w:val="yellow"/>
              </w:rPr>
            </w:pPr>
            <w:r w:rsidRPr="00FC09B7">
              <w:t xml:space="preserve">I </w:t>
            </w:r>
            <w:r w:rsidRPr="00FC09B7">
              <w:rPr>
                <w:i/>
                <w:iCs/>
              </w:rPr>
              <w:t xml:space="preserve">contratti a corrispettivo predeterminato </w:t>
            </w:r>
            <w:r w:rsidRPr="00FC09B7">
              <w:t>sono lavori in</w:t>
            </w:r>
            <w:r>
              <w:t xml:space="preserve"> corso su ordinazione nei quali </w:t>
            </w:r>
            <w:r w:rsidRPr="00FC09B7">
              <w:t>l’appaltatore si impegna ad eseguire l’opera sulla base di un prezz</w:t>
            </w:r>
            <w:r>
              <w:t xml:space="preserve">o contrattuale predeterminato o </w:t>
            </w:r>
            <w:r w:rsidRPr="00FC09B7">
              <w:t>dei prezzi pre-determinati per le singole voci di lavoro. Al fine di contenere i rischi dell’impegno</w:t>
            </w:r>
            <w:r>
              <w:t xml:space="preserve"> </w:t>
            </w:r>
            <w:r w:rsidRPr="00FC09B7">
              <w:t>assunto, il prezzo predeterminato può essere oggetto di clau</w:t>
            </w:r>
            <w:r>
              <w:t xml:space="preserve">sole di revisione di prezzo per </w:t>
            </w:r>
            <w:r w:rsidRPr="00FC09B7">
              <w:t>adeguarlo ad aumenti dei relativi costi. Altri motivi tipici ch</w:t>
            </w:r>
            <w:r>
              <w:t xml:space="preserve">e portano ad una variazione del </w:t>
            </w:r>
            <w:r w:rsidRPr="00FC09B7">
              <w:t>prezzo possono essere, ad esempio, la richiesta di modifiche all’o</w:t>
            </w:r>
            <w:r>
              <w:t xml:space="preserve">riginario progetto da parte del </w:t>
            </w:r>
            <w:r w:rsidRPr="00FC09B7">
              <w:t>committente, regolamentato da un apposito atto aggiuntivo</w:t>
            </w:r>
            <w:r>
              <w:t xml:space="preserve"> (ad esempio, varianti in corso </w:t>
            </w:r>
            <w:r w:rsidRPr="00FC09B7">
              <w:t xml:space="preserve">d’opera) o l’adeguamento </w:t>
            </w:r>
            <w:r w:rsidRPr="00FC09B7">
              <w:rPr>
                <w:i/>
                <w:iCs/>
              </w:rPr>
              <w:t xml:space="preserve">ex lege </w:t>
            </w:r>
            <w:r>
              <w:t xml:space="preserve">(articolo 1664 codice civile). </w:t>
            </w:r>
            <w:r w:rsidRPr="00FC09B7">
              <w:t>Ai contratti a corrispettivo predeterminato possono essere ricoll</w:t>
            </w:r>
            <w:r>
              <w:t xml:space="preserve">egati quelli basati sulle unità </w:t>
            </w:r>
            <w:r w:rsidRPr="00FC09B7">
              <w:t>prodotte, nei quali viene stabilito contrattualmente un prezzo fisso p</w:t>
            </w:r>
            <w:r>
              <w:t xml:space="preserve">er unità di prodotto. Il prezzo </w:t>
            </w:r>
            <w:r w:rsidRPr="00FC09B7">
              <w:t>complessivo finale varia dunque in relazione alle quantità prodotte.</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CC242B"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23.8</w:t>
            </w:r>
          </w:p>
        </w:tc>
        <w:tc>
          <w:tcPr>
            <w:tcW w:w="7078" w:type="dxa"/>
            <w:tcMar>
              <w:left w:w="108" w:type="dxa"/>
            </w:tcMar>
          </w:tcPr>
          <w:p w:rsidR="00445361" w:rsidRPr="00F11EA5" w:rsidRDefault="00445361" w:rsidP="00D73E98">
            <w:pPr>
              <w:pStyle w:val="Commentiriquadro"/>
              <w:rPr>
                <w:highlight w:val="yellow"/>
              </w:rPr>
            </w:pPr>
            <w:r w:rsidRPr="00D464BA">
              <w:t xml:space="preserve">I </w:t>
            </w:r>
            <w:r w:rsidRPr="00D464BA">
              <w:rPr>
                <w:i/>
                <w:iCs/>
              </w:rPr>
              <w:t xml:space="preserve">contratti con corrispettivo basato sul costo consuntivo più il margine </w:t>
            </w:r>
            <w:r w:rsidRPr="00D464BA">
              <w:t>sono lavori in corso su ordinazione nei quali il corrispettivo riconosciuto all’appaltatore è determinato dai costi sostenuti, specificamente previsti dal contratto, maggiorati di una percentuale dei costi stessi a titolo di recupero di spese generali e di altre spese non specificamente rimborsabili, oltre che del profitto, ovvero di un importo fisso. In entrambi i casi, la determinazione del margine è stabilita contrattualmente.</w:t>
            </w:r>
            <w:r w:rsidRPr="00FC09B7">
              <w:t>Il margine dell’appaltatore può essere proporzionale a</w:t>
            </w:r>
            <w:r>
              <w:t xml:space="preserve">i costi sostenuti ovvero essere </w:t>
            </w:r>
            <w:r w:rsidRPr="00FC09B7">
              <w:t>predeterminato se calcolato come percentuale fissa dei costi stim</w:t>
            </w:r>
            <w:r>
              <w:t xml:space="preserve">ati inizialmente. Nei contratti </w:t>
            </w:r>
            <w:r w:rsidRPr="00FC09B7">
              <w:t>con corrispettivo basato sul costo consuntivo, il corrispettivo con</w:t>
            </w:r>
            <w:r>
              <w:t xml:space="preserve">trattuale non è predeterminato, </w:t>
            </w:r>
            <w:r w:rsidRPr="00FC09B7">
              <w:t>ma è calcolato in funzione dei costi sostenuti dall’appaltatore.</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CC242B"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23.9</w:t>
            </w:r>
          </w:p>
        </w:tc>
        <w:tc>
          <w:tcPr>
            <w:tcW w:w="7078" w:type="dxa"/>
            <w:tcMar>
              <w:left w:w="108" w:type="dxa"/>
            </w:tcMar>
          </w:tcPr>
          <w:p w:rsidR="00445361" w:rsidRPr="00F11EA5" w:rsidRDefault="00445361" w:rsidP="00D73E98">
            <w:pPr>
              <w:pStyle w:val="Commentiriquadro"/>
              <w:rPr>
                <w:highlight w:val="yellow"/>
              </w:rPr>
            </w:pPr>
            <w:r w:rsidRPr="00FC09B7">
              <w:t xml:space="preserve">I </w:t>
            </w:r>
            <w:r w:rsidRPr="00FC09B7">
              <w:rPr>
                <w:i/>
                <w:iCs/>
              </w:rPr>
              <w:t xml:space="preserve">ricavi di commessa (o ricavi a preventivo) </w:t>
            </w:r>
            <w:r w:rsidRPr="00FC09B7">
              <w:t>sono costituiti dai cor</w:t>
            </w:r>
            <w:r>
              <w:t xml:space="preserve">rispettivi complessivi pattuiti </w:t>
            </w:r>
            <w:r w:rsidRPr="00FC09B7">
              <w:t>tra il committente e l’appaltatore per l’esecuzione o la fornitura de</w:t>
            </w:r>
            <w:r>
              <w:t xml:space="preserve">i beni e/o servizi previsti nel </w:t>
            </w:r>
            <w:r w:rsidRPr="00FC09B7">
              <w:t>contratto</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CC242B"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23.10</w:t>
            </w:r>
          </w:p>
        </w:tc>
        <w:tc>
          <w:tcPr>
            <w:tcW w:w="7078" w:type="dxa"/>
            <w:tcMar>
              <w:left w:w="108" w:type="dxa"/>
            </w:tcMar>
          </w:tcPr>
          <w:p w:rsidR="00445361" w:rsidRPr="00F11EA5" w:rsidRDefault="00445361" w:rsidP="00D73E98">
            <w:pPr>
              <w:pStyle w:val="Commentiriquadro"/>
              <w:rPr>
                <w:highlight w:val="yellow"/>
              </w:rPr>
            </w:pPr>
            <w:r w:rsidRPr="00FC09B7">
              <w:t xml:space="preserve">I </w:t>
            </w:r>
            <w:r w:rsidRPr="00FC09B7">
              <w:rPr>
                <w:i/>
                <w:iCs/>
              </w:rPr>
              <w:t xml:space="preserve">costi di commessa (o costi a preventivo) </w:t>
            </w:r>
            <w:r w:rsidRPr="00FC09B7">
              <w:t>comprendono i costi att</w:t>
            </w:r>
            <w:r>
              <w:t xml:space="preserve">ribuibili a una commessa che si </w:t>
            </w:r>
            <w:r w:rsidRPr="00FC09B7">
              <w:t>stima di sostenere per l’esecuzione o la fornitura dei beni e/o servizi previsti nel contratto</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CC242B"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23.11</w:t>
            </w:r>
          </w:p>
        </w:tc>
        <w:tc>
          <w:tcPr>
            <w:tcW w:w="7078" w:type="dxa"/>
            <w:tcMar>
              <w:left w:w="108" w:type="dxa"/>
            </w:tcMar>
          </w:tcPr>
          <w:p w:rsidR="00445361" w:rsidRPr="00F11EA5" w:rsidRDefault="00445361" w:rsidP="00D73E98">
            <w:pPr>
              <w:pStyle w:val="Commentiriquadro"/>
              <w:rPr>
                <w:highlight w:val="yellow"/>
              </w:rPr>
            </w:pPr>
            <w:r w:rsidRPr="00FC09B7">
              <w:t xml:space="preserve">Il </w:t>
            </w:r>
            <w:r w:rsidRPr="00FC09B7">
              <w:rPr>
                <w:i/>
                <w:iCs/>
              </w:rPr>
              <w:t xml:space="preserve">risultato (o margine) </w:t>
            </w:r>
            <w:r w:rsidRPr="00FC09B7">
              <w:t xml:space="preserve">di commessa rappresenta la differenza tra i </w:t>
            </w:r>
            <w:r>
              <w:t xml:space="preserve">ricavi di commessa e i costi di </w:t>
            </w:r>
            <w:r w:rsidRPr="00FC09B7">
              <w:t>commessa.</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CC242B"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23.12</w:t>
            </w:r>
          </w:p>
        </w:tc>
        <w:tc>
          <w:tcPr>
            <w:tcW w:w="7078" w:type="dxa"/>
            <w:tcMar>
              <w:left w:w="108" w:type="dxa"/>
            </w:tcMar>
          </w:tcPr>
          <w:p w:rsidR="00445361" w:rsidRPr="00F11EA5" w:rsidRDefault="00445361" w:rsidP="00D73E98">
            <w:pPr>
              <w:pStyle w:val="Commentiriquadro"/>
              <w:rPr>
                <w:highlight w:val="yellow"/>
              </w:rPr>
            </w:pPr>
            <w:r w:rsidRPr="00FC09B7">
              <w:t xml:space="preserve">I </w:t>
            </w:r>
            <w:r w:rsidRPr="00FC09B7">
              <w:rPr>
                <w:i/>
                <w:iCs/>
              </w:rPr>
              <w:t xml:space="preserve">costi consuntivi di commessa </w:t>
            </w:r>
            <w:r w:rsidRPr="00FC09B7">
              <w:t>rappresentano i costi sostenuti rife</w:t>
            </w:r>
            <w:r>
              <w:t xml:space="preserve">riti a una commessa nel periodo </w:t>
            </w:r>
            <w:r w:rsidRPr="00FC09B7">
              <w:t>compreso tra la data di stipulazione del contratto ed una certa data antecedente al completam</w:t>
            </w:r>
            <w:r>
              <w:t xml:space="preserve">ento </w:t>
            </w:r>
            <w:r w:rsidRPr="00FC09B7">
              <w:t>della commessa stessa (ad esempio, alla data di redazione del bilancio).</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CC242B"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23.13</w:t>
            </w:r>
          </w:p>
        </w:tc>
        <w:tc>
          <w:tcPr>
            <w:tcW w:w="7078" w:type="dxa"/>
            <w:tcMar>
              <w:left w:w="108" w:type="dxa"/>
            </w:tcMar>
          </w:tcPr>
          <w:p w:rsidR="00445361" w:rsidRPr="00F11EA5" w:rsidRDefault="00445361" w:rsidP="00D73E98">
            <w:pPr>
              <w:pStyle w:val="Commentiriquadro"/>
              <w:rPr>
                <w:highlight w:val="yellow"/>
              </w:rPr>
            </w:pPr>
            <w:r w:rsidRPr="00FC09B7">
              <w:t xml:space="preserve">I </w:t>
            </w:r>
            <w:r w:rsidRPr="00FC09B7">
              <w:rPr>
                <w:i/>
                <w:iCs/>
              </w:rPr>
              <w:t xml:space="preserve">costi pre-operativi </w:t>
            </w:r>
            <w:r w:rsidRPr="00FC09B7">
              <w:t>sono quelli sostenuti dopo l’acquisizione d</w:t>
            </w:r>
            <w:r>
              <w:t xml:space="preserve">el contratto ma prima che venga </w:t>
            </w:r>
            <w:r w:rsidRPr="00FC09B7">
              <w:t>iniziata l’attività di costruzione o il processo produttivo.</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CC242B"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23.14</w:t>
            </w:r>
          </w:p>
        </w:tc>
        <w:tc>
          <w:tcPr>
            <w:tcW w:w="7078" w:type="dxa"/>
            <w:tcMar>
              <w:left w:w="108" w:type="dxa"/>
            </w:tcMar>
          </w:tcPr>
          <w:p w:rsidR="00445361" w:rsidRPr="00F11EA5" w:rsidRDefault="00445361" w:rsidP="00D73E98">
            <w:pPr>
              <w:pStyle w:val="Commentiriquadro"/>
              <w:rPr>
                <w:highlight w:val="yellow"/>
              </w:rPr>
            </w:pPr>
            <w:r w:rsidRPr="00FC09B7">
              <w:t xml:space="preserve">Lo </w:t>
            </w:r>
            <w:r w:rsidRPr="00FC09B7">
              <w:rPr>
                <w:i/>
                <w:iCs/>
              </w:rPr>
              <w:t xml:space="preserve">stato di avanzamento (o percentuale di completamento) </w:t>
            </w:r>
            <w:r w:rsidRPr="00FC09B7">
              <w:t>rappre</w:t>
            </w:r>
            <w:r>
              <w:t xml:space="preserve">senta, in termini percentuali o </w:t>
            </w:r>
            <w:r w:rsidRPr="00FC09B7">
              <w:t>in base a misurazioni fisiche, l’entità dei lavori in corso già eseguit</w:t>
            </w:r>
            <w:r>
              <w:t xml:space="preserve">i dall’appaltatore ad una certa </w:t>
            </w:r>
            <w:r w:rsidRPr="00FC09B7">
              <w:t>data antecedente al completamento della commessa (ad esempio alla data</w:t>
            </w:r>
            <w:r>
              <w:t xml:space="preserve"> di redazione del </w:t>
            </w:r>
            <w:r w:rsidRPr="00FC09B7">
              <w:t>bilancio).</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CC242B"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23.15</w:t>
            </w:r>
          </w:p>
        </w:tc>
        <w:tc>
          <w:tcPr>
            <w:tcW w:w="7078" w:type="dxa"/>
            <w:tcMar>
              <w:left w:w="108" w:type="dxa"/>
            </w:tcMar>
          </w:tcPr>
          <w:p w:rsidR="00445361" w:rsidRPr="00F11EA5" w:rsidRDefault="00445361" w:rsidP="00D73E98">
            <w:pPr>
              <w:pStyle w:val="Commentiriquadro"/>
              <w:rPr>
                <w:highlight w:val="yellow"/>
              </w:rPr>
            </w:pPr>
            <w:r w:rsidRPr="00FC09B7">
              <w:t xml:space="preserve">Il </w:t>
            </w:r>
            <w:r w:rsidRPr="00FC09B7">
              <w:rPr>
                <w:i/>
                <w:iCs/>
              </w:rPr>
              <w:t xml:space="preserve">ricavo maturato (o corrispettivo maturato) </w:t>
            </w:r>
            <w:r w:rsidRPr="00FC09B7">
              <w:t xml:space="preserve">rappresenta </w:t>
            </w:r>
            <w:r>
              <w:t xml:space="preserve">la quota dei ricavi di commessa </w:t>
            </w:r>
            <w:r w:rsidRPr="00FC09B7">
              <w:t>determinata con riferimento allo stato di avanzamento dei lavori ad una certa data.</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CC242B"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23.16</w:t>
            </w:r>
          </w:p>
        </w:tc>
        <w:tc>
          <w:tcPr>
            <w:tcW w:w="7078" w:type="dxa"/>
            <w:tcMar>
              <w:left w:w="108" w:type="dxa"/>
            </w:tcMar>
          </w:tcPr>
          <w:p w:rsidR="00445361" w:rsidRPr="00F11EA5" w:rsidRDefault="00445361" w:rsidP="00D73E98">
            <w:pPr>
              <w:pStyle w:val="Commentiriquadro"/>
              <w:rPr>
                <w:highlight w:val="yellow"/>
              </w:rPr>
            </w:pPr>
            <w:r w:rsidRPr="00FC09B7">
              <w:t xml:space="preserve">Gli </w:t>
            </w:r>
            <w:r w:rsidRPr="00FC09B7">
              <w:rPr>
                <w:i/>
                <w:iCs/>
              </w:rPr>
              <w:t xml:space="preserve">anticipi </w:t>
            </w:r>
            <w:r w:rsidRPr="00FC09B7">
              <w:t>rappresentano importi addebitati ai committenti g</w:t>
            </w:r>
            <w:r>
              <w:t xml:space="preserve">eneralmente prima dell’inizio o </w:t>
            </w:r>
            <w:r w:rsidRPr="00FC09B7">
              <w:t>all’inizio dei lavori.</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CC242B"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23.17</w:t>
            </w:r>
          </w:p>
        </w:tc>
        <w:tc>
          <w:tcPr>
            <w:tcW w:w="7078" w:type="dxa"/>
            <w:tcMar>
              <w:left w:w="108" w:type="dxa"/>
            </w:tcMar>
          </w:tcPr>
          <w:p w:rsidR="00445361" w:rsidRPr="00F11EA5" w:rsidRDefault="00445361" w:rsidP="00D73E98">
            <w:pPr>
              <w:pStyle w:val="Commentiriquadro"/>
              <w:rPr>
                <w:highlight w:val="yellow"/>
              </w:rPr>
            </w:pPr>
            <w:r w:rsidRPr="00FC09B7">
              <w:t xml:space="preserve">Gli </w:t>
            </w:r>
            <w:r w:rsidRPr="00FC09B7">
              <w:rPr>
                <w:i/>
                <w:iCs/>
              </w:rPr>
              <w:t xml:space="preserve">acconti (o fatturato di rata) </w:t>
            </w:r>
            <w:r w:rsidRPr="00FC09B7">
              <w:t>rappresentano importi addebi</w:t>
            </w:r>
            <w:r>
              <w:t xml:space="preserve">tati, in via non definitiva, ai </w:t>
            </w:r>
            <w:r w:rsidRPr="00FC09B7">
              <w:t>committenti in corso d’opera a fronte dei lavori eseguiti, non</w:t>
            </w:r>
            <w:r>
              <w:t xml:space="preserve"> necessariamente determinati in </w:t>
            </w:r>
            <w:r w:rsidRPr="00FC09B7">
              <w:t>funzione del valore dei lavori eseguiti (generalmente per ragioni finanziarie).</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CC242B"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23.18</w:t>
            </w:r>
          </w:p>
        </w:tc>
        <w:tc>
          <w:tcPr>
            <w:tcW w:w="7078" w:type="dxa"/>
            <w:tcMar>
              <w:left w:w="108" w:type="dxa"/>
            </w:tcMar>
          </w:tcPr>
          <w:p w:rsidR="00445361" w:rsidRPr="00F11EA5" w:rsidRDefault="00445361" w:rsidP="00D73E98">
            <w:pPr>
              <w:pStyle w:val="Commentiriquadro"/>
              <w:rPr>
                <w:highlight w:val="yellow"/>
              </w:rPr>
            </w:pPr>
            <w:r w:rsidRPr="00D464BA">
              <w:t xml:space="preserve">La </w:t>
            </w:r>
            <w:r w:rsidRPr="00D464BA">
              <w:rPr>
                <w:i/>
                <w:iCs/>
              </w:rPr>
              <w:t xml:space="preserve">revisione prezzi </w:t>
            </w:r>
            <w:r w:rsidRPr="00D464BA">
              <w:t>rappresenta una maggiorazione dei ricavi di commessa in base a formule o indici espressamente previsti dal contratto per il riconoscimento, da parte del committente o di terzi, di un ammontare a titolo di rimborso del maggior onere derivante dall’aumentato costo di alcuni fattori produttivi.</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CC242B"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23.19</w:t>
            </w:r>
          </w:p>
        </w:tc>
        <w:tc>
          <w:tcPr>
            <w:tcW w:w="7078" w:type="dxa"/>
            <w:tcMar>
              <w:left w:w="108" w:type="dxa"/>
            </w:tcMar>
          </w:tcPr>
          <w:p w:rsidR="00445361" w:rsidRPr="00F11EA5" w:rsidRDefault="00445361" w:rsidP="00D73E98">
            <w:pPr>
              <w:pStyle w:val="Commentiriquadro"/>
              <w:rPr>
                <w:highlight w:val="yellow"/>
              </w:rPr>
            </w:pPr>
            <w:r w:rsidRPr="00FC09B7">
              <w:t xml:space="preserve">Le </w:t>
            </w:r>
            <w:r w:rsidRPr="00FC09B7">
              <w:rPr>
                <w:i/>
                <w:iCs/>
              </w:rPr>
              <w:t xml:space="preserve">varianti </w:t>
            </w:r>
            <w:r w:rsidRPr="00FC09B7">
              <w:t xml:space="preserve">rappresentano delle richieste del committente che </w:t>
            </w:r>
            <w:r>
              <w:t xml:space="preserve">modificano l’oggetto del lavoro </w:t>
            </w:r>
            <w:r w:rsidRPr="00FC09B7">
              <w:t>originario che deve essere svolto in base al contratto. Le var</w:t>
            </w:r>
            <w:r>
              <w:t xml:space="preserve">ianti possono derivare anche da </w:t>
            </w:r>
            <w:r w:rsidRPr="00FC09B7">
              <w:t>necessità imposte dall’esecuzione dei lavori.</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CC242B"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23.20</w:t>
            </w:r>
          </w:p>
        </w:tc>
        <w:tc>
          <w:tcPr>
            <w:tcW w:w="7078" w:type="dxa"/>
            <w:tcMar>
              <w:left w:w="108" w:type="dxa"/>
            </w:tcMar>
          </w:tcPr>
          <w:p w:rsidR="00445361" w:rsidRPr="00F11EA5" w:rsidRDefault="00445361" w:rsidP="00D73E98">
            <w:pPr>
              <w:pStyle w:val="Commentiriquadro"/>
              <w:rPr>
                <w:highlight w:val="yellow"/>
              </w:rPr>
            </w:pPr>
            <w:r w:rsidRPr="00FC09B7">
              <w:t xml:space="preserve">Le </w:t>
            </w:r>
            <w:r w:rsidRPr="00FC09B7">
              <w:rPr>
                <w:i/>
                <w:iCs/>
              </w:rPr>
              <w:t xml:space="preserve">altre richieste di corrispettivi aggiuntivi </w:t>
            </w:r>
            <w:r w:rsidRPr="00FC09B7">
              <w:t>(</w:t>
            </w:r>
            <w:r w:rsidRPr="00FC09B7">
              <w:rPr>
                <w:i/>
                <w:iCs/>
              </w:rPr>
              <w:t>claim</w:t>
            </w:r>
            <w:r w:rsidRPr="00FC09B7">
              <w:t>) rappresentano co</w:t>
            </w:r>
            <w:r>
              <w:t xml:space="preserve">rrispettivi aggiuntivi a fronte </w:t>
            </w:r>
            <w:r w:rsidRPr="00FC09B7">
              <w:t>di maggiori oneri sostenuti per cause imputabili al committent</w:t>
            </w:r>
            <w:r>
              <w:t xml:space="preserve">e, a maggiori lavori eseguiti o </w:t>
            </w:r>
            <w:r w:rsidRPr="00FC09B7">
              <w:t>varianti di lavori non formalizzate in atti aggiuntivi.</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CC242B"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23.21</w:t>
            </w:r>
          </w:p>
        </w:tc>
        <w:tc>
          <w:tcPr>
            <w:tcW w:w="7078" w:type="dxa"/>
            <w:tcMar>
              <w:left w:w="108" w:type="dxa"/>
            </w:tcMar>
          </w:tcPr>
          <w:p w:rsidR="00445361" w:rsidRPr="00F11EA5" w:rsidRDefault="00445361" w:rsidP="00D73E98">
            <w:pPr>
              <w:pStyle w:val="Commentiriquadro"/>
              <w:rPr>
                <w:highlight w:val="yellow"/>
              </w:rPr>
            </w:pPr>
            <w:r w:rsidRPr="00FC09B7">
              <w:t xml:space="preserve">Gli </w:t>
            </w:r>
            <w:r w:rsidRPr="00FC09B7">
              <w:rPr>
                <w:i/>
                <w:iCs/>
              </w:rPr>
              <w:t xml:space="preserve">incentivi </w:t>
            </w:r>
            <w:r w:rsidRPr="00FC09B7">
              <w:t>rappresentano ammontari addizionali dei r</w:t>
            </w:r>
            <w:r>
              <w:t xml:space="preserve">icavi di commessa previsti </w:t>
            </w:r>
            <w:r w:rsidRPr="00FC09B7">
              <w:t>contrattualmente al raggiungimento (o superamento) di determinati obiettivi.</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CC242B"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23.22</w:t>
            </w:r>
          </w:p>
        </w:tc>
        <w:tc>
          <w:tcPr>
            <w:tcW w:w="7078" w:type="dxa"/>
            <w:tcMar>
              <w:left w:w="108" w:type="dxa"/>
            </w:tcMar>
          </w:tcPr>
          <w:p w:rsidR="00445361" w:rsidRPr="00F11EA5" w:rsidRDefault="00445361" w:rsidP="00D73E98">
            <w:pPr>
              <w:pStyle w:val="Commentiriquadro"/>
              <w:rPr>
                <w:highlight w:val="yellow"/>
              </w:rPr>
            </w:pPr>
            <w:r w:rsidRPr="00FC09B7">
              <w:t xml:space="preserve">Le </w:t>
            </w:r>
            <w:r w:rsidRPr="00FC09B7">
              <w:rPr>
                <w:i/>
                <w:iCs/>
              </w:rPr>
              <w:t xml:space="preserve">ritenute a garanzia </w:t>
            </w:r>
            <w:r w:rsidRPr="00FC09B7">
              <w:t xml:space="preserve">rappresentano le somme trattenute </w:t>
            </w:r>
            <w:r>
              <w:t xml:space="preserve">dal committente, al momento del </w:t>
            </w:r>
            <w:r w:rsidRPr="00FC09B7">
              <w:t>pagamento delle fatture afferenti la commessa, a titolo di garanzia prevista dal contratto.</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CC242B"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23.23</w:t>
            </w:r>
          </w:p>
        </w:tc>
        <w:tc>
          <w:tcPr>
            <w:tcW w:w="7078" w:type="dxa"/>
            <w:tcMar>
              <w:left w:w="108" w:type="dxa"/>
            </w:tcMar>
          </w:tcPr>
          <w:p w:rsidR="00445361" w:rsidRPr="00F11EA5" w:rsidRDefault="00445361" w:rsidP="00D73E98">
            <w:pPr>
              <w:pStyle w:val="Commentiriquadro"/>
              <w:rPr>
                <w:highlight w:val="yellow"/>
              </w:rPr>
            </w:pPr>
            <w:r w:rsidRPr="00FC09B7">
              <w:t xml:space="preserve">Il </w:t>
            </w:r>
            <w:r w:rsidRPr="00FC09B7">
              <w:rPr>
                <w:i/>
                <w:iCs/>
              </w:rPr>
              <w:t xml:space="preserve">bilancio in forma ordinaria </w:t>
            </w:r>
            <w:r w:rsidRPr="00FC09B7">
              <w:t>è il bilancio redatto secondo le dispo</w:t>
            </w:r>
            <w:r>
              <w:t xml:space="preserve">sizioni del codice civile dalle </w:t>
            </w:r>
            <w:r w:rsidRPr="00FC09B7">
              <w:t>società che non redigono il bilancio in forma abbreviata ai sensi dell’art. 2435-</w:t>
            </w:r>
            <w:r w:rsidRPr="00FC09B7">
              <w:rPr>
                <w:i/>
                <w:iCs/>
              </w:rPr>
              <w:t xml:space="preserve">bis </w:t>
            </w:r>
            <w:r>
              <w:t xml:space="preserve">c.c. </w:t>
            </w:r>
            <w:r w:rsidRPr="00075FBB">
              <w:t>e che non redigono il bilancio ai sensi dell’art. 2435-</w:t>
            </w:r>
            <w:r w:rsidRPr="00075FBB">
              <w:rPr>
                <w:i/>
                <w:iCs/>
              </w:rPr>
              <w:t xml:space="preserve">ter </w:t>
            </w:r>
            <w:r w:rsidRPr="00075FBB">
              <w:t xml:space="preserve">c.c. </w:t>
            </w:r>
            <w:r w:rsidRPr="0049076E">
              <w:t>(bilancio delle micro-imprese).</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CC242B" w:rsidTr="00D73E98">
        <w:trPr>
          <w:cantSplit/>
          <w:trHeight w:val="20"/>
        </w:trPr>
        <w:tc>
          <w:tcPr>
            <w:tcW w:w="679" w:type="dxa"/>
          </w:tcPr>
          <w:p w:rsidR="00445361" w:rsidRPr="008A0F36" w:rsidRDefault="00445361" w:rsidP="00D73E98">
            <w:pPr>
              <w:overflowPunct/>
              <w:autoSpaceDE/>
              <w:autoSpaceDN/>
              <w:adjustRightInd/>
              <w:spacing w:before="0" w:after="0" w:line="240" w:lineRule="auto"/>
              <w:jc w:val="left"/>
              <w:textAlignment w:val="auto"/>
              <w:rPr>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EB5CF9" w:rsidRDefault="00445361" w:rsidP="00D73E98">
            <w:pPr>
              <w:pStyle w:val="Titolo2"/>
              <w:rPr>
                <w:lang w:val="it-IT"/>
              </w:rPr>
            </w:pPr>
            <w:r>
              <w:rPr>
                <w:lang w:val="it-IT"/>
              </w:rPr>
              <w:t>Classificazione e contenuto delle voci</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6E11A1"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8A0F36" w:rsidRDefault="00445361" w:rsidP="00D73E98">
            <w:pPr>
              <w:pStyle w:val="Titolo3"/>
              <w:rPr>
                <w:lang w:val="it-IT"/>
              </w:rPr>
            </w:pPr>
            <w:r>
              <w:rPr>
                <w:lang w:val="it-IT"/>
              </w:rPr>
              <w:t>Stato patrimoniale</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F50B82" w:rsidTr="00D73E98">
        <w:trPr>
          <w:cantSplit/>
          <w:trHeight w:val="20"/>
        </w:trPr>
        <w:tc>
          <w:tcPr>
            <w:tcW w:w="679" w:type="dxa"/>
          </w:tcPr>
          <w:p w:rsidR="00445361" w:rsidRPr="007D7BBE" w:rsidRDefault="00445361" w:rsidP="00D73E98">
            <w:pPr>
              <w:jc w:val="center"/>
              <w:rPr>
                <w:b/>
                <w:lang w:val="it-IT"/>
              </w:rPr>
            </w:pPr>
            <w:r w:rsidRPr="007D7BBE">
              <w:rPr>
                <w:b/>
                <w:lang w:val="it-IT"/>
              </w:rPr>
              <w:t>1)</w:t>
            </w:r>
          </w:p>
        </w:tc>
        <w:tc>
          <w:tcPr>
            <w:tcW w:w="856" w:type="dxa"/>
            <w:tcMar>
              <w:left w:w="108" w:type="dxa"/>
              <w:right w:w="0" w:type="dxa"/>
            </w:tcMar>
          </w:tcPr>
          <w:p w:rsidR="00445361" w:rsidRPr="008A0F36" w:rsidRDefault="00445361" w:rsidP="00D73E98">
            <w:pPr>
              <w:pStyle w:val="PrincCont"/>
              <w:jc w:val="left"/>
              <w:rPr>
                <w:lang w:val="it-IT"/>
              </w:rPr>
            </w:pPr>
            <w:r>
              <w:rPr>
                <w:lang w:val="it-IT"/>
              </w:rPr>
              <w:t>Art. 2424 CC OIC 23.24</w:t>
            </w:r>
          </w:p>
        </w:tc>
        <w:tc>
          <w:tcPr>
            <w:tcW w:w="7078" w:type="dxa"/>
            <w:tcMar>
              <w:left w:w="108" w:type="dxa"/>
            </w:tcMar>
          </w:tcPr>
          <w:p w:rsidR="00445361" w:rsidRPr="00D63FC9" w:rsidRDefault="00445361" w:rsidP="00D73E98">
            <w:pPr>
              <w:spacing w:line="230" w:lineRule="exact"/>
              <w:rPr>
                <w:lang w:val="it-IT"/>
              </w:rPr>
            </w:pPr>
            <w:r w:rsidRPr="00D63FC9">
              <w:rPr>
                <w:lang w:val="it-IT"/>
              </w:rPr>
              <w:t>I lavori in corso su ordinazione sono iscritti nell’attivo dello stato patrimoniale tra le rimanenze nella voce C</w:t>
            </w:r>
            <w:r>
              <w:rPr>
                <w:lang w:val="it-IT"/>
              </w:rPr>
              <w:t>I</w:t>
            </w:r>
            <w:r w:rsidRPr="00D63FC9">
              <w:rPr>
                <w:lang w:val="it-IT"/>
              </w:rPr>
              <w:t>3 “</w:t>
            </w:r>
            <w:r w:rsidRPr="00D63FC9">
              <w:rPr>
                <w:iCs/>
                <w:lang w:val="it-IT"/>
              </w:rPr>
              <w:t>lavori in corso su ordinazione</w:t>
            </w:r>
            <w:r w:rsidRPr="00D63FC9">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F50B82" w:rsidTr="00D73E98">
        <w:trPr>
          <w:cantSplit/>
          <w:trHeight w:val="20"/>
        </w:trPr>
        <w:tc>
          <w:tcPr>
            <w:tcW w:w="679" w:type="dxa"/>
          </w:tcPr>
          <w:p w:rsidR="00445361" w:rsidRPr="007D7BBE" w:rsidRDefault="00445361" w:rsidP="00D73E98">
            <w:pPr>
              <w:jc w:val="center"/>
              <w:rPr>
                <w:b/>
                <w:lang w:val="it-IT"/>
              </w:rPr>
            </w:pPr>
            <w:r w:rsidRPr="007D7BBE">
              <w:rPr>
                <w:b/>
                <w:lang w:val="it-IT"/>
              </w:rPr>
              <w:t>2)</w:t>
            </w:r>
          </w:p>
        </w:tc>
        <w:tc>
          <w:tcPr>
            <w:tcW w:w="856" w:type="dxa"/>
            <w:tcMar>
              <w:left w:w="108" w:type="dxa"/>
              <w:right w:w="0" w:type="dxa"/>
            </w:tcMar>
          </w:tcPr>
          <w:p w:rsidR="00445361" w:rsidRPr="008A0F36" w:rsidRDefault="00445361" w:rsidP="00D73E98">
            <w:pPr>
              <w:pStyle w:val="PrincCont"/>
              <w:jc w:val="left"/>
              <w:rPr>
                <w:lang w:val="it-IT"/>
              </w:rPr>
            </w:pPr>
            <w:r>
              <w:rPr>
                <w:lang w:val="it-IT"/>
              </w:rPr>
              <w:t>OIC 23.25</w:t>
            </w:r>
          </w:p>
        </w:tc>
        <w:tc>
          <w:tcPr>
            <w:tcW w:w="7078" w:type="dxa"/>
            <w:tcMar>
              <w:left w:w="108" w:type="dxa"/>
            </w:tcMar>
          </w:tcPr>
          <w:p w:rsidR="00445361" w:rsidRPr="00D63FC9" w:rsidRDefault="00445361" w:rsidP="00D73E98">
            <w:pPr>
              <w:spacing w:line="230" w:lineRule="exact"/>
              <w:rPr>
                <w:lang w:val="it-IT"/>
              </w:rPr>
            </w:pPr>
            <w:r w:rsidRPr="00D63FC9">
              <w:rPr>
                <w:lang w:val="it-IT"/>
              </w:rPr>
              <w:t>I crediti per fatture emesse per anticipi, acconti o corrispettivi acquisiti a titolo definitivo sono iscritti nell’attivo circolante alla voce CII1 “</w:t>
            </w:r>
            <w:r w:rsidRPr="00D63FC9">
              <w:rPr>
                <w:iCs/>
                <w:lang w:val="it-IT"/>
              </w:rPr>
              <w:t>verso clienti</w:t>
            </w:r>
            <w:r w:rsidRPr="00D63FC9">
              <w:rPr>
                <w:lang w:val="it-IT"/>
              </w:rPr>
              <w:t>” o alle successive voci 2, 3 e 4</w:t>
            </w:r>
            <w:r>
              <w:rPr>
                <w:lang w:val="it-IT"/>
              </w:rPr>
              <w:t xml:space="preserve"> e 5</w:t>
            </w:r>
            <w:r w:rsidRPr="00D63FC9">
              <w:rPr>
                <w:lang w:val="it-IT"/>
              </w:rPr>
              <w:t>, se</w:t>
            </w:r>
            <w:r>
              <w:rPr>
                <w:lang w:val="it-IT"/>
              </w:rPr>
              <w:t xml:space="preserve"> verso controllate, collegate, </w:t>
            </w:r>
            <w:r w:rsidRPr="00D63FC9">
              <w:rPr>
                <w:lang w:val="it-IT"/>
              </w:rPr>
              <w:t>controllanti</w:t>
            </w:r>
            <w:r>
              <w:rPr>
                <w:lang w:val="it-IT"/>
              </w:rPr>
              <w:t xml:space="preserve"> e imprese sottosposte al controllo delle controllanti</w:t>
            </w:r>
            <w:r w:rsidRPr="00D63FC9">
              <w:rPr>
                <w:lang w:val="it-IT"/>
              </w:rPr>
              <w:t>?</w:t>
            </w:r>
          </w:p>
        </w:tc>
        <w:tc>
          <w:tcPr>
            <w:tcW w:w="564" w:type="dxa"/>
            <w:tcMar>
              <w:left w:w="85" w:type="dxa"/>
              <w:right w:w="85" w:type="dxa"/>
            </w:tcMar>
            <w:vAlign w:val="center"/>
          </w:tcPr>
          <w:p w:rsidR="00445361" w:rsidRPr="00FF19F7"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Default="00445361"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445361" w:rsidRDefault="00445361"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45361" w:rsidRPr="006402EF" w:rsidTr="00D73E98">
        <w:trPr>
          <w:cantSplit/>
          <w:trHeight w:val="20"/>
        </w:trPr>
        <w:tc>
          <w:tcPr>
            <w:tcW w:w="679" w:type="dxa"/>
          </w:tcPr>
          <w:p w:rsidR="00445361" w:rsidRPr="007D7BBE" w:rsidRDefault="00445361" w:rsidP="00D73E98">
            <w:pPr>
              <w:jc w:val="center"/>
              <w:rPr>
                <w:b/>
                <w:lang w:val="it-IT"/>
              </w:rPr>
            </w:pPr>
            <w:r w:rsidRPr="007D7BBE">
              <w:rPr>
                <w:b/>
                <w:lang w:val="it-IT"/>
              </w:rPr>
              <w:t>3)</w:t>
            </w:r>
          </w:p>
        </w:tc>
        <w:tc>
          <w:tcPr>
            <w:tcW w:w="856" w:type="dxa"/>
            <w:tcMar>
              <w:left w:w="108" w:type="dxa"/>
              <w:right w:w="0" w:type="dxa"/>
            </w:tcMar>
          </w:tcPr>
          <w:p w:rsidR="00445361" w:rsidRDefault="00445361" w:rsidP="00D73E98">
            <w:pPr>
              <w:pStyle w:val="PrincCont"/>
              <w:jc w:val="left"/>
              <w:rPr>
                <w:lang w:val="it-IT"/>
              </w:rPr>
            </w:pPr>
            <w:r>
              <w:rPr>
                <w:lang w:val="it-IT"/>
              </w:rPr>
              <w:t>OIC 23.24</w:t>
            </w:r>
          </w:p>
        </w:tc>
        <w:tc>
          <w:tcPr>
            <w:tcW w:w="7078" w:type="dxa"/>
            <w:tcMar>
              <w:left w:w="108" w:type="dxa"/>
            </w:tcMar>
          </w:tcPr>
          <w:p w:rsidR="00445361" w:rsidRPr="00DC3D28" w:rsidRDefault="00445361" w:rsidP="00D73E98">
            <w:pPr>
              <w:spacing w:line="230" w:lineRule="exact"/>
              <w:rPr>
                <w:lang w:val="it-IT"/>
              </w:rPr>
            </w:pPr>
            <w:r>
              <w:rPr>
                <w:lang w:val="it-IT"/>
              </w:rPr>
              <w:t>G</w:t>
            </w:r>
            <w:r w:rsidRPr="00BA7C91">
              <w:rPr>
                <w:lang w:val="it-IT"/>
              </w:rPr>
              <w:t>li anticipi e gli</w:t>
            </w:r>
            <w:r>
              <w:rPr>
                <w:lang w:val="it-IT"/>
              </w:rPr>
              <w:t xml:space="preserve"> </w:t>
            </w:r>
            <w:r w:rsidRPr="00BA7C91">
              <w:rPr>
                <w:lang w:val="it-IT"/>
              </w:rPr>
              <w:t>acconti sono rilevati tra le passività alla voce dei debiti D6 “acconti”</w:t>
            </w:r>
            <w:r>
              <w:rPr>
                <w:lang w:val="it-IT"/>
              </w:rPr>
              <w:t>?</w:t>
            </w:r>
            <w:r w:rsidDel="00BA7C91">
              <w:rPr>
                <w:lang w:val="it-IT"/>
              </w:rPr>
              <w:t xml:space="preserve"> </w:t>
            </w:r>
          </w:p>
        </w:tc>
        <w:tc>
          <w:tcPr>
            <w:tcW w:w="564" w:type="dxa"/>
            <w:tcMar>
              <w:left w:w="85" w:type="dxa"/>
              <w:right w:w="85" w:type="dxa"/>
            </w:tcMar>
            <w:vAlign w:val="center"/>
          </w:tcPr>
          <w:p w:rsidR="00445361" w:rsidRPr="006402EF"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6402EF" w:rsidRDefault="00445361" w:rsidP="00D73E98">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445361" w:rsidRPr="006402EF" w:rsidRDefault="00445361" w:rsidP="00D73E98">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45361" w:rsidRPr="00F50B82" w:rsidTr="00D73E98">
        <w:trPr>
          <w:cantSplit/>
          <w:trHeight w:val="20"/>
        </w:trPr>
        <w:tc>
          <w:tcPr>
            <w:tcW w:w="679" w:type="dxa"/>
          </w:tcPr>
          <w:p w:rsidR="00445361" w:rsidRPr="007D7BBE" w:rsidRDefault="00445361" w:rsidP="00D73E98">
            <w:pPr>
              <w:jc w:val="center"/>
              <w:rPr>
                <w:b/>
                <w:lang w:val="it-IT"/>
              </w:rPr>
            </w:pPr>
            <w:r w:rsidRPr="007D7BBE">
              <w:rPr>
                <w:b/>
                <w:lang w:val="it-IT"/>
              </w:rPr>
              <w:t>4)</w:t>
            </w:r>
          </w:p>
        </w:tc>
        <w:tc>
          <w:tcPr>
            <w:tcW w:w="856" w:type="dxa"/>
            <w:tcMar>
              <w:left w:w="108" w:type="dxa"/>
              <w:right w:w="0" w:type="dxa"/>
            </w:tcMar>
          </w:tcPr>
          <w:p w:rsidR="00445361" w:rsidRPr="008A0F36" w:rsidRDefault="00445361" w:rsidP="00D73E98">
            <w:pPr>
              <w:pStyle w:val="PrincCont"/>
              <w:jc w:val="left"/>
              <w:rPr>
                <w:lang w:val="it-IT"/>
              </w:rPr>
            </w:pPr>
            <w:r>
              <w:rPr>
                <w:lang w:val="it-IT"/>
              </w:rPr>
              <w:t>OIC 23.26</w:t>
            </w:r>
          </w:p>
        </w:tc>
        <w:tc>
          <w:tcPr>
            <w:tcW w:w="7078" w:type="dxa"/>
            <w:tcMar>
              <w:left w:w="108" w:type="dxa"/>
            </w:tcMar>
          </w:tcPr>
          <w:p w:rsidR="00445361" w:rsidRPr="00D63FC9" w:rsidRDefault="00445361" w:rsidP="00D73E98">
            <w:pPr>
              <w:spacing w:line="230" w:lineRule="exact"/>
              <w:rPr>
                <w:lang w:val="it-IT"/>
              </w:rPr>
            </w:pPr>
            <w:r w:rsidRPr="00D63FC9">
              <w:rPr>
                <w:lang w:val="it-IT"/>
              </w:rPr>
              <w:t xml:space="preserve">Gli accantonamenti per i costi da sostenersi dopo la chiusura della commessa, nonché quelli relativi al fondo per perdite probabili su commessa sono iscritti </w:t>
            </w:r>
            <w:r>
              <w:rPr>
                <w:lang w:val="it-IT"/>
              </w:rPr>
              <w:t>nella voce B4</w:t>
            </w:r>
            <w:r w:rsidRPr="00D63FC9">
              <w:rPr>
                <w:lang w:val="it-IT"/>
              </w:rPr>
              <w:t xml:space="preserve"> “</w:t>
            </w:r>
            <w:r w:rsidRPr="00D63FC9">
              <w:rPr>
                <w:iCs/>
                <w:lang w:val="it-IT"/>
              </w:rPr>
              <w:t>altri</w:t>
            </w:r>
            <w:r>
              <w:rPr>
                <w:lang w:val="it-IT"/>
              </w:rPr>
              <w:t>” d</w:t>
            </w:r>
            <w:r w:rsidRPr="00D63FC9">
              <w:rPr>
                <w:lang w:val="it-IT"/>
              </w:rPr>
              <w:t>ella classe B del passivo “</w:t>
            </w:r>
            <w:r w:rsidRPr="00D63FC9">
              <w:rPr>
                <w:iCs/>
                <w:lang w:val="it-IT"/>
              </w:rPr>
              <w:t>Fondi per rischi e oneri</w:t>
            </w:r>
            <w:r>
              <w:rPr>
                <w:lang w:val="it-IT"/>
              </w:rPr>
              <w:t>”</w:t>
            </w:r>
            <w:r w:rsidRPr="00D63FC9">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8A0F36"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8A0F36" w:rsidRDefault="00445361" w:rsidP="00D73E98">
            <w:pPr>
              <w:pStyle w:val="Titolo3"/>
            </w:pPr>
            <w:r>
              <w:t>Conto economico</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970008" w:rsidTr="00D73E98">
        <w:trPr>
          <w:cantSplit/>
          <w:trHeight w:val="20"/>
        </w:trPr>
        <w:tc>
          <w:tcPr>
            <w:tcW w:w="679" w:type="dxa"/>
          </w:tcPr>
          <w:p w:rsidR="00445361" w:rsidRPr="007D7BBE" w:rsidRDefault="00445361" w:rsidP="00D73E98">
            <w:pPr>
              <w:jc w:val="center"/>
              <w:rPr>
                <w:b/>
                <w:lang w:val="it-IT"/>
              </w:rPr>
            </w:pPr>
            <w:r w:rsidRPr="007D7BBE">
              <w:rPr>
                <w:b/>
                <w:lang w:val="it-IT"/>
              </w:rPr>
              <w:t>5)</w:t>
            </w:r>
          </w:p>
        </w:tc>
        <w:tc>
          <w:tcPr>
            <w:tcW w:w="856" w:type="dxa"/>
            <w:tcMar>
              <w:left w:w="108" w:type="dxa"/>
              <w:right w:w="0" w:type="dxa"/>
            </w:tcMar>
          </w:tcPr>
          <w:p w:rsidR="00445361" w:rsidRPr="008A0F36" w:rsidRDefault="00445361" w:rsidP="00D73E98">
            <w:pPr>
              <w:pStyle w:val="PrincCont"/>
              <w:jc w:val="left"/>
              <w:rPr>
                <w:lang w:val="it-IT"/>
              </w:rPr>
            </w:pPr>
            <w:r>
              <w:rPr>
                <w:lang w:val="it-IT"/>
              </w:rPr>
              <w:t>OIC 23.27</w:t>
            </w:r>
          </w:p>
        </w:tc>
        <w:tc>
          <w:tcPr>
            <w:tcW w:w="7078" w:type="dxa"/>
            <w:tcMar>
              <w:left w:w="108" w:type="dxa"/>
            </w:tcMar>
          </w:tcPr>
          <w:p w:rsidR="00445361" w:rsidRPr="00D63FC9" w:rsidRDefault="00445361" w:rsidP="00D73E98">
            <w:pPr>
              <w:spacing w:line="230" w:lineRule="exact"/>
              <w:rPr>
                <w:lang w:val="it-IT"/>
              </w:rPr>
            </w:pPr>
            <w:r w:rsidRPr="00D63FC9">
              <w:rPr>
                <w:lang w:val="it-IT"/>
              </w:rPr>
              <w:t>Nel conto economico, i corrispettivi acquisiti a titolo definitivo sono rilevati alla voce A1 “</w:t>
            </w:r>
            <w:r w:rsidRPr="00D63FC9">
              <w:rPr>
                <w:iCs/>
                <w:lang w:val="it-IT"/>
              </w:rPr>
              <w:t>ricavi delle vendite e delle prestazioni</w:t>
            </w:r>
            <w:r w:rsidRPr="00D63FC9">
              <w:rPr>
                <w:lang w:val="it-IT"/>
              </w:rPr>
              <w:t>” della classe “</w:t>
            </w:r>
            <w:r w:rsidRPr="00D63FC9">
              <w:rPr>
                <w:iCs/>
                <w:lang w:val="it-IT"/>
              </w:rPr>
              <w:t>Valore della produzione</w:t>
            </w:r>
            <w:r w:rsidRPr="00D63FC9">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rsidRPr="00970008">
              <w:rPr>
                <w:lang w:val="it-IT"/>
              </w:rP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rsidRPr="00970008">
              <w:rPr>
                <w:lang w:val="it-IT"/>
              </w:rP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rsidRPr="00970008">
              <w:rPr>
                <w:lang w:val="it-IT"/>
              </w:rPr>
              <w:instrText xml:space="preserve"> FORMCHECKBOX </w:instrText>
            </w:r>
            <w:r w:rsidR="00CA1681">
              <w:fldChar w:fldCharType="separate"/>
            </w:r>
            <w:r>
              <w:fldChar w:fldCharType="end"/>
            </w:r>
          </w:p>
        </w:tc>
      </w:tr>
      <w:tr w:rsidR="00445361" w:rsidRPr="00F50B82" w:rsidTr="00D73E98">
        <w:trPr>
          <w:cantSplit/>
          <w:trHeight w:val="20"/>
        </w:trPr>
        <w:tc>
          <w:tcPr>
            <w:tcW w:w="679" w:type="dxa"/>
          </w:tcPr>
          <w:p w:rsidR="00445361" w:rsidRPr="007D7BBE" w:rsidRDefault="00445361" w:rsidP="00D73E98">
            <w:pPr>
              <w:jc w:val="center"/>
              <w:rPr>
                <w:b/>
                <w:lang w:val="it-IT"/>
              </w:rPr>
            </w:pPr>
            <w:r w:rsidRPr="007D7BBE">
              <w:rPr>
                <w:b/>
                <w:lang w:val="it-IT"/>
              </w:rPr>
              <w:t>6)</w:t>
            </w:r>
          </w:p>
        </w:tc>
        <w:tc>
          <w:tcPr>
            <w:tcW w:w="856" w:type="dxa"/>
            <w:tcMar>
              <w:left w:w="108" w:type="dxa"/>
              <w:right w:w="0" w:type="dxa"/>
            </w:tcMar>
          </w:tcPr>
          <w:p w:rsidR="00445361" w:rsidRPr="008A0F36" w:rsidRDefault="00445361" w:rsidP="00D73E98">
            <w:pPr>
              <w:pStyle w:val="PrincCont"/>
              <w:jc w:val="left"/>
              <w:rPr>
                <w:lang w:val="it-IT"/>
              </w:rPr>
            </w:pPr>
            <w:r>
              <w:rPr>
                <w:lang w:val="it-IT"/>
              </w:rPr>
              <w:t>OIC 23.27</w:t>
            </w:r>
          </w:p>
        </w:tc>
        <w:tc>
          <w:tcPr>
            <w:tcW w:w="7078" w:type="dxa"/>
            <w:tcMar>
              <w:left w:w="108" w:type="dxa"/>
            </w:tcMar>
          </w:tcPr>
          <w:p w:rsidR="00445361" w:rsidRPr="00D63FC9" w:rsidRDefault="00445361" w:rsidP="00D73E98">
            <w:pPr>
              <w:spacing w:line="230" w:lineRule="exact"/>
              <w:rPr>
                <w:lang w:val="it-IT"/>
              </w:rPr>
            </w:pPr>
            <w:r>
              <w:rPr>
                <w:lang w:val="it-IT"/>
              </w:rPr>
              <w:t xml:space="preserve">La variazione dei lavori in corso su ordinazione pari alla variazione delle rimanenze per lavori eseguiti e non ancora liquidati in via definitiva rispettivamente all’inizio e alla fine dell’esercizio è rilevata alla voce A3 </w:t>
            </w:r>
            <w:r w:rsidRPr="00D63FC9">
              <w:rPr>
                <w:lang w:val="it-IT"/>
              </w:rPr>
              <w:t>“</w:t>
            </w:r>
            <w:r w:rsidRPr="00D63FC9">
              <w:rPr>
                <w:iCs/>
                <w:lang w:val="it-IT"/>
              </w:rPr>
              <w:t>variazione dei lavori in corso su ordinazione</w:t>
            </w:r>
            <w:r w:rsidRPr="00D63FC9">
              <w:rPr>
                <w:lang w:val="it-IT"/>
              </w:rPr>
              <w:t>”</w:t>
            </w:r>
            <w:r>
              <w:rPr>
                <w:lang w:val="it-IT"/>
              </w:rPr>
              <w:t xml:space="preserve"> della classe </w:t>
            </w:r>
            <w:r w:rsidRPr="00D63FC9">
              <w:rPr>
                <w:lang w:val="it-IT"/>
              </w:rPr>
              <w:t>“</w:t>
            </w:r>
            <w:r w:rsidRPr="00D63FC9">
              <w:rPr>
                <w:iCs/>
                <w:lang w:val="it-IT"/>
              </w:rPr>
              <w:t>Valore della produzione</w:t>
            </w:r>
            <w:r w:rsidRPr="00D63FC9">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CE0C78" w:rsidTr="00D73E98">
        <w:trPr>
          <w:cantSplit/>
          <w:trHeight w:val="20"/>
        </w:trPr>
        <w:tc>
          <w:tcPr>
            <w:tcW w:w="679" w:type="dxa"/>
          </w:tcPr>
          <w:p w:rsidR="00445361" w:rsidRPr="007D7BBE" w:rsidRDefault="00445361" w:rsidP="00D73E98">
            <w:pPr>
              <w:jc w:val="center"/>
              <w:rPr>
                <w:b/>
                <w:lang w:val="it-IT"/>
              </w:rPr>
            </w:pPr>
            <w:r w:rsidRPr="007D7BBE">
              <w:rPr>
                <w:b/>
                <w:lang w:val="it-IT"/>
              </w:rPr>
              <w:t>7)</w:t>
            </w:r>
          </w:p>
        </w:tc>
        <w:tc>
          <w:tcPr>
            <w:tcW w:w="856" w:type="dxa"/>
            <w:tcMar>
              <w:left w:w="108" w:type="dxa"/>
              <w:right w:w="0" w:type="dxa"/>
            </w:tcMar>
          </w:tcPr>
          <w:p w:rsidR="00445361" w:rsidRDefault="00445361" w:rsidP="00D73E98">
            <w:pPr>
              <w:pStyle w:val="PrincCont"/>
              <w:jc w:val="left"/>
              <w:rPr>
                <w:lang w:val="it-IT"/>
              </w:rPr>
            </w:pPr>
            <w:r>
              <w:rPr>
                <w:lang w:val="it-IT"/>
              </w:rPr>
              <w:t>Art. 2425 CC</w:t>
            </w:r>
          </w:p>
          <w:p w:rsidR="00445361" w:rsidRPr="008A0F36" w:rsidRDefault="00445361" w:rsidP="00D73E98">
            <w:pPr>
              <w:pStyle w:val="PrincCont"/>
              <w:jc w:val="left"/>
              <w:rPr>
                <w:lang w:val="it-IT"/>
              </w:rPr>
            </w:pPr>
            <w:r>
              <w:rPr>
                <w:lang w:val="it-IT"/>
              </w:rPr>
              <w:t>OIC 23.28</w:t>
            </w:r>
          </w:p>
        </w:tc>
        <w:tc>
          <w:tcPr>
            <w:tcW w:w="7078" w:type="dxa"/>
            <w:tcMar>
              <w:left w:w="108" w:type="dxa"/>
            </w:tcMar>
          </w:tcPr>
          <w:p w:rsidR="00445361" w:rsidRPr="00E733E5" w:rsidRDefault="00445361" w:rsidP="00D73E98">
            <w:pPr>
              <w:spacing w:line="230" w:lineRule="exact"/>
              <w:rPr>
                <w:lang w:val="it-IT"/>
              </w:rPr>
            </w:pPr>
            <w:r>
              <w:rPr>
                <w:lang w:val="it-IT"/>
              </w:rPr>
              <w:t xml:space="preserve">I costi di commessa sostenuti per l’esecuzione dei lavori in corso su ordinazione sono rilevati </w:t>
            </w:r>
            <w:r w:rsidRPr="00E733E5">
              <w:rPr>
                <w:lang w:val="it-IT"/>
              </w:rPr>
              <w:t>nella classe B del conto economico classificati per na</w:t>
            </w:r>
            <w:r>
              <w:rPr>
                <w:lang w:val="it-IT"/>
              </w:rPr>
              <w:t>tura</w:t>
            </w:r>
            <w:r w:rsidRPr="00E733E5">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rsidRPr="00CE0C78">
              <w:rPr>
                <w:lang w:val="it-IT"/>
              </w:rP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rsidRPr="00CE0C78">
              <w:rPr>
                <w:lang w:val="it-IT"/>
              </w:rP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rsidRPr="00CE0C78">
              <w:rPr>
                <w:lang w:val="it-IT"/>
              </w:rPr>
              <w:instrText xml:space="preserve"> FORMCHECKBOX </w:instrText>
            </w:r>
            <w:r w:rsidR="00CA1681">
              <w:fldChar w:fldCharType="separate"/>
            </w:r>
            <w:r>
              <w:fldChar w:fldCharType="end"/>
            </w:r>
          </w:p>
        </w:tc>
      </w:tr>
      <w:tr w:rsidR="00445361" w:rsidRPr="00F50B82" w:rsidTr="00D73E98">
        <w:trPr>
          <w:cantSplit/>
          <w:trHeight w:val="20"/>
        </w:trPr>
        <w:tc>
          <w:tcPr>
            <w:tcW w:w="679" w:type="dxa"/>
          </w:tcPr>
          <w:p w:rsidR="00445361" w:rsidRPr="007D7BBE" w:rsidRDefault="00445361" w:rsidP="00D73E98">
            <w:pPr>
              <w:jc w:val="center"/>
              <w:rPr>
                <w:b/>
                <w:lang w:val="it-IT"/>
              </w:rPr>
            </w:pPr>
            <w:r w:rsidRPr="007D7BBE">
              <w:rPr>
                <w:b/>
                <w:lang w:val="it-IT"/>
              </w:rPr>
              <w:t>8)</w:t>
            </w:r>
          </w:p>
        </w:tc>
        <w:tc>
          <w:tcPr>
            <w:tcW w:w="856" w:type="dxa"/>
            <w:shd w:val="clear" w:color="auto" w:fill="FFFFFF"/>
            <w:tcMar>
              <w:left w:w="108" w:type="dxa"/>
              <w:right w:w="0" w:type="dxa"/>
            </w:tcMar>
          </w:tcPr>
          <w:p w:rsidR="00445361" w:rsidRPr="008A0F36" w:rsidRDefault="00445361" w:rsidP="00D73E98">
            <w:pPr>
              <w:pStyle w:val="PrincCont"/>
              <w:jc w:val="left"/>
              <w:rPr>
                <w:lang w:val="it-IT"/>
              </w:rPr>
            </w:pPr>
            <w:r>
              <w:rPr>
                <w:lang w:val="it-IT"/>
              </w:rPr>
              <w:t>OIC 23.29</w:t>
            </w:r>
          </w:p>
        </w:tc>
        <w:tc>
          <w:tcPr>
            <w:tcW w:w="7078" w:type="dxa"/>
            <w:shd w:val="clear" w:color="auto" w:fill="FFFFFF"/>
            <w:tcMar>
              <w:left w:w="108" w:type="dxa"/>
            </w:tcMar>
          </w:tcPr>
          <w:p w:rsidR="00445361" w:rsidRPr="001C1D07" w:rsidRDefault="00445361" w:rsidP="00D73E98">
            <w:pPr>
              <w:spacing w:line="230" w:lineRule="exact"/>
              <w:rPr>
                <w:lang w:val="it-IT"/>
              </w:rPr>
            </w:pPr>
            <w:r w:rsidRPr="001C1D07">
              <w:rPr>
                <w:lang w:val="it-IT"/>
              </w:rPr>
              <w:t>I materiali acquistati per l’esecuzione dell’opera in attesa di impiego, che non costituiscano</w:t>
            </w:r>
            <w:r>
              <w:rPr>
                <w:lang w:val="it-IT"/>
              </w:rPr>
              <w:t xml:space="preserve"> </w:t>
            </w:r>
            <w:r w:rsidRPr="001C1D07">
              <w:rPr>
                <w:lang w:val="it-IT"/>
              </w:rPr>
              <w:t>contrattualmente oggetto di corrispettivo, sono rilevati nell’attivo dello stato patrimoniale tra le rimanenze alla voce CII “materie</w:t>
            </w:r>
            <w:r>
              <w:rPr>
                <w:lang w:val="it-IT"/>
              </w:rPr>
              <w:t xml:space="preserve"> </w:t>
            </w:r>
            <w:r w:rsidRPr="001C1D07">
              <w:rPr>
                <w:lang w:val="it-IT"/>
              </w:rPr>
              <w:t>prime, sussidiarie e di consumo”?</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1C1D07" w:rsidTr="00D73E98">
        <w:trPr>
          <w:cantSplit/>
          <w:trHeight w:val="20"/>
        </w:trPr>
        <w:tc>
          <w:tcPr>
            <w:tcW w:w="679" w:type="dxa"/>
          </w:tcPr>
          <w:p w:rsidR="00445361" w:rsidRPr="007D7BBE" w:rsidRDefault="00445361" w:rsidP="00D73E98">
            <w:pPr>
              <w:jc w:val="center"/>
              <w:rPr>
                <w:b/>
                <w:lang w:val="it-IT"/>
              </w:rPr>
            </w:pPr>
            <w:r w:rsidRPr="007D7BBE">
              <w:rPr>
                <w:b/>
                <w:lang w:val="it-IT"/>
              </w:rPr>
              <w:t>9)</w:t>
            </w:r>
          </w:p>
        </w:tc>
        <w:tc>
          <w:tcPr>
            <w:tcW w:w="856" w:type="dxa"/>
            <w:shd w:val="clear" w:color="auto" w:fill="FFFFFF"/>
            <w:tcMar>
              <w:left w:w="108" w:type="dxa"/>
              <w:right w:w="0" w:type="dxa"/>
            </w:tcMar>
          </w:tcPr>
          <w:p w:rsidR="00445361" w:rsidRDefault="00445361" w:rsidP="00D73E98">
            <w:pPr>
              <w:pStyle w:val="PrincCont"/>
              <w:jc w:val="left"/>
              <w:rPr>
                <w:lang w:val="it-IT"/>
              </w:rPr>
            </w:pPr>
            <w:r>
              <w:rPr>
                <w:lang w:val="it-IT"/>
              </w:rPr>
              <w:t>OIC 23.30</w:t>
            </w:r>
          </w:p>
        </w:tc>
        <w:tc>
          <w:tcPr>
            <w:tcW w:w="7078" w:type="dxa"/>
            <w:shd w:val="clear" w:color="auto" w:fill="FFFFFF"/>
            <w:tcMar>
              <w:left w:w="108" w:type="dxa"/>
            </w:tcMar>
          </w:tcPr>
          <w:p w:rsidR="00445361" w:rsidRPr="001C1D07" w:rsidRDefault="00445361" w:rsidP="00D73E98">
            <w:pPr>
              <w:spacing w:line="230" w:lineRule="exact"/>
              <w:rPr>
                <w:lang w:val="it-IT"/>
              </w:rPr>
            </w:pPr>
            <w:r w:rsidRPr="001C1D07">
              <w:rPr>
                <w:lang w:val="it-IT"/>
              </w:rPr>
              <w:t>Le ritenute a garanzia sono iscritte tra i crediti?</w:t>
            </w:r>
          </w:p>
        </w:tc>
        <w:tc>
          <w:tcPr>
            <w:tcW w:w="564" w:type="dxa"/>
            <w:tcMar>
              <w:left w:w="85" w:type="dxa"/>
              <w:right w:w="85" w:type="dxa"/>
            </w:tcMar>
            <w:vAlign w:val="center"/>
          </w:tcPr>
          <w:p w:rsidR="00445361" w:rsidRPr="001C1D07"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1C1D07"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1C1D07"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8A0F36"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8A0F36" w:rsidRDefault="00445361" w:rsidP="00D73E98">
            <w:pPr>
              <w:pStyle w:val="Titolo3"/>
            </w:pPr>
            <w:r>
              <w:t>Ricavi di commessa</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CC242B" w:rsidTr="00D73E98">
        <w:trPr>
          <w:cantSplit/>
          <w:trHeight w:val="20"/>
        </w:trPr>
        <w:tc>
          <w:tcPr>
            <w:tcW w:w="679" w:type="dxa"/>
          </w:tcPr>
          <w:p w:rsidR="00445361" w:rsidRPr="007D7BBE" w:rsidRDefault="00445361" w:rsidP="00D73E98">
            <w:pPr>
              <w:jc w:val="center"/>
              <w:rPr>
                <w:b/>
                <w:lang w:val="it-IT"/>
              </w:rPr>
            </w:pPr>
            <w:r w:rsidRPr="007D7BBE">
              <w:rPr>
                <w:b/>
                <w:lang w:val="it-IT"/>
              </w:rPr>
              <w:t>10)</w:t>
            </w:r>
          </w:p>
        </w:tc>
        <w:tc>
          <w:tcPr>
            <w:tcW w:w="856" w:type="dxa"/>
            <w:tcMar>
              <w:left w:w="108" w:type="dxa"/>
              <w:right w:w="0" w:type="dxa"/>
            </w:tcMar>
          </w:tcPr>
          <w:p w:rsidR="00445361" w:rsidRPr="008A0F36" w:rsidRDefault="00445361" w:rsidP="00D73E98">
            <w:pPr>
              <w:pStyle w:val="PrincCont"/>
              <w:keepNext/>
              <w:jc w:val="left"/>
              <w:rPr>
                <w:lang w:val="it-IT"/>
              </w:rPr>
            </w:pPr>
            <w:r>
              <w:rPr>
                <w:lang w:val="it-IT"/>
              </w:rPr>
              <w:t>OIC 23.31</w:t>
            </w:r>
          </w:p>
        </w:tc>
        <w:tc>
          <w:tcPr>
            <w:tcW w:w="7078" w:type="dxa"/>
            <w:tcMar>
              <w:left w:w="108" w:type="dxa"/>
            </w:tcMar>
          </w:tcPr>
          <w:p w:rsidR="00445361" w:rsidRPr="008A0F36" w:rsidRDefault="00445361" w:rsidP="00E13709">
            <w:pPr>
              <w:spacing w:line="240" w:lineRule="exact"/>
              <w:rPr>
                <w:lang w:val="it-IT"/>
              </w:rPr>
            </w:pPr>
            <w:r>
              <w:rPr>
                <w:lang w:val="it-IT"/>
              </w:rPr>
              <w:t>I ricavi di commessa comprendono:</w:t>
            </w:r>
          </w:p>
        </w:tc>
        <w:tc>
          <w:tcPr>
            <w:tcW w:w="564" w:type="dxa"/>
            <w:tcMar>
              <w:left w:w="85" w:type="dxa"/>
              <w:right w:w="85" w:type="dxa"/>
            </w:tcMar>
            <w:vAlign w:val="bottom"/>
          </w:tcPr>
          <w:p w:rsidR="00445361" w:rsidRPr="008A0F36" w:rsidRDefault="00445361" w:rsidP="00D73E98">
            <w:pPr>
              <w:keepNext/>
              <w:rPr>
                <w:lang w:val="it-IT"/>
              </w:rPr>
            </w:pPr>
          </w:p>
        </w:tc>
        <w:tc>
          <w:tcPr>
            <w:tcW w:w="573" w:type="dxa"/>
            <w:tcMar>
              <w:left w:w="108" w:type="dxa"/>
            </w:tcMar>
            <w:vAlign w:val="bottom"/>
          </w:tcPr>
          <w:p w:rsidR="00445361" w:rsidRPr="008A0F36" w:rsidRDefault="00445361" w:rsidP="00D73E98">
            <w:pPr>
              <w:keepNext/>
              <w:rPr>
                <w:lang w:val="it-IT"/>
              </w:rPr>
            </w:pPr>
          </w:p>
        </w:tc>
        <w:tc>
          <w:tcPr>
            <w:tcW w:w="570" w:type="dxa"/>
            <w:tcMar>
              <w:left w:w="108" w:type="dxa"/>
            </w:tcMar>
            <w:vAlign w:val="bottom"/>
          </w:tcPr>
          <w:p w:rsidR="00445361" w:rsidRPr="008A0F36" w:rsidRDefault="00445361" w:rsidP="00D73E98">
            <w:pPr>
              <w:keepNext/>
              <w:rPr>
                <w:lang w:val="it-IT"/>
              </w:rPr>
            </w:pPr>
          </w:p>
        </w:tc>
      </w:tr>
      <w:tr w:rsidR="00445361" w:rsidRPr="008361A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1F4E4A" w:rsidRDefault="00445361" w:rsidP="00D73E98">
            <w:pPr>
              <w:pStyle w:val="PrincCont"/>
              <w:jc w:val="left"/>
              <w:rPr>
                <w:lang w:val="it-IT"/>
              </w:rPr>
            </w:pPr>
          </w:p>
        </w:tc>
        <w:tc>
          <w:tcPr>
            <w:tcW w:w="7078" w:type="dxa"/>
            <w:tcMar>
              <w:left w:w="108" w:type="dxa"/>
            </w:tcMar>
          </w:tcPr>
          <w:p w:rsidR="00445361" w:rsidRPr="004E0869" w:rsidRDefault="00445361" w:rsidP="00E13709">
            <w:pPr>
              <w:pStyle w:val="rientrotrattinook"/>
              <w:tabs>
                <w:tab w:val="clear" w:pos="704"/>
              </w:tabs>
              <w:spacing w:line="240" w:lineRule="exact"/>
              <w:ind w:left="450" w:hanging="284"/>
            </w:pPr>
            <w:r w:rsidRPr="004E0869">
              <w:t xml:space="preserve">il prezzo stabilito contrattualmente </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8361A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4E0869" w:rsidRDefault="00445361" w:rsidP="00E13709">
            <w:pPr>
              <w:pStyle w:val="rientrotrattinook"/>
              <w:tabs>
                <w:tab w:val="clear" w:pos="704"/>
              </w:tabs>
              <w:spacing w:line="240" w:lineRule="exact"/>
              <w:ind w:left="450" w:hanging="284"/>
            </w:pPr>
            <w:r w:rsidRPr="004E0869">
              <w:t>le maggiorazioni per revisione prezzi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8361A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4E0869" w:rsidRDefault="00445361" w:rsidP="00E13709">
            <w:pPr>
              <w:pStyle w:val="rientrotrattinook"/>
              <w:tabs>
                <w:tab w:val="clear" w:pos="704"/>
              </w:tabs>
              <w:spacing w:line="240" w:lineRule="exact"/>
              <w:ind w:left="450" w:hanging="284"/>
            </w:pPr>
            <w:r w:rsidRPr="004E0869">
              <w:t>i corrispettivi per beni o prestazioni aggiuntive (ad esempio, le varianti)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8361A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4E0869" w:rsidRDefault="00445361" w:rsidP="00E13709">
            <w:pPr>
              <w:pStyle w:val="rientrotrattinook"/>
              <w:tabs>
                <w:tab w:val="clear" w:pos="704"/>
              </w:tabs>
              <w:spacing w:line="240" w:lineRule="exact"/>
              <w:ind w:left="450" w:hanging="284"/>
            </w:pPr>
            <w:r w:rsidRPr="004E0869">
              <w:t>corrispettivi aggiuntivi conseguenti ad eventi i cui effetti siano contrattualmente o per legge a carico del committente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8361A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4E0869" w:rsidRDefault="00445361" w:rsidP="00E13709">
            <w:pPr>
              <w:pStyle w:val="rientrotrattinook"/>
              <w:tabs>
                <w:tab w:val="clear" w:pos="704"/>
              </w:tabs>
              <w:spacing w:line="240" w:lineRule="exact"/>
              <w:ind w:left="450" w:hanging="284"/>
            </w:pPr>
            <w:r w:rsidRPr="004E0869">
              <w:t>gli incentivi dovuti all’appaltatore per il raggiungimento di determinati obiettivi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4E0869" w:rsidRDefault="00445361" w:rsidP="00E13709">
            <w:pPr>
              <w:pStyle w:val="rientrotrattinook"/>
              <w:tabs>
                <w:tab w:val="clear" w:pos="704"/>
              </w:tabs>
              <w:spacing w:line="240" w:lineRule="exact"/>
              <w:ind w:left="450" w:hanging="284"/>
            </w:pPr>
            <w:r w:rsidRPr="004E0869">
              <w:t>le rettifiche di prezzo stabilite con patti aggiuntivi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4E0869" w:rsidRDefault="00445361" w:rsidP="00E13709">
            <w:pPr>
              <w:pStyle w:val="rientrotrattinook"/>
              <w:tabs>
                <w:tab w:val="clear" w:pos="704"/>
              </w:tabs>
              <w:spacing w:line="240" w:lineRule="exact"/>
              <w:ind w:left="450" w:hanging="284"/>
            </w:pPr>
            <w:r w:rsidRPr="004E0869">
              <w:t>gli altri proventi accessori (ad esempio, i proventi derivanti dalla vendita di eccedenze di materiali non utilizzati o dalla dismissione di impianti e attrezzature al termine della commessa)?</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8A0F36"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8A0F36" w:rsidRDefault="00445361" w:rsidP="00D73E98">
            <w:pPr>
              <w:pStyle w:val="Titolo3"/>
            </w:pPr>
            <w:r>
              <w:t>Costi di commessa</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CC242B" w:rsidTr="00D73E98">
        <w:trPr>
          <w:cantSplit/>
          <w:trHeight w:val="20"/>
        </w:trPr>
        <w:tc>
          <w:tcPr>
            <w:tcW w:w="679" w:type="dxa"/>
          </w:tcPr>
          <w:p w:rsidR="00445361" w:rsidRPr="007D7BBE" w:rsidRDefault="00445361" w:rsidP="00D73E98">
            <w:pPr>
              <w:jc w:val="center"/>
              <w:rPr>
                <w:b/>
                <w:lang w:val="it-IT"/>
              </w:rPr>
            </w:pPr>
            <w:r w:rsidRPr="007D7BBE">
              <w:rPr>
                <w:b/>
                <w:lang w:val="it-IT"/>
              </w:rPr>
              <w:t>11)</w:t>
            </w:r>
          </w:p>
        </w:tc>
        <w:tc>
          <w:tcPr>
            <w:tcW w:w="856" w:type="dxa"/>
            <w:tcMar>
              <w:left w:w="108" w:type="dxa"/>
              <w:right w:w="0" w:type="dxa"/>
            </w:tcMar>
          </w:tcPr>
          <w:p w:rsidR="00445361" w:rsidRPr="008A0F36" w:rsidRDefault="00445361" w:rsidP="00D73E98">
            <w:pPr>
              <w:pStyle w:val="PrincCont"/>
              <w:jc w:val="left"/>
              <w:rPr>
                <w:lang w:val="it-IT"/>
              </w:rPr>
            </w:pPr>
            <w:r>
              <w:rPr>
                <w:lang w:val="it-IT"/>
              </w:rPr>
              <w:t>OIC 23.32</w:t>
            </w:r>
          </w:p>
        </w:tc>
        <w:tc>
          <w:tcPr>
            <w:tcW w:w="7078" w:type="dxa"/>
            <w:tcMar>
              <w:left w:w="108" w:type="dxa"/>
            </w:tcMar>
          </w:tcPr>
          <w:p w:rsidR="00445361" w:rsidRPr="00531823" w:rsidRDefault="00445361" w:rsidP="00D73E98">
            <w:pPr>
              <w:spacing w:line="230" w:lineRule="exact"/>
              <w:rPr>
                <w:lang w:val="it-IT"/>
              </w:rPr>
            </w:pPr>
            <w:r w:rsidRPr="00531823">
              <w:rPr>
                <w:lang w:val="it-IT"/>
              </w:rPr>
              <w:t>I costi di commessa includono:</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8A0F36"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4E0869" w:rsidRDefault="00445361" w:rsidP="004E27C2">
            <w:pPr>
              <w:pStyle w:val="Rientroa"/>
              <w:numPr>
                <w:ilvl w:val="0"/>
                <w:numId w:val="30"/>
              </w:numPr>
              <w:spacing w:line="230" w:lineRule="exact"/>
            </w:pPr>
            <w:r w:rsidRPr="004E0869">
              <w:t>i costi direttamente riferibili alla commessa (costi diretti)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8361A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4E0869" w:rsidRDefault="00445361" w:rsidP="004E27C2">
            <w:pPr>
              <w:pStyle w:val="Rientroa"/>
              <w:numPr>
                <w:ilvl w:val="0"/>
                <w:numId w:val="30"/>
              </w:numPr>
              <w:spacing w:line="230" w:lineRule="exact"/>
            </w:pPr>
            <w:r>
              <w:t xml:space="preserve">i </w:t>
            </w:r>
            <w:r w:rsidRPr="004E0869">
              <w:t>costi riferibili all’intera attività produttiva e ripartiti, per imputazione, sulle singole commesse</w:t>
            </w:r>
            <w:r>
              <w:t xml:space="preserve"> (costi indiretti)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8361A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4E0869" w:rsidRDefault="00445361" w:rsidP="004E27C2">
            <w:pPr>
              <w:pStyle w:val="Rientroa"/>
              <w:numPr>
                <w:ilvl w:val="0"/>
                <w:numId w:val="30"/>
              </w:numPr>
              <w:spacing w:line="230" w:lineRule="exact"/>
            </w:pPr>
            <w:r w:rsidRPr="004E0869">
              <w:t>ogni altro costo addebitabile al committente sulla base delle clausole</w:t>
            </w:r>
            <w:r>
              <w:t xml:space="preserve"> contrattuali?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8361A3" w:rsidTr="00D73E98">
        <w:trPr>
          <w:cantSplit/>
          <w:trHeight w:val="20"/>
        </w:trPr>
        <w:tc>
          <w:tcPr>
            <w:tcW w:w="679" w:type="dxa"/>
          </w:tcPr>
          <w:p w:rsidR="00445361" w:rsidRPr="007D7BBE" w:rsidRDefault="00445361" w:rsidP="00D73E98">
            <w:pPr>
              <w:jc w:val="center"/>
              <w:rPr>
                <w:b/>
                <w:lang w:val="it-IT"/>
              </w:rPr>
            </w:pPr>
            <w:r w:rsidRPr="007D7BBE">
              <w:rPr>
                <w:b/>
                <w:lang w:val="it-IT"/>
              </w:rPr>
              <w:t>12)</w:t>
            </w:r>
          </w:p>
        </w:tc>
        <w:tc>
          <w:tcPr>
            <w:tcW w:w="856" w:type="dxa"/>
            <w:tcMar>
              <w:left w:w="108" w:type="dxa"/>
              <w:right w:w="0" w:type="dxa"/>
            </w:tcMar>
          </w:tcPr>
          <w:p w:rsidR="00445361" w:rsidRDefault="00445361" w:rsidP="00D73E98">
            <w:pPr>
              <w:pStyle w:val="PrincCont"/>
              <w:jc w:val="left"/>
              <w:rPr>
                <w:lang w:val="it-IT"/>
              </w:rPr>
            </w:pPr>
            <w:r>
              <w:rPr>
                <w:lang w:val="it-IT"/>
              </w:rPr>
              <w:t>OIC 23.35</w:t>
            </w:r>
          </w:p>
        </w:tc>
        <w:tc>
          <w:tcPr>
            <w:tcW w:w="7078" w:type="dxa"/>
            <w:tcMar>
              <w:left w:w="108" w:type="dxa"/>
            </w:tcMar>
          </w:tcPr>
          <w:p w:rsidR="00445361" w:rsidRPr="009C08B7" w:rsidRDefault="00445361" w:rsidP="00D73E98">
            <w:pPr>
              <w:spacing w:line="230" w:lineRule="exact"/>
              <w:rPr>
                <w:lang w:val="it-IT"/>
              </w:rPr>
            </w:pPr>
            <w:r w:rsidRPr="009C08B7">
              <w:rPr>
                <w:lang w:val="it-IT"/>
              </w:rPr>
              <w:t>I costi indiretti sono imputati alle singole commesse con criteri sistematici e razionali sulla base del</w:t>
            </w:r>
            <w:r>
              <w:rPr>
                <w:lang w:val="it-IT"/>
              </w:rPr>
              <w:t xml:space="preserve"> </w:t>
            </w:r>
            <w:r w:rsidRPr="009C08B7">
              <w:rPr>
                <w:lang w:val="it-IT"/>
              </w:rPr>
              <w:t>livello ordinario dell’attività di costruzione</w:t>
            </w:r>
            <w:r>
              <w:rPr>
                <w:lang w:val="it-IT"/>
              </w:rPr>
              <w:t xml:space="preserve"> e </w:t>
            </w:r>
            <w:r w:rsidRPr="009C08B7">
              <w:rPr>
                <w:lang w:val="it-IT"/>
              </w:rPr>
              <w:t>tali criteri sono applicati coerentemente a tutti i costi</w:t>
            </w:r>
            <w:r>
              <w:rPr>
                <w:lang w:val="it-IT"/>
              </w:rPr>
              <w:t xml:space="preserve"> </w:t>
            </w:r>
            <w:r w:rsidRPr="009C08B7">
              <w:rPr>
                <w:lang w:val="it-IT"/>
              </w:rPr>
              <w:t>che hanno caratteristiche simili?</w:t>
            </w:r>
          </w:p>
        </w:tc>
        <w:tc>
          <w:tcPr>
            <w:tcW w:w="564" w:type="dxa"/>
            <w:tcMar>
              <w:left w:w="85" w:type="dxa"/>
              <w:right w:w="85" w:type="dxa"/>
            </w:tcMar>
            <w:vAlign w:val="center"/>
          </w:tcPr>
          <w:p w:rsidR="00445361" w:rsidRDefault="00445361" w:rsidP="00D73E98">
            <w:pPr>
              <w:jc w:val="center"/>
            </w:pPr>
            <w:r w:rsidRPr="009433D3">
              <w:fldChar w:fldCharType="begin">
                <w:ffData>
                  <w:name w:val="Check4"/>
                  <w:enabled/>
                  <w:calcOnExit w:val="0"/>
                  <w:checkBox>
                    <w:sizeAuto/>
                    <w:default w:val="0"/>
                  </w:checkBox>
                </w:ffData>
              </w:fldChar>
            </w:r>
            <w:r w:rsidRPr="009433D3">
              <w:instrText xml:space="preserve"> FORMCHECKBOX </w:instrText>
            </w:r>
            <w:r w:rsidR="00CA1681">
              <w:fldChar w:fldCharType="separate"/>
            </w:r>
            <w:r w:rsidRPr="009433D3">
              <w:fldChar w:fldCharType="end"/>
            </w:r>
          </w:p>
        </w:tc>
        <w:tc>
          <w:tcPr>
            <w:tcW w:w="573" w:type="dxa"/>
            <w:tcMar>
              <w:left w:w="108" w:type="dxa"/>
            </w:tcMar>
            <w:vAlign w:val="center"/>
          </w:tcPr>
          <w:p w:rsidR="00445361" w:rsidRDefault="00445361" w:rsidP="00D73E98">
            <w:pPr>
              <w:jc w:val="center"/>
            </w:pPr>
            <w:r w:rsidRPr="009433D3">
              <w:fldChar w:fldCharType="begin">
                <w:ffData>
                  <w:name w:val="Check4"/>
                  <w:enabled/>
                  <w:calcOnExit w:val="0"/>
                  <w:checkBox>
                    <w:sizeAuto/>
                    <w:default w:val="0"/>
                  </w:checkBox>
                </w:ffData>
              </w:fldChar>
            </w:r>
            <w:r w:rsidRPr="009433D3">
              <w:instrText xml:space="preserve"> FORMCHECKBOX </w:instrText>
            </w:r>
            <w:r w:rsidR="00CA1681">
              <w:fldChar w:fldCharType="separate"/>
            </w:r>
            <w:r w:rsidRPr="009433D3">
              <w:fldChar w:fldCharType="end"/>
            </w:r>
          </w:p>
        </w:tc>
        <w:tc>
          <w:tcPr>
            <w:tcW w:w="570" w:type="dxa"/>
            <w:tcMar>
              <w:left w:w="108" w:type="dxa"/>
            </w:tcMar>
            <w:vAlign w:val="center"/>
          </w:tcPr>
          <w:p w:rsidR="00445361" w:rsidRDefault="00445361" w:rsidP="00D73E98">
            <w:pPr>
              <w:jc w:val="center"/>
            </w:pPr>
            <w:r w:rsidRPr="009433D3">
              <w:fldChar w:fldCharType="begin">
                <w:ffData>
                  <w:name w:val="Check4"/>
                  <w:enabled/>
                  <w:calcOnExit w:val="0"/>
                  <w:checkBox>
                    <w:sizeAuto/>
                    <w:default w:val="0"/>
                  </w:checkBox>
                </w:ffData>
              </w:fldChar>
            </w:r>
            <w:r w:rsidRPr="009433D3">
              <w:instrText xml:space="preserve"> FORMCHECKBOX </w:instrText>
            </w:r>
            <w:r w:rsidR="00CA1681">
              <w:fldChar w:fldCharType="separate"/>
            </w:r>
            <w:r w:rsidRPr="009433D3">
              <w:fldChar w:fldCharType="end"/>
            </w:r>
          </w:p>
        </w:tc>
      </w:tr>
      <w:tr w:rsidR="00445361" w:rsidRPr="00155C37" w:rsidTr="00D73E98">
        <w:trPr>
          <w:cantSplit/>
          <w:trHeight w:val="20"/>
        </w:trPr>
        <w:tc>
          <w:tcPr>
            <w:tcW w:w="679" w:type="dxa"/>
          </w:tcPr>
          <w:p w:rsidR="00445361" w:rsidRPr="007D7BBE" w:rsidRDefault="00445361" w:rsidP="00D73E98">
            <w:pPr>
              <w:jc w:val="center"/>
              <w:rPr>
                <w:b/>
                <w:lang w:val="it-IT"/>
              </w:rPr>
            </w:pPr>
            <w:r w:rsidRPr="007D7BBE">
              <w:rPr>
                <w:b/>
                <w:lang w:val="it-IT"/>
              </w:rPr>
              <w:t>13)</w:t>
            </w:r>
          </w:p>
        </w:tc>
        <w:tc>
          <w:tcPr>
            <w:tcW w:w="856" w:type="dxa"/>
            <w:tcMar>
              <w:left w:w="108" w:type="dxa"/>
              <w:right w:w="0" w:type="dxa"/>
            </w:tcMar>
          </w:tcPr>
          <w:p w:rsidR="00445361" w:rsidRDefault="00445361" w:rsidP="00D73E98">
            <w:pPr>
              <w:pStyle w:val="PrincCont"/>
              <w:jc w:val="left"/>
              <w:rPr>
                <w:lang w:val="it-IT"/>
              </w:rPr>
            </w:pPr>
            <w:r>
              <w:rPr>
                <w:lang w:val="it-IT"/>
              </w:rPr>
              <w:t>OIC 23.36</w:t>
            </w:r>
          </w:p>
        </w:tc>
        <w:tc>
          <w:tcPr>
            <w:tcW w:w="7078" w:type="dxa"/>
            <w:tcMar>
              <w:left w:w="108" w:type="dxa"/>
            </w:tcMar>
          </w:tcPr>
          <w:p w:rsidR="00445361" w:rsidRPr="009C08B7" w:rsidRDefault="00445361" w:rsidP="00D73E98">
            <w:pPr>
              <w:spacing w:line="230" w:lineRule="exact"/>
              <w:rPr>
                <w:lang w:val="it-IT"/>
              </w:rPr>
            </w:pPr>
            <w:r w:rsidRPr="00155C37">
              <w:rPr>
                <w:lang w:val="it-IT"/>
              </w:rPr>
              <w:t xml:space="preserve">Le spese generali (amministrative e di vendita), le spese generali di ricerca e sviluppo si riferiscono all’attività aziendale in quanto tale e non sono </w:t>
            </w:r>
            <w:r>
              <w:rPr>
                <w:lang w:val="it-IT"/>
              </w:rPr>
              <w:t xml:space="preserve">state </w:t>
            </w:r>
            <w:r w:rsidRPr="00155C37">
              <w:rPr>
                <w:lang w:val="it-IT"/>
              </w:rPr>
              <w:t>considerate ai fini della determinazione</w:t>
            </w:r>
            <w:r>
              <w:rPr>
                <w:lang w:val="it-IT"/>
              </w:rPr>
              <w:t xml:space="preserve"> dei costi di commessa?</w:t>
            </w:r>
          </w:p>
        </w:tc>
        <w:tc>
          <w:tcPr>
            <w:tcW w:w="564" w:type="dxa"/>
            <w:tcMar>
              <w:left w:w="85" w:type="dxa"/>
              <w:right w:w="85" w:type="dxa"/>
            </w:tcMar>
            <w:vAlign w:val="center"/>
          </w:tcPr>
          <w:p w:rsidR="00445361" w:rsidRPr="00155C37" w:rsidRDefault="00445361" w:rsidP="00D73E98">
            <w:pPr>
              <w:jc w:val="center"/>
              <w:rPr>
                <w:lang w:val="it-IT"/>
              </w:rPr>
            </w:pPr>
            <w:r w:rsidRPr="009433D3">
              <w:fldChar w:fldCharType="begin">
                <w:ffData>
                  <w:name w:val="Check4"/>
                  <w:enabled/>
                  <w:calcOnExit w:val="0"/>
                  <w:checkBox>
                    <w:sizeAuto/>
                    <w:default w:val="0"/>
                  </w:checkBox>
                </w:ffData>
              </w:fldChar>
            </w:r>
            <w:r w:rsidRPr="009433D3">
              <w:instrText xml:space="preserve"> FORMCHECKBOX </w:instrText>
            </w:r>
            <w:r w:rsidR="00CA1681">
              <w:fldChar w:fldCharType="separate"/>
            </w:r>
            <w:r w:rsidRPr="009433D3">
              <w:fldChar w:fldCharType="end"/>
            </w:r>
          </w:p>
        </w:tc>
        <w:tc>
          <w:tcPr>
            <w:tcW w:w="573" w:type="dxa"/>
            <w:tcMar>
              <w:left w:w="108" w:type="dxa"/>
            </w:tcMar>
            <w:vAlign w:val="center"/>
          </w:tcPr>
          <w:p w:rsidR="00445361" w:rsidRPr="00155C37" w:rsidRDefault="00445361" w:rsidP="00D73E98">
            <w:pPr>
              <w:jc w:val="center"/>
              <w:rPr>
                <w:lang w:val="it-IT"/>
              </w:rPr>
            </w:pPr>
            <w:r w:rsidRPr="009433D3">
              <w:fldChar w:fldCharType="begin">
                <w:ffData>
                  <w:name w:val="Check4"/>
                  <w:enabled/>
                  <w:calcOnExit w:val="0"/>
                  <w:checkBox>
                    <w:sizeAuto/>
                    <w:default w:val="0"/>
                  </w:checkBox>
                </w:ffData>
              </w:fldChar>
            </w:r>
            <w:r w:rsidRPr="009433D3">
              <w:instrText xml:space="preserve"> FORMCHECKBOX </w:instrText>
            </w:r>
            <w:r w:rsidR="00CA1681">
              <w:fldChar w:fldCharType="separate"/>
            </w:r>
            <w:r w:rsidRPr="009433D3">
              <w:fldChar w:fldCharType="end"/>
            </w:r>
          </w:p>
        </w:tc>
        <w:tc>
          <w:tcPr>
            <w:tcW w:w="570" w:type="dxa"/>
            <w:tcMar>
              <w:left w:w="108" w:type="dxa"/>
            </w:tcMar>
            <w:vAlign w:val="center"/>
          </w:tcPr>
          <w:p w:rsidR="00445361" w:rsidRPr="00155C37" w:rsidRDefault="00445361" w:rsidP="00D73E98">
            <w:pPr>
              <w:jc w:val="center"/>
              <w:rPr>
                <w:lang w:val="it-IT"/>
              </w:rPr>
            </w:pPr>
            <w:r w:rsidRPr="009433D3">
              <w:fldChar w:fldCharType="begin">
                <w:ffData>
                  <w:name w:val="Check4"/>
                  <w:enabled/>
                  <w:calcOnExit w:val="0"/>
                  <w:checkBox>
                    <w:sizeAuto/>
                    <w:default w:val="0"/>
                  </w:checkBox>
                </w:ffData>
              </w:fldChar>
            </w:r>
            <w:r w:rsidRPr="009433D3">
              <w:instrText xml:space="preserve"> FORMCHECKBOX </w:instrText>
            </w:r>
            <w:r w:rsidR="00CA1681">
              <w:fldChar w:fldCharType="separate"/>
            </w:r>
            <w:r w:rsidRPr="009433D3">
              <w:fldChar w:fldCharType="end"/>
            </w:r>
          </w:p>
        </w:tc>
      </w:tr>
      <w:tr w:rsidR="00445361" w:rsidRPr="006D6A78"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155C37" w:rsidRDefault="00445361" w:rsidP="00D73E98">
            <w:pPr>
              <w:pStyle w:val="Titolo3"/>
              <w:rPr>
                <w:lang w:val="it-IT"/>
              </w:rPr>
            </w:pPr>
            <w:r w:rsidRPr="00E60658">
              <w:rPr>
                <w:lang w:val="it-IT"/>
              </w:rPr>
              <w:t xml:space="preserve">Bilancio in forma abbreviata </w:t>
            </w:r>
          </w:p>
        </w:tc>
        <w:tc>
          <w:tcPr>
            <w:tcW w:w="564" w:type="dxa"/>
            <w:tcMar>
              <w:left w:w="85" w:type="dxa"/>
              <w:right w:w="85" w:type="dxa"/>
            </w:tcMar>
            <w:vAlign w:val="center"/>
          </w:tcPr>
          <w:p w:rsidR="00445361" w:rsidRPr="009D5B19" w:rsidRDefault="00445361" w:rsidP="00D73E98">
            <w:pPr>
              <w:jc w:val="center"/>
              <w:rPr>
                <w:lang w:val="it-IT"/>
              </w:rPr>
            </w:pPr>
          </w:p>
        </w:tc>
        <w:tc>
          <w:tcPr>
            <w:tcW w:w="573" w:type="dxa"/>
            <w:tcMar>
              <w:left w:w="108" w:type="dxa"/>
            </w:tcMar>
            <w:vAlign w:val="center"/>
          </w:tcPr>
          <w:p w:rsidR="00445361" w:rsidRPr="009D5B19" w:rsidRDefault="00445361" w:rsidP="00D73E98">
            <w:pPr>
              <w:jc w:val="center"/>
              <w:rPr>
                <w:lang w:val="it-IT"/>
              </w:rPr>
            </w:pPr>
          </w:p>
        </w:tc>
        <w:tc>
          <w:tcPr>
            <w:tcW w:w="570" w:type="dxa"/>
            <w:tcMar>
              <w:left w:w="108" w:type="dxa"/>
            </w:tcMar>
            <w:vAlign w:val="center"/>
          </w:tcPr>
          <w:p w:rsidR="00445361" w:rsidRPr="009D5B19" w:rsidRDefault="00445361" w:rsidP="00D73E98">
            <w:pPr>
              <w:jc w:val="center"/>
              <w:rPr>
                <w:lang w:val="it-IT"/>
              </w:rPr>
            </w:pPr>
          </w:p>
        </w:tc>
      </w:tr>
      <w:tr w:rsidR="00445361" w:rsidRPr="00CC242B" w:rsidTr="00D73E98">
        <w:trPr>
          <w:cantSplit/>
          <w:trHeight w:val="20"/>
        </w:trPr>
        <w:tc>
          <w:tcPr>
            <w:tcW w:w="679" w:type="dxa"/>
          </w:tcPr>
          <w:p w:rsidR="00445361" w:rsidRPr="007D7BBE" w:rsidRDefault="00445361" w:rsidP="00D73E98">
            <w:pPr>
              <w:jc w:val="center"/>
              <w:rPr>
                <w:b/>
                <w:lang w:val="it-IT"/>
              </w:rPr>
            </w:pPr>
            <w:r w:rsidRPr="007D7BBE">
              <w:rPr>
                <w:b/>
                <w:lang w:val="it-IT"/>
              </w:rPr>
              <w:t>14)</w:t>
            </w:r>
          </w:p>
        </w:tc>
        <w:tc>
          <w:tcPr>
            <w:tcW w:w="856" w:type="dxa"/>
            <w:tcMar>
              <w:left w:w="108" w:type="dxa"/>
              <w:right w:w="0" w:type="dxa"/>
            </w:tcMar>
          </w:tcPr>
          <w:p w:rsidR="00445361" w:rsidRDefault="00445361" w:rsidP="00D73E98">
            <w:pPr>
              <w:pStyle w:val="PrincCont"/>
              <w:jc w:val="left"/>
              <w:rPr>
                <w:lang w:val="it-IT"/>
              </w:rPr>
            </w:pPr>
            <w:r>
              <w:rPr>
                <w:lang w:val="it-IT"/>
              </w:rPr>
              <w:t xml:space="preserve">OIC 23.38 </w:t>
            </w:r>
          </w:p>
        </w:tc>
        <w:tc>
          <w:tcPr>
            <w:tcW w:w="7078" w:type="dxa"/>
            <w:tcMar>
              <w:left w:w="108" w:type="dxa"/>
            </w:tcMar>
          </w:tcPr>
          <w:p w:rsidR="00445361" w:rsidRPr="00155C37" w:rsidRDefault="00445361" w:rsidP="00D73E98">
            <w:pPr>
              <w:spacing w:line="230" w:lineRule="exact"/>
              <w:rPr>
                <w:lang w:val="it-IT"/>
              </w:rPr>
            </w:pPr>
            <w:r>
              <w:rPr>
                <w:lang w:val="it-IT"/>
              </w:rPr>
              <w:t>Nel bilancio in forma abbreviata i lavori in corso su ordinazione sono esposti nell’attivo dello stato patrimoniale sotto la voce CI “Rimanenze”, gli acconti nel passivo dello stato patrimoniale sotto la voce D “Debiti” e gli altri fondi sotto la voce B “Fondi per rischi e oneri”?</w:t>
            </w:r>
          </w:p>
        </w:tc>
        <w:tc>
          <w:tcPr>
            <w:tcW w:w="564" w:type="dxa"/>
            <w:tcMar>
              <w:left w:w="85" w:type="dxa"/>
              <w:right w:w="85" w:type="dxa"/>
            </w:tcMar>
            <w:vAlign w:val="center"/>
          </w:tcPr>
          <w:p w:rsidR="00445361" w:rsidRPr="009D5B19" w:rsidRDefault="00445361" w:rsidP="00D73E98">
            <w:pPr>
              <w:jc w:val="center"/>
              <w:rPr>
                <w:lang w:val="it-IT"/>
              </w:rPr>
            </w:pPr>
          </w:p>
        </w:tc>
        <w:tc>
          <w:tcPr>
            <w:tcW w:w="573" w:type="dxa"/>
            <w:tcMar>
              <w:left w:w="108" w:type="dxa"/>
            </w:tcMar>
            <w:vAlign w:val="center"/>
          </w:tcPr>
          <w:p w:rsidR="00445361" w:rsidRPr="009D5B19" w:rsidRDefault="00445361" w:rsidP="00D73E98">
            <w:pPr>
              <w:jc w:val="center"/>
              <w:rPr>
                <w:lang w:val="it-IT"/>
              </w:rPr>
            </w:pPr>
          </w:p>
        </w:tc>
        <w:tc>
          <w:tcPr>
            <w:tcW w:w="570" w:type="dxa"/>
            <w:tcMar>
              <w:left w:w="108" w:type="dxa"/>
            </w:tcMar>
            <w:vAlign w:val="center"/>
          </w:tcPr>
          <w:p w:rsidR="00445361" w:rsidRPr="009D5B19" w:rsidRDefault="00445361" w:rsidP="00D73E98">
            <w:pPr>
              <w:jc w:val="center"/>
              <w:rPr>
                <w:lang w:val="it-IT"/>
              </w:rPr>
            </w:pP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075FBB" w:rsidRDefault="00445361" w:rsidP="00D73E98">
            <w:pPr>
              <w:pStyle w:val="Titolo2"/>
              <w:jc w:val="both"/>
              <w:rPr>
                <w:lang w:val="it-IT"/>
              </w:rPr>
            </w:pPr>
            <w:r w:rsidRPr="00075FBB">
              <w:rPr>
                <w:lang w:val="it-IT"/>
              </w:rPr>
              <w:t>Rilevazione iniziale e valutazioni successive</w:t>
            </w:r>
          </w:p>
        </w:tc>
        <w:tc>
          <w:tcPr>
            <w:tcW w:w="564" w:type="dxa"/>
            <w:tcMar>
              <w:left w:w="85" w:type="dxa"/>
              <w:right w:w="85" w:type="dxa"/>
            </w:tcMar>
            <w:vAlign w:val="center"/>
          </w:tcPr>
          <w:p w:rsidR="00445361" w:rsidRPr="00075FBB" w:rsidRDefault="00445361" w:rsidP="00D73E98">
            <w:pPr>
              <w:jc w:val="center"/>
              <w:rPr>
                <w:lang w:val="it-IT"/>
              </w:rPr>
            </w:pPr>
          </w:p>
        </w:tc>
        <w:tc>
          <w:tcPr>
            <w:tcW w:w="573" w:type="dxa"/>
            <w:tcMar>
              <w:left w:w="108" w:type="dxa"/>
            </w:tcMar>
            <w:vAlign w:val="center"/>
          </w:tcPr>
          <w:p w:rsidR="00445361" w:rsidRPr="00075FBB" w:rsidRDefault="00445361" w:rsidP="00D73E98">
            <w:pPr>
              <w:jc w:val="center"/>
              <w:rPr>
                <w:lang w:val="it-IT"/>
              </w:rPr>
            </w:pPr>
          </w:p>
        </w:tc>
        <w:tc>
          <w:tcPr>
            <w:tcW w:w="570" w:type="dxa"/>
            <w:tcMar>
              <w:left w:w="108" w:type="dxa"/>
            </w:tcMar>
            <w:vAlign w:val="center"/>
          </w:tcPr>
          <w:p w:rsidR="00445361" w:rsidRPr="00075FBB" w:rsidRDefault="00445361" w:rsidP="00D73E98">
            <w:pPr>
              <w:jc w:val="center"/>
              <w:rPr>
                <w:lang w:val="it-IT"/>
              </w:rPr>
            </w:pPr>
          </w:p>
        </w:tc>
      </w:tr>
      <w:tr w:rsidR="00445361" w:rsidRPr="00AA7A8C"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Del="001929A4" w:rsidRDefault="00445361" w:rsidP="00D73E98">
            <w:pPr>
              <w:pStyle w:val="Titolo3"/>
            </w:pPr>
            <w:r>
              <w:t>Considerazioni generali</w:t>
            </w:r>
          </w:p>
        </w:tc>
        <w:tc>
          <w:tcPr>
            <w:tcW w:w="564" w:type="dxa"/>
            <w:tcMar>
              <w:left w:w="85" w:type="dxa"/>
              <w:right w:w="85" w:type="dxa"/>
            </w:tcMar>
            <w:vAlign w:val="center"/>
          </w:tcPr>
          <w:p w:rsidR="00445361" w:rsidRPr="004E1EF1" w:rsidRDefault="00445361" w:rsidP="00D73E98">
            <w:pPr>
              <w:jc w:val="center"/>
            </w:pPr>
          </w:p>
        </w:tc>
        <w:tc>
          <w:tcPr>
            <w:tcW w:w="573" w:type="dxa"/>
            <w:tcMar>
              <w:left w:w="108" w:type="dxa"/>
            </w:tcMar>
            <w:vAlign w:val="center"/>
          </w:tcPr>
          <w:p w:rsidR="00445361" w:rsidRPr="004E1EF1" w:rsidRDefault="00445361" w:rsidP="00D73E98">
            <w:pPr>
              <w:jc w:val="center"/>
            </w:pPr>
          </w:p>
        </w:tc>
        <w:tc>
          <w:tcPr>
            <w:tcW w:w="570" w:type="dxa"/>
            <w:tcMar>
              <w:left w:w="108" w:type="dxa"/>
            </w:tcMar>
            <w:vAlign w:val="center"/>
          </w:tcPr>
          <w:p w:rsidR="00445361" w:rsidRPr="004E1EF1" w:rsidRDefault="00445361" w:rsidP="00D73E98">
            <w:pPr>
              <w:jc w:val="center"/>
            </w:pPr>
          </w:p>
        </w:tc>
      </w:tr>
      <w:tr w:rsidR="00445361" w:rsidRPr="00CC242B" w:rsidTr="00D73E98">
        <w:trPr>
          <w:cantSplit/>
          <w:trHeight w:val="20"/>
        </w:trPr>
        <w:tc>
          <w:tcPr>
            <w:tcW w:w="679" w:type="dxa"/>
          </w:tcPr>
          <w:p w:rsidR="00445361" w:rsidRPr="007D7BBE" w:rsidRDefault="00445361" w:rsidP="00D73E98">
            <w:pPr>
              <w:jc w:val="center"/>
              <w:rPr>
                <w:b/>
                <w:lang w:val="it-IT"/>
              </w:rPr>
            </w:pPr>
            <w:r w:rsidRPr="007D7BBE">
              <w:rPr>
                <w:b/>
                <w:lang w:val="it-IT"/>
              </w:rPr>
              <w:t>15)</w:t>
            </w: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5153E9" w:rsidRDefault="00445361" w:rsidP="00D73E98">
            <w:pPr>
              <w:spacing w:line="230" w:lineRule="exact"/>
              <w:rPr>
                <w:lang w:val="it-IT"/>
              </w:rPr>
            </w:pPr>
            <w:r>
              <w:rPr>
                <w:lang w:val="it-IT"/>
              </w:rPr>
              <w:t>I lavori in corso su ordinazione di durata ultrannuale sono stati valutati secondo i seguenti criteri:</w:t>
            </w:r>
          </w:p>
        </w:tc>
        <w:tc>
          <w:tcPr>
            <w:tcW w:w="564" w:type="dxa"/>
            <w:tcMar>
              <w:left w:w="85" w:type="dxa"/>
              <w:right w:w="85" w:type="dxa"/>
            </w:tcMar>
            <w:vAlign w:val="center"/>
          </w:tcPr>
          <w:p w:rsidR="00445361" w:rsidRPr="00136816" w:rsidRDefault="00445361" w:rsidP="00D73E98">
            <w:pPr>
              <w:jc w:val="center"/>
              <w:rPr>
                <w:lang w:val="it-IT"/>
              </w:rPr>
            </w:pPr>
          </w:p>
        </w:tc>
        <w:tc>
          <w:tcPr>
            <w:tcW w:w="573" w:type="dxa"/>
            <w:tcMar>
              <w:left w:w="108" w:type="dxa"/>
            </w:tcMar>
            <w:vAlign w:val="center"/>
          </w:tcPr>
          <w:p w:rsidR="00445361" w:rsidRPr="00136816" w:rsidRDefault="00445361" w:rsidP="00D73E98">
            <w:pPr>
              <w:jc w:val="center"/>
              <w:rPr>
                <w:lang w:val="it-IT"/>
              </w:rPr>
            </w:pPr>
          </w:p>
        </w:tc>
        <w:tc>
          <w:tcPr>
            <w:tcW w:w="570" w:type="dxa"/>
            <w:tcMar>
              <w:left w:w="108" w:type="dxa"/>
            </w:tcMar>
            <w:vAlign w:val="center"/>
          </w:tcPr>
          <w:p w:rsidR="00445361" w:rsidRPr="00136816" w:rsidRDefault="00445361" w:rsidP="00D73E98">
            <w:pPr>
              <w:jc w:val="center"/>
              <w:rPr>
                <w:lang w:val="it-IT"/>
              </w:rPr>
            </w:pPr>
          </w:p>
        </w:tc>
      </w:tr>
      <w:tr w:rsidR="00445361" w:rsidRPr="00136816"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r>
              <w:rPr>
                <w:lang w:val="it-IT"/>
              </w:rPr>
              <w:t>Art. 2426, c.1, n. 11, CC</w:t>
            </w:r>
          </w:p>
        </w:tc>
        <w:tc>
          <w:tcPr>
            <w:tcW w:w="7078" w:type="dxa"/>
            <w:tcMar>
              <w:left w:w="108" w:type="dxa"/>
            </w:tcMar>
          </w:tcPr>
          <w:p w:rsidR="00445361" w:rsidRDefault="00445361" w:rsidP="00E13709">
            <w:pPr>
              <w:pStyle w:val="rientrotrattinook"/>
              <w:tabs>
                <w:tab w:val="clear" w:pos="704"/>
              </w:tabs>
              <w:ind w:left="450" w:hanging="284"/>
            </w:pPr>
            <w:r>
              <w:t>percentuale di completamento, valutando i lavori sulla base del corrispettivo contrattuale maturato ancorchè superiore al costo</w:t>
            </w:r>
          </w:p>
        </w:tc>
        <w:tc>
          <w:tcPr>
            <w:tcW w:w="564" w:type="dxa"/>
            <w:tcMar>
              <w:left w:w="85" w:type="dxa"/>
              <w:right w:w="85" w:type="dxa"/>
            </w:tcMar>
            <w:vAlign w:val="center"/>
          </w:tcPr>
          <w:p w:rsidR="00445361" w:rsidRPr="00136816" w:rsidRDefault="00445361" w:rsidP="00D73E98">
            <w:pPr>
              <w:jc w:val="center"/>
              <w:rPr>
                <w:lang w:val="it-IT"/>
              </w:rPr>
            </w:pPr>
            <w:r w:rsidRPr="009433D3">
              <w:fldChar w:fldCharType="begin">
                <w:ffData>
                  <w:name w:val="Check4"/>
                  <w:enabled/>
                  <w:calcOnExit w:val="0"/>
                  <w:checkBox>
                    <w:sizeAuto/>
                    <w:default w:val="0"/>
                  </w:checkBox>
                </w:ffData>
              </w:fldChar>
            </w:r>
            <w:r w:rsidRPr="009433D3">
              <w:instrText xml:space="preserve"> FORMCHECKBOX </w:instrText>
            </w:r>
            <w:r w:rsidR="00CA1681">
              <w:fldChar w:fldCharType="separate"/>
            </w:r>
            <w:r w:rsidRPr="009433D3">
              <w:fldChar w:fldCharType="end"/>
            </w:r>
          </w:p>
        </w:tc>
        <w:tc>
          <w:tcPr>
            <w:tcW w:w="573" w:type="dxa"/>
            <w:tcMar>
              <w:left w:w="108" w:type="dxa"/>
            </w:tcMar>
            <w:vAlign w:val="center"/>
          </w:tcPr>
          <w:p w:rsidR="00445361" w:rsidRPr="00136816" w:rsidRDefault="00445361" w:rsidP="00D73E98">
            <w:pPr>
              <w:jc w:val="center"/>
              <w:rPr>
                <w:lang w:val="it-IT"/>
              </w:rPr>
            </w:pPr>
            <w:r w:rsidRPr="009433D3">
              <w:fldChar w:fldCharType="begin">
                <w:ffData>
                  <w:name w:val="Check4"/>
                  <w:enabled/>
                  <w:calcOnExit w:val="0"/>
                  <w:checkBox>
                    <w:sizeAuto/>
                    <w:default w:val="0"/>
                  </w:checkBox>
                </w:ffData>
              </w:fldChar>
            </w:r>
            <w:r w:rsidRPr="009433D3">
              <w:instrText xml:space="preserve"> FORMCHECKBOX </w:instrText>
            </w:r>
            <w:r w:rsidR="00CA1681">
              <w:fldChar w:fldCharType="separate"/>
            </w:r>
            <w:r w:rsidRPr="009433D3">
              <w:fldChar w:fldCharType="end"/>
            </w:r>
          </w:p>
        </w:tc>
        <w:tc>
          <w:tcPr>
            <w:tcW w:w="570" w:type="dxa"/>
            <w:tcMar>
              <w:left w:w="108" w:type="dxa"/>
            </w:tcMar>
            <w:vAlign w:val="center"/>
          </w:tcPr>
          <w:p w:rsidR="00445361" w:rsidRPr="00136816" w:rsidRDefault="00445361" w:rsidP="00D73E98">
            <w:pPr>
              <w:jc w:val="center"/>
              <w:rPr>
                <w:lang w:val="it-IT"/>
              </w:rPr>
            </w:pPr>
            <w:r w:rsidRPr="009433D3">
              <w:fldChar w:fldCharType="begin">
                <w:ffData>
                  <w:name w:val="Check4"/>
                  <w:enabled/>
                  <w:calcOnExit w:val="0"/>
                  <w:checkBox>
                    <w:sizeAuto/>
                    <w:default w:val="0"/>
                  </w:checkBox>
                </w:ffData>
              </w:fldChar>
            </w:r>
            <w:r w:rsidRPr="009433D3">
              <w:instrText xml:space="preserve"> FORMCHECKBOX </w:instrText>
            </w:r>
            <w:r w:rsidR="00CA1681">
              <w:fldChar w:fldCharType="separate"/>
            </w:r>
            <w:r w:rsidRPr="009433D3">
              <w:fldChar w:fldCharType="end"/>
            </w:r>
          </w:p>
        </w:tc>
      </w:tr>
      <w:tr w:rsidR="00445361" w:rsidRPr="00136816"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r>
              <w:rPr>
                <w:lang w:val="it-IT"/>
              </w:rPr>
              <w:t>Art. 2426, c.1, n. 9, CC</w:t>
            </w:r>
          </w:p>
        </w:tc>
        <w:tc>
          <w:tcPr>
            <w:tcW w:w="7078" w:type="dxa"/>
            <w:tcMar>
              <w:left w:w="108" w:type="dxa"/>
            </w:tcMar>
          </w:tcPr>
          <w:p w:rsidR="00445361" w:rsidRDefault="00445361" w:rsidP="00E13709">
            <w:pPr>
              <w:pStyle w:val="rientrotrattinook"/>
              <w:tabs>
                <w:tab w:val="clear" w:pos="704"/>
              </w:tabs>
              <w:ind w:left="450" w:hanging="284"/>
            </w:pPr>
            <w:r>
              <w:t>commessa completata, valutando i lavori al costo, esclusivamente nelle circostanze in cui non sussistano i criteri per l’applicazione del criterio della percentuale di completamento?</w:t>
            </w:r>
          </w:p>
        </w:tc>
        <w:tc>
          <w:tcPr>
            <w:tcW w:w="564" w:type="dxa"/>
            <w:tcMar>
              <w:left w:w="85" w:type="dxa"/>
              <w:right w:w="85" w:type="dxa"/>
            </w:tcMar>
            <w:vAlign w:val="center"/>
          </w:tcPr>
          <w:p w:rsidR="00445361" w:rsidRPr="00136816" w:rsidRDefault="00445361" w:rsidP="00D73E98">
            <w:pPr>
              <w:jc w:val="center"/>
              <w:rPr>
                <w:lang w:val="it-IT"/>
              </w:rPr>
            </w:pPr>
            <w:r w:rsidRPr="009433D3">
              <w:fldChar w:fldCharType="begin">
                <w:ffData>
                  <w:name w:val="Check4"/>
                  <w:enabled/>
                  <w:calcOnExit w:val="0"/>
                  <w:checkBox>
                    <w:sizeAuto/>
                    <w:default w:val="0"/>
                  </w:checkBox>
                </w:ffData>
              </w:fldChar>
            </w:r>
            <w:r w:rsidRPr="009433D3">
              <w:instrText xml:space="preserve"> FORMCHECKBOX </w:instrText>
            </w:r>
            <w:r w:rsidR="00CA1681">
              <w:fldChar w:fldCharType="separate"/>
            </w:r>
            <w:r w:rsidRPr="009433D3">
              <w:fldChar w:fldCharType="end"/>
            </w:r>
          </w:p>
        </w:tc>
        <w:tc>
          <w:tcPr>
            <w:tcW w:w="573" w:type="dxa"/>
            <w:tcMar>
              <w:left w:w="108" w:type="dxa"/>
            </w:tcMar>
            <w:vAlign w:val="center"/>
          </w:tcPr>
          <w:p w:rsidR="00445361" w:rsidRPr="00136816" w:rsidRDefault="00445361" w:rsidP="00D73E98">
            <w:pPr>
              <w:jc w:val="center"/>
              <w:rPr>
                <w:lang w:val="it-IT"/>
              </w:rPr>
            </w:pPr>
            <w:r w:rsidRPr="009433D3">
              <w:fldChar w:fldCharType="begin">
                <w:ffData>
                  <w:name w:val="Check4"/>
                  <w:enabled/>
                  <w:calcOnExit w:val="0"/>
                  <w:checkBox>
                    <w:sizeAuto/>
                    <w:default w:val="0"/>
                  </w:checkBox>
                </w:ffData>
              </w:fldChar>
            </w:r>
            <w:r w:rsidRPr="009433D3">
              <w:instrText xml:space="preserve"> FORMCHECKBOX </w:instrText>
            </w:r>
            <w:r w:rsidR="00CA1681">
              <w:fldChar w:fldCharType="separate"/>
            </w:r>
            <w:r w:rsidRPr="009433D3">
              <w:fldChar w:fldCharType="end"/>
            </w:r>
          </w:p>
        </w:tc>
        <w:tc>
          <w:tcPr>
            <w:tcW w:w="570" w:type="dxa"/>
            <w:tcMar>
              <w:left w:w="108" w:type="dxa"/>
            </w:tcMar>
            <w:vAlign w:val="center"/>
          </w:tcPr>
          <w:p w:rsidR="00445361" w:rsidRPr="00136816" w:rsidRDefault="00445361" w:rsidP="00D73E98">
            <w:pPr>
              <w:jc w:val="center"/>
              <w:rPr>
                <w:lang w:val="it-IT"/>
              </w:rPr>
            </w:pPr>
            <w:r w:rsidRPr="009433D3">
              <w:fldChar w:fldCharType="begin">
                <w:ffData>
                  <w:name w:val="Check4"/>
                  <w:enabled/>
                  <w:calcOnExit w:val="0"/>
                  <w:checkBox>
                    <w:sizeAuto/>
                    <w:default w:val="0"/>
                  </w:checkBox>
                </w:ffData>
              </w:fldChar>
            </w:r>
            <w:r w:rsidRPr="009433D3">
              <w:instrText xml:space="preserve"> FORMCHECKBOX </w:instrText>
            </w:r>
            <w:r w:rsidR="00CA1681">
              <w:fldChar w:fldCharType="separate"/>
            </w:r>
            <w:r w:rsidRPr="009433D3">
              <w:fldChar w:fldCharType="end"/>
            </w: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r>
              <w:rPr>
                <w:lang w:val="it-IT"/>
              </w:rPr>
              <w:t>OIC 23.42</w:t>
            </w:r>
          </w:p>
          <w:p w:rsidR="00445361" w:rsidRPr="008A0F36" w:rsidRDefault="00445361" w:rsidP="00D73E98">
            <w:pPr>
              <w:pStyle w:val="PrincCont"/>
              <w:jc w:val="left"/>
              <w:rPr>
                <w:lang w:val="it-IT"/>
              </w:rPr>
            </w:pPr>
          </w:p>
        </w:tc>
        <w:tc>
          <w:tcPr>
            <w:tcW w:w="7078" w:type="dxa"/>
            <w:tcMar>
              <w:left w:w="108" w:type="dxa"/>
            </w:tcMar>
          </w:tcPr>
          <w:p w:rsidR="00445361" w:rsidRPr="00596C40" w:rsidRDefault="00445361" w:rsidP="00D73E98">
            <w:pPr>
              <w:pStyle w:val="Commentiriquadro"/>
            </w:pPr>
            <w:r>
              <w:t>Nel caso di lavori in corso su ordinazione di durata ultrannuale si applica il criterio della percentuale di completamento solo se sono soddisfatte le condizioni previste ai parr. 43-46 del Principio. Se non sono soddisfatte tali condizioni, la valutazione dei lavori è effettuata secondo il criterio della commessa completata.</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CC242B" w:rsidTr="00D73E98">
        <w:trPr>
          <w:cantSplit/>
          <w:trHeight w:val="20"/>
        </w:trPr>
        <w:tc>
          <w:tcPr>
            <w:tcW w:w="679" w:type="dxa"/>
          </w:tcPr>
          <w:p w:rsidR="00445361" w:rsidRPr="007D7BBE" w:rsidRDefault="00445361" w:rsidP="00D73E98">
            <w:pPr>
              <w:jc w:val="center"/>
              <w:rPr>
                <w:b/>
                <w:lang w:val="it-IT"/>
              </w:rPr>
            </w:pPr>
            <w:r w:rsidRPr="007D7BBE">
              <w:rPr>
                <w:b/>
                <w:lang w:val="it-IT"/>
              </w:rPr>
              <w:t>16)</w:t>
            </w:r>
          </w:p>
        </w:tc>
        <w:tc>
          <w:tcPr>
            <w:tcW w:w="856" w:type="dxa"/>
            <w:tcMar>
              <w:left w:w="108" w:type="dxa"/>
              <w:right w:w="0" w:type="dxa"/>
            </w:tcMar>
          </w:tcPr>
          <w:p w:rsidR="00445361" w:rsidRPr="008A0F36" w:rsidRDefault="00445361" w:rsidP="00D73E98">
            <w:pPr>
              <w:pStyle w:val="PrincCont"/>
              <w:jc w:val="left"/>
              <w:rPr>
                <w:lang w:val="it-IT"/>
              </w:rPr>
            </w:pPr>
            <w:r>
              <w:rPr>
                <w:lang w:val="it-IT"/>
              </w:rPr>
              <w:t>OIC 23.43</w:t>
            </w:r>
          </w:p>
        </w:tc>
        <w:tc>
          <w:tcPr>
            <w:tcW w:w="7078" w:type="dxa"/>
            <w:tcMar>
              <w:left w:w="108" w:type="dxa"/>
            </w:tcMar>
          </w:tcPr>
          <w:p w:rsidR="00445361" w:rsidRPr="0049076E" w:rsidRDefault="00445361" w:rsidP="00AC34B7">
            <w:pPr>
              <w:spacing w:line="240" w:lineRule="exact"/>
              <w:rPr>
                <w:lang w:val="it-IT"/>
              </w:rPr>
            </w:pPr>
            <w:r w:rsidRPr="0049076E">
              <w:rPr>
                <w:lang w:val="it-IT"/>
              </w:rPr>
              <w:t>Il criterio della percentuale di completamento può essere adottato solo quando sono soddisfatte le seguenti condizioni:</w:t>
            </w:r>
          </w:p>
        </w:tc>
        <w:tc>
          <w:tcPr>
            <w:tcW w:w="564" w:type="dxa"/>
            <w:tcMar>
              <w:left w:w="85" w:type="dxa"/>
              <w:right w:w="85" w:type="dxa"/>
            </w:tcMar>
            <w:vAlign w:val="center"/>
          </w:tcPr>
          <w:p w:rsidR="00445361" w:rsidRPr="0049076E" w:rsidRDefault="00445361" w:rsidP="00D73E98">
            <w:pPr>
              <w:jc w:val="center"/>
              <w:rPr>
                <w:lang w:val="it-IT"/>
              </w:rPr>
            </w:pPr>
          </w:p>
        </w:tc>
        <w:tc>
          <w:tcPr>
            <w:tcW w:w="573" w:type="dxa"/>
            <w:tcMar>
              <w:left w:w="108" w:type="dxa"/>
            </w:tcMar>
            <w:vAlign w:val="center"/>
          </w:tcPr>
          <w:p w:rsidR="00445361" w:rsidRPr="0049076E" w:rsidRDefault="00445361" w:rsidP="00D73E98">
            <w:pPr>
              <w:jc w:val="center"/>
              <w:rPr>
                <w:lang w:val="it-IT"/>
              </w:rPr>
            </w:pPr>
          </w:p>
        </w:tc>
        <w:tc>
          <w:tcPr>
            <w:tcW w:w="570" w:type="dxa"/>
            <w:tcMar>
              <w:left w:w="108" w:type="dxa"/>
            </w:tcMar>
            <w:vAlign w:val="center"/>
          </w:tcPr>
          <w:p w:rsidR="00445361" w:rsidRPr="0049076E" w:rsidRDefault="00445361" w:rsidP="00D73E98">
            <w:pPr>
              <w:jc w:val="center"/>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49076E" w:rsidRDefault="00445361" w:rsidP="00AC34B7">
            <w:pPr>
              <w:spacing w:line="240" w:lineRule="exact"/>
              <w:ind w:left="317" w:hanging="283"/>
              <w:rPr>
                <w:lang w:val="it-IT"/>
              </w:rPr>
            </w:pPr>
            <w:r w:rsidRPr="0049076E">
              <w:rPr>
                <w:lang w:val="it-IT"/>
              </w:rPr>
              <w:t xml:space="preserve">1) </w:t>
            </w:r>
            <w:r w:rsidRPr="0049076E">
              <w:rPr>
                <w:lang w:val="it-IT"/>
              </w:rPr>
              <w:tab/>
              <w:t>esiste un contratto vincolante per le parti che ne definisca chiaramente le obbligazioni e, in particolare, il diritto al corrispettivo per l’appaltatore</w:t>
            </w:r>
          </w:p>
        </w:tc>
        <w:tc>
          <w:tcPr>
            <w:tcW w:w="564" w:type="dxa"/>
            <w:tcMar>
              <w:left w:w="85" w:type="dxa"/>
              <w:right w:w="85"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c>
          <w:tcPr>
            <w:tcW w:w="573" w:type="dxa"/>
            <w:tcMar>
              <w:left w:w="108"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c>
          <w:tcPr>
            <w:tcW w:w="570" w:type="dxa"/>
            <w:tcMar>
              <w:left w:w="108"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49076E" w:rsidRDefault="00445361" w:rsidP="00AC34B7">
            <w:pPr>
              <w:spacing w:line="240" w:lineRule="exact"/>
              <w:ind w:left="317" w:hanging="283"/>
              <w:rPr>
                <w:lang w:val="it-IT"/>
              </w:rPr>
            </w:pPr>
            <w:r w:rsidRPr="0049076E">
              <w:rPr>
                <w:lang w:val="it-IT"/>
              </w:rPr>
              <w:t>2)</w:t>
            </w:r>
            <w:r w:rsidRPr="0049076E">
              <w:rPr>
                <w:lang w:val="it-IT"/>
              </w:rPr>
              <w:tab/>
              <w:t>il diritto al corrispettivo per la società che effettua i lavori matura con ragionevole certezza via via che i lavori sono eseguiti</w:t>
            </w:r>
          </w:p>
        </w:tc>
        <w:tc>
          <w:tcPr>
            <w:tcW w:w="564" w:type="dxa"/>
            <w:tcMar>
              <w:left w:w="85" w:type="dxa"/>
              <w:right w:w="85"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c>
          <w:tcPr>
            <w:tcW w:w="573" w:type="dxa"/>
            <w:tcMar>
              <w:left w:w="108"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c>
          <w:tcPr>
            <w:tcW w:w="570" w:type="dxa"/>
            <w:tcMar>
              <w:left w:w="108"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49076E" w:rsidRDefault="00445361" w:rsidP="00AC34B7">
            <w:pPr>
              <w:spacing w:line="240" w:lineRule="exact"/>
              <w:ind w:left="317" w:hanging="283"/>
              <w:rPr>
                <w:lang w:val="it-IT"/>
              </w:rPr>
            </w:pPr>
            <w:r w:rsidRPr="0049076E">
              <w:rPr>
                <w:lang w:val="it-IT"/>
              </w:rPr>
              <w:t>3)</w:t>
            </w:r>
            <w:r w:rsidRPr="0049076E">
              <w:rPr>
                <w:lang w:val="it-IT"/>
              </w:rPr>
              <w:tab/>
              <w:t>non sono presenti situazioni di incertezza relative a condizioni contrattuali o fattori esterni di tale entità da rendere dubbia la capacità dei contraenti a far fronte alle proprie obbligazioni (ad esempio, l’obbligo dell’appaltatore nel completare i lavori)</w:t>
            </w:r>
          </w:p>
        </w:tc>
        <w:tc>
          <w:tcPr>
            <w:tcW w:w="564" w:type="dxa"/>
            <w:tcMar>
              <w:left w:w="85" w:type="dxa"/>
              <w:right w:w="85"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c>
          <w:tcPr>
            <w:tcW w:w="573" w:type="dxa"/>
            <w:tcMar>
              <w:left w:w="108"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c>
          <w:tcPr>
            <w:tcW w:w="570" w:type="dxa"/>
            <w:tcMar>
              <w:left w:w="108"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49076E" w:rsidRDefault="00445361" w:rsidP="00AC34B7">
            <w:pPr>
              <w:spacing w:line="240" w:lineRule="exact"/>
              <w:rPr>
                <w:lang w:val="it-IT"/>
              </w:rPr>
            </w:pPr>
            <w:r w:rsidRPr="0049076E">
              <w:rPr>
                <w:lang w:val="it-IT"/>
              </w:rPr>
              <w:t>4)</w:t>
            </w:r>
            <w:r w:rsidRPr="0049076E">
              <w:rPr>
                <w:lang w:val="it-IT"/>
              </w:rPr>
              <w:tab/>
              <w:t>il risultato della commessa può essere attendibilmente misurato?</w:t>
            </w:r>
          </w:p>
        </w:tc>
        <w:tc>
          <w:tcPr>
            <w:tcW w:w="564" w:type="dxa"/>
            <w:tcMar>
              <w:left w:w="85" w:type="dxa"/>
              <w:right w:w="85"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c>
          <w:tcPr>
            <w:tcW w:w="573" w:type="dxa"/>
            <w:tcMar>
              <w:left w:w="108"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c>
          <w:tcPr>
            <w:tcW w:w="570" w:type="dxa"/>
            <w:tcMar>
              <w:left w:w="108"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23.44</w:t>
            </w:r>
          </w:p>
        </w:tc>
        <w:tc>
          <w:tcPr>
            <w:tcW w:w="7078" w:type="dxa"/>
            <w:tcMar>
              <w:left w:w="108" w:type="dxa"/>
            </w:tcMar>
          </w:tcPr>
          <w:p w:rsidR="00445361" w:rsidRPr="003C27B3" w:rsidRDefault="00445361" w:rsidP="00D73E98">
            <w:pPr>
              <w:pStyle w:val="Commentiriquadro"/>
            </w:pPr>
            <w:r w:rsidRPr="003C27B3">
              <w:t>Nei contratti a corrispettivo predeterminato, il risultato della commessa può essere attendibilmente stimato quando sono soddisfatte le seguenti condizioni:</w:t>
            </w:r>
          </w:p>
          <w:p w:rsidR="00445361" w:rsidRPr="003C27B3" w:rsidRDefault="00445361" w:rsidP="00D73E98">
            <w:pPr>
              <w:pStyle w:val="Commentiriquadro"/>
              <w:tabs>
                <w:tab w:val="left" w:pos="278"/>
                <w:tab w:val="left" w:pos="528"/>
              </w:tabs>
            </w:pPr>
            <w:r>
              <w:t>-</w:t>
            </w:r>
            <w:r>
              <w:tab/>
            </w:r>
            <w:r w:rsidRPr="003C27B3">
              <w:t>i ricavi di commessa possono essere determinati con attendibilità</w:t>
            </w:r>
          </w:p>
          <w:p w:rsidR="00445361" w:rsidRPr="003C27B3" w:rsidRDefault="00445361" w:rsidP="00D73E98">
            <w:pPr>
              <w:pStyle w:val="Commentiriquadro"/>
              <w:tabs>
                <w:tab w:val="left" w:pos="278"/>
                <w:tab w:val="left" w:pos="528"/>
              </w:tabs>
            </w:pPr>
            <w:r>
              <w:t>-</w:t>
            </w:r>
            <w:r>
              <w:tab/>
            </w:r>
            <w:r w:rsidRPr="003C27B3">
              <w:t>è ragionevolmente certo che i ricavi di commessa saranno incassati dall’appaltatore</w:t>
            </w:r>
          </w:p>
          <w:p w:rsidR="00445361" w:rsidRPr="003C27B3" w:rsidRDefault="00445361" w:rsidP="00D73E98">
            <w:pPr>
              <w:pStyle w:val="Commentiriquadro"/>
              <w:tabs>
                <w:tab w:val="left" w:pos="278"/>
                <w:tab w:val="left" w:pos="528"/>
              </w:tabs>
            </w:pPr>
            <w:r>
              <w:t>-</w:t>
            </w:r>
            <w:r>
              <w:tab/>
            </w:r>
            <w:r w:rsidRPr="003C27B3">
              <w:t>i costi di commessa necessari per completare i lavori e lo stato di avanzamento alla data di</w:t>
            </w:r>
            <w:r>
              <w:t xml:space="preserve"> </w:t>
            </w:r>
            <w:r w:rsidRPr="003C27B3">
              <w:t xml:space="preserve">riferimento del </w:t>
            </w:r>
            <w:r>
              <w:tab/>
            </w:r>
            <w:r w:rsidRPr="003C27B3">
              <w:t>bilancio possono essere determinati in modo attendibile</w:t>
            </w:r>
          </w:p>
          <w:p w:rsidR="00445361" w:rsidRPr="005153E9" w:rsidRDefault="00445361" w:rsidP="00D73E98">
            <w:pPr>
              <w:pStyle w:val="Commentiriquadro"/>
              <w:tabs>
                <w:tab w:val="left" w:pos="278"/>
                <w:tab w:val="left" w:pos="528"/>
              </w:tabs>
              <w:rPr>
                <w:iCs/>
              </w:rPr>
            </w:pPr>
            <w:r>
              <w:t>-</w:t>
            </w:r>
            <w:r>
              <w:tab/>
            </w:r>
            <w:r w:rsidRPr="003C27B3">
              <w:t>i costi di commessa attribuibili al contratto possono essere identificati con chiarezza e</w:t>
            </w:r>
            <w:r>
              <w:t xml:space="preserve"> </w:t>
            </w:r>
            <w:r w:rsidRPr="003C27B3">
              <w:t xml:space="preserve">determinati con </w:t>
            </w:r>
            <w:r>
              <w:tab/>
            </w:r>
            <w:r w:rsidRPr="003C27B3">
              <w:t>attendibilità, cosicché i costi di commessa sostenuti possono essere comparati</w:t>
            </w:r>
            <w:r>
              <w:t xml:space="preserve"> </w:t>
            </w:r>
            <w:r w:rsidRPr="003C27B3">
              <w:t>con le stime precedenti.</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23.45</w:t>
            </w:r>
          </w:p>
        </w:tc>
        <w:tc>
          <w:tcPr>
            <w:tcW w:w="7078" w:type="dxa"/>
            <w:tcMar>
              <w:left w:w="108" w:type="dxa"/>
            </w:tcMar>
          </w:tcPr>
          <w:p w:rsidR="00445361" w:rsidRPr="003C27B3" w:rsidRDefault="00445361" w:rsidP="00D73E98">
            <w:pPr>
              <w:pStyle w:val="Commentiriquadro"/>
            </w:pPr>
            <w:r w:rsidRPr="003C27B3">
              <w:t>Nei contratti con corrispettivo basato sul costo consuntivo più il margine, il risultato della</w:t>
            </w:r>
            <w:r>
              <w:t xml:space="preserve"> </w:t>
            </w:r>
            <w:r w:rsidRPr="003C27B3">
              <w:t xml:space="preserve">commessa può essere attendibilmente </w:t>
            </w:r>
            <w:r>
              <w:t>misurato</w:t>
            </w:r>
            <w:r w:rsidRPr="003C27B3">
              <w:t xml:space="preserve"> solo se:</w:t>
            </w:r>
          </w:p>
          <w:p w:rsidR="00445361" w:rsidRPr="003C27B3" w:rsidRDefault="00445361" w:rsidP="00D73E98">
            <w:pPr>
              <w:pStyle w:val="Commentiriquadro"/>
              <w:tabs>
                <w:tab w:val="left" w:pos="278"/>
                <w:tab w:val="left" w:pos="528"/>
              </w:tabs>
              <w:spacing w:before="0"/>
            </w:pPr>
            <w:r>
              <w:t>-</w:t>
            </w:r>
            <w:r>
              <w:tab/>
            </w:r>
            <w:r w:rsidRPr="003C27B3">
              <w:t>i costi di commessa attribuibili al contratto, che siano o no specificatamente rimborsabili,</w:t>
            </w:r>
            <w:r>
              <w:t xml:space="preserve"> </w:t>
            </w:r>
            <w:r w:rsidRPr="003C27B3">
              <w:t xml:space="preserve">possono essere </w:t>
            </w:r>
            <w:r>
              <w:tab/>
            </w:r>
            <w:r w:rsidRPr="003C27B3">
              <w:t>identificati con chiarezza e determinati con attendibilità</w:t>
            </w:r>
          </w:p>
          <w:p w:rsidR="00445361" w:rsidRPr="003C27B3" w:rsidRDefault="00445361" w:rsidP="00D73E98">
            <w:pPr>
              <w:pStyle w:val="Commentiriquadro"/>
              <w:tabs>
                <w:tab w:val="left" w:pos="278"/>
                <w:tab w:val="left" w:pos="528"/>
              </w:tabs>
              <w:rPr>
                <w:iCs/>
              </w:rPr>
            </w:pPr>
            <w:r>
              <w:t>-</w:t>
            </w:r>
            <w:r>
              <w:tab/>
            </w:r>
            <w:r w:rsidRPr="003C27B3">
              <w:t>è ragionevolmente certo che i ricavi di commessa saranno incassati dall’appaltatore.</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CC242B" w:rsidTr="00D73E98">
        <w:trPr>
          <w:cantSplit/>
          <w:trHeight w:val="20"/>
        </w:trPr>
        <w:tc>
          <w:tcPr>
            <w:tcW w:w="679" w:type="dxa"/>
          </w:tcPr>
          <w:p w:rsidR="00445361" w:rsidRPr="007D7BBE" w:rsidRDefault="00445361" w:rsidP="00D73E98">
            <w:pPr>
              <w:jc w:val="center"/>
              <w:rPr>
                <w:b/>
                <w:lang w:val="it-IT"/>
              </w:rPr>
            </w:pPr>
            <w:r w:rsidRPr="007D7BBE">
              <w:rPr>
                <w:b/>
                <w:lang w:val="it-IT"/>
              </w:rPr>
              <w:t>17)</w:t>
            </w:r>
          </w:p>
        </w:tc>
        <w:tc>
          <w:tcPr>
            <w:tcW w:w="856" w:type="dxa"/>
            <w:tcMar>
              <w:left w:w="108" w:type="dxa"/>
              <w:right w:w="0" w:type="dxa"/>
            </w:tcMar>
          </w:tcPr>
          <w:p w:rsidR="00445361" w:rsidRPr="00227E20" w:rsidRDefault="00445361" w:rsidP="00D73E98">
            <w:pPr>
              <w:pStyle w:val="PrincCont"/>
              <w:jc w:val="left"/>
              <w:rPr>
                <w:lang w:val="it-IT"/>
              </w:rPr>
            </w:pPr>
            <w:r>
              <w:rPr>
                <w:lang w:val="it-IT"/>
              </w:rPr>
              <w:t>OIC 23.46</w:t>
            </w:r>
          </w:p>
        </w:tc>
        <w:tc>
          <w:tcPr>
            <w:tcW w:w="7078" w:type="dxa"/>
            <w:tcMar>
              <w:left w:w="108" w:type="dxa"/>
            </w:tcMar>
          </w:tcPr>
          <w:p w:rsidR="00445361" w:rsidRPr="00D63FC9" w:rsidRDefault="00445361" w:rsidP="00AC34B7">
            <w:pPr>
              <w:spacing w:line="240" w:lineRule="exact"/>
              <w:rPr>
                <w:lang w:val="it-IT"/>
              </w:rPr>
            </w:pPr>
            <w:r w:rsidRPr="00050191">
              <w:rPr>
                <w:lang w:val="it-IT"/>
              </w:rPr>
              <w:t xml:space="preserve">Nel caso di </w:t>
            </w:r>
            <w:r>
              <w:rPr>
                <w:lang w:val="it-IT"/>
              </w:rPr>
              <w:t>lavori in corso di durata inferiore all’anno è stato applicato alternativamente uno dei due criteri:</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AD4415"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D63FC9" w:rsidRDefault="00445361" w:rsidP="00AC34B7">
            <w:pPr>
              <w:pStyle w:val="Puntoelenco"/>
              <w:tabs>
                <w:tab w:val="clear" w:pos="704"/>
                <w:tab w:val="num" w:pos="460"/>
              </w:tabs>
              <w:spacing w:line="240" w:lineRule="exact"/>
              <w:ind w:left="460" w:hanging="284"/>
            </w:pPr>
            <w:r w:rsidRPr="00050191">
              <w:t>cri</w:t>
            </w:r>
            <w:r>
              <w:t>terio della commessa completata</w:t>
            </w:r>
          </w:p>
        </w:tc>
        <w:tc>
          <w:tcPr>
            <w:tcW w:w="564" w:type="dxa"/>
            <w:tcMar>
              <w:left w:w="85" w:type="dxa"/>
              <w:right w:w="85" w:type="dxa"/>
            </w:tcMar>
            <w:vAlign w:val="center"/>
          </w:tcPr>
          <w:p w:rsidR="00445361" w:rsidRDefault="00445361" w:rsidP="00D73E98">
            <w:pPr>
              <w:ind w:firstLine="57"/>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Default="00445361" w:rsidP="00D73E98">
            <w:pPr>
              <w:ind w:firstLine="57"/>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Default="00445361" w:rsidP="00D73E98">
            <w:pPr>
              <w:ind w:firstLine="57"/>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D63FC9"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D63FC9" w:rsidRDefault="00445361" w:rsidP="00AC34B7">
            <w:pPr>
              <w:pStyle w:val="Puntoelenco"/>
              <w:tabs>
                <w:tab w:val="clear" w:pos="704"/>
                <w:tab w:val="num" w:pos="460"/>
              </w:tabs>
              <w:spacing w:line="240" w:lineRule="exact"/>
              <w:ind w:left="460" w:hanging="284"/>
            </w:pPr>
            <w:r w:rsidRPr="00D63FC9">
              <w:t>criterio della percentuale di completamento?</w:t>
            </w:r>
          </w:p>
        </w:tc>
        <w:tc>
          <w:tcPr>
            <w:tcW w:w="564" w:type="dxa"/>
            <w:tcMar>
              <w:left w:w="85" w:type="dxa"/>
              <w:right w:w="85" w:type="dxa"/>
            </w:tcMar>
            <w:vAlign w:val="center"/>
          </w:tcPr>
          <w:p w:rsidR="00445361" w:rsidRPr="00D63FC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D63FC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D63FC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596C40" w:rsidRDefault="00445361" w:rsidP="00D73E98">
            <w:pPr>
              <w:pStyle w:val="Commentiriquadro"/>
            </w:pPr>
            <w:r>
              <w:t>Nel caso di commessee di durata inferiore all’anno, tenuto conto che generalmente l’utilizzo del criterio della commessa completata non genera andamenti irregolari nei risultati d’esercizio, possono utilizzarsi entrambi i criteri di valutazione.</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050191" w:rsidRDefault="00445361" w:rsidP="00D73E98">
            <w:pPr>
              <w:pStyle w:val="Titolo3"/>
              <w:rPr>
                <w:lang w:val="it-IT"/>
              </w:rPr>
            </w:pPr>
            <w:r>
              <w:rPr>
                <w:lang w:val="it-IT"/>
              </w:rPr>
              <w:t>Combinazioni e suddivisioni dei lavori in corso su ordinazione</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CC242B" w:rsidTr="00D73E98">
        <w:trPr>
          <w:cantSplit/>
          <w:trHeight w:val="20"/>
        </w:trPr>
        <w:tc>
          <w:tcPr>
            <w:tcW w:w="679" w:type="dxa"/>
          </w:tcPr>
          <w:p w:rsidR="00445361" w:rsidRPr="007D7BBE" w:rsidRDefault="00445361" w:rsidP="00D73E98">
            <w:pPr>
              <w:jc w:val="center"/>
              <w:rPr>
                <w:b/>
                <w:lang w:val="it-IT"/>
              </w:rPr>
            </w:pPr>
            <w:r w:rsidRPr="007D7BBE">
              <w:rPr>
                <w:b/>
                <w:lang w:val="it-IT"/>
              </w:rPr>
              <w:t>18)</w:t>
            </w:r>
          </w:p>
        </w:tc>
        <w:tc>
          <w:tcPr>
            <w:tcW w:w="856" w:type="dxa"/>
            <w:tcMar>
              <w:left w:w="108" w:type="dxa"/>
              <w:right w:w="0" w:type="dxa"/>
            </w:tcMar>
          </w:tcPr>
          <w:p w:rsidR="00445361" w:rsidRDefault="00445361" w:rsidP="00D73E98">
            <w:pPr>
              <w:pStyle w:val="PrincCont"/>
              <w:jc w:val="left"/>
              <w:rPr>
                <w:lang w:val="it-IT"/>
              </w:rPr>
            </w:pPr>
            <w:r>
              <w:rPr>
                <w:lang w:val="it-IT"/>
              </w:rPr>
              <w:t>OIC 23.48</w:t>
            </w:r>
          </w:p>
        </w:tc>
        <w:tc>
          <w:tcPr>
            <w:tcW w:w="7078" w:type="dxa"/>
            <w:tcMar>
              <w:left w:w="108" w:type="dxa"/>
            </w:tcMar>
          </w:tcPr>
          <w:p w:rsidR="00445361" w:rsidRDefault="00445361" w:rsidP="00AC34B7">
            <w:pPr>
              <w:pStyle w:val="Titolo2"/>
              <w:rPr>
                <w:lang w:val="it-IT"/>
              </w:rPr>
            </w:pPr>
            <w:r w:rsidRPr="00955E24">
              <w:rPr>
                <w:b w:val="0"/>
                <w:sz w:val="20"/>
                <w:lang w:val="it-IT"/>
              </w:rPr>
              <w:t>Il corrispettivo contrattuale di una commessa è stato pattuito</w:t>
            </w:r>
            <w:r>
              <w:rPr>
                <w:b w:val="0"/>
                <w:sz w:val="20"/>
                <w:lang w:val="it-IT"/>
              </w:rPr>
              <w:t>:</w:t>
            </w:r>
          </w:p>
        </w:tc>
        <w:tc>
          <w:tcPr>
            <w:tcW w:w="564" w:type="dxa"/>
            <w:tcMar>
              <w:left w:w="85" w:type="dxa"/>
              <w:right w:w="85" w:type="dxa"/>
            </w:tcMar>
            <w:vAlign w:val="center"/>
          </w:tcPr>
          <w:p w:rsidR="00445361" w:rsidRPr="00955E24" w:rsidRDefault="00445361" w:rsidP="00D73E98">
            <w:pPr>
              <w:ind w:firstLine="57"/>
              <w:rPr>
                <w:lang w:val="it-IT"/>
              </w:rPr>
            </w:pPr>
          </w:p>
        </w:tc>
        <w:tc>
          <w:tcPr>
            <w:tcW w:w="573" w:type="dxa"/>
            <w:tcMar>
              <w:left w:w="108" w:type="dxa"/>
            </w:tcMar>
            <w:vAlign w:val="center"/>
          </w:tcPr>
          <w:p w:rsidR="00445361" w:rsidRPr="00955E24" w:rsidRDefault="00445361" w:rsidP="00D73E98">
            <w:pPr>
              <w:ind w:firstLine="57"/>
              <w:rPr>
                <w:lang w:val="it-IT"/>
              </w:rPr>
            </w:pPr>
          </w:p>
        </w:tc>
        <w:tc>
          <w:tcPr>
            <w:tcW w:w="570" w:type="dxa"/>
            <w:tcMar>
              <w:left w:w="108" w:type="dxa"/>
            </w:tcMar>
            <w:vAlign w:val="center"/>
          </w:tcPr>
          <w:p w:rsidR="00445361" w:rsidRPr="00955E24" w:rsidRDefault="00445361" w:rsidP="00D73E98">
            <w:pPr>
              <w:ind w:firstLine="57"/>
              <w:rPr>
                <w:lang w:val="it-IT"/>
              </w:rPr>
            </w:pPr>
          </w:p>
        </w:tc>
      </w:tr>
      <w:tr w:rsidR="00445361" w:rsidRPr="00955E24"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955E24" w:rsidRDefault="00445361" w:rsidP="00AC34B7">
            <w:pPr>
              <w:pStyle w:val="Puntoelenco"/>
              <w:tabs>
                <w:tab w:val="clear" w:pos="704"/>
              </w:tabs>
              <w:spacing w:line="240" w:lineRule="exact"/>
              <w:ind w:left="450" w:hanging="284"/>
            </w:pPr>
            <w:r>
              <w:t>unitariamente per l’intera opera</w:t>
            </w:r>
          </w:p>
        </w:tc>
        <w:tc>
          <w:tcPr>
            <w:tcW w:w="564" w:type="dxa"/>
            <w:tcMar>
              <w:left w:w="85" w:type="dxa"/>
              <w:right w:w="85"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955E24"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955E24" w:rsidRDefault="00445361" w:rsidP="00AC34B7">
            <w:pPr>
              <w:pStyle w:val="Puntoelenco"/>
              <w:tabs>
                <w:tab w:val="clear" w:pos="704"/>
              </w:tabs>
              <w:spacing w:line="240" w:lineRule="exact"/>
              <w:ind w:left="450" w:hanging="284"/>
              <w:rPr>
                <w:b/>
              </w:rPr>
            </w:pPr>
            <w:r w:rsidRPr="00955E24">
              <w:t>frazionatamente per singole opere o per ciascuna fase</w:t>
            </w:r>
          </w:p>
        </w:tc>
        <w:tc>
          <w:tcPr>
            <w:tcW w:w="564" w:type="dxa"/>
            <w:tcMar>
              <w:left w:w="85" w:type="dxa"/>
              <w:right w:w="85"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CC242B" w:rsidTr="00D73E98">
        <w:trPr>
          <w:cantSplit/>
          <w:trHeight w:val="20"/>
        </w:trPr>
        <w:tc>
          <w:tcPr>
            <w:tcW w:w="679" w:type="dxa"/>
          </w:tcPr>
          <w:p w:rsidR="00445361" w:rsidRPr="007D7BBE" w:rsidRDefault="00445361" w:rsidP="00D73E98">
            <w:pPr>
              <w:jc w:val="center"/>
              <w:rPr>
                <w:b/>
                <w:lang w:val="it-IT"/>
              </w:rPr>
            </w:pPr>
            <w:r w:rsidRPr="007D7BBE">
              <w:rPr>
                <w:b/>
                <w:lang w:val="it-IT"/>
              </w:rPr>
              <w:t>19)</w:t>
            </w:r>
          </w:p>
        </w:tc>
        <w:tc>
          <w:tcPr>
            <w:tcW w:w="856" w:type="dxa"/>
            <w:tcMar>
              <w:left w:w="108" w:type="dxa"/>
              <w:right w:w="0" w:type="dxa"/>
            </w:tcMar>
          </w:tcPr>
          <w:p w:rsidR="00445361" w:rsidRDefault="00445361" w:rsidP="00D73E98">
            <w:pPr>
              <w:pStyle w:val="PrincCont"/>
              <w:jc w:val="left"/>
              <w:rPr>
                <w:lang w:val="it-IT"/>
              </w:rPr>
            </w:pPr>
            <w:r>
              <w:rPr>
                <w:lang w:val="it-IT"/>
              </w:rPr>
              <w:t>OIC 23.49</w:t>
            </w:r>
          </w:p>
        </w:tc>
        <w:tc>
          <w:tcPr>
            <w:tcW w:w="7078" w:type="dxa"/>
            <w:tcMar>
              <w:left w:w="108" w:type="dxa"/>
            </w:tcMar>
          </w:tcPr>
          <w:p w:rsidR="00445361" w:rsidRPr="000201F3" w:rsidRDefault="00445361" w:rsidP="00AC34B7">
            <w:pPr>
              <w:spacing w:line="230" w:lineRule="exact"/>
              <w:rPr>
                <w:lang w:val="it-IT"/>
              </w:rPr>
            </w:pPr>
            <w:r w:rsidRPr="001F0A6E">
              <w:rPr>
                <w:lang w:val="it-IT"/>
              </w:rPr>
              <w:t xml:space="preserve">Se </w:t>
            </w:r>
            <w:r>
              <w:rPr>
                <w:lang w:val="it-IT"/>
              </w:rPr>
              <w:t xml:space="preserve">per </w:t>
            </w:r>
            <w:r w:rsidRPr="001F0A6E">
              <w:rPr>
                <w:lang w:val="it-IT"/>
              </w:rPr>
              <w:t xml:space="preserve">una commessa </w:t>
            </w:r>
            <w:r>
              <w:rPr>
                <w:lang w:val="it-IT"/>
              </w:rPr>
              <w:t xml:space="preserve">che </w:t>
            </w:r>
            <w:r w:rsidRPr="001F0A6E">
              <w:rPr>
                <w:lang w:val="it-IT"/>
              </w:rPr>
              <w:t>si riferisce a varie opere o varie fasi</w:t>
            </w:r>
            <w:r>
              <w:rPr>
                <w:lang w:val="it-IT"/>
              </w:rPr>
              <w:t xml:space="preserve"> sono stati</w:t>
            </w:r>
            <w:r w:rsidRPr="001F0A6E">
              <w:rPr>
                <w:lang w:val="it-IT"/>
              </w:rPr>
              <w:t xml:space="preserve"> utilizza</w:t>
            </w:r>
            <w:r>
              <w:rPr>
                <w:lang w:val="it-IT"/>
              </w:rPr>
              <w:t>ti</w:t>
            </w:r>
            <w:r w:rsidRPr="001F0A6E">
              <w:rPr>
                <w:lang w:val="it-IT"/>
              </w:rPr>
              <w:t xml:space="preserve"> i corrispettivi</w:t>
            </w:r>
            <w:r>
              <w:rPr>
                <w:lang w:val="it-IT"/>
              </w:rPr>
              <w:t xml:space="preserve"> </w:t>
            </w:r>
            <w:r w:rsidRPr="001F0A6E">
              <w:rPr>
                <w:lang w:val="it-IT"/>
              </w:rPr>
              <w:t>frazionati previsti dal contratto per alcune fasi dello stesso per determinare i ricavi maturati su tali</w:t>
            </w:r>
            <w:r>
              <w:rPr>
                <w:lang w:val="it-IT"/>
              </w:rPr>
              <w:t xml:space="preserve"> </w:t>
            </w:r>
            <w:r w:rsidRPr="001F0A6E">
              <w:rPr>
                <w:lang w:val="it-IT"/>
              </w:rPr>
              <w:t>fasi ovvero per valutare le opere svolte per tali fasi, s</w:t>
            </w:r>
            <w:r>
              <w:rPr>
                <w:lang w:val="it-IT"/>
              </w:rPr>
              <w:t>ono</w:t>
            </w:r>
            <w:r w:rsidRPr="001F0A6E">
              <w:rPr>
                <w:lang w:val="it-IT"/>
              </w:rPr>
              <w:t xml:space="preserve"> verific</w:t>
            </w:r>
            <w:r>
              <w:rPr>
                <w:lang w:val="it-IT"/>
              </w:rPr>
              <w:t>ate</w:t>
            </w:r>
            <w:r w:rsidRPr="001F0A6E">
              <w:rPr>
                <w:lang w:val="it-IT"/>
              </w:rPr>
              <w:t xml:space="preserve"> tutte le seguenti</w:t>
            </w:r>
            <w:r>
              <w:rPr>
                <w:lang w:val="it-IT"/>
              </w:rPr>
              <w:t xml:space="preserve"> </w:t>
            </w:r>
            <w:r w:rsidRPr="001F0A6E">
              <w:rPr>
                <w:lang w:val="it-IT"/>
              </w:rPr>
              <w:t>condizioni:</w:t>
            </w:r>
          </w:p>
        </w:tc>
        <w:tc>
          <w:tcPr>
            <w:tcW w:w="564" w:type="dxa"/>
            <w:tcMar>
              <w:left w:w="85" w:type="dxa"/>
              <w:right w:w="85" w:type="dxa"/>
            </w:tcMar>
            <w:vAlign w:val="center"/>
          </w:tcPr>
          <w:p w:rsidR="00445361" w:rsidRPr="00955E24" w:rsidRDefault="00445361" w:rsidP="00D73E98">
            <w:pPr>
              <w:ind w:firstLine="57"/>
              <w:rPr>
                <w:lang w:val="it-IT"/>
              </w:rPr>
            </w:pPr>
          </w:p>
        </w:tc>
        <w:tc>
          <w:tcPr>
            <w:tcW w:w="573" w:type="dxa"/>
            <w:tcMar>
              <w:left w:w="108" w:type="dxa"/>
            </w:tcMar>
            <w:vAlign w:val="center"/>
          </w:tcPr>
          <w:p w:rsidR="00445361" w:rsidRPr="00955E24" w:rsidRDefault="00445361" w:rsidP="00D73E98">
            <w:pPr>
              <w:ind w:firstLine="57"/>
              <w:rPr>
                <w:lang w:val="it-IT"/>
              </w:rPr>
            </w:pPr>
          </w:p>
        </w:tc>
        <w:tc>
          <w:tcPr>
            <w:tcW w:w="570" w:type="dxa"/>
            <w:tcMar>
              <w:left w:w="108" w:type="dxa"/>
            </w:tcMar>
            <w:vAlign w:val="center"/>
          </w:tcPr>
          <w:p w:rsidR="00445361" w:rsidRPr="00955E24" w:rsidRDefault="00445361" w:rsidP="00D73E98">
            <w:pPr>
              <w:ind w:firstLine="57"/>
              <w:rPr>
                <w:lang w:val="it-IT"/>
              </w:rPr>
            </w:pPr>
          </w:p>
        </w:tc>
      </w:tr>
      <w:tr w:rsidR="00445361" w:rsidRPr="000201F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0201F3" w:rsidRDefault="00445361" w:rsidP="00AC34B7">
            <w:pPr>
              <w:pStyle w:val="rientrotrattinook"/>
              <w:tabs>
                <w:tab w:val="clear" w:pos="704"/>
              </w:tabs>
              <w:spacing w:line="230" w:lineRule="exact"/>
              <w:ind w:left="450" w:hanging="284"/>
            </w:pPr>
            <w:r w:rsidRPr="001C57D5">
              <w:t>il contratto prevede fasi o opere ben separate</w:t>
            </w:r>
          </w:p>
        </w:tc>
        <w:tc>
          <w:tcPr>
            <w:tcW w:w="564" w:type="dxa"/>
            <w:tcMar>
              <w:left w:w="85" w:type="dxa"/>
              <w:right w:w="85"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0201F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0201F3" w:rsidRDefault="00445361" w:rsidP="00AC34B7">
            <w:pPr>
              <w:pStyle w:val="rientrotrattinook"/>
              <w:tabs>
                <w:tab w:val="clear" w:pos="704"/>
              </w:tabs>
              <w:spacing w:line="230" w:lineRule="exact"/>
              <w:ind w:left="450" w:hanging="284"/>
            </w:pPr>
            <w:r w:rsidRPr="001C57D5">
              <w:t>ciascuna fase o opera è stata oggetto di offerte separate e vi è documentazione di ciò</w:t>
            </w:r>
          </w:p>
        </w:tc>
        <w:tc>
          <w:tcPr>
            <w:tcW w:w="564" w:type="dxa"/>
            <w:tcMar>
              <w:left w:w="85" w:type="dxa"/>
              <w:right w:w="85"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0201F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0201F3" w:rsidRDefault="00445361" w:rsidP="00AC34B7">
            <w:pPr>
              <w:pStyle w:val="rientrotrattinook"/>
              <w:tabs>
                <w:tab w:val="clear" w:pos="704"/>
              </w:tabs>
              <w:spacing w:line="230" w:lineRule="exact"/>
              <w:ind w:left="450" w:hanging="284"/>
            </w:pPr>
            <w:r w:rsidRPr="001C57D5">
              <w:t>è possibile identificare con chiarezza i costi e i ricavi di ciascuna fase o opera</w:t>
            </w:r>
          </w:p>
        </w:tc>
        <w:tc>
          <w:tcPr>
            <w:tcW w:w="564" w:type="dxa"/>
            <w:tcMar>
              <w:left w:w="85" w:type="dxa"/>
              <w:right w:w="85"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0201F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0201F3" w:rsidRDefault="00445361" w:rsidP="00AC34B7">
            <w:pPr>
              <w:pStyle w:val="rientrotrattinook"/>
              <w:tabs>
                <w:tab w:val="clear" w:pos="704"/>
              </w:tabs>
              <w:spacing w:line="230" w:lineRule="exact"/>
              <w:ind w:left="450" w:hanging="284"/>
            </w:pPr>
            <w:r w:rsidRPr="001C57D5">
              <w:t>l’attribuzione di margini diversi alle singole fasi o opere del contratto rispecchia comprovate situazioni di mercato, in quanto tale diversità rispecchia differenti gradi di rischio o del rapporto domanda-offerta</w:t>
            </w:r>
          </w:p>
        </w:tc>
        <w:tc>
          <w:tcPr>
            <w:tcW w:w="564" w:type="dxa"/>
            <w:tcMar>
              <w:left w:w="85" w:type="dxa"/>
              <w:right w:w="85"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0201F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0201F3" w:rsidRDefault="00445361" w:rsidP="00AC34B7">
            <w:pPr>
              <w:pStyle w:val="rientrotrattinook"/>
              <w:tabs>
                <w:tab w:val="clear" w:pos="704"/>
              </w:tabs>
              <w:spacing w:line="230" w:lineRule="exact"/>
              <w:ind w:left="450" w:hanging="284"/>
            </w:pPr>
            <w:r w:rsidRPr="001C57D5">
              <w:t>i corrispettivi delle singole fasi o elementi del contratto devono generare margini comparabili con quelli che si otterrebbero se tutte le fasi o elementi venissero forniti a clienti diversi e ciò sia provato da una documentata esperienza</w:t>
            </w:r>
          </w:p>
        </w:tc>
        <w:tc>
          <w:tcPr>
            <w:tcW w:w="564" w:type="dxa"/>
            <w:tcMar>
              <w:left w:w="85" w:type="dxa"/>
              <w:right w:w="85"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0201F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1F0A6E" w:rsidRDefault="00445361" w:rsidP="00AC34B7">
            <w:pPr>
              <w:pStyle w:val="rientrotrattinook"/>
              <w:tabs>
                <w:tab w:val="clear" w:pos="704"/>
              </w:tabs>
              <w:spacing w:line="230" w:lineRule="exact"/>
              <w:ind w:left="450" w:hanging="284"/>
            </w:pPr>
            <w:r w:rsidRPr="000201F3">
              <w:t>l’eventuale minor ammontare del corrispettivo totale del contratto rispetto alla somma dei corrispettivi relativi alle singole fasi o opere come praticati in trattative indipendenti e separate degli stessi è dovuto alla riduzione di costi derivante dall’esecuzione combinata delle varie fasi o opere (risparmio in supervisione, spese fisse, ecc.)?</w:t>
            </w:r>
          </w:p>
        </w:tc>
        <w:tc>
          <w:tcPr>
            <w:tcW w:w="564" w:type="dxa"/>
            <w:tcMar>
              <w:left w:w="85" w:type="dxa"/>
              <w:right w:w="85"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AD653D" w:rsidTr="00D73E98">
        <w:trPr>
          <w:cantSplit/>
          <w:trHeight w:val="20"/>
        </w:trPr>
        <w:tc>
          <w:tcPr>
            <w:tcW w:w="679" w:type="dxa"/>
          </w:tcPr>
          <w:p w:rsidR="00445361" w:rsidRPr="007D7BBE" w:rsidRDefault="00445361" w:rsidP="00D73E98">
            <w:pPr>
              <w:jc w:val="center"/>
              <w:rPr>
                <w:b/>
                <w:lang w:val="it-IT"/>
              </w:rPr>
            </w:pPr>
            <w:r w:rsidRPr="007D7BBE">
              <w:rPr>
                <w:b/>
                <w:lang w:val="it-IT"/>
              </w:rPr>
              <w:t>20)</w:t>
            </w:r>
          </w:p>
        </w:tc>
        <w:tc>
          <w:tcPr>
            <w:tcW w:w="856" w:type="dxa"/>
            <w:tcMar>
              <w:left w:w="108" w:type="dxa"/>
              <w:right w:w="0" w:type="dxa"/>
            </w:tcMar>
          </w:tcPr>
          <w:p w:rsidR="00445361" w:rsidRPr="00227E20" w:rsidRDefault="00445361" w:rsidP="00D73E98">
            <w:pPr>
              <w:pStyle w:val="PrincCont"/>
              <w:jc w:val="left"/>
              <w:rPr>
                <w:lang w:val="it-IT"/>
              </w:rPr>
            </w:pPr>
            <w:r>
              <w:t>OIC 23.50</w:t>
            </w:r>
          </w:p>
        </w:tc>
        <w:tc>
          <w:tcPr>
            <w:tcW w:w="7078" w:type="dxa"/>
            <w:tcMar>
              <w:left w:w="108" w:type="dxa"/>
            </w:tcMar>
          </w:tcPr>
          <w:p w:rsidR="00445361" w:rsidRPr="009B2029" w:rsidRDefault="00445361" w:rsidP="00D73E98">
            <w:pPr>
              <w:pStyle w:val="Titolo2"/>
              <w:spacing w:line="230" w:lineRule="exact"/>
              <w:jc w:val="both"/>
              <w:rPr>
                <w:b w:val="0"/>
                <w:sz w:val="20"/>
                <w:lang w:val="it-IT"/>
              </w:rPr>
            </w:pPr>
            <w:r w:rsidRPr="009B2029">
              <w:rPr>
                <w:b w:val="0"/>
                <w:sz w:val="20"/>
                <w:lang w:val="it-IT"/>
              </w:rPr>
              <w:t>Un gruppo</w:t>
            </w:r>
            <w:r>
              <w:rPr>
                <w:lang w:val="it-IT"/>
              </w:rPr>
              <w:t xml:space="preserve"> </w:t>
            </w:r>
            <w:r w:rsidRPr="009B2029">
              <w:rPr>
                <w:b w:val="0"/>
                <w:sz w:val="20"/>
                <w:lang w:val="it-IT"/>
              </w:rPr>
              <w:t>di commesse è trattato come una singola commessa quando si verificano tutte le</w:t>
            </w:r>
          </w:p>
          <w:p w:rsidR="00445361" w:rsidRPr="0049076E" w:rsidRDefault="00445361" w:rsidP="00D73E98">
            <w:pPr>
              <w:pStyle w:val="Titolo2"/>
              <w:spacing w:line="230" w:lineRule="exact"/>
              <w:jc w:val="both"/>
              <w:rPr>
                <w:b w:val="0"/>
                <w:sz w:val="20"/>
                <w:lang w:val="it-IT"/>
              </w:rPr>
            </w:pPr>
            <w:r w:rsidRPr="009B2029">
              <w:rPr>
                <w:b w:val="0"/>
                <w:sz w:val="20"/>
                <w:lang w:val="it-IT"/>
              </w:rPr>
              <w:t>seguenti condizioni:</w:t>
            </w:r>
          </w:p>
        </w:tc>
        <w:tc>
          <w:tcPr>
            <w:tcW w:w="564" w:type="dxa"/>
            <w:tcMar>
              <w:left w:w="85" w:type="dxa"/>
              <w:right w:w="85" w:type="dxa"/>
            </w:tcMar>
            <w:vAlign w:val="center"/>
          </w:tcPr>
          <w:p w:rsidR="00445361" w:rsidRPr="00840EA3" w:rsidRDefault="00445361" w:rsidP="00D73E98">
            <w:pPr>
              <w:ind w:firstLine="57"/>
              <w:rPr>
                <w:highlight w:val="yellow"/>
                <w:lang w:val="it-IT"/>
              </w:rPr>
            </w:pPr>
          </w:p>
        </w:tc>
        <w:tc>
          <w:tcPr>
            <w:tcW w:w="573" w:type="dxa"/>
            <w:tcMar>
              <w:left w:w="108" w:type="dxa"/>
            </w:tcMar>
            <w:vAlign w:val="center"/>
          </w:tcPr>
          <w:p w:rsidR="00445361" w:rsidRPr="00840EA3" w:rsidRDefault="00445361" w:rsidP="00D73E98">
            <w:pPr>
              <w:ind w:firstLine="57"/>
              <w:rPr>
                <w:highlight w:val="yellow"/>
                <w:lang w:val="it-IT"/>
              </w:rPr>
            </w:pPr>
          </w:p>
        </w:tc>
        <w:tc>
          <w:tcPr>
            <w:tcW w:w="570" w:type="dxa"/>
            <w:tcMar>
              <w:left w:w="108" w:type="dxa"/>
            </w:tcMar>
            <w:vAlign w:val="center"/>
          </w:tcPr>
          <w:p w:rsidR="00445361" w:rsidRPr="00840EA3" w:rsidRDefault="00445361" w:rsidP="00D73E98">
            <w:pPr>
              <w:ind w:firstLine="57"/>
              <w:rPr>
                <w:highlight w:val="yellow"/>
                <w:lang w:val="it-IT"/>
              </w:rPr>
            </w:pPr>
          </w:p>
        </w:tc>
      </w:tr>
      <w:tr w:rsidR="00445361" w:rsidRPr="00AD653D"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pPr>
          </w:p>
        </w:tc>
        <w:tc>
          <w:tcPr>
            <w:tcW w:w="7078" w:type="dxa"/>
            <w:tcMar>
              <w:left w:w="108" w:type="dxa"/>
            </w:tcMar>
          </w:tcPr>
          <w:p w:rsidR="00445361" w:rsidRPr="0049076E" w:rsidRDefault="00445361" w:rsidP="00445361">
            <w:pPr>
              <w:pStyle w:val="Puntoelenco"/>
              <w:tabs>
                <w:tab w:val="clear" w:pos="704"/>
              </w:tabs>
              <w:spacing w:line="230" w:lineRule="exact"/>
              <w:ind w:left="450" w:hanging="284"/>
            </w:pPr>
            <w:r w:rsidRPr="0049076E">
              <w:t>il gruppo di commesse è stato negoziato in modo congiunto come un unico pacchetto ed esiste apposita documentazione di ciò</w:t>
            </w:r>
          </w:p>
        </w:tc>
        <w:tc>
          <w:tcPr>
            <w:tcW w:w="564" w:type="dxa"/>
            <w:tcMar>
              <w:left w:w="85" w:type="dxa"/>
              <w:right w:w="85"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c>
          <w:tcPr>
            <w:tcW w:w="573" w:type="dxa"/>
            <w:tcMar>
              <w:left w:w="108"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c>
          <w:tcPr>
            <w:tcW w:w="570" w:type="dxa"/>
            <w:tcMar>
              <w:left w:w="108"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r>
      <w:tr w:rsidR="00445361" w:rsidRPr="00AD653D"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pPr>
          </w:p>
        </w:tc>
        <w:tc>
          <w:tcPr>
            <w:tcW w:w="7078" w:type="dxa"/>
            <w:tcMar>
              <w:left w:w="108" w:type="dxa"/>
            </w:tcMar>
          </w:tcPr>
          <w:p w:rsidR="00445361" w:rsidRPr="0049076E" w:rsidRDefault="00445361" w:rsidP="00445361">
            <w:pPr>
              <w:pStyle w:val="Puntoelenco"/>
              <w:tabs>
                <w:tab w:val="clear" w:pos="704"/>
              </w:tabs>
              <w:spacing w:line="230" w:lineRule="exact"/>
              <w:ind w:left="450" w:hanging="284"/>
            </w:pPr>
            <w:r w:rsidRPr="0049076E">
              <w:t xml:space="preserve">le commesse sono così strettamente connesse che fanno parte, di fatto, di un unico progetto con un margine di profitto globale </w:t>
            </w:r>
          </w:p>
        </w:tc>
        <w:tc>
          <w:tcPr>
            <w:tcW w:w="564" w:type="dxa"/>
            <w:tcMar>
              <w:left w:w="85" w:type="dxa"/>
              <w:right w:w="85"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c>
          <w:tcPr>
            <w:tcW w:w="573" w:type="dxa"/>
            <w:tcMar>
              <w:left w:w="108"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c>
          <w:tcPr>
            <w:tcW w:w="570" w:type="dxa"/>
            <w:tcMar>
              <w:left w:w="108"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r>
      <w:tr w:rsidR="00445361" w:rsidRPr="00AD653D"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pPr>
          </w:p>
        </w:tc>
        <w:tc>
          <w:tcPr>
            <w:tcW w:w="7078" w:type="dxa"/>
            <w:tcMar>
              <w:left w:w="108" w:type="dxa"/>
            </w:tcMar>
          </w:tcPr>
          <w:p w:rsidR="00445361" w:rsidRPr="0049076E" w:rsidRDefault="00445361" w:rsidP="00445361">
            <w:pPr>
              <w:pStyle w:val="Puntoelenco"/>
              <w:tabs>
                <w:tab w:val="clear" w:pos="704"/>
              </w:tabs>
              <w:spacing w:line="230" w:lineRule="exact"/>
              <w:ind w:left="450" w:hanging="284"/>
            </w:pPr>
            <w:r w:rsidRPr="0049076E">
              <w:t>le commesse sono realizzate simultaneamente o in sequenza continua</w:t>
            </w:r>
          </w:p>
        </w:tc>
        <w:tc>
          <w:tcPr>
            <w:tcW w:w="564" w:type="dxa"/>
            <w:tcMar>
              <w:left w:w="85" w:type="dxa"/>
              <w:right w:w="85"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c>
          <w:tcPr>
            <w:tcW w:w="573" w:type="dxa"/>
            <w:tcMar>
              <w:left w:w="108"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c>
          <w:tcPr>
            <w:tcW w:w="570" w:type="dxa"/>
            <w:tcMar>
              <w:left w:w="108"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r>
      <w:tr w:rsidR="00445361" w:rsidRPr="00AD653D"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pPr>
          </w:p>
        </w:tc>
        <w:tc>
          <w:tcPr>
            <w:tcW w:w="7078" w:type="dxa"/>
            <w:tcMar>
              <w:left w:w="108" w:type="dxa"/>
            </w:tcMar>
          </w:tcPr>
          <w:p w:rsidR="00445361" w:rsidRPr="0049076E" w:rsidRDefault="00445361" w:rsidP="00445361">
            <w:pPr>
              <w:pStyle w:val="Puntoelenco"/>
              <w:tabs>
                <w:tab w:val="clear" w:pos="704"/>
              </w:tabs>
              <w:spacing w:line="230" w:lineRule="exact"/>
              <w:ind w:left="450" w:hanging="284"/>
              <w:rPr>
                <w:b/>
              </w:rPr>
            </w:pPr>
            <w:r w:rsidRPr="0049076E">
              <w:t>i piani economici delle commesse evidenziano dei costi comuni?</w:t>
            </w:r>
          </w:p>
        </w:tc>
        <w:tc>
          <w:tcPr>
            <w:tcW w:w="564" w:type="dxa"/>
            <w:tcMar>
              <w:left w:w="85" w:type="dxa"/>
              <w:right w:w="85"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c>
          <w:tcPr>
            <w:tcW w:w="573" w:type="dxa"/>
            <w:tcMar>
              <w:left w:w="108"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c>
          <w:tcPr>
            <w:tcW w:w="570" w:type="dxa"/>
            <w:tcMar>
              <w:left w:w="108"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CA1681">
              <w:fldChar w:fldCharType="separate"/>
            </w:r>
            <w:r w:rsidRPr="0049076E">
              <w:fldChar w:fldCharType="end"/>
            </w: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227E20" w:rsidRDefault="00445361" w:rsidP="00D73E98">
            <w:pPr>
              <w:pStyle w:val="PrincCont"/>
              <w:jc w:val="left"/>
              <w:rPr>
                <w:lang w:val="it-IT"/>
              </w:rPr>
            </w:pPr>
          </w:p>
        </w:tc>
        <w:tc>
          <w:tcPr>
            <w:tcW w:w="7078" w:type="dxa"/>
            <w:tcMar>
              <w:left w:w="108" w:type="dxa"/>
            </w:tcMar>
          </w:tcPr>
          <w:p w:rsidR="00445361" w:rsidRPr="009B4CD1" w:rsidRDefault="00445361" w:rsidP="00D73E98">
            <w:pPr>
              <w:pStyle w:val="Titolo3"/>
              <w:rPr>
                <w:lang w:val="it-IT"/>
              </w:rPr>
            </w:pPr>
            <w:r>
              <w:rPr>
                <w:lang w:val="it-IT"/>
              </w:rPr>
              <w:t>C</w:t>
            </w:r>
            <w:r w:rsidRPr="009B4CD1">
              <w:rPr>
                <w:lang w:val="it-IT"/>
              </w:rPr>
              <w:t>riterio della percentuale di completamento</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21)</w:t>
            </w:r>
          </w:p>
        </w:tc>
        <w:tc>
          <w:tcPr>
            <w:tcW w:w="856" w:type="dxa"/>
            <w:tcMar>
              <w:left w:w="108" w:type="dxa"/>
              <w:right w:w="0" w:type="dxa"/>
            </w:tcMar>
          </w:tcPr>
          <w:p w:rsidR="00445361" w:rsidRPr="008A0F36" w:rsidRDefault="00445361" w:rsidP="00D73E98">
            <w:pPr>
              <w:pStyle w:val="PrincCont"/>
              <w:jc w:val="left"/>
            </w:pPr>
            <w:r>
              <w:t>OIC 23.52</w:t>
            </w:r>
          </w:p>
        </w:tc>
        <w:tc>
          <w:tcPr>
            <w:tcW w:w="7078" w:type="dxa"/>
            <w:tcMar>
              <w:left w:w="108" w:type="dxa"/>
            </w:tcMar>
          </w:tcPr>
          <w:p w:rsidR="00445361" w:rsidRPr="009B4CD1" w:rsidRDefault="00445361" w:rsidP="00D73E98">
            <w:pPr>
              <w:spacing w:line="230" w:lineRule="exact"/>
              <w:rPr>
                <w:lang w:val="it-IT"/>
              </w:rPr>
            </w:pPr>
            <w:r w:rsidRPr="009B4CD1">
              <w:rPr>
                <w:lang w:val="it-IT"/>
              </w:rPr>
              <w:t>La rilevazione a ricavo è effettuata solo quando vi è la certezza che il ricavo maturato sia</w:t>
            </w:r>
            <w:r>
              <w:rPr>
                <w:lang w:val="it-IT"/>
              </w:rPr>
              <w:t xml:space="preserve"> </w:t>
            </w:r>
            <w:r w:rsidRPr="009B4CD1">
              <w:rPr>
                <w:lang w:val="it-IT"/>
              </w:rPr>
              <w:t>definitivamente riconosciuto all’appaltatore quale corrispettivo</w:t>
            </w:r>
            <w:r>
              <w:rPr>
                <w:lang w:val="it-IT"/>
              </w:rPr>
              <w:t xml:space="preserve"> del valore dei lavori eseguiti?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815F88"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pPr>
            <w:r>
              <w:t>OIC 23.52</w:t>
            </w:r>
          </w:p>
        </w:tc>
        <w:tc>
          <w:tcPr>
            <w:tcW w:w="7078" w:type="dxa"/>
            <w:tcMar>
              <w:left w:w="108" w:type="dxa"/>
            </w:tcMar>
          </w:tcPr>
          <w:p w:rsidR="00445361" w:rsidRPr="003C27B3" w:rsidRDefault="00445361" w:rsidP="00D73E98">
            <w:pPr>
              <w:pStyle w:val="Commentiriquadro"/>
            </w:pPr>
            <w:r>
              <w:t xml:space="preserve">La </w:t>
            </w:r>
            <w:r w:rsidRPr="009B4CD1">
              <w:t xml:space="preserve">certezza </w:t>
            </w:r>
            <w:r w:rsidRPr="007A32BC">
              <w:t>del ricavo maturato normalmente si basa sugli stati di avanzamento lavori (SAL) predisposti in contraddittorio con il committente e accettati</w:t>
            </w:r>
            <w:r w:rsidRPr="009B4CD1">
              <w:t xml:space="preserve"> dallo stesso committente.</w:t>
            </w:r>
            <w:r>
              <w:t xml:space="preserve"> Si tratta dunque di corrispettivi acquisiti in via definitiva.</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E60658" w:rsidTr="00D73E98">
        <w:trPr>
          <w:cantSplit/>
          <w:trHeight w:val="20"/>
        </w:trPr>
        <w:tc>
          <w:tcPr>
            <w:tcW w:w="679" w:type="dxa"/>
          </w:tcPr>
          <w:p w:rsidR="00445361" w:rsidRPr="007D7BBE" w:rsidRDefault="00445361" w:rsidP="00D73E98">
            <w:pPr>
              <w:jc w:val="center"/>
              <w:rPr>
                <w:b/>
                <w:lang w:val="it-IT"/>
              </w:rPr>
            </w:pPr>
            <w:r w:rsidRPr="007D7BBE">
              <w:rPr>
                <w:b/>
                <w:lang w:val="it-IT"/>
              </w:rPr>
              <w:t>22)</w:t>
            </w:r>
          </w:p>
        </w:tc>
        <w:tc>
          <w:tcPr>
            <w:tcW w:w="856" w:type="dxa"/>
            <w:tcMar>
              <w:left w:w="108" w:type="dxa"/>
              <w:right w:w="0" w:type="dxa"/>
            </w:tcMar>
          </w:tcPr>
          <w:p w:rsidR="00445361" w:rsidRPr="00227E20" w:rsidRDefault="00445361" w:rsidP="00D73E98">
            <w:pPr>
              <w:pStyle w:val="PrincCont"/>
              <w:jc w:val="left"/>
              <w:rPr>
                <w:lang w:val="it-IT"/>
              </w:rPr>
            </w:pPr>
            <w:r>
              <w:t>OIC 23.53</w:t>
            </w:r>
          </w:p>
        </w:tc>
        <w:tc>
          <w:tcPr>
            <w:tcW w:w="7078" w:type="dxa"/>
            <w:tcMar>
              <w:left w:w="108" w:type="dxa"/>
            </w:tcMar>
          </w:tcPr>
          <w:p w:rsidR="00445361" w:rsidRPr="00E60658" w:rsidRDefault="00445361" w:rsidP="00D73E98">
            <w:pPr>
              <w:pStyle w:val="Titolo3"/>
              <w:spacing w:line="230" w:lineRule="exact"/>
              <w:rPr>
                <w:lang w:val="it-IT"/>
              </w:rPr>
            </w:pPr>
            <w:r>
              <w:rPr>
                <w:b w:val="0"/>
                <w:bCs w:val="0"/>
                <w:i w:val="0"/>
                <w:lang w:val="it-IT"/>
              </w:rPr>
              <w:t>Le maggiorazioni per revisione prezzi, in assenza di controversie, sono rilevate</w:t>
            </w:r>
            <w:r w:rsidRPr="00E60658">
              <w:rPr>
                <w:b w:val="0"/>
                <w:bCs w:val="0"/>
                <w:i w:val="0"/>
                <w:lang w:val="it-IT"/>
              </w:rPr>
              <w:t xml:space="preserve"> tra i ricavi di commessa man mano che vengono esegu</w:t>
            </w:r>
            <w:r>
              <w:rPr>
                <w:b w:val="0"/>
                <w:bCs w:val="0"/>
                <w:i w:val="0"/>
                <w:lang w:val="it-IT"/>
              </w:rPr>
              <w:t>iti i lavori cui si riferiscono, s</w:t>
            </w:r>
            <w:r w:rsidRPr="00E60658">
              <w:rPr>
                <w:b w:val="0"/>
                <w:bCs w:val="0"/>
                <w:i w:val="0"/>
                <w:lang w:val="it-IT"/>
              </w:rPr>
              <w:t xml:space="preserve">e nel contratto sono indicati con </w:t>
            </w:r>
            <w:r>
              <w:rPr>
                <w:b w:val="0"/>
                <w:bCs w:val="0"/>
                <w:i w:val="0"/>
                <w:lang w:val="it-IT"/>
              </w:rPr>
              <w:t xml:space="preserve">chiarezza i termini di calcolo e se le maggiorazioni </w:t>
            </w:r>
            <w:r w:rsidRPr="00E60658">
              <w:rPr>
                <w:b w:val="0"/>
                <w:bCs w:val="0"/>
                <w:i w:val="0"/>
                <w:lang w:val="it-IT"/>
              </w:rPr>
              <w:t>sono determinabili in modo attendibile</w:t>
            </w:r>
            <w:r>
              <w:rPr>
                <w:b w:val="0"/>
                <w:bCs w:val="0"/>
                <w:i w:val="0"/>
                <w:lang w:val="it-IT"/>
              </w:rPr>
              <w:t>?</w:t>
            </w:r>
          </w:p>
        </w:tc>
        <w:tc>
          <w:tcPr>
            <w:tcW w:w="564" w:type="dxa"/>
            <w:tcMar>
              <w:left w:w="85" w:type="dxa"/>
              <w:right w:w="85"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E60658" w:rsidTr="00D73E98">
        <w:trPr>
          <w:cantSplit/>
          <w:trHeight w:val="20"/>
        </w:trPr>
        <w:tc>
          <w:tcPr>
            <w:tcW w:w="679" w:type="dxa"/>
          </w:tcPr>
          <w:p w:rsidR="00445361" w:rsidRPr="007D7BBE" w:rsidRDefault="00445361" w:rsidP="00D73E98">
            <w:pPr>
              <w:jc w:val="center"/>
              <w:rPr>
                <w:b/>
                <w:lang w:val="it-IT"/>
              </w:rPr>
            </w:pPr>
            <w:r w:rsidRPr="007D7BBE">
              <w:rPr>
                <w:b/>
                <w:lang w:val="it-IT"/>
              </w:rPr>
              <w:t>23)</w:t>
            </w:r>
          </w:p>
        </w:tc>
        <w:tc>
          <w:tcPr>
            <w:tcW w:w="856" w:type="dxa"/>
            <w:tcMar>
              <w:left w:w="108" w:type="dxa"/>
              <w:right w:w="0" w:type="dxa"/>
            </w:tcMar>
          </w:tcPr>
          <w:p w:rsidR="00445361" w:rsidRPr="00227E20" w:rsidRDefault="00445361" w:rsidP="00D73E98">
            <w:pPr>
              <w:pStyle w:val="PrincCont"/>
              <w:jc w:val="left"/>
              <w:rPr>
                <w:lang w:val="it-IT"/>
              </w:rPr>
            </w:pPr>
            <w:r>
              <w:t>OIC 23.54</w:t>
            </w:r>
          </w:p>
        </w:tc>
        <w:tc>
          <w:tcPr>
            <w:tcW w:w="7078" w:type="dxa"/>
            <w:tcMar>
              <w:left w:w="108" w:type="dxa"/>
            </w:tcMar>
          </w:tcPr>
          <w:p w:rsidR="00445361" w:rsidRPr="00F90EAC" w:rsidRDefault="00445361" w:rsidP="00D73E98">
            <w:pPr>
              <w:pStyle w:val="Titolo3"/>
              <w:spacing w:line="230" w:lineRule="exact"/>
              <w:rPr>
                <w:lang w:val="it-IT"/>
              </w:rPr>
            </w:pPr>
            <w:r w:rsidRPr="00F90EAC">
              <w:rPr>
                <w:b w:val="0"/>
                <w:bCs w:val="0"/>
                <w:i w:val="0"/>
                <w:lang w:val="it-IT"/>
              </w:rPr>
              <w:t>Se formalmente definite dalle parti (c.d. varianti formalizzate), le varianti sono state considerate nell’aggiornamento dei ricavi della commessa?</w:t>
            </w:r>
          </w:p>
        </w:tc>
        <w:tc>
          <w:tcPr>
            <w:tcW w:w="564" w:type="dxa"/>
            <w:tcMar>
              <w:left w:w="85" w:type="dxa"/>
              <w:right w:w="85"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E60658" w:rsidTr="00D73E98">
        <w:trPr>
          <w:cantSplit/>
          <w:trHeight w:val="20"/>
        </w:trPr>
        <w:tc>
          <w:tcPr>
            <w:tcW w:w="679" w:type="dxa"/>
          </w:tcPr>
          <w:p w:rsidR="00445361" w:rsidRPr="007D7BBE" w:rsidRDefault="00445361" w:rsidP="00D73E98">
            <w:pPr>
              <w:jc w:val="center"/>
              <w:rPr>
                <w:b/>
                <w:lang w:val="it-IT"/>
              </w:rPr>
            </w:pPr>
            <w:r w:rsidRPr="007D7BBE">
              <w:rPr>
                <w:b/>
                <w:lang w:val="it-IT"/>
              </w:rPr>
              <w:t>24)</w:t>
            </w:r>
          </w:p>
        </w:tc>
        <w:tc>
          <w:tcPr>
            <w:tcW w:w="856" w:type="dxa"/>
            <w:tcMar>
              <w:left w:w="108" w:type="dxa"/>
              <w:right w:w="0" w:type="dxa"/>
            </w:tcMar>
          </w:tcPr>
          <w:p w:rsidR="00445361" w:rsidRDefault="00445361" w:rsidP="00D73E98">
            <w:pPr>
              <w:pStyle w:val="PrincCont"/>
              <w:jc w:val="left"/>
            </w:pPr>
            <w:r>
              <w:t>OIC 23.55</w:t>
            </w:r>
          </w:p>
        </w:tc>
        <w:tc>
          <w:tcPr>
            <w:tcW w:w="7078" w:type="dxa"/>
            <w:tcBorders>
              <w:bottom w:val="single" w:sz="4" w:space="0" w:color="auto"/>
            </w:tcBorders>
            <w:tcMar>
              <w:left w:w="108" w:type="dxa"/>
            </w:tcMar>
          </w:tcPr>
          <w:p w:rsidR="00445361" w:rsidRPr="00F90EAC" w:rsidRDefault="00445361" w:rsidP="00D73E98">
            <w:pPr>
              <w:pStyle w:val="Titolo3"/>
              <w:spacing w:line="230" w:lineRule="exact"/>
              <w:rPr>
                <w:b w:val="0"/>
                <w:bCs w:val="0"/>
                <w:i w:val="0"/>
                <w:lang w:val="it-IT"/>
              </w:rPr>
            </w:pPr>
            <w:r w:rsidRPr="00F90EAC">
              <w:rPr>
                <w:b w:val="0"/>
                <w:bCs w:val="0"/>
                <w:i w:val="0"/>
                <w:lang w:val="it-IT"/>
              </w:rPr>
              <w:t>I corrispettivi aggiuntivi (“claim”) sono inclusi tra i ricavi di commessa limitatamente agli ammontari il cui riconoscimento e determinazione siano certi o ragionevolmente certi?</w:t>
            </w:r>
            <w:r w:rsidRPr="00F90EAC">
              <w:rPr>
                <w:lang w:val="it-IT"/>
              </w:rPr>
              <w:t xml:space="preserve"> </w:t>
            </w:r>
          </w:p>
        </w:tc>
        <w:tc>
          <w:tcPr>
            <w:tcW w:w="564" w:type="dxa"/>
            <w:tcMar>
              <w:left w:w="85" w:type="dxa"/>
              <w:right w:w="85" w:type="dxa"/>
            </w:tcMar>
            <w:vAlign w:val="center"/>
          </w:tcPr>
          <w:p w:rsidR="00445361" w:rsidRPr="00E60658"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E60658"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E60658"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E60658" w:rsidRDefault="00445361" w:rsidP="00D73E98">
            <w:pPr>
              <w:pStyle w:val="PrincCont"/>
              <w:jc w:val="left"/>
              <w:rPr>
                <w:lang w:val="it-IT"/>
              </w:rPr>
            </w:pPr>
            <w:r>
              <w:t>OIC 23.55</w:t>
            </w:r>
          </w:p>
        </w:tc>
        <w:tc>
          <w:tcPr>
            <w:tcW w:w="7078" w:type="dxa"/>
            <w:tcBorders>
              <w:top w:val="single" w:sz="4" w:space="0" w:color="auto"/>
            </w:tcBorders>
            <w:tcMar>
              <w:left w:w="108" w:type="dxa"/>
            </w:tcMar>
          </w:tcPr>
          <w:p w:rsidR="00445361" w:rsidRPr="00F90EAC" w:rsidRDefault="00445361" w:rsidP="00D73E98">
            <w:pPr>
              <w:pStyle w:val="Commentiriquadro"/>
              <w:rPr>
                <w:b/>
                <w:bCs/>
                <w:i/>
              </w:rPr>
            </w:pPr>
            <w:r w:rsidRPr="00F90EAC">
              <w:t>I corrispettivi aggiuntivi sono certi quando la richiesta di un corrispettivo aggiuntivo è accettata dal committente entro la data del bilancio; sono ragionevolmente certi quando, pur in assenza di una formale accettazione, alla data del bilancio è ragionevolmente certo che la richiesta sia accettata sulla base delle più recenti informazioni e dell’esperienza storica.</w:t>
            </w:r>
          </w:p>
        </w:tc>
        <w:tc>
          <w:tcPr>
            <w:tcW w:w="564" w:type="dxa"/>
            <w:tcMar>
              <w:left w:w="85" w:type="dxa"/>
              <w:right w:w="85" w:type="dxa"/>
            </w:tcMar>
            <w:vAlign w:val="center"/>
          </w:tcPr>
          <w:p w:rsidR="00445361" w:rsidRPr="00E60658" w:rsidRDefault="00445361" w:rsidP="00D73E98">
            <w:pPr>
              <w:ind w:firstLine="57"/>
              <w:rPr>
                <w:lang w:val="it-IT"/>
              </w:rPr>
            </w:pPr>
          </w:p>
        </w:tc>
        <w:tc>
          <w:tcPr>
            <w:tcW w:w="573" w:type="dxa"/>
            <w:tcMar>
              <w:left w:w="108" w:type="dxa"/>
            </w:tcMar>
            <w:vAlign w:val="center"/>
          </w:tcPr>
          <w:p w:rsidR="00445361" w:rsidRPr="00E60658" w:rsidRDefault="00445361" w:rsidP="00D73E98">
            <w:pPr>
              <w:ind w:firstLine="57"/>
              <w:rPr>
                <w:lang w:val="it-IT"/>
              </w:rPr>
            </w:pPr>
          </w:p>
        </w:tc>
        <w:tc>
          <w:tcPr>
            <w:tcW w:w="570" w:type="dxa"/>
            <w:tcMar>
              <w:left w:w="108" w:type="dxa"/>
            </w:tcMar>
            <w:vAlign w:val="center"/>
          </w:tcPr>
          <w:p w:rsidR="00445361" w:rsidRPr="00E60658" w:rsidRDefault="00445361" w:rsidP="00D73E98">
            <w:pPr>
              <w:ind w:firstLine="57"/>
              <w:rPr>
                <w:lang w:val="it-IT"/>
              </w:rPr>
            </w:pPr>
          </w:p>
        </w:tc>
      </w:tr>
      <w:tr w:rsidR="00445361" w:rsidRPr="00190702" w:rsidTr="00D73E98">
        <w:trPr>
          <w:cantSplit/>
          <w:trHeight w:val="20"/>
        </w:trPr>
        <w:tc>
          <w:tcPr>
            <w:tcW w:w="679" w:type="dxa"/>
          </w:tcPr>
          <w:p w:rsidR="00445361" w:rsidRPr="007D7BBE" w:rsidRDefault="00445361" w:rsidP="00D73E98">
            <w:pPr>
              <w:jc w:val="center"/>
              <w:rPr>
                <w:b/>
                <w:lang w:val="it-IT"/>
              </w:rPr>
            </w:pPr>
            <w:r w:rsidRPr="007D7BBE">
              <w:rPr>
                <w:b/>
                <w:lang w:val="it-IT"/>
              </w:rPr>
              <w:t>25)</w:t>
            </w:r>
          </w:p>
        </w:tc>
        <w:tc>
          <w:tcPr>
            <w:tcW w:w="856" w:type="dxa"/>
            <w:tcMar>
              <w:left w:w="108" w:type="dxa"/>
              <w:right w:w="0" w:type="dxa"/>
            </w:tcMar>
          </w:tcPr>
          <w:p w:rsidR="00445361" w:rsidRDefault="00445361" w:rsidP="00D73E98">
            <w:pPr>
              <w:pStyle w:val="PrincCont"/>
              <w:jc w:val="left"/>
            </w:pPr>
            <w:r>
              <w:t>OIC 23.56</w:t>
            </w:r>
          </w:p>
        </w:tc>
        <w:tc>
          <w:tcPr>
            <w:tcW w:w="7078" w:type="dxa"/>
            <w:tcBorders>
              <w:top w:val="single" w:sz="4" w:space="0" w:color="auto"/>
            </w:tcBorders>
            <w:tcMar>
              <w:left w:w="108" w:type="dxa"/>
            </w:tcMar>
          </w:tcPr>
          <w:p w:rsidR="00445361" w:rsidRPr="00190702" w:rsidRDefault="00445361" w:rsidP="00D73E98">
            <w:pPr>
              <w:pStyle w:val="Titolo3"/>
              <w:spacing w:line="230" w:lineRule="exact"/>
              <w:rPr>
                <w:b w:val="0"/>
                <w:bCs w:val="0"/>
                <w:i w:val="0"/>
                <w:lang w:val="it-IT"/>
              </w:rPr>
            </w:pPr>
            <w:r w:rsidRPr="00190702">
              <w:rPr>
                <w:b w:val="0"/>
                <w:bCs w:val="0"/>
                <w:i w:val="0"/>
                <w:lang w:val="it-IT"/>
              </w:rPr>
              <w:t>Gli incentivi sono inclusi nei ricavi di commessa so</w:t>
            </w:r>
            <w:r>
              <w:rPr>
                <w:b w:val="0"/>
                <w:bCs w:val="0"/>
                <w:i w:val="0"/>
                <w:lang w:val="it-IT"/>
              </w:rPr>
              <w:t>lo nel caso in cui l’obiettivo è</w:t>
            </w:r>
            <w:r w:rsidRPr="00190702">
              <w:rPr>
                <w:b w:val="0"/>
                <w:bCs w:val="0"/>
                <w:i w:val="0"/>
                <w:lang w:val="it-IT"/>
              </w:rPr>
              <w:t xml:space="preserve"> raggiunto e</w:t>
            </w:r>
            <w:r>
              <w:rPr>
                <w:b w:val="0"/>
                <w:bCs w:val="0"/>
                <w:i w:val="0"/>
                <w:lang w:val="it-IT"/>
              </w:rPr>
              <w:t xml:space="preserve"> </w:t>
            </w:r>
            <w:r w:rsidRPr="00190702">
              <w:rPr>
                <w:b w:val="0"/>
                <w:bCs w:val="0"/>
                <w:i w:val="0"/>
                <w:lang w:val="it-IT"/>
              </w:rPr>
              <w:t>comprovato da accettazione del committente entro la data del bila</w:t>
            </w:r>
            <w:r>
              <w:rPr>
                <w:b w:val="0"/>
                <w:bCs w:val="0"/>
                <w:i w:val="0"/>
                <w:lang w:val="it-IT"/>
              </w:rPr>
              <w:t xml:space="preserve">ncio, ovvero, pur in assenza di </w:t>
            </w:r>
            <w:r w:rsidRPr="00190702">
              <w:rPr>
                <w:b w:val="0"/>
                <w:bCs w:val="0"/>
                <w:i w:val="0"/>
                <w:lang w:val="it-IT"/>
              </w:rPr>
              <w:t>una formale accettazione, alla data del bilancio è ragionevolmente certo che l’incentivo sia</w:t>
            </w:r>
          </w:p>
          <w:p w:rsidR="00445361" w:rsidRPr="00E60658" w:rsidRDefault="00445361" w:rsidP="00D73E98">
            <w:pPr>
              <w:pStyle w:val="Titolo3"/>
              <w:spacing w:line="230" w:lineRule="exact"/>
              <w:rPr>
                <w:b w:val="0"/>
                <w:bCs w:val="0"/>
                <w:i w:val="0"/>
                <w:sz w:val="16"/>
                <w:szCs w:val="16"/>
                <w:highlight w:val="yellow"/>
                <w:lang w:val="it-IT"/>
              </w:rPr>
            </w:pPr>
            <w:r w:rsidRPr="00190702">
              <w:rPr>
                <w:b w:val="0"/>
                <w:bCs w:val="0"/>
                <w:i w:val="0"/>
                <w:lang w:val="it-IT"/>
              </w:rPr>
              <w:t>raggiunto e accettato sulla base delle più recenti informa</w:t>
            </w:r>
            <w:r>
              <w:rPr>
                <w:b w:val="0"/>
                <w:bCs w:val="0"/>
                <w:i w:val="0"/>
                <w:lang w:val="it-IT"/>
              </w:rPr>
              <w:t>zioni e dell’esperienza storica?</w:t>
            </w:r>
          </w:p>
        </w:tc>
        <w:tc>
          <w:tcPr>
            <w:tcW w:w="564" w:type="dxa"/>
            <w:tcMar>
              <w:left w:w="85" w:type="dxa"/>
              <w:right w:w="85" w:type="dxa"/>
            </w:tcMar>
            <w:vAlign w:val="center"/>
          </w:tcPr>
          <w:p w:rsidR="00445361" w:rsidRPr="00E60658"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E60658"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E60658"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190702" w:rsidTr="00D73E98">
        <w:trPr>
          <w:cantSplit/>
          <w:trHeight w:val="20"/>
        </w:trPr>
        <w:tc>
          <w:tcPr>
            <w:tcW w:w="679" w:type="dxa"/>
          </w:tcPr>
          <w:p w:rsidR="00445361" w:rsidRPr="007D7BBE" w:rsidRDefault="00445361" w:rsidP="00D73E98">
            <w:pPr>
              <w:jc w:val="center"/>
              <w:rPr>
                <w:b/>
                <w:lang w:val="it-IT"/>
              </w:rPr>
            </w:pPr>
            <w:r w:rsidRPr="007D7BBE">
              <w:rPr>
                <w:b/>
                <w:lang w:val="it-IT"/>
              </w:rPr>
              <w:t>26)</w:t>
            </w:r>
          </w:p>
        </w:tc>
        <w:tc>
          <w:tcPr>
            <w:tcW w:w="856" w:type="dxa"/>
            <w:tcMar>
              <w:left w:w="108" w:type="dxa"/>
              <w:right w:w="0" w:type="dxa"/>
            </w:tcMar>
          </w:tcPr>
          <w:p w:rsidR="00445361" w:rsidRDefault="00445361" w:rsidP="00D73E98">
            <w:pPr>
              <w:pStyle w:val="PrincCont"/>
              <w:jc w:val="left"/>
            </w:pPr>
            <w:r>
              <w:t>OIC 23.57</w:t>
            </w:r>
          </w:p>
        </w:tc>
        <w:tc>
          <w:tcPr>
            <w:tcW w:w="7078" w:type="dxa"/>
            <w:tcBorders>
              <w:top w:val="single" w:sz="4" w:space="0" w:color="auto"/>
            </w:tcBorders>
            <w:tcMar>
              <w:left w:w="108" w:type="dxa"/>
            </w:tcMar>
          </w:tcPr>
          <w:p w:rsidR="00445361" w:rsidRPr="00190702" w:rsidRDefault="00445361" w:rsidP="00D73E98">
            <w:pPr>
              <w:pStyle w:val="Titolo3"/>
              <w:spacing w:line="230" w:lineRule="exact"/>
              <w:rPr>
                <w:b w:val="0"/>
                <w:bCs w:val="0"/>
                <w:i w:val="0"/>
                <w:lang w:val="it-IT"/>
              </w:rPr>
            </w:pPr>
            <w:r>
              <w:rPr>
                <w:b w:val="0"/>
                <w:bCs w:val="0"/>
                <w:i w:val="0"/>
                <w:lang w:val="it-IT"/>
              </w:rPr>
              <w:t xml:space="preserve">I </w:t>
            </w:r>
            <w:r w:rsidRPr="00190702">
              <w:rPr>
                <w:b w:val="0"/>
                <w:bCs w:val="0"/>
                <w:i w:val="0"/>
                <w:lang w:val="it-IT"/>
              </w:rPr>
              <w:t>costi pre-operativi inclusi nei lavori in corso su ordinazione sono r</w:t>
            </w:r>
            <w:r>
              <w:rPr>
                <w:b w:val="0"/>
                <w:bCs w:val="0"/>
                <w:i w:val="0"/>
                <w:lang w:val="it-IT"/>
              </w:rPr>
              <w:t xml:space="preserve">ilevati a conto economico per </w:t>
            </w:r>
            <w:r w:rsidRPr="00190702">
              <w:rPr>
                <w:b w:val="0"/>
                <w:bCs w:val="0"/>
                <w:i w:val="0"/>
                <w:lang w:val="it-IT"/>
              </w:rPr>
              <w:t>competenza in funzione dell’avanzamento dei lavori determina</w:t>
            </w:r>
            <w:r>
              <w:rPr>
                <w:b w:val="0"/>
                <w:bCs w:val="0"/>
                <w:i w:val="0"/>
                <w:lang w:val="it-IT"/>
              </w:rPr>
              <w:t>to con le modalità previste per</w:t>
            </w:r>
            <w:r w:rsidRPr="00190702">
              <w:rPr>
                <w:b w:val="0"/>
                <w:bCs w:val="0"/>
                <w:i w:val="0"/>
                <w:lang w:val="it-IT"/>
              </w:rPr>
              <w:t>l’applicazione del criterio dell</w:t>
            </w:r>
            <w:r>
              <w:rPr>
                <w:b w:val="0"/>
                <w:bCs w:val="0"/>
                <w:i w:val="0"/>
                <w:lang w:val="it-IT"/>
              </w:rPr>
              <w:t xml:space="preserve">a percentuale di completamento? Nel caso di applicazione del </w:t>
            </w:r>
            <w:r w:rsidRPr="00190702">
              <w:rPr>
                <w:b w:val="0"/>
                <w:bCs w:val="0"/>
                <w:i w:val="0"/>
                <w:lang w:val="it-IT"/>
              </w:rPr>
              <w:t>metodo del costo sostenuto (cfr. paragrafo 64), lo stato avanzamento dei lavori è determinato</w:t>
            </w:r>
            <w:r>
              <w:rPr>
                <w:b w:val="0"/>
                <w:bCs w:val="0"/>
                <w:i w:val="0"/>
                <w:lang w:val="it-IT"/>
              </w:rPr>
              <w:t xml:space="preserve"> </w:t>
            </w:r>
            <w:r w:rsidRPr="00190702">
              <w:rPr>
                <w:b w:val="0"/>
                <w:bCs w:val="0"/>
                <w:i w:val="0"/>
                <w:lang w:val="it-IT"/>
              </w:rPr>
              <w:t>ponendo a confronto i costi di commessa sostenuti fino ad una certa data</w:t>
            </w:r>
            <w:r>
              <w:rPr>
                <w:b w:val="0"/>
                <w:bCs w:val="0"/>
                <w:i w:val="0"/>
                <w:lang w:val="it-IT"/>
              </w:rPr>
              <w:t xml:space="preserve"> (esclusi i costi preoperativi) </w:t>
            </w:r>
            <w:r w:rsidRPr="00190702">
              <w:rPr>
                <w:b w:val="0"/>
                <w:bCs w:val="0"/>
                <w:i w:val="0"/>
                <w:lang w:val="it-IT"/>
              </w:rPr>
              <w:t>con i costi di commessa totali stimati (esclusi i costi pr</w:t>
            </w:r>
            <w:r>
              <w:rPr>
                <w:b w:val="0"/>
                <w:bCs w:val="0"/>
                <w:i w:val="0"/>
                <w:lang w:val="it-IT"/>
              </w:rPr>
              <w:t>e-operativi)?</w:t>
            </w:r>
          </w:p>
        </w:tc>
        <w:tc>
          <w:tcPr>
            <w:tcW w:w="564" w:type="dxa"/>
            <w:tcMar>
              <w:left w:w="85" w:type="dxa"/>
              <w:right w:w="85" w:type="dxa"/>
            </w:tcMar>
            <w:vAlign w:val="center"/>
          </w:tcPr>
          <w:p w:rsidR="00445361" w:rsidRPr="00190702"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190702"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190702"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190702" w:rsidTr="00D73E98">
        <w:trPr>
          <w:cantSplit/>
          <w:trHeight w:val="20"/>
        </w:trPr>
        <w:tc>
          <w:tcPr>
            <w:tcW w:w="679" w:type="dxa"/>
          </w:tcPr>
          <w:p w:rsidR="00445361" w:rsidRPr="007D7BBE" w:rsidRDefault="00445361" w:rsidP="00D73E98">
            <w:pPr>
              <w:jc w:val="center"/>
              <w:rPr>
                <w:b/>
                <w:lang w:val="it-IT"/>
              </w:rPr>
            </w:pPr>
            <w:r w:rsidRPr="007D7BBE">
              <w:rPr>
                <w:b/>
                <w:lang w:val="it-IT"/>
              </w:rPr>
              <w:t>27)</w:t>
            </w:r>
          </w:p>
        </w:tc>
        <w:tc>
          <w:tcPr>
            <w:tcW w:w="856" w:type="dxa"/>
            <w:tcMar>
              <w:left w:w="108" w:type="dxa"/>
              <w:right w:w="0" w:type="dxa"/>
            </w:tcMar>
          </w:tcPr>
          <w:p w:rsidR="00445361" w:rsidRDefault="00445361" w:rsidP="00D73E98">
            <w:pPr>
              <w:pStyle w:val="PrincCont"/>
              <w:jc w:val="left"/>
            </w:pPr>
            <w:r>
              <w:t>OIC 23.58</w:t>
            </w:r>
          </w:p>
        </w:tc>
        <w:tc>
          <w:tcPr>
            <w:tcW w:w="7078" w:type="dxa"/>
            <w:tcBorders>
              <w:top w:val="single" w:sz="4" w:space="0" w:color="auto"/>
            </w:tcBorders>
            <w:tcMar>
              <w:left w:w="108" w:type="dxa"/>
            </w:tcMar>
          </w:tcPr>
          <w:p w:rsidR="00445361" w:rsidRDefault="00445361" w:rsidP="00D73E98">
            <w:pPr>
              <w:pStyle w:val="Titolo3"/>
              <w:spacing w:line="230" w:lineRule="exact"/>
              <w:rPr>
                <w:b w:val="0"/>
                <w:bCs w:val="0"/>
                <w:i w:val="0"/>
                <w:lang w:val="it-IT"/>
              </w:rPr>
            </w:pPr>
            <w:r w:rsidRPr="005D11F3">
              <w:rPr>
                <w:b w:val="0"/>
                <w:bCs w:val="0"/>
                <w:i w:val="0"/>
                <w:lang w:val="it-IT"/>
              </w:rPr>
              <w:t>Qualora si applichi un metodo secondo cui la valutazione dei lavori sia funzione dei ricavi e dei costi previsti, i costi da sostenere successivamente alla chiusura della commessa sono inclusi tra quelli della commessa e nel preventivo di costo?</w:t>
            </w:r>
          </w:p>
        </w:tc>
        <w:tc>
          <w:tcPr>
            <w:tcW w:w="564" w:type="dxa"/>
            <w:tcMar>
              <w:left w:w="85" w:type="dxa"/>
              <w:right w:w="85" w:type="dxa"/>
            </w:tcMar>
            <w:vAlign w:val="center"/>
          </w:tcPr>
          <w:p w:rsidR="00445361" w:rsidRPr="009A7726"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9A7726"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9A7726"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190702" w:rsidTr="00D73E98">
        <w:trPr>
          <w:cantSplit/>
          <w:trHeight w:val="20"/>
        </w:trPr>
        <w:tc>
          <w:tcPr>
            <w:tcW w:w="679" w:type="dxa"/>
          </w:tcPr>
          <w:p w:rsidR="00445361" w:rsidRPr="007D7BBE" w:rsidRDefault="00445361" w:rsidP="00D73E98">
            <w:pPr>
              <w:jc w:val="center"/>
              <w:rPr>
                <w:b/>
                <w:lang w:val="it-IT"/>
              </w:rPr>
            </w:pPr>
            <w:r w:rsidRPr="007D7BBE">
              <w:rPr>
                <w:b/>
                <w:lang w:val="it-IT"/>
              </w:rPr>
              <w:t>28)</w:t>
            </w:r>
          </w:p>
        </w:tc>
        <w:tc>
          <w:tcPr>
            <w:tcW w:w="856" w:type="dxa"/>
            <w:tcMar>
              <w:left w:w="108" w:type="dxa"/>
              <w:right w:w="0" w:type="dxa"/>
            </w:tcMar>
          </w:tcPr>
          <w:p w:rsidR="00445361" w:rsidRDefault="00445361" w:rsidP="00D73E98">
            <w:pPr>
              <w:pStyle w:val="PrincCont"/>
              <w:jc w:val="left"/>
            </w:pPr>
            <w:r>
              <w:t>OIC 23.58</w:t>
            </w:r>
          </w:p>
        </w:tc>
        <w:tc>
          <w:tcPr>
            <w:tcW w:w="7078" w:type="dxa"/>
            <w:tcBorders>
              <w:top w:val="single" w:sz="4" w:space="0" w:color="auto"/>
            </w:tcBorders>
            <w:tcMar>
              <w:left w:w="108" w:type="dxa"/>
            </w:tcMar>
          </w:tcPr>
          <w:p w:rsidR="00445361" w:rsidRPr="009A7726" w:rsidRDefault="00445361" w:rsidP="00D73E98">
            <w:pPr>
              <w:pStyle w:val="Titolo3"/>
              <w:spacing w:line="230" w:lineRule="exact"/>
              <w:rPr>
                <w:b w:val="0"/>
                <w:bCs w:val="0"/>
                <w:i w:val="0"/>
                <w:lang w:val="it-IT"/>
              </w:rPr>
            </w:pPr>
            <w:r w:rsidRPr="005D11F3">
              <w:rPr>
                <w:b w:val="0"/>
                <w:bCs w:val="0"/>
                <w:i w:val="0"/>
                <w:lang w:val="it-IT"/>
              </w:rPr>
              <w:t>Successivamente alla chiusura della commessa, per l’ammontare dei costi non ancora sostenuti sono effettuati opportuni accantonamenti al fondo rischi ed oneri?</w:t>
            </w:r>
          </w:p>
        </w:tc>
        <w:tc>
          <w:tcPr>
            <w:tcW w:w="564" w:type="dxa"/>
            <w:tcMar>
              <w:left w:w="85" w:type="dxa"/>
              <w:right w:w="85" w:type="dxa"/>
            </w:tcMar>
            <w:vAlign w:val="center"/>
          </w:tcPr>
          <w:p w:rsidR="00445361" w:rsidRPr="005D11F3"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5D11F3"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5D11F3"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190702" w:rsidTr="00D73E98">
        <w:trPr>
          <w:cantSplit/>
          <w:trHeight w:val="20"/>
        </w:trPr>
        <w:tc>
          <w:tcPr>
            <w:tcW w:w="679" w:type="dxa"/>
          </w:tcPr>
          <w:p w:rsidR="00445361" w:rsidRPr="007D7BBE" w:rsidRDefault="00445361" w:rsidP="00D73E98">
            <w:pPr>
              <w:jc w:val="center"/>
              <w:rPr>
                <w:b/>
                <w:lang w:val="it-IT"/>
              </w:rPr>
            </w:pPr>
            <w:r w:rsidRPr="007D7BBE">
              <w:rPr>
                <w:b/>
                <w:lang w:val="it-IT"/>
              </w:rPr>
              <w:t>29)</w:t>
            </w:r>
          </w:p>
        </w:tc>
        <w:tc>
          <w:tcPr>
            <w:tcW w:w="856" w:type="dxa"/>
            <w:tcMar>
              <w:left w:w="108" w:type="dxa"/>
              <w:right w:w="0" w:type="dxa"/>
            </w:tcMar>
          </w:tcPr>
          <w:p w:rsidR="00445361" w:rsidRPr="005D11F3" w:rsidRDefault="00445361" w:rsidP="00D73E98">
            <w:pPr>
              <w:pStyle w:val="PrincCont"/>
              <w:jc w:val="left"/>
              <w:rPr>
                <w:lang w:val="it-IT"/>
              </w:rPr>
            </w:pPr>
            <w:r>
              <w:t>OIC 23.58</w:t>
            </w:r>
          </w:p>
        </w:tc>
        <w:tc>
          <w:tcPr>
            <w:tcW w:w="7078" w:type="dxa"/>
            <w:tcBorders>
              <w:top w:val="single" w:sz="4" w:space="0" w:color="auto"/>
            </w:tcBorders>
            <w:tcMar>
              <w:left w:w="108" w:type="dxa"/>
            </w:tcMar>
          </w:tcPr>
          <w:p w:rsidR="00445361" w:rsidRPr="009A7726" w:rsidRDefault="00445361" w:rsidP="00D73E98">
            <w:pPr>
              <w:pStyle w:val="Titolo3"/>
              <w:spacing w:line="230" w:lineRule="exact"/>
              <w:rPr>
                <w:b w:val="0"/>
                <w:bCs w:val="0"/>
                <w:i w:val="0"/>
                <w:lang w:val="it-IT"/>
              </w:rPr>
            </w:pPr>
            <w:r w:rsidRPr="005D11F3">
              <w:rPr>
                <w:b w:val="0"/>
                <w:bCs w:val="0"/>
                <w:i w:val="0"/>
                <w:lang w:val="it-IT"/>
              </w:rPr>
              <w:t>Qualora invece si applichi il metodo delle misurazioni fisiche o altri similari, gli accantonamenti ai fondi rischi e oneri per costi da sostenere successivamente alla chiusura della commessa sono effettuati progressivamente in funzione dell’avanzamento della commessa?</w:t>
            </w:r>
          </w:p>
        </w:tc>
        <w:tc>
          <w:tcPr>
            <w:tcW w:w="564" w:type="dxa"/>
            <w:tcMar>
              <w:left w:w="85" w:type="dxa"/>
              <w:right w:w="85" w:type="dxa"/>
            </w:tcMar>
            <w:vAlign w:val="center"/>
          </w:tcPr>
          <w:p w:rsidR="00445361" w:rsidRPr="005D11F3"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5D11F3"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5D11F3"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pPr>
            <w:r>
              <w:t>OIC 23.60</w:t>
            </w:r>
          </w:p>
        </w:tc>
        <w:tc>
          <w:tcPr>
            <w:tcW w:w="7078" w:type="dxa"/>
            <w:tcBorders>
              <w:top w:val="single" w:sz="4" w:space="0" w:color="auto"/>
            </w:tcBorders>
            <w:tcMar>
              <w:left w:w="108" w:type="dxa"/>
            </w:tcMar>
          </w:tcPr>
          <w:p w:rsidR="00445361" w:rsidRPr="001C6EDF" w:rsidRDefault="00445361" w:rsidP="00D73E98">
            <w:pPr>
              <w:pStyle w:val="Commentiriquadro"/>
              <w:rPr>
                <w:b/>
                <w:bCs/>
                <w:i/>
                <w:highlight w:val="yellow"/>
              </w:rPr>
            </w:pPr>
            <w:r w:rsidRPr="00F90EAC">
              <w:t xml:space="preserve">L’applicazione del criterio della percentuale di completamento o dello stato d’avanzamento comporta, in via esemplificativa e non esaustiva, quanto segue: </w:t>
            </w:r>
            <w:r w:rsidRPr="00F90EAC">
              <w:sym w:font="Symbol" w:char="F02D"/>
            </w:r>
            <w:r w:rsidRPr="00F90EAC">
              <w:t xml:space="preserve"> determinare l’ammontare dei ricavi di commessa; </w:t>
            </w:r>
            <w:r w:rsidRPr="00F90EAC">
              <w:sym w:font="Symbol" w:char="F02D"/>
            </w:r>
            <w:r w:rsidRPr="00F90EAC">
              <w:t xml:space="preserve"> predisporre un preventivo di costo, secondo l’iter con cui deve essere svolto il lavoro; </w:t>
            </w:r>
            <w:r w:rsidRPr="00F90EAC">
              <w:sym w:font="Symbol" w:char="F02D"/>
            </w:r>
            <w:r w:rsidRPr="00F90EAC">
              <w:t xml:space="preserve"> rilevare i costi consuntivi nel corso della commessa; </w:t>
            </w:r>
            <w:r w:rsidRPr="00F90EAC">
              <w:sym w:font="Symbol" w:char="F02D"/>
            </w:r>
            <w:r w:rsidRPr="00F90EAC">
              <w:t xml:space="preserve"> accertare che la rilevazione dei costi di commessa venga effettuata in modo tempestivo e coerente con l’avanzamento fisico dei lavori; </w:t>
            </w:r>
            <w:r w:rsidRPr="00F90EAC">
              <w:sym w:font="Symbol" w:char="F02D"/>
            </w:r>
            <w:r w:rsidRPr="00F90EAC">
              <w:t xml:space="preserve"> aggiornare periodicamente il preventivo di costo, tenendo conto delle variazioni tra costi consuntivi e preventivi che si sono manifestate nel corso dell’avanzamento dei lavori. L’aggiornamento del preventivo e l’accertamento della completezza dei costi relativi ad uno stato d’avanzamento comporta di correlare i costi accumulati allo stato d’avanzamento, aggiungendo i costi necessari per il completamento; </w:t>
            </w:r>
            <w:r w:rsidRPr="00F90EAC">
              <w:sym w:font="Symbol" w:char="F02D"/>
            </w:r>
            <w:r w:rsidRPr="00F90EAC">
              <w:t xml:space="preserve"> aggiornare la previsione dei ricavi di commessa; </w:t>
            </w:r>
            <w:r w:rsidRPr="00F90EAC">
              <w:sym w:font="Symbol" w:char="F02D"/>
            </w:r>
            <w:r w:rsidRPr="00F90EAC">
              <w:t xml:space="preserve"> determinare lo stato d’avanzamento sulla base del metodo più appropriato; </w:t>
            </w:r>
            <w:r w:rsidRPr="00F90EAC">
              <w:sym w:font="Symbol" w:char="F02D"/>
            </w:r>
            <w:r w:rsidRPr="00F90EAC">
              <w:t xml:space="preserve"> accertare periodicamente se per il completamento della commessa si debba sostenere una perdita; </w:t>
            </w:r>
            <w:r w:rsidRPr="00F90EAC">
              <w:sym w:font="Symbol" w:char="F02D"/>
            </w:r>
            <w:r w:rsidRPr="00F90EAC">
              <w:t xml:space="preserve"> effettuare gli accantonamenti per i costi da sostenersi dopo la chiusura della commessa, inclusi quelli per i quali la documentazio</w:t>
            </w:r>
            <w:r w:rsidRPr="00F90EAC">
              <w:rPr>
                <w:i/>
              </w:rPr>
              <w:t>ne non è stata ancora ricevuta</w:t>
            </w:r>
            <w:r w:rsidRPr="00F90EAC">
              <w:rPr>
                <w:b/>
                <w:i/>
              </w:rPr>
              <w:t>.</w:t>
            </w:r>
          </w:p>
        </w:tc>
        <w:tc>
          <w:tcPr>
            <w:tcW w:w="564" w:type="dxa"/>
            <w:tcMar>
              <w:left w:w="85" w:type="dxa"/>
              <w:right w:w="85" w:type="dxa"/>
            </w:tcMar>
            <w:vAlign w:val="center"/>
          </w:tcPr>
          <w:p w:rsidR="00445361" w:rsidRPr="001C6EDF" w:rsidRDefault="00445361" w:rsidP="00D73E98">
            <w:pPr>
              <w:ind w:firstLine="57"/>
              <w:rPr>
                <w:lang w:val="it-IT"/>
              </w:rPr>
            </w:pPr>
          </w:p>
        </w:tc>
        <w:tc>
          <w:tcPr>
            <w:tcW w:w="573" w:type="dxa"/>
            <w:tcMar>
              <w:left w:w="108" w:type="dxa"/>
            </w:tcMar>
            <w:vAlign w:val="center"/>
          </w:tcPr>
          <w:p w:rsidR="00445361" w:rsidRPr="001C6EDF" w:rsidRDefault="00445361" w:rsidP="00D73E98">
            <w:pPr>
              <w:ind w:firstLine="57"/>
              <w:rPr>
                <w:lang w:val="it-IT"/>
              </w:rPr>
            </w:pPr>
          </w:p>
        </w:tc>
        <w:tc>
          <w:tcPr>
            <w:tcW w:w="570" w:type="dxa"/>
            <w:tcMar>
              <w:left w:w="108" w:type="dxa"/>
            </w:tcMar>
            <w:vAlign w:val="center"/>
          </w:tcPr>
          <w:p w:rsidR="00445361" w:rsidRPr="001C6EDF" w:rsidRDefault="00445361" w:rsidP="00D73E98">
            <w:pPr>
              <w:ind w:firstLine="57"/>
              <w:rPr>
                <w:lang w:val="it-IT"/>
              </w:rPr>
            </w:pP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227E20" w:rsidRDefault="00445361" w:rsidP="00D73E98">
            <w:pPr>
              <w:pStyle w:val="PrincCont"/>
              <w:jc w:val="left"/>
              <w:rPr>
                <w:lang w:val="it-IT"/>
              </w:rPr>
            </w:pPr>
          </w:p>
        </w:tc>
        <w:tc>
          <w:tcPr>
            <w:tcW w:w="7078" w:type="dxa"/>
            <w:tcMar>
              <w:left w:w="108" w:type="dxa"/>
            </w:tcMar>
          </w:tcPr>
          <w:p w:rsidR="00445361" w:rsidRPr="00446AA6" w:rsidRDefault="00445361" w:rsidP="00D73E98">
            <w:pPr>
              <w:pStyle w:val="Titolo3"/>
              <w:rPr>
                <w:lang w:val="it-IT"/>
              </w:rPr>
            </w:pPr>
            <w:r w:rsidRPr="00446AA6">
              <w:rPr>
                <w:lang w:val="it-IT"/>
              </w:rPr>
              <w:t>Metodologie per la determinazione dello stato di avanzamento</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CC242B" w:rsidTr="00D73E98">
        <w:trPr>
          <w:cantSplit/>
          <w:trHeight w:val="20"/>
        </w:trPr>
        <w:tc>
          <w:tcPr>
            <w:tcW w:w="679" w:type="dxa"/>
          </w:tcPr>
          <w:p w:rsidR="00445361" w:rsidRPr="007D7BBE" w:rsidRDefault="00445361" w:rsidP="00D73E98">
            <w:pPr>
              <w:jc w:val="center"/>
              <w:rPr>
                <w:b/>
                <w:lang w:val="it-IT"/>
              </w:rPr>
            </w:pPr>
            <w:r w:rsidRPr="007D7BBE">
              <w:rPr>
                <w:b/>
                <w:lang w:val="it-IT"/>
              </w:rPr>
              <w:t>30)</w:t>
            </w:r>
          </w:p>
        </w:tc>
        <w:tc>
          <w:tcPr>
            <w:tcW w:w="856" w:type="dxa"/>
            <w:tcMar>
              <w:left w:w="108" w:type="dxa"/>
              <w:right w:w="0" w:type="dxa"/>
            </w:tcMar>
          </w:tcPr>
          <w:p w:rsidR="00445361" w:rsidRDefault="00445361" w:rsidP="00D73E98">
            <w:pPr>
              <w:pStyle w:val="PrincCont"/>
              <w:jc w:val="left"/>
            </w:pPr>
            <w:r>
              <w:t>OIC 23.61</w:t>
            </w:r>
          </w:p>
        </w:tc>
        <w:tc>
          <w:tcPr>
            <w:tcW w:w="7078" w:type="dxa"/>
            <w:tcMar>
              <w:left w:w="108" w:type="dxa"/>
            </w:tcMar>
          </w:tcPr>
          <w:p w:rsidR="00445361" w:rsidRPr="00446AA6" w:rsidRDefault="00445361" w:rsidP="00D73E98">
            <w:pPr>
              <w:spacing w:line="240" w:lineRule="exact"/>
              <w:rPr>
                <w:lang w:val="it-IT"/>
              </w:rPr>
            </w:pPr>
            <w:r w:rsidRPr="00D067FC">
              <w:rPr>
                <w:lang w:val="it-IT"/>
              </w:rPr>
              <w:t xml:space="preserve">Per applicare il criterio della percentuale di completamento è stato adottato uno dei seguenti metodi: </w:t>
            </w:r>
          </w:p>
        </w:tc>
        <w:tc>
          <w:tcPr>
            <w:tcW w:w="564" w:type="dxa"/>
            <w:tcMar>
              <w:left w:w="85" w:type="dxa"/>
              <w:right w:w="85" w:type="dxa"/>
            </w:tcMar>
            <w:vAlign w:val="center"/>
          </w:tcPr>
          <w:p w:rsidR="00445361" w:rsidRPr="00B2395B" w:rsidRDefault="00445361" w:rsidP="00D73E98">
            <w:pPr>
              <w:jc w:val="center"/>
              <w:rPr>
                <w:lang w:val="it-IT"/>
              </w:rPr>
            </w:pPr>
          </w:p>
        </w:tc>
        <w:tc>
          <w:tcPr>
            <w:tcW w:w="573" w:type="dxa"/>
            <w:tcMar>
              <w:left w:w="108" w:type="dxa"/>
            </w:tcMar>
            <w:vAlign w:val="center"/>
          </w:tcPr>
          <w:p w:rsidR="00445361" w:rsidRPr="00B2395B" w:rsidRDefault="00445361" w:rsidP="00D73E98">
            <w:pPr>
              <w:jc w:val="center"/>
              <w:rPr>
                <w:lang w:val="it-IT"/>
              </w:rPr>
            </w:pPr>
          </w:p>
        </w:tc>
        <w:tc>
          <w:tcPr>
            <w:tcW w:w="570" w:type="dxa"/>
            <w:tcMar>
              <w:left w:w="108" w:type="dxa"/>
            </w:tcMar>
            <w:vAlign w:val="center"/>
          </w:tcPr>
          <w:p w:rsidR="00445361" w:rsidRPr="00B2395B" w:rsidRDefault="00445361" w:rsidP="00D73E98">
            <w:pPr>
              <w:jc w:val="center"/>
              <w:rPr>
                <w:lang w:val="it-IT"/>
              </w:rPr>
            </w:pPr>
          </w:p>
        </w:tc>
      </w:tr>
      <w:tr w:rsidR="00445361" w:rsidRPr="00B2395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B2395B" w:rsidRDefault="00445361" w:rsidP="00D73E98">
            <w:pPr>
              <w:pStyle w:val="PrincCont"/>
              <w:jc w:val="left"/>
              <w:rPr>
                <w:lang w:val="it-IT"/>
              </w:rPr>
            </w:pPr>
          </w:p>
        </w:tc>
        <w:tc>
          <w:tcPr>
            <w:tcW w:w="7078" w:type="dxa"/>
            <w:tcMar>
              <w:left w:w="108" w:type="dxa"/>
            </w:tcMar>
          </w:tcPr>
          <w:p w:rsidR="00445361" w:rsidRPr="00446AA6" w:rsidRDefault="00445361" w:rsidP="00840B93">
            <w:pPr>
              <w:pStyle w:val="rientrotrattinook"/>
            </w:pPr>
            <w:r w:rsidRPr="00D067FC">
              <w:t>metodo del costo sostenuto (“cost-to-cost”)</w:t>
            </w:r>
          </w:p>
        </w:tc>
        <w:tc>
          <w:tcPr>
            <w:tcW w:w="564" w:type="dxa"/>
            <w:tcMar>
              <w:left w:w="85" w:type="dxa"/>
              <w:right w:w="85" w:type="dxa"/>
            </w:tcMar>
            <w:vAlign w:val="center"/>
          </w:tcPr>
          <w:p w:rsidR="00445361" w:rsidRPr="00B2395B"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B2395B"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B2395B"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B2395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B2395B" w:rsidRDefault="00445361" w:rsidP="00D73E98">
            <w:pPr>
              <w:pStyle w:val="PrincCont"/>
              <w:jc w:val="left"/>
              <w:rPr>
                <w:lang w:val="it-IT"/>
              </w:rPr>
            </w:pPr>
          </w:p>
        </w:tc>
        <w:tc>
          <w:tcPr>
            <w:tcW w:w="7078" w:type="dxa"/>
            <w:tcMar>
              <w:left w:w="108" w:type="dxa"/>
            </w:tcMar>
          </w:tcPr>
          <w:p w:rsidR="00445361" w:rsidRPr="00446AA6" w:rsidRDefault="00445361" w:rsidP="00840B93">
            <w:pPr>
              <w:pStyle w:val="rientrotrattinook"/>
            </w:pPr>
            <w:r w:rsidRPr="00D067FC">
              <w:t>metodo delle ore lavorate</w:t>
            </w:r>
          </w:p>
        </w:tc>
        <w:tc>
          <w:tcPr>
            <w:tcW w:w="564" w:type="dxa"/>
            <w:tcMar>
              <w:left w:w="85" w:type="dxa"/>
              <w:right w:w="85" w:type="dxa"/>
            </w:tcMar>
            <w:vAlign w:val="center"/>
          </w:tcPr>
          <w:p w:rsidR="00445361" w:rsidRPr="00B2395B"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B2395B"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B2395B"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B2395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B2395B" w:rsidRDefault="00445361" w:rsidP="00D73E98">
            <w:pPr>
              <w:pStyle w:val="PrincCont"/>
              <w:jc w:val="left"/>
              <w:rPr>
                <w:lang w:val="it-IT"/>
              </w:rPr>
            </w:pPr>
          </w:p>
        </w:tc>
        <w:tc>
          <w:tcPr>
            <w:tcW w:w="7078" w:type="dxa"/>
            <w:tcMar>
              <w:left w:w="108" w:type="dxa"/>
            </w:tcMar>
          </w:tcPr>
          <w:p w:rsidR="00445361" w:rsidRPr="00446AA6" w:rsidRDefault="00445361" w:rsidP="00840B93">
            <w:pPr>
              <w:pStyle w:val="rientrotrattinook"/>
            </w:pPr>
            <w:r w:rsidRPr="00D067FC">
              <w:t>metodo delle unità consegnate</w:t>
            </w:r>
          </w:p>
        </w:tc>
        <w:tc>
          <w:tcPr>
            <w:tcW w:w="564" w:type="dxa"/>
            <w:tcMar>
              <w:left w:w="85" w:type="dxa"/>
              <w:right w:w="85" w:type="dxa"/>
            </w:tcMar>
            <w:vAlign w:val="center"/>
          </w:tcPr>
          <w:p w:rsidR="00445361" w:rsidRPr="00B2395B"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B2395B"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B2395B"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pPr>
          </w:p>
        </w:tc>
        <w:tc>
          <w:tcPr>
            <w:tcW w:w="7078" w:type="dxa"/>
            <w:tcMar>
              <w:left w:w="108" w:type="dxa"/>
            </w:tcMar>
          </w:tcPr>
          <w:p w:rsidR="00445361" w:rsidRPr="00446AA6" w:rsidRDefault="00445361" w:rsidP="00840B93">
            <w:pPr>
              <w:pStyle w:val="rientrotrattinook"/>
            </w:pPr>
            <w:r w:rsidRPr="00D067FC">
              <w:t>metodo delle misurazioni fisiche?</w:t>
            </w:r>
          </w:p>
        </w:tc>
        <w:tc>
          <w:tcPr>
            <w:tcW w:w="564" w:type="dxa"/>
            <w:tcMar>
              <w:left w:w="85" w:type="dxa"/>
              <w:right w:w="85" w:type="dxa"/>
            </w:tcMar>
            <w:vAlign w:val="center"/>
          </w:tcPr>
          <w:p w:rsidR="00445361" w:rsidRDefault="00445361"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Default="00445361"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Default="00445361"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31)</w:t>
            </w:r>
          </w:p>
        </w:tc>
        <w:tc>
          <w:tcPr>
            <w:tcW w:w="856" w:type="dxa"/>
            <w:tcMar>
              <w:left w:w="108" w:type="dxa"/>
              <w:right w:w="0" w:type="dxa"/>
            </w:tcMar>
          </w:tcPr>
          <w:p w:rsidR="00445361" w:rsidRPr="008A0F36" w:rsidRDefault="00445361" w:rsidP="00D73E98">
            <w:pPr>
              <w:pStyle w:val="PrincCont"/>
              <w:jc w:val="left"/>
            </w:pPr>
            <w:r>
              <w:t>OIC 23.63</w:t>
            </w:r>
          </w:p>
        </w:tc>
        <w:tc>
          <w:tcPr>
            <w:tcW w:w="7078" w:type="dxa"/>
            <w:tcMar>
              <w:left w:w="108" w:type="dxa"/>
            </w:tcMar>
          </w:tcPr>
          <w:p w:rsidR="00445361" w:rsidRPr="00446AA6" w:rsidRDefault="00445361" w:rsidP="00D73E98">
            <w:pPr>
              <w:spacing w:line="240" w:lineRule="exact"/>
              <w:rPr>
                <w:lang w:val="it-IT"/>
              </w:rPr>
            </w:pPr>
            <w:r w:rsidRPr="00446AA6">
              <w:rPr>
                <w:lang w:val="it-IT"/>
              </w:rPr>
              <w:t>Il metodo prescelto per determinare lo stato di avanzamento è applicato in modo costante sia nel</w:t>
            </w:r>
            <w:r>
              <w:rPr>
                <w:lang w:val="it-IT"/>
              </w:rPr>
              <w:t xml:space="preserve"> </w:t>
            </w:r>
            <w:r w:rsidRPr="00446AA6">
              <w:rPr>
                <w:lang w:val="it-IT"/>
              </w:rPr>
              <w:t>tempo sia, in presenza di tipologie similari di commesse, nell’ambito della stessa impresa</w:t>
            </w:r>
            <w:r>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pPr>
          </w:p>
        </w:tc>
        <w:tc>
          <w:tcPr>
            <w:tcW w:w="7078" w:type="dxa"/>
            <w:tcMar>
              <w:left w:w="108" w:type="dxa"/>
            </w:tcMar>
          </w:tcPr>
          <w:p w:rsidR="00445361" w:rsidRPr="003F6B36" w:rsidRDefault="00445361" w:rsidP="00D73E98">
            <w:pPr>
              <w:pStyle w:val="Titolo4"/>
            </w:pPr>
            <w:r w:rsidRPr="003F6B36">
              <w:t>Metodo del costo sostenuto</w:t>
            </w:r>
            <w:r>
              <w:t xml:space="preserve"> (cost to cost)</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pPr>
            <w:r>
              <w:t>OIC 23.64</w:t>
            </w:r>
          </w:p>
        </w:tc>
        <w:tc>
          <w:tcPr>
            <w:tcW w:w="7078" w:type="dxa"/>
            <w:tcMar>
              <w:left w:w="108" w:type="dxa"/>
            </w:tcMar>
          </w:tcPr>
          <w:p w:rsidR="00445361" w:rsidRPr="003F6B36" w:rsidRDefault="00445361" w:rsidP="00D73E98">
            <w:pPr>
              <w:pStyle w:val="Commentiriquadro"/>
            </w:pPr>
            <w:r w:rsidRPr="003F6B36">
              <w:t>Per determinare la percentuale di completamento con il metodo del costo sostenuto (</w:t>
            </w:r>
            <w:r w:rsidRPr="003F6B36">
              <w:rPr>
                <w:i/>
                <w:iCs/>
              </w:rPr>
              <w:t>cost-to-cost</w:t>
            </w:r>
            <w:r w:rsidRPr="003F6B36">
              <w:t>),</w:t>
            </w:r>
            <w:r>
              <w:t xml:space="preserve"> </w:t>
            </w:r>
            <w:r w:rsidRPr="003F6B36">
              <w:t>i costi di commessa sostenuti ad una certa data sono rapportati ai costi di commessa totali stimati.</w:t>
            </w:r>
            <w:r>
              <w:t xml:space="preserve"> </w:t>
            </w:r>
            <w:r w:rsidRPr="003F6B36">
              <w:t>La percentuale è successivamente applicata al totale dei ricavi stimati di commessa, ottenendone</w:t>
            </w:r>
            <w:r>
              <w:t xml:space="preserve"> </w:t>
            </w:r>
            <w:r w:rsidRPr="003F6B36">
              <w:t>il valore da attribuire ai lavori eseguiti e, quindi, i ricavi maturati a tale data. I costi effettivi da</w:t>
            </w:r>
            <w:r>
              <w:t xml:space="preserve"> </w:t>
            </w:r>
            <w:r w:rsidRPr="003F6B36">
              <w:t>utilizzare sono quelli idonei a misurare lo stato d</w:t>
            </w:r>
            <w:r>
              <w:t>i avanzamento (cfr. paragrafi 32-37</w:t>
            </w:r>
            <w:r w:rsidRPr="003F6B36">
              <w:t>).</w:t>
            </w:r>
          </w:p>
          <w:p w:rsidR="00445361" w:rsidRPr="003F6B36" w:rsidRDefault="00445361" w:rsidP="00D73E98">
            <w:pPr>
              <w:pStyle w:val="Commentiriquadro"/>
              <w:tabs>
                <w:tab w:val="left" w:pos="278"/>
                <w:tab w:val="left" w:pos="528"/>
              </w:tabs>
            </w:pPr>
            <w:r w:rsidRPr="003F6B36">
              <w:t>L’applicazione di tale metodo presuppone, in particolare:</w:t>
            </w:r>
          </w:p>
          <w:p w:rsidR="00445361" w:rsidRPr="003F6B36" w:rsidRDefault="00445361" w:rsidP="00D73E98">
            <w:pPr>
              <w:pStyle w:val="Commentiriquadro"/>
              <w:tabs>
                <w:tab w:val="left" w:pos="278"/>
                <w:tab w:val="left" w:pos="528"/>
              </w:tabs>
              <w:spacing w:before="0"/>
            </w:pPr>
            <w:r>
              <w:t>-</w:t>
            </w:r>
            <w:r>
              <w:tab/>
            </w:r>
            <w:r w:rsidRPr="003F6B36">
              <w:t>l’esistenza di un sistema procedurale interno che consenta stime attendibili e aggiornate dei</w:t>
            </w:r>
            <w:r>
              <w:t xml:space="preserve"> </w:t>
            </w:r>
            <w:r w:rsidRPr="003F6B36">
              <w:t xml:space="preserve">costi e ricavi totali </w:t>
            </w:r>
            <w:r>
              <w:tab/>
            </w:r>
            <w:r w:rsidRPr="003F6B36">
              <w:t>di commessa;</w:t>
            </w:r>
          </w:p>
          <w:p w:rsidR="00445361" w:rsidRPr="003F6B36" w:rsidRDefault="00445361" w:rsidP="00D73E98">
            <w:pPr>
              <w:pStyle w:val="Commentiriquadro"/>
              <w:tabs>
                <w:tab w:val="left" w:pos="278"/>
                <w:tab w:val="left" w:pos="528"/>
              </w:tabs>
            </w:pPr>
            <w:r>
              <w:t>-</w:t>
            </w:r>
            <w:r>
              <w:tab/>
            </w:r>
            <w:r w:rsidRPr="003F6B36">
              <w:t>la possibilità oggettiva di formularle, tenuto conto della tipologia dei lavori, delle clausole</w:t>
            </w:r>
            <w:r>
              <w:t xml:space="preserve"> </w:t>
            </w:r>
            <w:r w:rsidRPr="003F6B36">
              <w:t>contrattuali, ecc.</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32)</w:t>
            </w:r>
          </w:p>
        </w:tc>
        <w:tc>
          <w:tcPr>
            <w:tcW w:w="856" w:type="dxa"/>
            <w:tcMar>
              <w:left w:w="108" w:type="dxa"/>
              <w:right w:w="0" w:type="dxa"/>
            </w:tcMar>
          </w:tcPr>
          <w:p w:rsidR="00445361" w:rsidRPr="003F6B36" w:rsidRDefault="00445361" w:rsidP="00D73E98">
            <w:pPr>
              <w:pStyle w:val="PrincCont"/>
              <w:jc w:val="left"/>
              <w:rPr>
                <w:lang w:val="it-IT"/>
              </w:rPr>
            </w:pPr>
            <w:r>
              <w:rPr>
                <w:lang w:val="it-IT"/>
              </w:rPr>
              <w:t>OIC 23.67</w:t>
            </w:r>
          </w:p>
        </w:tc>
        <w:tc>
          <w:tcPr>
            <w:tcW w:w="7078" w:type="dxa"/>
            <w:tcMar>
              <w:left w:w="108" w:type="dxa"/>
            </w:tcMar>
          </w:tcPr>
          <w:p w:rsidR="00445361" w:rsidRPr="003C27B3" w:rsidRDefault="00445361" w:rsidP="00D73E98">
            <w:pPr>
              <w:spacing w:line="240" w:lineRule="exact"/>
              <w:rPr>
                <w:lang w:val="it-IT"/>
              </w:rPr>
            </w:pPr>
            <w:r w:rsidRPr="007B4FCC">
              <w:rPr>
                <w:lang w:val="it-IT"/>
              </w:rPr>
              <w:t>Nella determinazione della percentuale di completamento con il metodo del costo sostenuto sono</w:t>
            </w:r>
            <w:r>
              <w:rPr>
                <w:lang w:val="it-IT"/>
              </w:rPr>
              <w:t xml:space="preserve"> </w:t>
            </w:r>
            <w:r w:rsidRPr="007B4FCC">
              <w:rPr>
                <w:lang w:val="it-IT"/>
              </w:rPr>
              <w:t>esclusi tutti i costi relativi ad attività future la cui inclusione porterebbe ad un risultato distorto in</w:t>
            </w:r>
            <w:r>
              <w:rPr>
                <w:lang w:val="it-IT"/>
              </w:rPr>
              <w:t xml:space="preserve"> </w:t>
            </w:r>
            <w:r w:rsidRPr="007B4FCC">
              <w:rPr>
                <w:lang w:val="it-IT"/>
              </w:rPr>
              <w:t>relazione all’effettivo avanzamento della commessa</w:t>
            </w:r>
            <w:r>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r>
              <w:rPr>
                <w:lang w:val="it-IT"/>
              </w:rPr>
              <w:t>OIC 23.67</w:t>
            </w:r>
          </w:p>
        </w:tc>
        <w:tc>
          <w:tcPr>
            <w:tcW w:w="7078" w:type="dxa"/>
            <w:tcMar>
              <w:left w:w="108" w:type="dxa"/>
            </w:tcMar>
          </w:tcPr>
          <w:p w:rsidR="00445361" w:rsidRPr="007B4FCC" w:rsidRDefault="00445361" w:rsidP="00D73E98">
            <w:pPr>
              <w:pStyle w:val="Commentiriquadro"/>
            </w:pPr>
            <w:r>
              <w:t xml:space="preserve">Tra i costi da escludere vi sono </w:t>
            </w:r>
            <w:r w:rsidRPr="007B4FCC">
              <w:t>ad esempio, i materiali acquistati per</w:t>
            </w:r>
            <w:r>
              <w:t xml:space="preserve"> </w:t>
            </w:r>
            <w:r w:rsidRPr="007B4FCC">
              <w:t>l’esecuzione della commessa ma non ancora impiegati e l’ammontare fatturato dai subappaltatori</w:t>
            </w:r>
            <w:r>
              <w:t xml:space="preserve"> </w:t>
            </w:r>
            <w:r w:rsidRPr="007B4FCC">
              <w:t>in eccedenza ai lavori da essi eseguiti. Se tali costi fossero considerati nella determinazione della</w:t>
            </w:r>
            <w:r>
              <w:t xml:space="preserve"> </w:t>
            </w:r>
            <w:r w:rsidRPr="007B4FCC">
              <w:t>percentuale di completamento, l’avanzamento dell’opera risulterebbe proporzionalmente</w:t>
            </w:r>
            <w:r>
              <w:t xml:space="preserve"> </w:t>
            </w:r>
            <w:r w:rsidRPr="007B4FCC">
              <w:t>maggiore del suo effettivo avanzamento fisico. Tali costi sono dunque sospesi e non sono</w:t>
            </w:r>
            <w:r>
              <w:t xml:space="preserve"> </w:t>
            </w:r>
            <w:r w:rsidRPr="007B4FCC">
              <w:t>utilizzati per la valutazione dei lavori eseguiti. In particolare, i materiali acquistati per</w:t>
            </w:r>
            <w:r>
              <w:t xml:space="preserve"> </w:t>
            </w:r>
            <w:r w:rsidRPr="007B4FCC">
              <w:t>l’esecuzione dell’opera sono esposti, tra le rimanenze e come tali valorizzati.</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33)</w:t>
            </w:r>
          </w:p>
        </w:tc>
        <w:tc>
          <w:tcPr>
            <w:tcW w:w="856" w:type="dxa"/>
            <w:tcMar>
              <w:left w:w="108" w:type="dxa"/>
              <w:right w:w="0" w:type="dxa"/>
            </w:tcMar>
          </w:tcPr>
          <w:p w:rsidR="00445361" w:rsidRPr="003F6B36" w:rsidRDefault="00445361" w:rsidP="00D73E98">
            <w:pPr>
              <w:pStyle w:val="PrincCont"/>
              <w:jc w:val="left"/>
              <w:rPr>
                <w:lang w:val="it-IT"/>
              </w:rPr>
            </w:pPr>
            <w:r>
              <w:rPr>
                <w:lang w:val="it-IT"/>
              </w:rPr>
              <w:t>OIC 23.68</w:t>
            </w:r>
          </w:p>
        </w:tc>
        <w:tc>
          <w:tcPr>
            <w:tcW w:w="7078" w:type="dxa"/>
            <w:tcMar>
              <w:left w:w="108" w:type="dxa"/>
            </w:tcMar>
          </w:tcPr>
          <w:p w:rsidR="00445361" w:rsidRPr="007B4FCC" w:rsidRDefault="00445361" w:rsidP="00D73E98">
            <w:pPr>
              <w:spacing w:line="240" w:lineRule="exact"/>
              <w:rPr>
                <w:lang w:val="it-IT"/>
              </w:rPr>
            </w:pPr>
            <w:r w:rsidRPr="007B4FCC">
              <w:rPr>
                <w:lang w:val="it-IT"/>
              </w:rPr>
              <w:t xml:space="preserve">Sono </w:t>
            </w:r>
            <w:r>
              <w:rPr>
                <w:lang w:val="it-IT"/>
              </w:rPr>
              <w:t>i</w:t>
            </w:r>
            <w:r w:rsidRPr="007B4FCC">
              <w:rPr>
                <w:lang w:val="it-IT"/>
              </w:rPr>
              <w:t xml:space="preserve">nclusi </w:t>
            </w:r>
            <w:r>
              <w:rPr>
                <w:lang w:val="it-IT"/>
              </w:rPr>
              <w:t xml:space="preserve">tra i costi </w:t>
            </w:r>
            <w:r w:rsidRPr="007B4FCC">
              <w:rPr>
                <w:lang w:val="it-IT"/>
              </w:rPr>
              <w:t xml:space="preserve">i componenti o le parti non ancora installati prodotti </w:t>
            </w:r>
            <w:r w:rsidRPr="007B4FCC">
              <w:rPr>
                <w:i/>
                <w:iCs/>
                <w:lang w:val="it-IT"/>
              </w:rPr>
              <w:t xml:space="preserve">ad hoc </w:t>
            </w:r>
            <w:r w:rsidRPr="007B4FCC">
              <w:rPr>
                <w:lang w:val="it-IT"/>
              </w:rPr>
              <w:t>dall’impresa o da</w:t>
            </w:r>
            <w:r>
              <w:rPr>
                <w:lang w:val="it-IT"/>
              </w:rPr>
              <w:t xml:space="preserve"> </w:t>
            </w:r>
            <w:r w:rsidRPr="007B4FCC">
              <w:rPr>
                <w:lang w:val="it-IT"/>
              </w:rPr>
              <w:t>terzi, ossia esclusivamente secondo le caratteristiche previste dai disegni tecnici della commessa</w:t>
            </w:r>
            <w:r>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3F6B36" w:rsidRDefault="00445361" w:rsidP="00D73E98">
            <w:pPr>
              <w:pStyle w:val="PrincCont"/>
              <w:jc w:val="left"/>
              <w:rPr>
                <w:lang w:val="it-IT"/>
              </w:rPr>
            </w:pPr>
            <w:r>
              <w:rPr>
                <w:lang w:val="it-IT"/>
              </w:rPr>
              <w:t>OIC 23.69</w:t>
            </w:r>
          </w:p>
        </w:tc>
        <w:tc>
          <w:tcPr>
            <w:tcW w:w="7078" w:type="dxa"/>
            <w:tcMar>
              <w:left w:w="108" w:type="dxa"/>
            </w:tcMar>
          </w:tcPr>
          <w:p w:rsidR="00445361" w:rsidRPr="009F6D1B" w:rsidRDefault="00445361" w:rsidP="00D73E98">
            <w:pPr>
              <w:pStyle w:val="Commentiriquadro"/>
            </w:pPr>
            <w:r w:rsidRPr="009F6D1B">
              <w:t>Si rende necessario che i costi accumulati da assumere come base per la determinazione della</w:t>
            </w:r>
            <w:r>
              <w:t xml:space="preserve"> </w:t>
            </w:r>
            <w:r w:rsidRPr="009F6D1B">
              <w:t>percentuale di completamento rappresentino l’avanzamento del lavoro svolto, inteso come lavoro</w:t>
            </w:r>
            <w:r>
              <w:t xml:space="preserve"> </w:t>
            </w:r>
            <w:r w:rsidRPr="009F6D1B">
              <w:t>di costruzione eseguito (valore aggiunto).</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3F6B36" w:rsidRDefault="00445361" w:rsidP="00D73E98">
            <w:pPr>
              <w:pStyle w:val="PrincCont"/>
              <w:jc w:val="left"/>
              <w:rPr>
                <w:lang w:val="it-IT"/>
              </w:rPr>
            </w:pPr>
            <w:r>
              <w:rPr>
                <w:lang w:val="it-IT"/>
              </w:rPr>
              <w:t>OIC 23.70</w:t>
            </w:r>
          </w:p>
        </w:tc>
        <w:tc>
          <w:tcPr>
            <w:tcW w:w="7078" w:type="dxa"/>
            <w:tcMar>
              <w:left w:w="108" w:type="dxa"/>
            </w:tcMar>
          </w:tcPr>
          <w:p w:rsidR="00445361" w:rsidRPr="009F6D1B" w:rsidRDefault="00445361" w:rsidP="00D73E98">
            <w:pPr>
              <w:pStyle w:val="Commentiriquadro"/>
            </w:pPr>
            <w:r w:rsidRPr="009F6D1B">
              <w:t>Nell’applicazione del metodo del costo sostenuto, di norma, si tiene conto, tra i costi, anche di</w:t>
            </w:r>
            <w:r>
              <w:t xml:space="preserve"> </w:t>
            </w:r>
            <w:r w:rsidRPr="009F6D1B">
              <w:t>quelli dei subappaltatori per il lavoro da essi già svolto, escludendo quindi gli anticipi. I contratti</w:t>
            </w:r>
            <w:r>
              <w:t xml:space="preserve"> </w:t>
            </w:r>
            <w:r w:rsidRPr="009F6D1B">
              <w:t>con i subappaltatori variano da caso a caso. Se di tali costi si debba tenere conto in base allo stato</w:t>
            </w:r>
            <w:r>
              <w:t xml:space="preserve"> </w:t>
            </w:r>
            <w:r w:rsidRPr="009F6D1B">
              <w:t>di avanzamento del lavoro svolto dai subappaltatori o al completamento da parte loro di singole</w:t>
            </w:r>
            <w:r>
              <w:t xml:space="preserve"> </w:t>
            </w:r>
            <w:r w:rsidRPr="009F6D1B">
              <w:t>fasi ovvero al completamento dell’intero lavoro ad essi assegnato, dipende dalle varie fattispecie,</w:t>
            </w:r>
            <w:r>
              <w:t xml:space="preserve"> </w:t>
            </w:r>
            <w:r w:rsidRPr="009F6D1B">
              <w:t>dalla struttura di cui dispone l’appaltatore per verificare lo stato di avanzamento, dalla possibilità</w:t>
            </w:r>
            <w:r>
              <w:t xml:space="preserve"> </w:t>
            </w:r>
            <w:r w:rsidRPr="009F6D1B">
              <w:t>pratica di poterlo fare, ecc.</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3F6B36" w:rsidRDefault="00445361" w:rsidP="00D73E98">
            <w:pPr>
              <w:pStyle w:val="PrincCont"/>
              <w:jc w:val="left"/>
              <w:rPr>
                <w:lang w:val="it-IT"/>
              </w:rPr>
            </w:pPr>
          </w:p>
        </w:tc>
        <w:tc>
          <w:tcPr>
            <w:tcW w:w="7078" w:type="dxa"/>
            <w:tcMar>
              <w:left w:w="108" w:type="dxa"/>
            </w:tcMar>
            <w:vAlign w:val="center"/>
          </w:tcPr>
          <w:p w:rsidR="00445361" w:rsidRPr="003C27B3" w:rsidRDefault="00445361" w:rsidP="00D73E98">
            <w:pPr>
              <w:pStyle w:val="Titolo4"/>
              <w:jc w:val="left"/>
            </w:pPr>
            <w:r>
              <w:t>Metodo delle ore lavorate</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34)</w:t>
            </w:r>
          </w:p>
        </w:tc>
        <w:tc>
          <w:tcPr>
            <w:tcW w:w="856" w:type="dxa"/>
            <w:tcMar>
              <w:left w:w="108" w:type="dxa"/>
              <w:right w:w="0" w:type="dxa"/>
            </w:tcMar>
          </w:tcPr>
          <w:p w:rsidR="00445361" w:rsidRPr="003F6B36" w:rsidRDefault="00445361" w:rsidP="00D73E98">
            <w:pPr>
              <w:pStyle w:val="PrincCont"/>
              <w:jc w:val="left"/>
              <w:rPr>
                <w:lang w:val="it-IT"/>
              </w:rPr>
            </w:pPr>
            <w:r>
              <w:rPr>
                <w:lang w:val="it-IT"/>
              </w:rPr>
              <w:t>OIC 23.71</w:t>
            </w:r>
          </w:p>
        </w:tc>
        <w:tc>
          <w:tcPr>
            <w:tcW w:w="7078" w:type="dxa"/>
            <w:tcMar>
              <w:left w:w="108" w:type="dxa"/>
            </w:tcMar>
          </w:tcPr>
          <w:p w:rsidR="00445361" w:rsidRPr="002461C4" w:rsidRDefault="00445361" w:rsidP="00D73E98">
            <w:pPr>
              <w:spacing w:line="240" w:lineRule="exact"/>
              <w:rPr>
                <w:lang w:val="it-IT"/>
              </w:rPr>
            </w:pPr>
            <w:r>
              <w:rPr>
                <w:lang w:val="it-IT"/>
              </w:rPr>
              <w:t>L</w:t>
            </w:r>
            <w:r w:rsidRPr="002461C4">
              <w:rPr>
                <w:lang w:val="it-IT"/>
              </w:rPr>
              <w:t>’avanzamento delle opere viene calcolato in funzione delle ore</w:t>
            </w:r>
            <w:r>
              <w:rPr>
                <w:lang w:val="it-IT"/>
              </w:rPr>
              <w:t xml:space="preserve"> </w:t>
            </w:r>
            <w:r w:rsidRPr="002461C4">
              <w:rPr>
                <w:lang w:val="it-IT"/>
              </w:rPr>
              <w:t>lavorate ri</w:t>
            </w:r>
            <w:r>
              <w:rPr>
                <w:lang w:val="it-IT"/>
              </w:rPr>
              <w:t>spetto alle ore totali previste?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3F6B36" w:rsidRDefault="00445361" w:rsidP="00D73E98">
            <w:pPr>
              <w:pStyle w:val="PrincCont"/>
              <w:jc w:val="left"/>
              <w:rPr>
                <w:lang w:val="it-IT"/>
              </w:rPr>
            </w:pPr>
            <w:r>
              <w:rPr>
                <w:lang w:val="it-IT"/>
              </w:rPr>
              <w:t>OIC 23.71</w:t>
            </w:r>
          </w:p>
        </w:tc>
        <w:tc>
          <w:tcPr>
            <w:tcW w:w="7078" w:type="dxa"/>
            <w:tcMar>
              <w:left w:w="108" w:type="dxa"/>
            </w:tcMar>
          </w:tcPr>
          <w:p w:rsidR="00445361" w:rsidRPr="002461C4" w:rsidRDefault="00445361" w:rsidP="00D73E98">
            <w:pPr>
              <w:pStyle w:val="Commentiriquadro"/>
            </w:pPr>
            <w:r w:rsidRPr="002461C4">
              <w:t>L’applicazione d</w:t>
            </w:r>
            <w:r>
              <w:t>el</w:t>
            </w:r>
            <w:r w:rsidRPr="002461C4">
              <w:t xml:space="preserve"> metodo </w:t>
            </w:r>
            <w:r>
              <w:t xml:space="preserve">delle ore lavorate </w:t>
            </w:r>
            <w:r w:rsidRPr="002461C4">
              <w:t>comporta in sintesi:</w:t>
            </w:r>
          </w:p>
          <w:p w:rsidR="00445361" w:rsidRPr="002461C4" w:rsidRDefault="00445361" w:rsidP="00D73E98">
            <w:pPr>
              <w:pStyle w:val="Commentiriquadro"/>
              <w:tabs>
                <w:tab w:val="left" w:pos="528"/>
              </w:tabs>
              <w:spacing w:before="0"/>
              <w:ind w:left="318" w:hanging="261"/>
            </w:pPr>
            <w:r>
              <w:t>-</w:t>
            </w:r>
            <w:r>
              <w:tab/>
            </w:r>
            <w:r w:rsidRPr="002461C4">
              <w:t>la suddivisione dei ricavi totali previsti di commessa in:</w:t>
            </w:r>
          </w:p>
          <w:p w:rsidR="00445361" w:rsidRPr="002461C4" w:rsidRDefault="00445361" w:rsidP="00D73E98">
            <w:pPr>
              <w:pStyle w:val="Commentiriquadro"/>
              <w:tabs>
                <w:tab w:val="left" w:pos="317"/>
                <w:tab w:val="left" w:pos="460"/>
              </w:tabs>
              <w:spacing w:before="0"/>
            </w:pPr>
            <w:r>
              <w:rPr>
                <w:rFonts w:ascii="SymbolMT" w:eastAsia="SymbolMT" w:cs="SymbolMT"/>
              </w:rPr>
              <w:tab/>
              <w:t>.</w:t>
            </w:r>
            <w:r>
              <w:rPr>
                <w:rFonts w:ascii="SymbolMT" w:eastAsia="SymbolMT" w:cs="SymbolMT" w:hint="eastAsia"/>
              </w:rPr>
              <w:t xml:space="preserve"> </w:t>
            </w:r>
            <w:r>
              <w:rPr>
                <w:rFonts w:ascii="SymbolMT" w:eastAsia="SymbolMT" w:cs="SymbolMT"/>
              </w:rPr>
              <w:tab/>
            </w:r>
            <w:r w:rsidRPr="002461C4">
              <w:t xml:space="preserve">costi previsti dei materiali e altri costi diretti (es: assicurazioni, </w:t>
            </w:r>
            <w:r w:rsidRPr="002461C4">
              <w:rPr>
                <w:i/>
                <w:iCs/>
              </w:rPr>
              <w:t>royalties</w:t>
            </w:r>
            <w:r w:rsidRPr="002461C4">
              <w:t>), esclusa la mano</w:t>
            </w:r>
            <w:r>
              <w:t xml:space="preserve"> </w:t>
            </w:r>
            <w:r w:rsidRPr="002461C4">
              <w:t>d’opera</w:t>
            </w:r>
          </w:p>
          <w:p w:rsidR="00445361" w:rsidRPr="002461C4" w:rsidRDefault="00445361" w:rsidP="00D73E98">
            <w:pPr>
              <w:pStyle w:val="Commentiriquadro"/>
              <w:tabs>
                <w:tab w:val="left" w:pos="317"/>
                <w:tab w:val="left" w:pos="460"/>
              </w:tabs>
              <w:spacing w:before="0"/>
            </w:pPr>
            <w:r>
              <w:rPr>
                <w:rFonts w:ascii="SymbolMT" w:eastAsia="SymbolMT" w:cs="SymbolMT"/>
              </w:rPr>
              <w:tab/>
              <w:t xml:space="preserve">. </w:t>
            </w:r>
            <w:r>
              <w:rPr>
                <w:rFonts w:ascii="SymbolMT" w:eastAsia="SymbolMT" w:cs="SymbolMT"/>
              </w:rPr>
              <w:tab/>
            </w:r>
            <w:r w:rsidRPr="002461C4">
              <w:t>valore aggiunto complessivo, per il residuo;</w:t>
            </w:r>
          </w:p>
          <w:p w:rsidR="00445361" w:rsidRPr="002461C4" w:rsidRDefault="00445361" w:rsidP="00D73E98">
            <w:pPr>
              <w:pStyle w:val="Commentiriquadro"/>
              <w:spacing w:before="0"/>
              <w:ind w:left="318" w:hanging="261"/>
            </w:pPr>
            <w:r>
              <w:t>-</w:t>
            </w:r>
            <w:r>
              <w:tab/>
            </w:r>
            <w:r w:rsidRPr="002461C4">
              <w:t>la previsione del totale delle ore dirette di lavorazione necessarie per il completamento delle</w:t>
            </w:r>
            <w:r>
              <w:t xml:space="preserve"> </w:t>
            </w:r>
            <w:r w:rsidRPr="002461C4">
              <w:t>opere ed il calcolo del valore aggiunto orario (quale quoziente del valore aggiunto</w:t>
            </w:r>
            <w:r>
              <w:t xml:space="preserve"> </w:t>
            </w:r>
            <w:r w:rsidRPr="002461C4">
              <w:t>complessivo e delle ore totali previste);</w:t>
            </w:r>
          </w:p>
          <w:p w:rsidR="00445361" w:rsidRPr="002461C4" w:rsidRDefault="00445361" w:rsidP="00D73E98">
            <w:pPr>
              <w:pStyle w:val="Commentiriquadro"/>
              <w:tabs>
                <w:tab w:val="left" w:pos="528"/>
              </w:tabs>
              <w:spacing w:before="0"/>
              <w:ind w:left="318" w:hanging="261"/>
            </w:pPr>
            <w:r>
              <w:t>-</w:t>
            </w:r>
            <w:r>
              <w:tab/>
            </w:r>
            <w:r w:rsidRPr="002461C4">
              <w:t>la valutazione delle opere in corso di esecuzione ad una certa data, quale somma:</w:t>
            </w:r>
          </w:p>
          <w:p w:rsidR="00445361" w:rsidRPr="00A42B60" w:rsidRDefault="00445361" w:rsidP="00D73E98">
            <w:pPr>
              <w:pStyle w:val="Commentiriquadro"/>
              <w:tabs>
                <w:tab w:val="left" w:pos="340"/>
                <w:tab w:val="left" w:pos="460"/>
              </w:tabs>
              <w:spacing w:before="0"/>
              <w:rPr>
                <w:rFonts w:eastAsia="SymbolMT" w:cs="SymbolMT"/>
              </w:rPr>
            </w:pPr>
            <w:r>
              <w:rPr>
                <w:rFonts w:ascii="SymbolMT" w:eastAsia="SymbolMT" w:cs="SymbolMT"/>
              </w:rPr>
              <w:t xml:space="preserve">  </w:t>
            </w:r>
            <w:r>
              <w:rPr>
                <w:rFonts w:ascii="SymbolMT" w:eastAsia="SymbolMT" w:cs="SymbolMT"/>
              </w:rPr>
              <w:tab/>
            </w:r>
            <w:r w:rsidRPr="00A42B60">
              <w:rPr>
                <w:rFonts w:eastAsia="SymbolMT" w:cs="SymbolMT"/>
              </w:rPr>
              <w:t xml:space="preserve">. </w:t>
            </w:r>
            <w:r>
              <w:rPr>
                <w:rFonts w:eastAsia="SymbolMT" w:cs="SymbolMT"/>
              </w:rPr>
              <w:tab/>
            </w:r>
            <w:r w:rsidRPr="00A42B60">
              <w:rPr>
                <w:rFonts w:eastAsia="SymbolMT" w:cs="SymbolMT"/>
              </w:rPr>
              <w:t>dei costi effettivi dei materiali impiegati nelle lavorazioni e degli altri costi diretti sostenuti (esclusa la mano</w:t>
            </w:r>
            <w:r>
              <w:rPr>
                <w:rFonts w:eastAsia="SymbolMT" w:cs="SymbolMT"/>
              </w:rPr>
              <w:t xml:space="preserve"> </w:t>
            </w:r>
            <w:r>
              <w:rPr>
                <w:rFonts w:eastAsia="SymbolMT" w:cs="SymbolMT"/>
              </w:rPr>
              <w:tab/>
            </w:r>
            <w:r>
              <w:rPr>
                <w:rFonts w:eastAsia="SymbolMT" w:cs="SymbolMT"/>
              </w:rPr>
              <w:tab/>
            </w:r>
            <w:r w:rsidRPr="007641FF">
              <w:rPr>
                <w:rFonts w:eastAsia="SymbolMT" w:cs="SymbolMT"/>
              </w:rPr>
              <w:t>d’opera</w:t>
            </w:r>
            <w:r w:rsidRPr="00A42B60">
              <w:rPr>
                <w:rFonts w:eastAsia="SymbolMT" w:cs="SymbolMT"/>
              </w:rPr>
              <w:t>);</w:t>
            </w:r>
          </w:p>
          <w:p w:rsidR="00445361" w:rsidRPr="003C27B3" w:rsidRDefault="00445361" w:rsidP="00D73E98">
            <w:pPr>
              <w:pStyle w:val="Commentiriquadro"/>
              <w:tabs>
                <w:tab w:val="left" w:pos="340"/>
                <w:tab w:val="left" w:pos="460"/>
              </w:tabs>
              <w:spacing w:before="0"/>
            </w:pPr>
            <w:r>
              <w:rPr>
                <w:rFonts w:eastAsia="SymbolMT" w:cs="SymbolMT"/>
              </w:rPr>
              <w:t xml:space="preserve">  </w:t>
            </w:r>
            <w:r w:rsidRPr="00A42B60">
              <w:rPr>
                <w:rFonts w:eastAsia="SymbolMT" w:cs="SymbolMT"/>
              </w:rPr>
              <w:t xml:space="preserve"> </w:t>
            </w:r>
            <w:r>
              <w:rPr>
                <w:rFonts w:eastAsia="SymbolMT" w:cs="SymbolMT"/>
              </w:rPr>
              <w:tab/>
              <w:t>.</w:t>
            </w:r>
            <w:r>
              <w:rPr>
                <w:rFonts w:eastAsia="SymbolMT" w:cs="SymbolMT"/>
              </w:rPr>
              <w:tab/>
            </w:r>
            <w:r w:rsidRPr="00A42B60">
              <w:rPr>
                <w:rFonts w:eastAsia="SymbolMT" w:cs="SymbolMT"/>
              </w:rPr>
              <w:t>del valore aggiunto maturato, calcolato moltiplicando le ore dirette effett</w:t>
            </w:r>
            <w:r>
              <w:rPr>
                <w:rFonts w:eastAsia="SymbolMT" w:cs="SymbolMT"/>
              </w:rPr>
              <w:t>ivamente lavorate per il valore</w:t>
            </w:r>
            <w:r>
              <w:rPr>
                <w:rFonts w:eastAsia="SymbolMT" w:cs="SymbolMT"/>
              </w:rPr>
              <w:tab/>
            </w:r>
            <w:r>
              <w:rPr>
                <w:rFonts w:eastAsia="SymbolMT" w:cs="SymbolMT"/>
              </w:rPr>
              <w:tab/>
            </w:r>
            <w:r>
              <w:rPr>
                <w:rFonts w:eastAsia="SymbolMT" w:cs="SymbolMT"/>
              </w:rPr>
              <w:tab/>
              <w:t xml:space="preserve">aggiunto </w:t>
            </w:r>
            <w:r w:rsidRPr="00A42B60">
              <w:rPr>
                <w:rFonts w:eastAsia="SymbolMT" w:cs="SymbolMT"/>
              </w:rPr>
              <w:t>orario.</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A42B60"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3F6B36" w:rsidRDefault="00445361" w:rsidP="00D73E98">
            <w:pPr>
              <w:pStyle w:val="PrincCont"/>
              <w:jc w:val="left"/>
              <w:rPr>
                <w:lang w:val="it-IT"/>
              </w:rPr>
            </w:pPr>
          </w:p>
        </w:tc>
        <w:tc>
          <w:tcPr>
            <w:tcW w:w="7078" w:type="dxa"/>
            <w:tcMar>
              <w:left w:w="108" w:type="dxa"/>
            </w:tcMar>
          </w:tcPr>
          <w:p w:rsidR="00445361" w:rsidRPr="00A42B60" w:rsidRDefault="00445361" w:rsidP="00D73E98">
            <w:pPr>
              <w:pStyle w:val="Titolo4"/>
            </w:pPr>
            <w:r w:rsidRPr="00A42B60">
              <w:t>Metodo delle unità consegnate</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69452C" w:rsidTr="00D73E98">
        <w:trPr>
          <w:cantSplit/>
          <w:trHeight w:val="20"/>
        </w:trPr>
        <w:tc>
          <w:tcPr>
            <w:tcW w:w="679" w:type="dxa"/>
          </w:tcPr>
          <w:p w:rsidR="00445361" w:rsidRPr="007D7BBE" w:rsidRDefault="00445361" w:rsidP="00D73E98">
            <w:pPr>
              <w:jc w:val="center"/>
              <w:rPr>
                <w:b/>
                <w:lang w:val="it-IT"/>
              </w:rPr>
            </w:pPr>
            <w:r w:rsidRPr="007D7BBE">
              <w:rPr>
                <w:b/>
                <w:lang w:val="it-IT"/>
              </w:rPr>
              <w:t>35)</w:t>
            </w:r>
          </w:p>
        </w:tc>
        <w:tc>
          <w:tcPr>
            <w:tcW w:w="856" w:type="dxa"/>
            <w:tcMar>
              <w:left w:w="108" w:type="dxa"/>
              <w:right w:w="0" w:type="dxa"/>
            </w:tcMar>
          </w:tcPr>
          <w:p w:rsidR="00445361" w:rsidRPr="003F6B36" w:rsidRDefault="00445361" w:rsidP="00D73E98">
            <w:pPr>
              <w:pStyle w:val="PrincCont"/>
              <w:jc w:val="left"/>
              <w:rPr>
                <w:lang w:val="it-IT"/>
              </w:rPr>
            </w:pPr>
            <w:r>
              <w:rPr>
                <w:lang w:val="it-IT"/>
              </w:rPr>
              <w:t>OIC 23.76</w:t>
            </w:r>
          </w:p>
        </w:tc>
        <w:tc>
          <w:tcPr>
            <w:tcW w:w="7078" w:type="dxa"/>
            <w:tcMar>
              <w:left w:w="108" w:type="dxa"/>
            </w:tcMar>
          </w:tcPr>
          <w:p w:rsidR="00445361" w:rsidRPr="0069452C" w:rsidRDefault="00445361" w:rsidP="00D73E98">
            <w:pPr>
              <w:spacing w:line="230" w:lineRule="exact"/>
              <w:rPr>
                <w:lang w:val="it-IT"/>
              </w:rPr>
            </w:pPr>
            <w:r w:rsidRPr="00BF4C2E">
              <w:rPr>
                <w:lang w:val="it-IT"/>
              </w:rPr>
              <w:t>L’avanzamento è stat</w:t>
            </w:r>
            <w:r>
              <w:rPr>
                <w:lang w:val="it-IT"/>
              </w:rPr>
              <w:t>o</w:t>
            </w:r>
            <w:r w:rsidRPr="00BF4C2E">
              <w:rPr>
                <w:lang w:val="it-IT"/>
              </w:rPr>
              <w:t xml:space="preserve"> determinato prendendo in considerazione solo le unità di prodotto consegnate (o anche solo accettate), e quindi escludendo i prodotti in corso di lavorazione o finiti </w:t>
            </w:r>
            <w:r>
              <w:rPr>
                <w:lang w:val="it-IT"/>
              </w:rPr>
              <w:t>ma non consegnati (o accettati)</w:t>
            </w:r>
            <w:r w:rsidRPr="00BF4C2E">
              <w:rPr>
                <w:lang w:val="it-IT"/>
              </w:rPr>
              <w:t xml:space="preserve"> che sono pertanto valutati al costo di produzione e classificati come rimanenze di magazzino?</w:t>
            </w:r>
          </w:p>
        </w:tc>
        <w:tc>
          <w:tcPr>
            <w:tcW w:w="564" w:type="dxa"/>
            <w:tcMar>
              <w:left w:w="85" w:type="dxa"/>
              <w:right w:w="85"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3F6B36" w:rsidRDefault="00445361" w:rsidP="00D73E98">
            <w:pPr>
              <w:pStyle w:val="PrincCont"/>
              <w:jc w:val="left"/>
              <w:rPr>
                <w:lang w:val="it-IT"/>
              </w:rPr>
            </w:pPr>
            <w:r>
              <w:rPr>
                <w:lang w:val="it-IT"/>
              </w:rPr>
              <w:t>OIC 23.75</w:t>
            </w:r>
          </w:p>
        </w:tc>
        <w:tc>
          <w:tcPr>
            <w:tcW w:w="7078" w:type="dxa"/>
            <w:tcMar>
              <w:left w:w="108" w:type="dxa"/>
            </w:tcMar>
          </w:tcPr>
          <w:p w:rsidR="00445361" w:rsidRPr="009F6D1B" w:rsidRDefault="00445361" w:rsidP="00D73E98">
            <w:pPr>
              <w:pStyle w:val="Commentiriquadro"/>
            </w:pPr>
            <w:r>
              <w:t>Il metodo può essere applicato nel caso di lavorazioni, spesso effettuate dall’appaltatore presso i propri stabilimenti, per commesse pluriennali che prevedono la fornitura di una serie di prodotti uguali o omogenei, ove il flusso della produzione sia allineato al flusso delle consegne (o accettazioni) e ove i ricavi ed i costi delle singole unità o, comunque, la percentuale di margine siano gli stessi o sostanzialmente gli stessi per tutte le unità.</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3F6B36" w:rsidRDefault="00445361" w:rsidP="00D73E98">
            <w:pPr>
              <w:pStyle w:val="PrincCont"/>
              <w:jc w:val="left"/>
              <w:rPr>
                <w:lang w:val="it-IT"/>
              </w:rPr>
            </w:pPr>
          </w:p>
        </w:tc>
        <w:tc>
          <w:tcPr>
            <w:tcW w:w="7078" w:type="dxa"/>
            <w:tcMar>
              <w:left w:w="108" w:type="dxa"/>
            </w:tcMar>
          </w:tcPr>
          <w:p w:rsidR="00445361" w:rsidRPr="002461C4" w:rsidRDefault="00445361" w:rsidP="00D73E98">
            <w:pPr>
              <w:pStyle w:val="Titolo4"/>
            </w:pPr>
            <w:r w:rsidRPr="00E06C9A">
              <w:t>Metodo delle misurazioni fisiche</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36)</w:t>
            </w:r>
          </w:p>
        </w:tc>
        <w:tc>
          <w:tcPr>
            <w:tcW w:w="856" w:type="dxa"/>
            <w:tcMar>
              <w:left w:w="108" w:type="dxa"/>
              <w:right w:w="0" w:type="dxa"/>
            </w:tcMar>
          </w:tcPr>
          <w:p w:rsidR="00445361" w:rsidRPr="003F6B36" w:rsidRDefault="00445361" w:rsidP="00D73E98">
            <w:pPr>
              <w:pStyle w:val="PrincCont"/>
              <w:jc w:val="left"/>
              <w:rPr>
                <w:lang w:val="it-IT"/>
              </w:rPr>
            </w:pPr>
            <w:r>
              <w:rPr>
                <w:lang w:val="it-IT"/>
              </w:rPr>
              <w:t>OIC 23.78</w:t>
            </w:r>
          </w:p>
        </w:tc>
        <w:tc>
          <w:tcPr>
            <w:tcW w:w="7078" w:type="dxa"/>
            <w:tcMar>
              <w:left w:w="108" w:type="dxa"/>
            </w:tcMar>
          </w:tcPr>
          <w:p w:rsidR="00445361" w:rsidRPr="00791195" w:rsidRDefault="00445361" w:rsidP="00D73E98">
            <w:pPr>
              <w:spacing w:line="230" w:lineRule="exact"/>
              <w:rPr>
                <w:lang w:val="it-IT"/>
              </w:rPr>
            </w:pPr>
            <w:r>
              <w:rPr>
                <w:lang w:val="it-IT"/>
              </w:rPr>
              <w:t>Q</w:t>
            </w:r>
            <w:r w:rsidRPr="00E06C9A">
              <w:rPr>
                <w:lang w:val="it-IT"/>
              </w:rPr>
              <w:t xml:space="preserve">uesto metodo è </w:t>
            </w:r>
            <w:r>
              <w:rPr>
                <w:lang w:val="it-IT"/>
              </w:rPr>
              <w:t>applicato solo se nel</w:t>
            </w:r>
            <w:r w:rsidRPr="00E06C9A">
              <w:rPr>
                <w:lang w:val="it-IT"/>
              </w:rPr>
              <w:t xml:space="preserve"> contratto s</w:t>
            </w:r>
            <w:r>
              <w:rPr>
                <w:lang w:val="it-IT"/>
              </w:rPr>
              <w:t>o</w:t>
            </w:r>
            <w:r w:rsidRPr="00E06C9A">
              <w:rPr>
                <w:lang w:val="it-IT"/>
              </w:rPr>
              <w:t>no espressamente previsti o s</w:t>
            </w:r>
            <w:r>
              <w:rPr>
                <w:lang w:val="it-IT"/>
              </w:rPr>
              <w:t>o</w:t>
            </w:r>
            <w:r w:rsidRPr="00E06C9A">
              <w:rPr>
                <w:lang w:val="it-IT"/>
              </w:rPr>
              <w:t>no altrimenti oggettivamente</w:t>
            </w:r>
            <w:r>
              <w:rPr>
                <w:lang w:val="it-IT"/>
              </w:rPr>
              <w:t xml:space="preserve"> </w:t>
            </w:r>
            <w:r w:rsidRPr="00E06C9A">
              <w:rPr>
                <w:lang w:val="it-IT"/>
              </w:rPr>
              <w:t>determinabili i prezzi per ciascuna opera o lavorazione nell’unità di misura utilizzata per la</w:t>
            </w:r>
            <w:r>
              <w:rPr>
                <w:lang w:val="it-IT"/>
              </w:rPr>
              <w:t xml:space="preserve"> </w:t>
            </w:r>
            <w:r w:rsidRPr="00791195">
              <w:rPr>
                <w:lang w:val="it-IT"/>
              </w:rPr>
              <w:t>rilevazione delle quantità prodotte</w:t>
            </w:r>
            <w:r>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6D6A78"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3F6B36" w:rsidRDefault="00445361" w:rsidP="00D73E98">
            <w:pPr>
              <w:pStyle w:val="PrincCont"/>
              <w:jc w:val="left"/>
              <w:rPr>
                <w:lang w:val="it-IT"/>
              </w:rPr>
            </w:pPr>
          </w:p>
        </w:tc>
        <w:tc>
          <w:tcPr>
            <w:tcW w:w="7078" w:type="dxa"/>
            <w:tcMar>
              <w:left w:w="108" w:type="dxa"/>
            </w:tcMar>
          </w:tcPr>
          <w:p w:rsidR="00445361" w:rsidRPr="00F26320" w:rsidRDefault="00445361" w:rsidP="00D73E98">
            <w:pPr>
              <w:pStyle w:val="Titolo3"/>
              <w:rPr>
                <w:lang w:val="it-IT"/>
              </w:rPr>
            </w:pPr>
            <w:r>
              <w:rPr>
                <w:lang w:val="it-IT"/>
              </w:rPr>
              <w:t>C</w:t>
            </w:r>
            <w:r w:rsidRPr="00F26320">
              <w:rPr>
                <w:lang w:val="it-IT"/>
              </w:rPr>
              <w:t>riterio della commessa completata</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37)</w:t>
            </w:r>
          </w:p>
        </w:tc>
        <w:tc>
          <w:tcPr>
            <w:tcW w:w="856" w:type="dxa"/>
            <w:tcMar>
              <w:left w:w="108" w:type="dxa"/>
              <w:right w:w="0" w:type="dxa"/>
            </w:tcMar>
          </w:tcPr>
          <w:p w:rsidR="00445361" w:rsidRPr="003F6B36" w:rsidRDefault="00445361" w:rsidP="00D73E98">
            <w:pPr>
              <w:pStyle w:val="PrincCont"/>
              <w:jc w:val="left"/>
              <w:rPr>
                <w:lang w:val="it-IT"/>
              </w:rPr>
            </w:pPr>
            <w:r>
              <w:rPr>
                <w:lang w:val="it-IT"/>
              </w:rPr>
              <w:t>OIC 23.80</w:t>
            </w:r>
          </w:p>
        </w:tc>
        <w:tc>
          <w:tcPr>
            <w:tcW w:w="7078" w:type="dxa"/>
            <w:tcMar>
              <w:left w:w="108" w:type="dxa"/>
            </w:tcMar>
          </w:tcPr>
          <w:p w:rsidR="00445361" w:rsidRPr="00791195" w:rsidRDefault="00445361" w:rsidP="00D73E98">
            <w:pPr>
              <w:spacing w:line="230" w:lineRule="exact"/>
              <w:rPr>
                <w:lang w:val="it-IT"/>
              </w:rPr>
            </w:pPr>
            <w:r>
              <w:rPr>
                <w:lang w:val="it-IT"/>
              </w:rPr>
              <w:t>Per le commesse valutate c</w:t>
            </w:r>
            <w:r w:rsidRPr="00A974C4">
              <w:rPr>
                <w:lang w:val="it-IT"/>
              </w:rPr>
              <w:t>on il criterio della commessa completata, i ricavi ed il margine di commessa sono riconosciuti</w:t>
            </w:r>
            <w:r>
              <w:rPr>
                <w:lang w:val="it-IT"/>
              </w:rPr>
              <w:t xml:space="preserve"> </w:t>
            </w:r>
            <w:r w:rsidRPr="00A974C4">
              <w:rPr>
                <w:lang w:val="it-IT"/>
              </w:rPr>
              <w:t>solo quando il contratto è completato,</w:t>
            </w:r>
            <w:r>
              <w:rPr>
                <w:lang w:val="it-IT"/>
              </w:rPr>
              <w:t xml:space="preserve"> ossia alla data in cui avviene il trasferimento dei rischi e benefici connessi al bene realizzato o i servizi sono resi</w:t>
            </w:r>
            <w:r w:rsidRPr="00A974C4">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38)</w:t>
            </w:r>
          </w:p>
        </w:tc>
        <w:tc>
          <w:tcPr>
            <w:tcW w:w="856" w:type="dxa"/>
            <w:tcMar>
              <w:left w:w="108" w:type="dxa"/>
              <w:right w:w="0" w:type="dxa"/>
            </w:tcMar>
          </w:tcPr>
          <w:p w:rsidR="00445361" w:rsidRPr="003F6B36" w:rsidRDefault="00445361" w:rsidP="00D73E98">
            <w:pPr>
              <w:pStyle w:val="PrincCont"/>
              <w:jc w:val="left"/>
              <w:rPr>
                <w:lang w:val="it-IT"/>
              </w:rPr>
            </w:pPr>
            <w:r>
              <w:rPr>
                <w:lang w:val="it-IT"/>
              </w:rPr>
              <w:t>OIC 23.81</w:t>
            </w:r>
          </w:p>
        </w:tc>
        <w:tc>
          <w:tcPr>
            <w:tcW w:w="7078" w:type="dxa"/>
            <w:tcMar>
              <w:left w:w="108" w:type="dxa"/>
            </w:tcMar>
          </w:tcPr>
          <w:p w:rsidR="00445361" w:rsidRPr="00A974C4" w:rsidRDefault="00445361" w:rsidP="00D73E98">
            <w:pPr>
              <w:spacing w:line="230" w:lineRule="exact"/>
              <w:rPr>
                <w:lang w:val="it-IT"/>
              </w:rPr>
            </w:pPr>
            <w:r>
              <w:rPr>
                <w:lang w:val="it-IT"/>
              </w:rPr>
              <w:t>I</w:t>
            </w:r>
            <w:r w:rsidRPr="00A974C4">
              <w:rPr>
                <w:lang w:val="it-IT"/>
              </w:rPr>
              <w:t xml:space="preserve"> lavori in corso su ordinazione </w:t>
            </w:r>
            <w:r>
              <w:rPr>
                <w:lang w:val="it-IT"/>
              </w:rPr>
              <w:t>per le commesse valutate c</w:t>
            </w:r>
            <w:r w:rsidRPr="00A974C4">
              <w:rPr>
                <w:lang w:val="it-IT"/>
              </w:rPr>
              <w:t>on il criterio della commessa completata sono valutati al</w:t>
            </w:r>
            <w:r>
              <w:rPr>
                <w:lang w:val="it-IT"/>
              </w:rPr>
              <w:t xml:space="preserve"> </w:t>
            </w:r>
            <w:r w:rsidRPr="00A974C4">
              <w:rPr>
                <w:lang w:val="it-IT"/>
              </w:rPr>
              <w:t>minore tra costo e valore di realizzazione desumib</w:t>
            </w:r>
            <w:r>
              <w:rPr>
                <w:lang w:val="it-IT"/>
              </w:rPr>
              <w:t>ile dall’andamento del mercato?</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39)</w:t>
            </w:r>
          </w:p>
        </w:tc>
        <w:tc>
          <w:tcPr>
            <w:tcW w:w="856" w:type="dxa"/>
            <w:tcMar>
              <w:left w:w="108" w:type="dxa"/>
              <w:right w:w="0" w:type="dxa"/>
            </w:tcMar>
          </w:tcPr>
          <w:p w:rsidR="00445361" w:rsidRPr="003F6B36" w:rsidRDefault="00445361" w:rsidP="00D73E98">
            <w:pPr>
              <w:pStyle w:val="PrincCont"/>
              <w:jc w:val="left"/>
              <w:rPr>
                <w:lang w:val="it-IT"/>
              </w:rPr>
            </w:pPr>
            <w:r>
              <w:rPr>
                <w:lang w:val="it-IT"/>
              </w:rPr>
              <w:t>OIC 23.80</w:t>
            </w:r>
          </w:p>
        </w:tc>
        <w:tc>
          <w:tcPr>
            <w:tcW w:w="7078" w:type="dxa"/>
            <w:tcMar>
              <w:left w:w="108" w:type="dxa"/>
            </w:tcMar>
          </w:tcPr>
          <w:p w:rsidR="00445361" w:rsidRPr="00A974C4" w:rsidRDefault="00445361" w:rsidP="00D73E98">
            <w:pPr>
              <w:spacing w:line="230" w:lineRule="exact"/>
              <w:rPr>
                <w:lang w:val="it-IT"/>
              </w:rPr>
            </w:pPr>
            <w:r w:rsidRPr="00A974C4">
              <w:rPr>
                <w:lang w:val="it-IT"/>
              </w:rPr>
              <w:t>I ricavi ed il margine della commessa sono riconosciuti soltanto quando il contratto è completato,</w:t>
            </w:r>
            <w:r>
              <w:rPr>
                <w:lang w:val="it-IT"/>
              </w:rPr>
              <w:t xml:space="preserve"> </w:t>
            </w:r>
            <w:r w:rsidRPr="00A974C4">
              <w:rPr>
                <w:lang w:val="it-IT"/>
              </w:rPr>
              <w:t>quando cioè</w:t>
            </w:r>
            <w:r>
              <w:rPr>
                <w:lang w:val="it-IT"/>
              </w:rPr>
              <w:t xml:space="preserve"> avviene il trasferimento dei rischi e benefici connessi al bene realizzato o i servizi sono resi</w:t>
            </w:r>
            <w:r w:rsidRPr="00A974C4">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40)</w:t>
            </w:r>
          </w:p>
        </w:tc>
        <w:tc>
          <w:tcPr>
            <w:tcW w:w="856" w:type="dxa"/>
            <w:tcMar>
              <w:left w:w="108" w:type="dxa"/>
              <w:right w:w="0" w:type="dxa"/>
            </w:tcMar>
          </w:tcPr>
          <w:p w:rsidR="00445361" w:rsidRPr="003F6B36" w:rsidRDefault="00445361" w:rsidP="00D73E98">
            <w:pPr>
              <w:pStyle w:val="PrincCont"/>
              <w:jc w:val="left"/>
              <w:rPr>
                <w:lang w:val="it-IT"/>
              </w:rPr>
            </w:pPr>
            <w:r>
              <w:rPr>
                <w:lang w:val="it-IT"/>
              </w:rPr>
              <w:t>OIC 23.82</w:t>
            </w:r>
          </w:p>
        </w:tc>
        <w:tc>
          <w:tcPr>
            <w:tcW w:w="7078" w:type="dxa"/>
            <w:tcMar>
              <w:left w:w="108" w:type="dxa"/>
            </w:tcMar>
          </w:tcPr>
          <w:p w:rsidR="00445361" w:rsidRPr="00463238" w:rsidRDefault="00445361" w:rsidP="00D73E98">
            <w:pPr>
              <w:spacing w:line="230" w:lineRule="exact"/>
              <w:ind w:left="318" w:hanging="284"/>
              <w:rPr>
                <w:lang w:val="it-IT"/>
              </w:rPr>
            </w:pPr>
            <w:r w:rsidRPr="00463238">
              <w:rPr>
                <w:lang w:val="it-IT"/>
              </w:rPr>
              <w:t>Si considera avvenuto il trasferimento dei rischi e benefici quando sono rispettate le seguenti</w:t>
            </w:r>
          </w:p>
          <w:p w:rsidR="00445361" w:rsidRPr="00CF4AED" w:rsidRDefault="00445361" w:rsidP="00D73E98">
            <w:pPr>
              <w:spacing w:line="230" w:lineRule="exact"/>
              <w:ind w:left="318" w:hanging="284"/>
              <w:rPr>
                <w:lang w:val="it-IT"/>
              </w:rPr>
            </w:pPr>
            <w:r w:rsidRPr="00463238">
              <w:rPr>
                <w:lang w:val="it-IT"/>
              </w:rPr>
              <w:t>condizioni:</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463238" w:rsidRDefault="00445361" w:rsidP="00D73E98">
            <w:pPr>
              <w:spacing w:line="230" w:lineRule="exact"/>
              <w:ind w:left="318" w:hanging="284"/>
              <w:rPr>
                <w:lang w:val="it-IT"/>
              </w:rPr>
            </w:pPr>
            <w:r w:rsidRPr="00463238">
              <w:rPr>
                <w:lang w:val="it-IT"/>
              </w:rPr>
              <w:t xml:space="preserve">1) </w:t>
            </w:r>
            <w:r>
              <w:rPr>
                <w:lang w:val="it-IT"/>
              </w:rPr>
              <w:tab/>
            </w:r>
            <w:r w:rsidRPr="00463238">
              <w:rPr>
                <w:lang w:val="it-IT"/>
              </w:rPr>
              <w:t>la costruzione del bene sia stata completata ed il bene accettato dal committente;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463238" w:rsidRDefault="00445361" w:rsidP="00D73E98">
            <w:pPr>
              <w:spacing w:line="230" w:lineRule="exact"/>
              <w:ind w:left="318" w:hanging="284"/>
              <w:rPr>
                <w:lang w:val="it-IT"/>
              </w:rPr>
            </w:pPr>
            <w:r w:rsidRPr="00463238">
              <w:rPr>
                <w:lang w:val="it-IT"/>
              </w:rPr>
              <w:t>2)</w:t>
            </w:r>
            <w:r>
              <w:rPr>
                <w:lang w:val="it-IT"/>
              </w:rPr>
              <w:tab/>
            </w:r>
            <w:r w:rsidRPr="00463238">
              <w:rPr>
                <w:lang w:val="it-IT"/>
              </w:rPr>
              <w:t>i collaudi siano stati effettuati con esito positivo; se il collaudo viene procrastinato per cause</w:t>
            </w:r>
            <w:r>
              <w:rPr>
                <w:lang w:val="it-IT"/>
              </w:rPr>
              <w:t xml:space="preserve"> </w:t>
            </w:r>
            <w:r w:rsidRPr="00463238">
              <w:rPr>
                <w:lang w:val="it-IT"/>
              </w:rPr>
              <w:t>non dipendenti dall’appaltatore, il contratto si può considerare completato, purché vengano</w:t>
            </w:r>
            <w:r>
              <w:rPr>
                <w:lang w:val="it-IT"/>
              </w:rPr>
              <w:t xml:space="preserve"> </w:t>
            </w:r>
            <w:r w:rsidRPr="00463238">
              <w:rPr>
                <w:lang w:val="it-IT"/>
              </w:rPr>
              <w:t>rispettate le altre condizioni ai punti 3 e 4 e la richiesta di collaudo sia documentata;</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463238" w:rsidRDefault="00445361" w:rsidP="00D73E98">
            <w:pPr>
              <w:spacing w:line="230" w:lineRule="exact"/>
              <w:ind w:left="318" w:hanging="284"/>
              <w:rPr>
                <w:lang w:val="it-IT"/>
              </w:rPr>
            </w:pPr>
            <w:r w:rsidRPr="00463238">
              <w:rPr>
                <w:lang w:val="it-IT"/>
              </w:rPr>
              <w:t>3)</w:t>
            </w:r>
            <w:r>
              <w:rPr>
                <w:lang w:val="it-IT"/>
              </w:rPr>
              <w:tab/>
            </w:r>
            <w:r w:rsidRPr="00463238">
              <w:rPr>
                <w:lang w:val="it-IT"/>
              </w:rPr>
              <w:t>eventuali costi da sostenere dopo il completamento siano di entità non significativa e siano</w:t>
            </w:r>
            <w:r>
              <w:rPr>
                <w:lang w:val="it-IT"/>
              </w:rPr>
              <w:t xml:space="preserve"> </w:t>
            </w:r>
            <w:r w:rsidRPr="00463238">
              <w:rPr>
                <w:lang w:val="it-IT"/>
              </w:rPr>
              <w:t>comunque stanziati;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463238" w:rsidRDefault="00445361" w:rsidP="00D73E98">
            <w:pPr>
              <w:spacing w:line="230" w:lineRule="exact"/>
              <w:ind w:left="318" w:hanging="284"/>
              <w:rPr>
                <w:lang w:val="it-IT"/>
              </w:rPr>
            </w:pPr>
            <w:r w:rsidRPr="00463238">
              <w:rPr>
                <w:lang w:val="it-IT"/>
              </w:rPr>
              <w:t xml:space="preserve">4) </w:t>
            </w:r>
            <w:r>
              <w:rPr>
                <w:lang w:val="it-IT"/>
              </w:rPr>
              <w:tab/>
            </w:r>
            <w:r w:rsidRPr="00463238">
              <w:rPr>
                <w:lang w:val="it-IT"/>
              </w:rPr>
              <w:t>gli eventuali effetti relativi a situazioni d’incertezza connessi con tali commesse, ancora</w:t>
            </w:r>
          </w:p>
          <w:p w:rsidR="00445361" w:rsidRPr="00463238" w:rsidRDefault="00445361" w:rsidP="00D73E98">
            <w:pPr>
              <w:spacing w:line="230" w:lineRule="exact"/>
              <w:ind w:left="318" w:hanging="284"/>
              <w:rPr>
                <w:lang w:val="it-IT"/>
              </w:rPr>
            </w:pPr>
            <w:r>
              <w:rPr>
                <w:lang w:val="it-IT"/>
              </w:rPr>
              <w:tab/>
            </w:r>
            <w:r w:rsidRPr="00463238">
              <w:rPr>
                <w:lang w:val="it-IT"/>
              </w:rPr>
              <w:t>presenti nonostante la costruzione sia stata completata, possano essere stimati con</w:t>
            </w:r>
          </w:p>
          <w:p w:rsidR="00445361" w:rsidRPr="00463238" w:rsidRDefault="00445361" w:rsidP="00D73E98">
            <w:pPr>
              <w:spacing w:line="230" w:lineRule="exact"/>
              <w:ind w:left="318" w:hanging="284"/>
              <w:rPr>
                <w:lang w:val="it-IT"/>
              </w:rPr>
            </w:pPr>
            <w:r>
              <w:rPr>
                <w:lang w:val="it-IT"/>
              </w:rPr>
              <w:tab/>
            </w:r>
            <w:r w:rsidRPr="00463238">
              <w:rPr>
                <w:lang w:val="it-IT"/>
              </w:rPr>
              <w:t>ragionevolezza e sia possibile effettuare per essi appropriati stanziamenti.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CC242B" w:rsidTr="00D73E98">
        <w:trPr>
          <w:cantSplit/>
          <w:trHeight w:val="20"/>
        </w:trPr>
        <w:tc>
          <w:tcPr>
            <w:tcW w:w="679" w:type="dxa"/>
          </w:tcPr>
          <w:p w:rsidR="00445361" w:rsidRPr="007D7BBE" w:rsidRDefault="00445361" w:rsidP="00D73E98">
            <w:pPr>
              <w:jc w:val="center"/>
              <w:rPr>
                <w:b/>
                <w:lang w:val="it-IT"/>
              </w:rPr>
            </w:pPr>
            <w:r w:rsidRPr="007D7BBE">
              <w:rPr>
                <w:b/>
                <w:lang w:val="it-IT"/>
              </w:rPr>
              <w:t>41)</w:t>
            </w:r>
          </w:p>
        </w:tc>
        <w:tc>
          <w:tcPr>
            <w:tcW w:w="856" w:type="dxa"/>
            <w:tcMar>
              <w:left w:w="108" w:type="dxa"/>
              <w:right w:w="0" w:type="dxa"/>
            </w:tcMar>
          </w:tcPr>
          <w:p w:rsidR="00445361" w:rsidRPr="003F6B36" w:rsidRDefault="00445361" w:rsidP="00D73E98">
            <w:pPr>
              <w:pStyle w:val="PrincCont"/>
              <w:jc w:val="left"/>
              <w:rPr>
                <w:lang w:val="it-IT"/>
              </w:rPr>
            </w:pPr>
            <w:r>
              <w:rPr>
                <w:lang w:val="it-IT"/>
              </w:rPr>
              <w:t>OIC 23.83</w:t>
            </w:r>
          </w:p>
        </w:tc>
        <w:tc>
          <w:tcPr>
            <w:tcW w:w="7078" w:type="dxa"/>
            <w:tcMar>
              <w:left w:w="108" w:type="dxa"/>
            </w:tcMar>
          </w:tcPr>
          <w:p w:rsidR="00445361" w:rsidRPr="00CF4AED" w:rsidRDefault="00445361" w:rsidP="00D73E98">
            <w:pPr>
              <w:spacing w:line="230" w:lineRule="exact"/>
              <w:rPr>
                <w:lang w:val="it-IT"/>
              </w:rPr>
            </w:pPr>
            <w:r w:rsidRPr="00CF4AED">
              <w:rPr>
                <w:lang w:val="it-IT"/>
              </w:rPr>
              <w:t xml:space="preserve">Nel conto economico dell’esercizio in cui la commessa si considera completata </w:t>
            </w:r>
            <w:r>
              <w:rPr>
                <w:lang w:val="it-IT"/>
              </w:rPr>
              <w:t>sono stati rilevati i seguenti costi e ricavi:</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3F6B36" w:rsidRDefault="00445361" w:rsidP="00D73E98">
            <w:pPr>
              <w:pStyle w:val="PrincCont"/>
              <w:jc w:val="left"/>
              <w:rPr>
                <w:lang w:val="it-IT"/>
              </w:rPr>
            </w:pPr>
          </w:p>
        </w:tc>
        <w:tc>
          <w:tcPr>
            <w:tcW w:w="7078" w:type="dxa"/>
            <w:tcMar>
              <w:left w:w="108" w:type="dxa"/>
            </w:tcMar>
          </w:tcPr>
          <w:p w:rsidR="00445361" w:rsidRPr="00791195" w:rsidRDefault="00445361" w:rsidP="004E27C2">
            <w:pPr>
              <w:pStyle w:val="Rientroa"/>
              <w:numPr>
                <w:ilvl w:val="0"/>
                <w:numId w:val="31"/>
              </w:numPr>
              <w:spacing w:line="230" w:lineRule="exact"/>
            </w:pPr>
            <w:r w:rsidRPr="00CF4AED">
              <w:t>i costi di commessa complessivi costituiti dalle rimanenze iniziali dei lavori in corso, dai costi</w:t>
            </w:r>
            <w:r>
              <w:t xml:space="preserve"> </w:t>
            </w:r>
            <w:r w:rsidRPr="00CF4AED">
              <w:t>sostenuti durante l’esercizio e dagli accantonamenti per costi da sostenersi dopo la chiusura</w:t>
            </w:r>
            <w:r>
              <w:t xml:space="preserve"> della commessa,</w:t>
            </w:r>
            <w:r w:rsidRPr="00CF4AED">
              <w:t xml:space="preserve"> 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3F6B36" w:rsidRDefault="00445361" w:rsidP="00D73E98">
            <w:pPr>
              <w:pStyle w:val="PrincCont"/>
              <w:jc w:val="left"/>
              <w:rPr>
                <w:lang w:val="it-IT"/>
              </w:rPr>
            </w:pPr>
          </w:p>
        </w:tc>
        <w:tc>
          <w:tcPr>
            <w:tcW w:w="7078" w:type="dxa"/>
            <w:tcMar>
              <w:left w:w="108" w:type="dxa"/>
            </w:tcMar>
          </w:tcPr>
          <w:p w:rsidR="00445361" w:rsidRPr="00791195" w:rsidRDefault="00445361" w:rsidP="004E27C2">
            <w:pPr>
              <w:pStyle w:val="Rientroa"/>
              <w:numPr>
                <w:ilvl w:val="0"/>
                <w:numId w:val="31"/>
              </w:numPr>
              <w:spacing w:line="230" w:lineRule="exact"/>
            </w:pPr>
            <w:r w:rsidRPr="00CF4AED">
              <w:t>i ricavi di commessa complessivi costituiti dagli anticipi e dagli acconti addebitati negli</w:t>
            </w:r>
            <w:r>
              <w:t xml:space="preserve"> </w:t>
            </w:r>
            <w:r w:rsidRPr="00CF4AED">
              <w:t>esercizi precedenti e inclusi tra gli acconti del passivo, i ricavi fatturati nell’esercizio e i ricavi</w:t>
            </w:r>
            <w:r>
              <w:t xml:space="preserve"> </w:t>
            </w:r>
            <w:r w:rsidRPr="00CF4AED">
              <w:t>ancora da fatturare ma che rifl</w:t>
            </w:r>
            <w:r>
              <w:t>ettono i corrispettivi pattuiti?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spacing w:line="240" w:lineRule="exact"/>
              <w:jc w:val="center"/>
              <w:rPr>
                <w:b/>
                <w:lang w:val="it-IT"/>
              </w:rPr>
            </w:pPr>
          </w:p>
        </w:tc>
        <w:tc>
          <w:tcPr>
            <w:tcW w:w="856" w:type="dxa"/>
            <w:tcMar>
              <w:left w:w="108" w:type="dxa"/>
              <w:right w:w="0" w:type="dxa"/>
            </w:tcMar>
          </w:tcPr>
          <w:p w:rsidR="00445361" w:rsidRDefault="00445361" w:rsidP="00D73E98">
            <w:pPr>
              <w:pStyle w:val="PrincCont"/>
              <w:spacing w:line="240" w:lineRule="exact"/>
              <w:jc w:val="left"/>
              <w:rPr>
                <w:lang w:val="it-IT"/>
              </w:rPr>
            </w:pPr>
          </w:p>
        </w:tc>
        <w:tc>
          <w:tcPr>
            <w:tcW w:w="7078" w:type="dxa"/>
            <w:tcMar>
              <w:left w:w="108" w:type="dxa"/>
            </w:tcMar>
            <w:vAlign w:val="center"/>
          </w:tcPr>
          <w:p w:rsidR="00445361" w:rsidRPr="00FF3B43" w:rsidRDefault="00445361" w:rsidP="00D73E98">
            <w:pPr>
              <w:pStyle w:val="Titolo3"/>
              <w:jc w:val="left"/>
            </w:pPr>
            <w:r>
              <w:t>Perdite probabili</w:t>
            </w:r>
          </w:p>
        </w:tc>
        <w:tc>
          <w:tcPr>
            <w:tcW w:w="564" w:type="dxa"/>
            <w:tcMar>
              <w:left w:w="85" w:type="dxa"/>
              <w:right w:w="85" w:type="dxa"/>
            </w:tcMar>
            <w:vAlign w:val="center"/>
          </w:tcPr>
          <w:p w:rsidR="00445361" w:rsidRPr="00502299" w:rsidRDefault="00445361" w:rsidP="00D73E98">
            <w:pPr>
              <w:spacing w:line="240" w:lineRule="exact"/>
              <w:ind w:firstLine="57"/>
              <w:rPr>
                <w:lang w:val="it-IT"/>
              </w:rPr>
            </w:pPr>
          </w:p>
        </w:tc>
        <w:tc>
          <w:tcPr>
            <w:tcW w:w="573" w:type="dxa"/>
            <w:tcMar>
              <w:left w:w="108" w:type="dxa"/>
            </w:tcMar>
            <w:vAlign w:val="center"/>
          </w:tcPr>
          <w:p w:rsidR="00445361" w:rsidRPr="00502299" w:rsidRDefault="00445361" w:rsidP="00D73E98">
            <w:pPr>
              <w:spacing w:line="240" w:lineRule="exact"/>
              <w:ind w:firstLine="57"/>
              <w:rPr>
                <w:lang w:val="it-IT"/>
              </w:rPr>
            </w:pPr>
          </w:p>
        </w:tc>
        <w:tc>
          <w:tcPr>
            <w:tcW w:w="570" w:type="dxa"/>
            <w:tcMar>
              <w:left w:w="108" w:type="dxa"/>
            </w:tcMar>
            <w:vAlign w:val="center"/>
          </w:tcPr>
          <w:p w:rsidR="00445361" w:rsidRPr="00502299" w:rsidRDefault="00445361" w:rsidP="00D73E98">
            <w:pPr>
              <w:spacing w:line="240" w:lineRule="exact"/>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42)</w:t>
            </w:r>
          </w:p>
        </w:tc>
        <w:tc>
          <w:tcPr>
            <w:tcW w:w="856" w:type="dxa"/>
            <w:tcMar>
              <w:left w:w="108" w:type="dxa"/>
              <w:right w:w="0" w:type="dxa"/>
            </w:tcMar>
          </w:tcPr>
          <w:p w:rsidR="00445361" w:rsidRDefault="00445361" w:rsidP="00D73E98">
            <w:pPr>
              <w:pStyle w:val="PrincCont"/>
              <w:jc w:val="left"/>
              <w:rPr>
                <w:lang w:val="it-IT"/>
              </w:rPr>
            </w:pPr>
            <w:r>
              <w:rPr>
                <w:lang w:val="it-IT"/>
              </w:rPr>
              <w:t>OIC 23.85</w:t>
            </w:r>
          </w:p>
        </w:tc>
        <w:tc>
          <w:tcPr>
            <w:tcW w:w="7078" w:type="dxa"/>
            <w:tcMar>
              <w:left w:w="108" w:type="dxa"/>
            </w:tcMar>
          </w:tcPr>
          <w:p w:rsidR="00445361" w:rsidRPr="00FF3B43" w:rsidRDefault="00445361" w:rsidP="00D73E98">
            <w:pPr>
              <w:pageBreakBefore/>
              <w:spacing w:line="230" w:lineRule="exact"/>
              <w:rPr>
                <w:lang w:val="it-IT"/>
              </w:rPr>
            </w:pPr>
            <w:r w:rsidRPr="00FF3B43">
              <w:rPr>
                <w:lang w:val="it-IT"/>
              </w:rPr>
              <w:t>A prescindere dal criterio di valutazione adottato, se è probabile che i costi totali stimati di una</w:t>
            </w:r>
            <w:r>
              <w:rPr>
                <w:lang w:val="it-IT"/>
              </w:rPr>
              <w:t xml:space="preserve"> </w:t>
            </w:r>
            <w:r w:rsidRPr="00FF3B43">
              <w:rPr>
                <w:lang w:val="it-IT"/>
              </w:rPr>
              <w:t>singola commessa eccedano i ricavi totali stimati, la perdita probabile per il completamento della</w:t>
            </w:r>
            <w:r>
              <w:rPr>
                <w:lang w:val="it-IT"/>
              </w:rPr>
              <w:t xml:space="preserve"> </w:t>
            </w:r>
            <w:r w:rsidRPr="00FF3B43">
              <w:rPr>
                <w:lang w:val="it-IT"/>
              </w:rPr>
              <w:t xml:space="preserve">commessa è </w:t>
            </w:r>
            <w:r>
              <w:rPr>
                <w:lang w:val="it-IT"/>
              </w:rPr>
              <w:t xml:space="preserve">stata </w:t>
            </w:r>
            <w:r w:rsidRPr="00FF3B43">
              <w:rPr>
                <w:lang w:val="it-IT"/>
              </w:rPr>
              <w:t>rilevata a decremento dei</w:t>
            </w:r>
            <w:r>
              <w:rPr>
                <w:lang w:val="it-IT"/>
              </w:rPr>
              <w:t xml:space="preserve"> lavori in corso su ordinazione?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43)</w:t>
            </w:r>
          </w:p>
        </w:tc>
        <w:tc>
          <w:tcPr>
            <w:tcW w:w="856" w:type="dxa"/>
            <w:tcMar>
              <w:left w:w="108" w:type="dxa"/>
              <w:right w:w="0" w:type="dxa"/>
            </w:tcMar>
          </w:tcPr>
          <w:p w:rsidR="00445361" w:rsidRDefault="00445361" w:rsidP="00D73E98">
            <w:pPr>
              <w:pStyle w:val="PrincCont"/>
              <w:jc w:val="left"/>
              <w:rPr>
                <w:lang w:val="it-IT"/>
              </w:rPr>
            </w:pPr>
            <w:r>
              <w:rPr>
                <w:lang w:val="it-IT"/>
              </w:rPr>
              <w:t>OIC 23.85</w:t>
            </w:r>
          </w:p>
        </w:tc>
        <w:tc>
          <w:tcPr>
            <w:tcW w:w="7078" w:type="dxa"/>
            <w:tcMar>
              <w:left w:w="108" w:type="dxa"/>
            </w:tcMar>
          </w:tcPr>
          <w:p w:rsidR="00445361" w:rsidRPr="00FF3B43" w:rsidRDefault="00445361" w:rsidP="00D73E98">
            <w:pPr>
              <w:pageBreakBefore/>
              <w:spacing w:line="230" w:lineRule="exact"/>
              <w:rPr>
                <w:lang w:val="it-IT"/>
              </w:rPr>
            </w:pPr>
            <w:r w:rsidRPr="00FF3B43">
              <w:rPr>
                <w:lang w:val="it-IT"/>
              </w:rPr>
              <w:t xml:space="preserve">Se </w:t>
            </w:r>
            <w:r>
              <w:rPr>
                <w:lang w:val="it-IT"/>
              </w:rPr>
              <w:t>la</w:t>
            </w:r>
            <w:r w:rsidRPr="00FF3B43">
              <w:rPr>
                <w:lang w:val="it-IT"/>
              </w:rPr>
              <w:t xml:space="preserve"> perdita </w:t>
            </w:r>
            <w:r>
              <w:rPr>
                <w:lang w:val="it-IT"/>
              </w:rPr>
              <w:t xml:space="preserve">probabile da rilevare </w:t>
            </w:r>
            <w:r w:rsidRPr="00FF3B43">
              <w:rPr>
                <w:lang w:val="it-IT"/>
              </w:rPr>
              <w:t>è superiore al</w:t>
            </w:r>
            <w:r>
              <w:rPr>
                <w:lang w:val="it-IT"/>
              </w:rPr>
              <w:t xml:space="preserve"> </w:t>
            </w:r>
            <w:r w:rsidRPr="00FF3B43">
              <w:rPr>
                <w:lang w:val="it-IT"/>
              </w:rPr>
              <w:t xml:space="preserve">valore dei lavori in corso, </w:t>
            </w:r>
            <w:r>
              <w:rPr>
                <w:lang w:val="it-IT"/>
              </w:rPr>
              <w:t xml:space="preserve">è stato </w:t>
            </w:r>
            <w:r w:rsidRPr="00FF3B43">
              <w:rPr>
                <w:lang w:val="it-IT"/>
              </w:rPr>
              <w:t>rileva</w:t>
            </w:r>
            <w:r>
              <w:rPr>
                <w:lang w:val="it-IT"/>
              </w:rPr>
              <w:t>to</w:t>
            </w:r>
            <w:r w:rsidRPr="00FF3B43">
              <w:rPr>
                <w:lang w:val="it-IT"/>
              </w:rPr>
              <w:t xml:space="preserve"> un apposito fondo per rischi e oneri pari</w:t>
            </w:r>
            <w:r>
              <w:rPr>
                <w:lang w:val="it-IT"/>
              </w:rPr>
              <w:t xml:space="preserve"> </w:t>
            </w:r>
            <w:r w:rsidRPr="00FF3B43">
              <w:rPr>
                <w:lang w:val="it-IT"/>
              </w:rPr>
              <w:t>all’eccedenza?</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44)</w:t>
            </w:r>
          </w:p>
        </w:tc>
        <w:tc>
          <w:tcPr>
            <w:tcW w:w="856" w:type="dxa"/>
            <w:tcMar>
              <w:left w:w="108" w:type="dxa"/>
              <w:right w:w="0" w:type="dxa"/>
            </w:tcMar>
          </w:tcPr>
          <w:p w:rsidR="00445361" w:rsidRDefault="00445361" w:rsidP="00D73E98">
            <w:pPr>
              <w:pStyle w:val="PrincCont"/>
              <w:jc w:val="left"/>
              <w:rPr>
                <w:lang w:val="it-IT"/>
              </w:rPr>
            </w:pPr>
            <w:r>
              <w:rPr>
                <w:lang w:val="it-IT"/>
              </w:rPr>
              <w:t>OIC 23.86</w:t>
            </w:r>
          </w:p>
        </w:tc>
        <w:tc>
          <w:tcPr>
            <w:tcW w:w="7078" w:type="dxa"/>
            <w:tcMar>
              <w:left w:w="108" w:type="dxa"/>
            </w:tcMar>
          </w:tcPr>
          <w:p w:rsidR="00445361" w:rsidRPr="00FF3B43" w:rsidRDefault="00445361" w:rsidP="00D73E98">
            <w:pPr>
              <w:pageBreakBefore/>
              <w:spacing w:line="224" w:lineRule="exact"/>
              <w:rPr>
                <w:lang w:val="it-IT"/>
              </w:rPr>
            </w:pPr>
            <w:r w:rsidRPr="00FF3B43">
              <w:rPr>
                <w:lang w:val="it-IT"/>
              </w:rPr>
              <w:t>La perdita probabile è rilevata nell’esercizio in cui è prevedibile sulla base di una obiettiva e</w:t>
            </w:r>
            <w:r>
              <w:rPr>
                <w:lang w:val="it-IT"/>
              </w:rPr>
              <w:t xml:space="preserve"> </w:t>
            </w:r>
            <w:r w:rsidRPr="00FF3B43">
              <w:rPr>
                <w:lang w:val="it-IT"/>
              </w:rPr>
              <w:t>ragionevole valutazi</w:t>
            </w:r>
            <w:r>
              <w:rPr>
                <w:lang w:val="it-IT"/>
              </w:rPr>
              <w:t>one delle circostanze esistenti</w:t>
            </w:r>
            <w:r w:rsidRPr="00FF3B43">
              <w:rPr>
                <w:lang w:val="it-IT"/>
              </w:rPr>
              <w:t xml:space="preserve"> </w:t>
            </w:r>
            <w:r>
              <w:rPr>
                <w:lang w:val="it-IT"/>
              </w:rPr>
              <w:t>e</w:t>
            </w:r>
            <w:r w:rsidRPr="00FF3B43">
              <w:rPr>
                <w:lang w:val="it-IT"/>
              </w:rPr>
              <w:t xml:space="preserve"> indipendentemente dallo</w:t>
            </w:r>
            <w:r>
              <w:rPr>
                <w:lang w:val="it-IT"/>
              </w:rPr>
              <w:t xml:space="preserve"> </w:t>
            </w:r>
            <w:r w:rsidRPr="00FF3B43">
              <w:rPr>
                <w:lang w:val="it-IT"/>
              </w:rPr>
              <w:t>stat</w:t>
            </w:r>
            <w:r>
              <w:rPr>
                <w:lang w:val="it-IT"/>
              </w:rPr>
              <w:t>o di avanzamento della commessa?</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FF3B43" w:rsidRDefault="00445361" w:rsidP="00D73E98">
            <w:pPr>
              <w:pStyle w:val="Commentiriquadro"/>
            </w:pPr>
            <w:r w:rsidRPr="00FF3B43">
              <w:t>Non è possibile compensare tale perdita con margini</w:t>
            </w:r>
            <w:r>
              <w:t xml:space="preserve"> </w:t>
            </w:r>
            <w:r w:rsidRPr="00FF3B43">
              <w:t>positivi previsti su altre commesse. Al fine del riconoscimento delle perdite, le commesse sono</w:t>
            </w:r>
            <w:r>
              <w:t xml:space="preserve"> </w:t>
            </w:r>
            <w:r w:rsidRPr="00FF3B43">
              <w:t>quindi considerate individualmente.</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C40668"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vAlign w:val="center"/>
          </w:tcPr>
          <w:p w:rsidR="00445361" w:rsidRPr="008C6065" w:rsidRDefault="00445361" w:rsidP="00D73E98">
            <w:pPr>
              <w:pStyle w:val="Titolo3"/>
              <w:jc w:val="left"/>
              <w:rPr>
                <w:lang w:val="it-IT"/>
              </w:rPr>
            </w:pPr>
            <w:r w:rsidRPr="00C40668">
              <w:rPr>
                <w:lang w:val="it-IT"/>
              </w:rPr>
              <w:t>Proventi e oneri finanziari</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45)</w:t>
            </w:r>
          </w:p>
        </w:tc>
        <w:tc>
          <w:tcPr>
            <w:tcW w:w="856" w:type="dxa"/>
            <w:tcMar>
              <w:left w:w="108" w:type="dxa"/>
              <w:right w:w="0" w:type="dxa"/>
            </w:tcMar>
          </w:tcPr>
          <w:p w:rsidR="00445361" w:rsidRDefault="00445361" w:rsidP="00D73E98">
            <w:pPr>
              <w:pStyle w:val="PrincCont"/>
              <w:jc w:val="left"/>
              <w:rPr>
                <w:lang w:val="it-IT"/>
              </w:rPr>
            </w:pPr>
            <w:r>
              <w:rPr>
                <w:lang w:val="it-IT"/>
              </w:rPr>
              <w:t>OIC 23.87</w:t>
            </w:r>
          </w:p>
        </w:tc>
        <w:tc>
          <w:tcPr>
            <w:tcW w:w="7078" w:type="dxa"/>
            <w:tcMar>
              <w:left w:w="108" w:type="dxa"/>
            </w:tcMar>
          </w:tcPr>
          <w:p w:rsidR="00445361" w:rsidRPr="00526C53" w:rsidRDefault="00445361" w:rsidP="00D73E98">
            <w:pPr>
              <w:spacing w:line="224" w:lineRule="exact"/>
              <w:rPr>
                <w:lang w:val="it-IT"/>
              </w:rPr>
            </w:pPr>
            <w:r w:rsidRPr="00526C53">
              <w:rPr>
                <w:lang w:val="it-IT"/>
              </w:rPr>
              <w:t>I proventi e gli oneri finanziari costituiscono componenti positivi e negativi di reddito e sono</w:t>
            </w:r>
            <w:r>
              <w:rPr>
                <w:lang w:val="it-IT"/>
              </w:rPr>
              <w:t xml:space="preserve"> </w:t>
            </w:r>
            <w:r w:rsidRPr="00526C53">
              <w:rPr>
                <w:lang w:val="it-IT"/>
              </w:rPr>
              <w:t>rilevati direttamente al conto economico nel momento in cui maturano o sono sostenuti, sia che</w:t>
            </w:r>
            <w:r>
              <w:rPr>
                <w:lang w:val="it-IT"/>
              </w:rPr>
              <w:t xml:space="preserve"> </w:t>
            </w:r>
            <w:r w:rsidRPr="00526C53">
              <w:rPr>
                <w:lang w:val="it-IT"/>
              </w:rPr>
              <w:t>venga adottato il criterio della commessa completata sia che venga adottato il criterio della</w:t>
            </w:r>
            <w:r>
              <w:rPr>
                <w:lang w:val="it-IT"/>
              </w:rPr>
              <w:t xml:space="preserve"> </w:t>
            </w:r>
            <w:r w:rsidRPr="00526C53">
              <w:rPr>
                <w:lang w:val="it-IT"/>
              </w:rPr>
              <w:t>percentuale di completamento</w:t>
            </w:r>
            <w:r>
              <w:rPr>
                <w:lang w:val="it-IT"/>
              </w:rPr>
              <w:t>?</w:t>
            </w:r>
            <w:r w:rsidRPr="00526C53">
              <w:rPr>
                <w:lang w:val="it-IT"/>
              </w:rPr>
              <w:t xml:space="preserve"> </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r>
              <w:rPr>
                <w:lang w:val="it-IT"/>
              </w:rPr>
              <w:t>OIC 23.87</w:t>
            </w:r>
          </w:p>
        </w:tc>
        <w:tc>
          <w:tcPr>
            <w:tcW w:w="7078" w:type="dxa"/>
            <w:tcMar>
              <w:left w:w="108" w:type="dxa"/>
            </w:tcMar>
          </w:tcPr>
          <w:p w:rsidR="00445361" w:rsidRPr="00526C53" w:rsidRDefault="00445361" w:rsidP="00D73E98">
            <w:pPr>
              <w:pStyle w:val="Commentiriquadro"/>
            </w:pPr>
            <w:r w:rsidRPr="00526C53">
              <w:t>Nella normalità dei casi, i lavori in corso su ordinazione sono,</w:t>
            </w:r>
            <w:r>
              <w:t xml:space="preserve"> </w:t>
            </w:r>
            <w:r w:rsidRPr="00526C53">
              <w:t>infatti, finanziati dai committenti stessi attraverso l’erogazione di anticipi e acconti; pertanto,</w:t>
            </w:r>
            <w:r>
              <w:t xml:space="preserve"> </w:t>
            </w:r>
            <w:r w:rsidRPr="00526C53">
              <w:t>l’esecuzione della commessa, anche ultrannuale, non comporta rilevanti sbilanci o eccedenze</w:t>
            </w:r>
            <w:r>
              <w:t xml:space="preserve"> </w:t>
            </w:r>
            <w:r w:rsidRPr="00526C53">
              <w:t>finanziarie e quindi, proventi e oneri finanziari.</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46)</w:t>
            </w:r>
          </w:p>
        </w:tc>
        <w:tc>
          <w:tcPr>
            <w:tcW w:w="856" w:type="dxa"/>
            <w:tcMar>
              <w:left w:w="108" w:type="dxa"/>
              <w:right w:w="0" w:type="dxa"/>
            </w:tcMar>
          </w:tcPr>
          <w:p w:rsidR="00445361" w:rsidRDefault="00445361" w:rsidP="00D73E98">
            <w:pPr>
              <w:pStyle w:val="PrincCont"/>
              <w:jc w:val="left"/>
              <w:rPr>
                <w:lang w:val="it-IT"/>
              </w:rPr>
            </w:pPr>
            <w:r>
              <w:rPr>
                <w:lang w:val="it-IT"/>
              </w:rPr>
              <w:t>OIC 23.88</w:t>
            </w:r>
          </w:p>
        </w:tc>
        <w:tc>
          <w:tcPr>
            <w:tcW w:w="7078" w:type="dxa"/>
            <w:tcMar>
              <w:left w:w="108" w:type="dxa"/>
            </w:tcMar>
          </w:tcPr>
          <w:p w:rsidR="00445361" w:rsidRPr="00A13A35" w:rsidRDefault="00445361" w:rsidP="00D73E98">
            <w:pPr>
              <w:spacing w:line="224" w:lineRule="exact"/>
              <w:rPr>
                <w:lang w:val="it-IT"/>
              </w:rPr>
            </w:pPr>
            <w:r w:rsidRPr="00A13A35">
              <w:rPr>
                <w:lang w:val="it-IT"/>
              </w:rPr>
              <w:t>La capitalizzazione degli oneri finanziari è effettuata quando ricorrono: a) le condizioni stabilite dall’OIC 16 “</w:t>
            </w:r>
            <w:r w:rsidRPr="00A13A35">
              <w:rPr>
                <w:iCs/>
                <w:lang w:val="it-IT"/>
              </w:rPr>
              <w:t>Immobilizzazioni materiali</w:t>
            </w:r>
            <w:r w:rsidRPr="00A13A35">
              <w:rPr>
                <w:lang w:val="it-IT"/>
              </w:rPr>
              <w:t>” (si veda la sezione specifica); b) le condizioni indicate nei paragrafi 59 nel caso di applicazione della percentuale di completamento e 84 nel caso di applicazione del criterio della commessa completata?</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CC242B" w:rsidTr="00D73E98">
        <w:trPr>
          <w:cantSplit/>
          <w:trHeight w:val="20"/>
        </w:trPr>
        <w:tc>
          <w:tcPr>
            <w:tcW w:w="679" w:type="dxa"/>
          </w:tcPr>
          <w:p w:rsidR="00445361" w:rsidRPr="007D7BBE" w:rsidRDefault="00445361" w:rsidP="00D73E98">
            <w:pPr>
              <w:jc w:val="center"/>
              <w:rPr>
                <w:b/>
                <w:lang w:val="it-IT"/>
              </w:rPr>
            </w:pPr>
            <w:r w:rsidRPr="007D7BBE">
              <w:rPr>
                <w:b/>
                <w:lang w:val="it-IT"/>
              </w:rPr>
              <w:t>47)</w:t>
            </w:r>
          </w:p>
        </w:tc>
        <w:tc>
          <w:tcPr>
            <w:tcW w:w="856" w:type="dxa"/>
            <w:tcMar>
              <w:left w:w="108" w:type="dxa"/>
              <w:right w:w="0" w:type="dxa"/>
            </w:tcMar>
          </w:tcPr>
          <w:p w:rsidR="00445361" w:rsidRDefault="00445361" w:rsidP="00D73E98">
            <w:pPr>
              <w:pStyle w:val="PrincCont"/>
              <w:jc w:val="left"/>
              <w:rPr>
                <w:lang w:val="it-IT"/>
              </w:rPr>
            </w:pPr>
            <w:r>
              <w:rPr>
                <w:lang w:val="it-IT"/>
              </w:rPr>
              <w:t>OIC 23.84</w:t>
            </w:r>
          </w:p>
        </w:tc>
        <w:tc>
          <w:tcPr>
            <w:tcW w:w="7078" w:type="dxa"/>
            <w:tcMar>
              <w:left w:w="108" w:type="dxa"/>
            </w:tcMar>
          </w:tcPr>
          <w:p w:rsidR="00445361" w:rsidRPr="00A13A35" w:rsidRDefault="00445361" w:rsidP="00D73E98">
            <w:pPr>
              <w:spacing w:line="224" w:lineRule="exact"/>
              <w:rPr>
                <w:lang w:val="it-IT"/>
              </w:rPr>
            </w:pPr>
            <w:r w:rsidRPr="00A13A35">
              <w:rPr>
                <w:lang w:val="it-IT"/>
              </w:rPr>
              <w:t>Se è applicato il criterio della commessa completata, sono state rispettate le seguenti condizioni per l’inserimento degli oneri finanziari tra i costi di commessa:</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A13A35" w:rsidRDefault="00445361" w:rsidP="00AC34B7">
            <w:pPr>
              <w:spacing w:line="224" w:lineRule="exact"/>
              <w:ind w:left="317" w:hanging="317"/>
              <w:rPr>
                <w:lang w:val="it-IT"/>
              </w:rPr>
            </w:pPr>
            <w:r w:rsidRPr="00A13A35">
              <w:rPr>
                <w:lang w:val="it-IT"/>
              </w:rPr>
              <w:t xml:space="preserve">a) </w:t>
            </w:r>
            <w:r w:rsidRPr="00A13A35">
              <w:rPr>
                <w:lang w:val="it-IT"/>
              </w:rPr>
              <w:tab/>
              <w:t>l’appaltatore non riceve anticipi ed acconti di entità tale da evitare squilibri rilevanti nei flussi finanziari e dunque la quota finanziata dal committente non è rilevante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A13A35" w:rsidRDefault="00445361" w:rsidP="00AC34B7">
            <w:pPr>
              <w:spacing w:line="224" w:lineRule="exact"/>
              <w:ind w:left="317" w:hanging="317"/>
              <w:rPr>
                <w:lang w:val="it-IT"/>
              </w:rPr>
            </w:pPr>
            <w:r w:rsidRPr="00A13A35">
              <w:rPr>
                <w:lang w:val="it-IT"/>
              </w:rPr>
              <w:t xml:space="preserve">b) </w:t>
            </w:r>
            <w:r w:rsidRPr="00A13A35">
              <w:rPr>
                <w:lang w:val="it-IT"/>
              </w:rPr>
              <w:tab/>
              <w:t>gli interessi sono recuperabili con i ricavi della commessa e ciò sia comprovabile con un preventivo di commessa che ne tenga conto?</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CC242B" w:rsidTr="00D73E98">
        <w:trPr>
          <w:cantSplit/>
          <w:trHeight w:val="20"/>
        </w:trPr>
        <w:tc>
          <w:tcPr>
            <w:tcW w:w="679" w:type="dxa"/>
          </w:tcPr>
          <w:p w:rsidR="00445361" w:rsidRPr="007D7BBE" w:rsidRDefault="00445361" w:rsidP="00D73E98">
            <w:pPr>
              <w:jc w:val="center"/>
              <w:rPr>
                <w:b/>
                <w:lang w:val="it-IT"/>
              </w:rPr>
            </w:pPr>
            <w:r w:rsidRPr="007D7BBE">
              <w:rPr>
                <w:b/>
                <w:lang w:val="it-IT"/>
              </w:rPr>
              <w:t>48)</w:t>
            </w:r>
          </w:p>
        </w:tc>
        <w:tc>
          <w:tcPr>
            <w:tcW w:w="856" w:type="dxa"/>
            <w:tcMar>
              <w:left w:w="108" w:type="dxa"/>
              <w:right w:w="0" w:type="dxa"/>
            </w:tcMar>
          </w:tcPr>
          <w:p w:rsidR="00445361" w:rsidRDefault="00445361" w:rsidP="00D73E98">
            <w:pPr>
              <w:pStyle w:val="PrincCont"/>
              <w:jc w:val="left"/>
              <w:rPr>
                <w:lang w:val="it-IT"/>
              </w:rPr>
            </w:pPr>
            <w:r>
              <w:rPr>
                <w:lang w:val="it-IT"/>
              </w:rPr>
              <w:t>OIC 23.59</w:t>
            </w:r>
          </w:p>
        </w:tc>
        <w:tc>
          <w:tcPr>
            <w:tcW w:w="7078" w:type="dxa"/>
            <w:tcMar>
              <w:left w:w="108" w:type="dxa"/>
            </w:tcMar>
          </w:tcPr>
          <w:p w:rsidR="00445361" w:rsidRPr="005E2255" w:rsidRDefault="00445361" w:rsidP="00D73E98">
            <w:pPr>
              <w:spacing w:line="224" w:lineRule="exact"/>
              <w:rPr>
                <w:lang w:val="it-IT"/>
              </w:rPr>
            </w:pPr>
            <w:r w:rsidRPr="00A13A35">
              <w:rPr>
                <w:lang w:val="it-IT"/>
              </w:rPr>
              <w:t>Se è applicato il criterio della percentuale di completamento e gli oneri finanziari sono stati inseriti tra i costi della commessa e come tali partecipano ai risultati dell’esercizio in funzione dell’avanzamento dei lavori, sussistono le seguenti condizioni:</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A13A35" w:rsidRDefault="00445361" w:rsidP="00D73E98">
            <w:pPr>
              <w:spacing w:line="240" w:lineRule="exact"/>
              <w:ind w:left="317" w:hanging="317"/>
              <w:rPr>
                <w:lang w:val="it-IT"/>
              </w:rPr>
            </w:pPr>
            <w:r w:rsidRPr="00A13A35">
              <w:rPr>
                <w:lang w:val="it-IT"/>
              </w:rPr>
              <w:t xml:space="preserve">a) </w:t>
            </w:r>
            <w:r w:rsidRPr="00A13A35">
              <w:rPr>
                <w:lang w:val="it-IT"/>
              </w:rPr>
              <w:tab/>
              <w:t>in virtù delle clausole contrattuali o altro, gli aspetti finanziari costituiscono un elemento determinante per valutare la redditività della commessa</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A13A35" w:rsidRDefault="00445361" w:rsidP="00D73E98">
            <w:pPr>
              <w:spacing w:line="230" w:lineRule="exact"/>
              <w:ind w:left="317" w:hanging="317"/>
              <w:rPr>
                <w:lang w:val="it-IT"/>
              </w:rPr>
            </w:pPr>
            <w:r w:rsidRPr="00A13A35">
              <w:rPr>
                <w:lang w:val="it-IT"/>
              </w:rPr>
              <w:t xml:space="preserve">b) </w:t>
            </w:r>
            <w:r w:rsidRPr="00A13A35">
              <w:rPr>
                <w:lang w:val="it-IT"/>
              </w:rPr>
              <w:tab/>
              <w:t>l’appaltatore non riceve anticipi ed acconti di entità tale da evitare squilibri rilevanti nei flussi finanziari e dunque la quota finanziata dal committente non è rilevante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A13A35" w:rsidRDefault="00445361" w:rsidP="00D73E98">
            <w:pPr>
              <w:tabs>
                <w:tab w:val="left" w:pos="308"/>
              </w:tabs>
              <w:spacing w:line="230" w:lineRule="exact"/>
              <w:ind w:left="317" w:hanging="317"/>
              <w:rPr>
                <w:lang w:val="it-IT"/>
              </w:rPr>
            </w:pPr>
            <w:r>
              <w:rPr>
                <w:lang w:val="it-IT"/>
              </w:rPr>
              <w:t>c)</w:t>
            </w:r>
            <w:r>
              <w:rPr>
                <w:lang w:val="it-IT"/>
              </w:rPr>
              <w:tab/>
            </w:r>
            <w:r w:rsidRPr="00A13A35">
              <w:rPr>
                <w:lang w:val="it-IT"/>
              </w:rPr>
              <w:t>la percentuale di completamento è stimata attraverso il metodo del costo sostenuto (</w:t>
            </w:r>
            <w:r w:rsidRPr="00A13A35">
              <w:rPr>
                <w:i/>
                <w:iCs/>
                <w:lang w:val="it-IT"/>
              </w:rPr>
              <w:t>cost-to-cost</w:t>
            </w:r>
            <w:r w:rsidRPr="00A13A35">
              <w:rPr>
                <w:lang w:val="it-IT"/>
              </w:rPr>
              <w:t>) o altri metodi in cui la valutazione dei lavori è funzione dei ricavi e costi previsti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A13A35" w:rsidRDefault="00445361" w:rsidP="00AC34B7">
            <w:pPr>
              <w:spacing w:line="230" w:lineRule="exact"/>
              <w:ind w:left="308" w:hanging="308"/>
              <w:rPr>
                <w:lang w:val="it-IT"/>
              </w:rPr>
            </w:pPr>
            <w:r w:rsidRPr="00A13A35">
              <w:rPr>
                <w:lang w:val="it-IT"/>
              </w:rPr>
              <w:t xml:space="preserve">d) </w:t>
            </w:r>
            <w:r w:rsidRPr="00A13A35">
              <w:rPr>
                <w:lang w:val="it-IT"/>
              </w:rPr>
              <w:tab/>
              <w:t>gli interessi sono recuperabili con i ricavi della commessa e ciò sia comprovabile con un preventivo di commessa che ne tenga conto?</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r>
              <w:rPr>
                <w:lang w:val="it-IT"/>
              </w:rPr>
              <w:t>OIC 23.59</w:t>
            </w:r>
          </w:p>
        </w:tc>
        <w:tc>
          <w:tcPr>
            <w:tcW w:w="7078" w:type="dxa"/>
            <w:tcMar>
              <w:left w:w="108" w:type="dxa"/>
            </w:tcMar>
          </w:tcPr>
          <w:p w:rsidR="00445361" w:rsidRPr="00E97D0F" w:rsidRDefault="00445361" w:rsidP="00D73E98">
            <w:pPr>
              <w:pStyle w:val="Commentiriquadro"/>
              <w:rPr>
                <w:highlight w:val="red"/>
              </w:rPr>
            </w:pPr>
            <w:r w:rsidRPr="00A13A35">
              <w:t>Non è consentita la rilevazione degli oneri finanziari quali costi di commessa in caso di applicazione del metodo delle misurazioni fisiche o similari;</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vAlign w:val="center"/>
          </w:tcPr>
          <w:p w:rsidR="00445361" w:rsidRPr="004B2E83" w:rsidRDefault="00445361" w:rsidP="00D73E98">
            <w:pPr>
              <w:pStyle w:val="Titolo3"/>
              <w:jc w:val="left"/>
              <w:rPr>
                <w:lang w:val="it-IT"/>
              </w:rPr>
            </w:pPr>
            <w:r w:rsidRPr="004B2E83">
              <w:rPr>
                <w:lang w:val="it-IT"/>
              </w:rPr>
              <w:t>Rettifiche di ricavo o costo dopo la chiusura della commessa</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r>
              <w:rPr>
                <w:lang w:val="it-IT"/>
              </w:rPr>
              <w:t>OIC 23.89</w:t>
            </w:r>
          </w:p>
        </w:tc>
        <w:tc>
          <w:tcPr>
            <w:tcW w:w="7078" w:type="dxa"/>
            <w:tcMar>
              <w:left w:w="108" w:type="dxa"/>
            </w:tcMar>
          </w:tcPr>
          <w:p w:rsidR="00445361" w:rsidRPr="004B2E83" w:rsidRDefault="00445361" w:rsidP="00D73E98">
            <w:pPr>
              <w:pStyle w:val="Commentiriquadro"/>
            </w:pPr>
            <w:r w:rsidRPr="004B2E83">
              <w:t>È normale, per le società appaltatrici che eseguono lavori su ordinazione (specie se ultrannuali),</w:t>
            </w:r>
            <w:r>
              <w:t xml:space="preserve"> </w:t>
            </w:r>
            <w:r w:rsidRPr="004B2E83">
              <w:t>che emergano, successivamente alla chiusura delle commesse, sopravvenienze attive e passive</w:t>
            </w:r>
            <w:r>
              <w:t xml:space="preserve"> </w:t>
            </w:r>
            <w:r w:rsidRPr="004B2E83">
              <w:t>rispettivamente per ricavi che non potevano essere rilevati a causa del loro incerto realizzo e per</w:t>
            </w:r>
            <w:r>
              <w:t xml:space="preserve"> </w:t>
            </w:r>
            <w:r w:rsidRPr="004B2E83">
              <w:t>conguagli di costo rispetto alle stime effettuate in base agli elementi a quel tempo disponibili.</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49)</w:t>
            </w:r>
          </w:p>
        </w:tc>
        <w:tc>
          <w:tcPr>
            <w:tcW w:w="856" w:type="dxa"/>
            <w:tcMar>
              <w:left w:w="108" w:type="dxa"/>
              <w:right w:w="0" w:type="dxa"/>
            </w:tcMar>
          </w:tcPr>
          <w:p w:rsidR="00445361" w:rsidRDefault="00445361" w:rsidP="00D73E98">
            <w:pPr>
              <w:pStyle w:val="PrincCont"/>
              <w:jc w:val="left"/>
              <w:rPr>
                <w:lang w:val="it-IT"/>
              </w:rPr>
            </w:pPr>
            <w:r>
              <w:rPr>
                <w:lang w:val="it-IT"/>
              </w:rPr>
              <w:t>OIC 23.89</w:t>
            </w:r>
          </w:p>
        </w:tc>
        <w:tc>
          <w:tcPr>
            <w:tcW w:w="7078" w:type="dxa"/>
            <w:tcMar>
              <w:left w:w="108" w:type="dxa"/>
            </w:tcMar>
          </w:tcPr>
          <w:p w:rsidR="00445361" w:rsidRPr="004B2E83" w:rsidRDefault="00445361" w:rsidP="00D73E98">
            <w:pPr>
              <w:spacing w:line="224" w:lineRule="exact"/>
              <w:rPr>
                <w:lang w:val="it-IT"/>
              </w:rPr>
            </w:pPr>
            <w:r>
              <w:rPr>
                <w:lang w:val="it-IT"/>
              </w:rPr>
              <w:t xml:space="preserve">Le </w:t>
            </w:r>
            <w:r w:rsidRPr="004B2E83">
              <w:rPr>
                <w:lang w:val="it-IT"/>
              </w:rPr>
              <w:t xml:space="preserve">sopravvenienze </w:t>
            </w:r>
            <w:r>
              <w:rPr>
                <w:lang w:val="it-IT"/>
              </w:rPr>
              <w:t xml:space="preserve">di costi e ricavi relativi a commesse chiuse in esercizi precedenti </w:t>
            </w:r>
            <w:r w:rsidRPr="004B2E83">
              <w:rPr>
                <w:lang w:val="it-IT"/>
              </w:rPr>
              <w:t>sono rilevate nell’esercizio in cui si verificano come valore della produzione o</w:t>
            </w:r>
            <w:r>
              <w:rPr>
                <w:lang w:val="it-IT"/>
              </w:rPr>
              <w:t xml:space="preserve"> </w:t>
            </w:r>
            <w:r w:rsidRPr="004B2E83">
              <w:rPr>
                <w:lang w:val="it-IT"/>
              </w:rPr>
              <w:t xml:space="preserve">costi di produzione di </w:t>
            </w:r>
            <w:r>
              <w:rPr>
                <w:lang w:val="it-IT"/>
              </w:rPr>
              <w:t xml:space="preserve">tale </w:t>
            </w:r>
            <w:r w:rsidRPr="004B2E83">
              <w:rPr>
                <w:lang w:val="it-IT"/>
              </w:rPr>
              <w:t>esercizio</w:t>
            </w:r>
            <w:r>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1C6EDF" w:rsidRDefault="00445361" w:rsidP="00D73E98">
            <w:pPr>
              <w:pStyle w:val="Titolo3"/>
              <w:rPr>
                <w:lang w:val="it-IT"/>
              </w:rPr>
            </w:pPr>
            <w:r w:rsidRPr="001C6EDF">
              <w:rPr>
                <w:lang w:val="it-IT"/>
              </w:rPr>
              <w:t>Modifica dei criteri di valutazione e delle stime</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1C6EDF" w:rsidTr="00D73E98">
        <w:trPr>
          <w:cantSplit/>
          <w:trHeight w:val="20"/>
        </w:trPr>
        <w:tc>
          <w:tcPr>
            <w:tcW w:w="679" w:type="dxa"/>
          </w:tcPr>
          <w:p w:rsidR="00445361" w:rsidRPr="007D7BBE" w:rsidRDefault="00445361" w:rsidP="00D73E98">
            <w:pPr>
              <w:jc w:val="center"/>
              <w:rPr>
                <w:b/>
                <w:lang w:val="it-IT"/>
              </w:rPr>
            </w:pPr>
            <w:r w:rsidRPr="007D7BBE">
              <w:rPr>
                <w:b/>
                <w:lang w:val="it-IT"/>
              </w:rPr>
              <w:t>50)</w:t>
            </w:r>
          </w:p>
        </w:tc>
        <w:tc>
          <w:tcPr>
            <w:tcW w:w="856" w:type="dxa"/>
            <w:tcMar>
              <w:left w:w="108" w:type="dxa"/>
              <w:right w:w="0" w:type="dxa"/>
            </w:tcMar>
          </w:tcPr>
          <w:p w:rsidR="00445361" w:rsidRDefault="00445361" w:rsidP="00D73E98">
            <w:pPr>
              <w:pStyle w:val="PrincCont"/>
              <w:jc w:val="left"/>
              <w:rPr>
                <w:lang w:val="it-IT"/>
              </w:rPr>
            </w:pPr>
            <w:r>
              <w:rPr>
                <w:lang w:val="it-IT"/>
              </w:rPr>
              <w:t>OIC 23.90</w:t>
            </w:r>
          </w:p>
        </w:tc>
        <w:tc>
          <w:tcPr>
            <w:tcW w:w="7078" w:type="dxa"/>
            <w:tcMar>
              <w:left w:w="108" w:type="dxa"/>
            </w:tcMar>
          </w:tcPr>
          <w:p w:rsidR="00445361" w:rsidRPr="00E119D6" w:rsidRDefault="00445361" w:rsidP="00D73E98">
            <w:pPr>
              <w:pStyle w:val="Titolo2"/>
              <w:spacing w:line="220" w:lineRule="exact"/>
              <w:jc w:val="both"/>
              <w:rPr>
                <w:b w:val="0"/>
                <w:sz w:val="20"/>
                <w:lang w:val="it-IT"/>
              </w:rPr>
            </w:pPr>
            <w:r>
              <w:rPr>
                <w:b w:val="0"/>
                <w:sz w:val="20"/>
                <w:lang w:val="it-IT"/>
              </w:rPr>
              <w:t xml:space="preserve">Il passaggio </w:t>
            </w:r>
            <w:r w:rsidRPr="00E119D6">
              <w:rPr>
                <w:b w:val="0"/>
                <w:sz w:val="20"/>
                <w:lang w:val="it-IT"/>
              </w:rPr>
              <w:t>dal criterio della percentuale di completamento al cri</w:t>
            </w:r>
            <w:r>
              <w:rPr>
                <w:b w:val="0"/>
                <w:sz w:val="20"/>
                <w:lang w:val="it-IT"/>
              </w:rPr>
              <w:t xml:space="preserve">terio della commessa completata </w:t>
            </w:r>
            <w:r w:rsidRPr="00E119D6">
              <w:rPr>
                <w:b w:val="0"/>
                <w:sz w:val="20"/>
                <w:lang w:val="it-IT"/>
              </w:rPr>
              <w:t xml:space="preserve">(o viceversa) </w:t>
            </w:r>
            <w:r>
              <w:rPr>
                <w:b w:val="0"/>
                <w:sz w:val="20"/>
                <w:lang w:val="it-IT"/>
              </w:rPr>
              <w:t xml:space="preserve">è stato considerato come </w:t>
            </w:r>
            <w:r w:rsidRPr="00E119D6">
              <w:rPr>
                <w:b w:val="0"/>
                <w:sz w:val="20"/>
                <w:lang w:val="it-IT"/>
              </w:rPr>
              <w:t>un cam</w:t>
            </w:r>
            <w:r>
              <w:rPr>
                <w:b w:val="0"/>
                <w:sz w:val="20"/>
                <w:lang w:val="it-IT"/>
              </w:rPr>
              <w:t>biamento di principio contabile, come disciplinato dall’OIC 29?</w:t>
            </w:r>
          </w:p>
        </w:tc>
        <w:tc>
          <w:tcPr>
            <w:tcW w:w="564" w:type="dxa"/>
            <w:tcMar>
              <w:left w:w="85" w:type="dxa"/>
              <w:right w:w="85"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1C6EDF" w:rsidTr="00D73E98">
        <w:trPr>
          <w:cantSplit/>
          <w:trHeight w:val="20"/>
        </w:trPr>
        <w:tc>
          <w:tcPr>
            <w:tcW w:w="679" w:type="dxa"/>
          </w:tcPr>
          <w:p w:rsidR="00445361" w:rsidRPr="007D7BBE" w:rsidRDefault="00445361" w:rsidP="00D73E98">
            <w:pPr>
              <w:jc w:val="center"/>
              <w:rPr>
                <w:b/>
                <w:lang w:val="it-IT"/>
              </w:rPr>
            </w:pPr>
            <w:r w:rsidRPr="007D7BBE">
              <w:rPr>
                <w:b/>
                <w:lang w:val="it-IT"/>
              </w:rPr>
              <w:t>51)</w:t>
            </w:r>
          </w:p>
        </w:tc>
        <w:tc>
          <w:tcPr>
            <w:tcW w:w="856" w:type="dxa"/>
            <w:tcMar>
              <w:left w:w="108" w:type="dxa"/>
              <w:right w:w="0" w:type="dxa"/>
            </w:tcMar>
          </w:tcPr>
          <w:p w:rsidR="00445361" w:rsidRDefault="00445361" w:rsidP="00D73E98">
            <w:pPr>
              <w:pStyle w:val="PrincCont"/>
              <w:jc w:val="left"/>
              <w:rPr>
                <w:lang w:val="it-IT"/>
              </w:rPr>
            </w:pPr>
            <w:r>
              <w:rPr>
                <w:lang w:val="it-IT"/>
              </w:rPr>
              <w:t>OIC 23.91</w:t>
            </w:r>
          </w:p>
        </w:tc>
        <w:tc>
          <w:tcPr>
            <w:tcW w:w="7078" w:type="dxa"/>
            <w:tcMar>
              <w:left w:w="108" w:type="dxa"/>
            </w:tcMar>
          </w:tcPr>
          <w:p w:rsidR="00445361" w:rsidRPr="00316AAC" w:rsidRDefault="00445361" w:rsidP="00D73E98">
            <w:pPr>
              <w:pStyle w:val="Titolo2"/>
              <w:spacing w:line="220" w:lineRule="exact"/>
              <w:jc w:val="both"/>
              <w:rPr>
                <w:b w:val="0"/>
                <w:sz w:val="20"/>
                <w:lang w:val="it-IT"/>
              </w:rPr>
            </w:pPr>
            <w:r w:rsidRPr="00316AAC">
              <w:rPr>
                <w:b w:val="0"/>
                <w:sz w:val="20"/>
                <w:lang w:val="it-IT"/>
              </w:rPr>
              <w:t xml:space="preserve">In caso di applicazione del criterio della percentuale di completamento, il passaggio da una metodologia per la determinazione dello stato di avanzamento dei lavori ad un’altra </w:t>
            </w:r>
            <w:r>
              <w:rPr>
                <w:b w:val="0"/>
                <w:sz w:val="20"/>
                <w:lang w:val="it-IT"/>
              </w:rPr>
              <w:t>è stato trattato come un cambiamento di stima, come disciplinato dall’OIC 29?</w:t>
            </w:r>
          </w:p>
        </w:tc>
        <w:tc>
          <w:tcPr>
            <w:tcW w:w="564" w:type="dxa"/>
            <w:tcMar>
              <w:left w:w="85" w:type="dxa"/>
              <w:right w:w="85" w:type="dxa"/>
            </w:tcMar>
            <w:vAlign w:val="center"/>
          </w:tcPr>
          <w:p w:rsidR="00445361" w:rsidRPr="00316AAC"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316AAC"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316AAC"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1C6EDF" w:rsidTr="00D73E98">
        <w:trPr>
          <w:cantSplit/>
          <w:trHeight w:val="20"/>
        </w:trPr>
        <w:tc>
          <w:tcPr>
            <w:tcW w:w="679" w:type="dxa"/>
          </w:tcPr>
          <w:p w:rsidR="00445361" w:rsidRPr="007D7BBE" w:rsidRDefault="00445361" w:rsidP="00D73E98">
            <w:pPr>
              <w:jc w:val="center"/>
              <w:rPr>
                <w:b/>
                <w:lang w:val="it-IT"/>
              </w:rPr>
            </w:pPr>
            <w:r w:rsidRPr="007D7BBE">
              <w:rPr>
                <w:b/>
                <w:lang w:val="it-IT"/>
              </w:rPr>
              <w:t>52)</w:t>
            </w:r>
          </w:p>
        </w:tc>
        <w:tc>
          <w:tcPr>
            <w:tcW w:w="856" w:type="dxa"/>
            <w:tcMar>
              <w:left w:w="108" w:type="dxa"/>
              <w:right w:w="0" w:type="dxa"/>
            </w:tcMar>
          </w:tcPr>
          <w:p w:rsidR="00445361" w:rsidRDefault="00445361" w:rsidP="00D73E98">
            <w:pPr>
              <w:pStyle w:val="PrincCont"/>
              <w:jc w:val="left"/>
              <w:rPr>
                <w:lang w:val="it-IT"/>
              </w:rPr>
            </w:pPr>
            <w:r>
              <w:rPr>
                <w:lang w:val="it-IT"/>
              </w:rPr>
              <w:t>OIC 23.92</w:t>
            </w:r>
          </w:p>
        </w:tc>
        <w:tc>
          <w:tcPr>
            <w:tcW w:w="7078" w:type="dxa"/>
            <w:tcMar>
              <w:left w:w="108" w:type="dxa"/>
            </w:tcMar>
          </w:tcPr>
          <w:p w:rsidR="00445361" w:rsidRPr="00316AAC" w:rsidRDefault="00445361" w:rsidP="00D73E98">
            <w:pPr>
              <w:pStyle w:val="Titolo2"/>
              <w:spacing w:line="224" w:lineRule="exact"/>
              <w:jc w:val="both"/>
              <w:rPr>
                <w:b w:val="0"/>
                <w:sz w:val="20"/>
                <w:lang w:val="it-IT"/>
              </w:rPr>
            </w:pPr>
            <w:r w:rsidRPr="00316AAC">
              <w:rPr>
                <w:b w:val="0"/>
                <w:sz w:val="20"/>
                <w:lang w:val="it-IT"/>
              </w:rPr>
              <w:t>Il passaggio dalla capitalizzazione degli oneri finanziari all’imputazione direttamente a conto</w:t>
            </w:r>
            <w:r>
              <w:rPr>
                <w:b w:val="0"/>
                <w:sz w:val="20"/>
                <w:lang w:val="it-IT"/>
              </w:rPr>
              <w:t xml:space="preserve"> </w:t>
            </w:r>
            <w:r w:rsidRPr="00316AAC">
              <w:rPr>
                <w:b w:val="0"/>
                <w:sz w:val="20"/>
                <w:lang w:val="it-IT"/>
              </w:rPr>
              <w:t>economico di tali oneri (o viceversa)</w:t>
            </w:r>
            <w:r>
              <w:rPr>
                <w:b w:val="0"/>
                <w:sz w:val="20"/>
                <w:lang w:val="it-IT"/>
              </w:rPr>
              <w:t xml:space="preserve"> è stato considerato come </w:t>
            </w:r>
            <w:r w:rsidRPr="00E119D6">
              <w:rPr>
                <w:b w:val="0"/>
                <w:sz w:val="20"/>
                <w:lang w:val="it-IT"/>
              </w:rPr>
              <w:t>un cam</w:t>
            </w:r>
            <w:r>
              <w:rPr>
                <w:b w:val="0"/>
                <w:sz w:val="20"/>
                <w:lang w:val="it-IT"/>
              </w:rPr>
              <w:t>biamento di principio contabile, come disciplinato dall’OIC 29?</w:t>
            </w:r>
          </w:p>
        </w:tc>
        <w:tc>
          <w:tcPr>
            <w:tcW w:w="564" w:type="dxa"/>
            <w:tcMar>
              <w:left w:w="85" w:type="dxa"/>
              <w:right w:w="85" w:type="dxa"/>
            </w:tcMar>
            <w:vAlign w:val="center"/>
          </w:tcPr>
          <w:p w:rsidR="00445361" w:rsidRPr="00316AAC"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316AAC"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316AAC"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60160E" w:rsidRDefault="00445361" w:rsidP="00D73E98">
            <w:pPr>
              <w:pStyle w:val="Titolo2"/>
            </w:pPr>
            <w:r>
              <w:t>Nota Integrativa</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vAlign w:val="center"/>
          </w:tcPr>
          <w:p w:rsidR="00445361" w:rsidRPr="00D966AB" w:rsidRDefault="00445361" w:rsidP="00D73E98">
            <w:pPr>
              <w:pStyle w:val="Titolo3"/>
              <w:jc w:val="left"/>
              <w:rPr>
                <w:lang w:val="it-IT"/>
              </w:rPr>
            </w:pPr>
            <w:r w:rsidRPr="00D966AB">
              <w:rPr>
                <w:lang w:val="it-IT"/>
              </w:rPr>
              <w:t>Informazioni relative alle società che redigono il bilancio in forma ordinaria</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CC242B" w:rsidTr="00D73E98">
        <w:trPr>
          <w:cantSplit/>
          <w:trHeight w:val="20"/>
        </w:trPr>
        <w:tc>
          <w:tcPr>
            <w:tcW w:w="679" w:type="dxa"/>
          </w:tcPr>
          <w:p w:rsidR="00445361" w:rsidRPr="007D7BBE" w:rsidRDefault="00445361" w:rsidP="00D73E98">
            <w:pPr>
              <w:jc w:val="center"/>
              <w:rPr>
                <w:b/>
                <w:lang w:val="it-IT"/>
              </w:rPr>
            </w:pPr>
            <w:r w:rsidRPr="007D7BBE">
              <w:rPr>
                <w:b/>
                <w:lang w:val="it-IT"/>
              </w:rPr>
              <w:t>53)</w:t>
            </w:r>
          </w:p>
        </w:tc>
        <w:tc>
          <w:tcPr>
            <w:tcW w:w="856" w:type="dxa"/>
            <w:tcMar>
              <w:left w:w="108" w:type="dxa"/>
              <w:right w:w="0" w:type="dxa"/>
            </w:tcMar>
          </w:tcPr>
          <w:p w:rsidR="00445361" w:rsidRPr="00EC6995" w:rsidRDefault="00445361" w:rsidP="00D73E98">
            <w:pPr>
              <w:pStyle w:val="PrincCont"/>
              <w:jc w:val="left"/>
            </w:pPr>
            <w:r>
              <w:t>Artt. 2427, c.1, n.1</w:t>
            </w:r>
            <w:r w:rsidRPr="00EC6995">
              <w:t xml:space="preserve"> CC</w:t>
            </w:r>
            <w:r>
              <w:t xml:space="preserve">       OIC 23.94 </w:t>
            </w:r>
          </w:p>
        </w:tc>
        <w:tc>
          <w:tcPr>
            <w:tcW w:w="7078" w:type="dxa"/>
            <w:tcMar>
              <w:left w:w="108" w:type="dxa"/>
            </w:tcMar>
            <w:vAlign w:val="center"/>
          </w:tcPr>
          <w:p w:rsidR="00445361" w:rsidRPr="0060160E" w:rsidRDefault="00445361" w:rsidP="00D73E98">
            <w:pPr>
              <w:spacing w:line="230" w:lineRule="exact"/>
              <w:rPr>
                <w:lang w:val="it-IT"/>
              </w:rPr>
            </w:pPr>
            <w:r>
              <w:rPr>
                <w:lang w:val="it-IT"/>
              </w:rPr>
              <w:t>La Nota Integrativa contiene le seguenti informazioni:</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807764" w:rsidRDefault="00445361" w:rsidP="00AC34B7">
            <w:pPr>
              <w:pStyle w:val="rientrotrattinook"/>
              <w:tabs>
                <w:tab w:val="clear" w:pos="704"/>
              </w:tabs>
              <w:ind w:left="450" w:hanging="284"/>
            </w:pPr>
            <w:r w:rsidRPr="00807764">
              <w:t>se è stato utilizzato il criterio della commessa completata o il criterio della percentuale di completamento</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807764" w:rsidRDefault="00445361" w:rsidP="00AC34B7">
            <w:pPr>
              <w:pStyle w:val="rientrotrattinook"/>
              <w:tabs>
                <w:tab w:val="clear" w:pos="704"/>
              </w:tabs>
              <w:ind w:left="450" w:hanging="284"/>
            </w:pPr>
            <w:r w:rsidRPr="00807764">
              <w:t>la metodologia adottata per stimare lo stato avanzamento</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807764" w:rsidRDefault="00445361" w:rsidP="00AC34B7">
            <w:pPr>
              <w:pStyle w:val="rientrotrattinook"/>
              <w:tabs>
                <w:tab w:val="clear" w:pos="704"/>
              </w:tabs>
              <w:ind w:left="450" w:hanging="284"/>
            </w:pPr>
            <w:r w:rsidRPr="00807764">
              <w:t>i criteri di contabilizzazione dei costi per l’acquisizione della commessa, dei costi preoperativi, dei costi da sostenersi dopo la chiusura della commessa</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807764" w:rsidRDefault="00445361" w:rsidP="00AC34B7">
            <w:pPr>
              <w:pStyle w:val="rientrotrattinook"/>
              <w:tabs>
                <w:tab w:val="clear" w:pos="704"/>
              </w:tabs>
              <w:ind w:left="450" w:hanging="284"/>
            </w:pPr>
            <w:r w:rsidRPr="00807764">
              <w:t>il trattamento contabile degli oneri finanziari, nel caso siano stati considerati nella valutazione dei lavori in corso su ordinazione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807764" w:rsidRDefault="00445361" w:rsidP="00AC34B7">
            <w:pPr>
              <w:pStyle w:val="rientrotrattinook"/>
              <w:tabs>
                <w:tab w:val="clear" w:pos="704"/>
              </w:tabs>
              <w:ind w:left="450" w:hanging="284"/>
            </w:pPr>
            <w:r w:rsidRPr="00807764">
              <w:t>l’ammontare delle probabili perdite di valore rilevate?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54)</w:t>
            </w:r>
          </w:p>
        </w:tc>
        <w:tc>
          <w:tcPr>
            <w:tcW w:w="856" w:type="dxa"/>
            <w:tcMar>
              <w:left w:w="108" w:type="dxa"/>
              <w:right w:w="0" w:type="dxa"/>
            </w:tcMar>
          </w:tcPr>
          <w:p w:rsidR="00445361" w:rsidRPr="00EC6995" w:rsidRDefault="00445361" w:rsidP="00D73E98">
            <w:pPr>
              <w:pStyle w:val="PrincCont"/>
              <w:jc w:val="left"/>
            </w:pPr>
            <w:r>
              <w:t>Art. 2427,c.1, n. 4</w:t>
            </w:r>
            <w:r w:rsidRPr="00EC6995">
              <w:t>, CC</w:t>
            </w:r>
            <w:r>
              <w:t xml:space="preserve">     </w:t>
            </w:r>
            <w:r w:rsidRPr="00EC6995">
              <w:t>OIC 23.95</w:t>
            </w:r>
          </w:p>
        </w:tc>
        <w:tc>
          <w:tcPr>
            <w:tcW w:w="7078" w:type="dxa"/>
            <w:tcMar>
              <w:left w:w="108" w:type="dxa"/>
            </w:tcMar>
          </w:tcPr>
          <w:p w:rsidR="00445361" w:rsidRPr="00A43213" w:rsidRDefault="00445361" w:rsidP="00D73E98">
            <w:pPr>
              <w:spacing w:line="230" w:lineRule="exact"/>
              <w:rPr>
                <w:lang w:val="it-IT"/>
              </w:rPr>
            </w:pPr>
            <w:r>
              <w:rPr>
                <w:lang w:val="it-IT"/>
              </w:rPr>
              <w:t>La Nota Integrativa indica l</w:t>
            </w:r>
            <w:r w:rsidRPr="00EC6995">
              <w:rPr>
                <w:lang w:val="it-IT"/>
              </w:rPr>
              <w:t>e variazioni intervenute nella consistenza delle altre</w:t>
            </w:r>
            <w:r>
              <w:rPr>
                <w:lang w:val="it-IT"/>
              </w:rPr>
              <w:t xml:space="preserve"> voci dell’attivo e del passivo?</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772B96" w:rsidTr="00D73E98">
        <w:trPr>
          <w:cantSplit/>
          <w:trHeight w:val="20"/>
        </w:trPr>
        <w:tc>
          <w:tcPr>
            <w:tcW w:w="679" w:type="dxa"/>
          </w:tcPr>
          <w:p w:rsidR="00445361" w:rsidRPr="007D7BBE" w:rsidRDefault="00445361" w:rsidP="00D73E98">
            <w:pPr>
              <w:jc w:val="center"/>
              <w:rPr>
                <w:b/>
                <w:lang w:val="it-IT"/>
              </w:rPr>
            </w:pPr>
            <w:r w:rsidRPr="007D7BBE">
              <w:rPr>
                <w:b/>
                <w:lang w:val="it-IT"/>
              </w:rPr>
              <w:t>55)</w:t>
            </w:r>
          </w:p>
        </w:tc>
        <w:tc>
          <w:tcPr>
            <w:tcW w:w="856" w:type="dxa"/>
            <w:tcMar>
              <w:left w:w="108" w:type="dxa"/>
              <w:right w:w="0" w:type="dxa"/>
            </w:tcMar>
          </w:tcPr>
          <w:p w:rsidR="00445361" w:rsidRPr="00F90EAC" w:rsidRDefault="00445361" w:rsidP="00D73E98">
            <w:pPr>
              <w:pStyle w:val="PrincCont"/>
              <w:jc w:val="left"/>
            </w:pPr>
            <w:r>
              <w:t>Art. 2427,c.1, n. 8</w:t>
            </w:r>
            <w:r w:rsidRPr="00F90EAC">
              <w:t>, CC</w:t>
            </w:r>
            <w:r>
              <w:t xml:space="preserve">     </w:t>
            </w:r>
            <w:r w:rsidRPr="00F90EAC">
              <w:t>OIC 23.96</w:t>
            </w:r>
          </w:p>
        </w:tc>
        <w:tc>
          <w:tcPr>
            <w:tcW w:w="7078" w:type="dxa"/>
            <w:tcMar>
              <w:left w:w="108" w:type="dxa"/>
            </w:tcMar>
          </w:tcPr>
          <w:p w:rsidR="00445361" w:rsidRDefault="00445361" w:rsidP="00D73E98">
            <w:pPr>
              <w:spacing w:line="230" w:lineRule="exact"/>
              <w:rPr>
                <w:lang w:val="it-IT"/>
              </w:rPr>
            </w:pPr>
            <w:r>
              <w:rPr>
                <w:lang w:val="it-IT"/>
              </w:rPr>
              <w:t xml:space="preserve">La Nota Integrativa indica l'ammontare degli </w:t>
            </w:r>
            <w:r w:rsidRPr="00772B96">
              <w:rPr>
                <w:lang w:val="it-IT"/>
              </w:rPr>
              <w:t>oneri finanziari imputati nell'esercizio ai valori iscritti nell'a</w:t>
            </w:r>
            <w:r>
              <w:rPr>
                <w:lang w:val="it-IT"/>
              </w:rPr>
              <w:t>ttivo dello stato patrimoniale, distintamente per ogni voce?</w:t>
            </w:r>
          </w:p>
        </w:tc>
        <w:tc>
          <w:tcPr>
            <w:tcW w:w="564" w:type="dxa"/>
            <w:tcMar>
              <w:left w:w="85" w:type="dxa"/>
              <w:right w:w="85" w:type="dxa"/>
            </w:tcMar>
            <w:vAlign w:val="center"/>
          </w:tcPr>
          <w:p w:rsidR="00445361" w:rsidRPr="00772B9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772B9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772B9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772B96" w:rsidTr="00D73E98">
        <w:trPr>
          <w:cantSplit/>
          <w:trHeight w:val="20"/>
        </w:trPr>
        <w:tc>
          <w:tcPr>
            <w:tcW w:w="679" w:type="dxa"/>
          </w:tcPr>
          <w:p w:rsidR="00445361" w:rsidRPr="007D7BBE" w:rsidRDefault="00445361" w:rsidP="00D73E98">
            <w:pPr>
              <w:jc w:val="center"/>
              <w:rPr>
                <w:b/>
                <w:lang w:val="it-IT"/>
              </w:rPr>
            </w:pPr>
            <w:r w:rsidRPr="007D7BBE">
              <w:rPr>
                <w:b/>
                <w:lang w:val="it-IT"/>
              </w:rPr>
              <w:t>56)</w:t>
            </w:r>
          </w:p>
        </w:tc>
        <w:tc>
          <w:tcPr>
            <w:tcW w:w="856" w:type="dxa"/>
            <w:tcMar>
              <w:left w:w="108" w:type="dxa"/>
              <w:right w:w="0" w:type="dxa"/>
            </w:tcMar>
          </w:tcPr>
          <w:p w:rsidR="00445361" w:rsidRPr="00F90EAC" w:rsidRDefault="00445361" w:rsidP="00D73E98">
            <w:pPr>
              <w:pStyle w:val="PrincCont"/>
              <w:jc w:val="left"/>
            </w:pPr>
            <w:r>
              <w:t>Art. 2427,c.1, n. 9</w:t>
            </w:r>
            <w:r w:rsidRPr="00F90EAC">
              <w:t>, CC</w:t>
            </w:r>
            <w:r>
              <w:t xml:space="preserve">     </w:t>
            </w:r>
            <w:r w:rsidRPr="00F90EAC">
              <w:t>OIC 23.97</w:t>
            </w:r>
          </w:p>
        </w:tc>
        <w:tc>
          <w:tcPr>
            <w:tcW w:w="7078" w:type="dxa"/>
            <w:tcMar>
              <w:left w:w="108" w:type="dxa"/>
            </w:tcMar>
          </w:tcPr>
          <w:p w:rsidR="00445361" w:rsidRPr="00F90EAC" w:rsidRDefault="00445361" w:rsidP="00D73E98">
            <w:pPr>
              <w:spacing w:line="230" w:lineRule="exact"/>
              <w:rPr>
                <w:lang w:val="it-IT"/>
              </w:rPr>
            </w:pPr>
            <w:r w:rsidRPr="00F90EAC">
              <w:rPr>
                <w:lang w:val="it-IT"/>
              </w:rPr>
              <w:t xml:space="preserve">La </w:t>
            </w:r>
            <w:r>
              <w:rPr>
                <w:lang w:val="it-IT"/>
              </w:rPr>
              <w:t>Nota Integrativa</w:t>
            </w:r>
            <w:r w:rsidRPr="00F90EAC">
              <w:rPr>
                <w:lang w:val="it-IT"/>
              </w:rPr>
              <w:t xml:space="preserve"> fornisce evidenza degli impegni contrattualmente assunti per opere e servizi ancora da eseguire a fine esercizio e l’esposizione dell’appaltatore nei confronti del committente per tutti i lavori non ancora definitivamente accertati e liquidati?</w:t>
            </w:r>
          </w:p>
        </w:tc>
        <w:tc>
          <w:tcPr>
            <w:tcW w:w="564" w:type="dxa"/>
            <w:tcMar>
              <w:left w:w="85" w:type="dxa"/>
              <w:right w:w="85" w:type="dxa"/>
            </w:tcMar>
            <w:vAlign w:val="center"/>
          </w:tcPr>
          <w:p w:rsidR="00445361" w:rsidRPr="00615971"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615971"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615971"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r>
              <w:rPr>
                <w:lang w:val="it-IT"/>
              </w:rPr>
              <w:t>Art. 2423, c.4, CC   OIC 23.98</w:t>
            </w:r>
          </w:p>
        </w:tc>
        <w:tc>
          <w:tcPr>
            <w:tcW w:w="7078" w:type="dxa"/>
            <w:tcMar>
              <w:left w:w="108" w:type="dxa"/>
            </w:tcMar>
          </w:tcPr>
          <w:p w:rsidR="00445361" w:rsidRPr="00F90EAC" w:rsidRDefault="00445361" w:rsidP="00D73E98">
            <w:pPr>
              <w:pStyle w:val="Commentiriquadro"/>
            </w:pPr>
            <w:r w:rsidRPr="00F90EAC">
              <w:t xml:space="preserve">L’articolo 2423, comma 4,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w:t>
            </w:r>
          </w:p>
        </w:tc>
        <w:tc>
          <w:tcPr>
            <w:tcW w:w="564" w:type="dxa"/>
            <w:tcMar>
              <w:left w:w="85" w:type="dxa"/>
              <w:right w:w="85" w:type="dxa"/>
            </w:tcMar>
            <w:vAlign w:val="center"/>
          </w:tcPr>
          <w:p w:rsidR="00445361" w:rsidRPr="00615971" w:rsidRDefault="00445361" w:rsidP="00D73E98">
            <w:pPr>
              <w:jc w:val="center"/>
              <w:rPr>
                <w:lang w:val="it-IT"/>
              </w:rPr>
            </w:pPr>
          </w:p>
        </w:tc>
        <w:tc>
          <w:tcPr>
            <w:tcW w:w="573" w:type="dxa"/>
            <w:tcMar>
              <w:left w:w="108" w:type="dxa"/>
            </w:tcMar>
            <w:vAlign w:val="center"/>
          </w:tcPr>
          <w:p w:rsidR="00445361" w:rsidRPr="00615971" w:rsidRDefault="00445361" w:rsidP="00D73E98">
            <w:pPr>
              <w:jc w:val="center"/>
              <w:rPr>
                <w:lang w:val="it-IT"/>
              </w:rPr>
            </w:pPr>
          </w:p>
        </w:tc>
        <w:tc>
          <w:tcPr>
            <w:tcW w:w="570" w:type="dxa"/>
            <w:tcMar>
              <w:left w:w="108" w:type="dxa"/>
            </w:tcMar>
            <w:vAlign w:val="center"/>
          </w:tcPr>
          <w:p w:rsidR="00445361" w:rsidRPr="00615971" w:rsidRDefault="00445361" w:rsidP="00D73E98">
            <w:pPr>
              <w:jc w:val="center"/>
              <w:rPr>
                <w:lang w:val="it-IT"/>
              </w:rPr>
            </w:pPr>
          </w:p>
        </w:tc>
      </w:tr>
      <w:tr w:rsidR="00445361" w:rsidRPr="00CC242B" w:rsidTr="00D73E98">
        <w:trPr>
          <w:cantSplit/>
          <w:trHeight w:val="20"/>
        </w:trPr>
        <w:tc>
          <w:tcPr>
            <w:tcW w:w="679" w:type="dxa"/>
          </w:tcPr>
          <w:p w:rsidR="00445361" w:rsidRPr="007D7BBE" w:rsidRDefault="00445361" w:rsidP="00D73E98">
            <w:pPr>
              <w:jc w:val="center"/>
              <w:rPr>
                <w:b/>
                <w:lang w:val="it-IT"/>
              </w:rPr>
            </w:pPr>
            <w:r w:rsidRPr="007D7BBE">
              <w:rPr>
                <w:b/>
                <w:lang w:val="it-IT"/>
              </w:rPr>
              <w:t>57)</w:t>
            </w:r>
          </w:p>
        </w:tc>
        <w:tc>
          <w:tcPr>
            <w:tcW w:w="856" w:type="dxa"/>
            <w:tcMar>
              <w:left w:w="108" w:type="dxa"/>
              <w:right w:w="0" w:type="dxa"/>
            </w:tcMar>
          </w:tcPr>
          <w:p w:rsidR="00445361" w:rsidRDefault="00445361" w:rsidP="00D73E98">
            <w:pPr>
              <w:pStyle w:val="PrincCont"/>
              <w:jc w:val="left"/>
              <w:rPr>
                <w:lang w:val="it-IT"/>
              </w:rPr>
            </w:pPr>
            <w:r>
              <w:rPr>
                <w:lang w:val="it-IT"/>
              </w:rPr>
              <w:t>OIC 23.99</w:t>
            </w:r>
          </w:p>
        </w:tc>
        <w:tc>
          <w:tcPr>
            <w:tcW w:w="7078" w:type="dxa"/>
            <w:tcMar>
              <w:left w:w="108" w:type="dxa"/>
            </w:tcMar>
          </w:tcPr>
          <w:p w:rsidR="00445361" w:rsidRPr="00A43213" w:rsidRDefault="00445361" w:rsidP="00D73E98">
            <w:pPr>
              <w:spacing w:line="230" w:lineRule="exact"/>
              <w:rPr>
                <w:lang w:val="it-IT"/>
              </w:rPr>
            </w:pPr>
            <w:r w:rsidRPr="00A43213">
              <w:rPr>
                <w:lang w:val="it-IT"/>
              </w:rPr>
              <w:t>Ove rilevant</w:t>
            </w:r>
            <w:r>
              <w:rPr>
                <w:lang w:val="it-IT"/>
              </w:rPr>
              <w:t>i</w:t>
            </w:r>
            <w:r w:rsidRPr="00A43213">
              <w:rPr>
                <w:lang w:val="it-IT"/>
              </w:rPr>
              <w:t xml:space="preserve">, la </w:t>
            </w:r>
            <w:r>
              <w:rPr>
                <w:lang w:val="it-IT"/>
              </w:rPr>
              <w:t>Nota Integrativa</w:t>
            </w:r>
            <w:r w:rsidRPr="00A43213">
              <w:rPr>
                <w:lang w:val="it-IT"/>
              </w:rPr>
              <w:t xml:space="preserve"> fornisce le seguenti informazioni:</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526C53" w:rsidRDefault="00445361" w:rsidP="00AC34B7">
            <w:pPr>
              <w:pStyle w:val="rientrotrattinook"/>
              <w:tabs>
                <w:tab w:val="clear" w:pos="704"/>
              </w:tabs>
              <w:ind w:left="450" w:hanging="284"/>
            </w:pPr>
            <w:r w:rsidRPr="00A43213">
              <w:t>gli effetti de</w:t>
            </w:r>
            <w:r>
              <w:t>ll’aggiornamento dei preventivi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526C53" w:rsidRDefault="00445361" w:rsidP="00AC34B7">
            <w:pPr>
              <w:pStyle w:val="rientrotrattinook"/>
              <w:tabs>
                <w:tab w:val="clear" w:pos="704"/>
              </w:tabs>
              <w:ind w:left="450" w:hanging="284"/>
            </w:pPr>
            <w:r w:rsidRPr="00A43213">
              <w:t xml:space="preserve">le incertezze e le attività e passività </w:t>
            </w:r>
            <w:r>
              <w:t>potenziali connesse a contratti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526C53" w:rsidRDefault="00445361" w:rsidP="00AC34B7">
            <w:pPr>
              <w:pStyle w:val="rientrotrattinook"/>
              <w:tabs>
                <w:tab w:val="clear" w:pos="704"/>
              </w:tabs>
              <w:ind w:left="450" w:hanging="284"/>
            </w:pPr>
            <w:r w:rsidRPr="00A43213">
              <w:t>l’ammontare delle altre richieste di corrispettivi aggiuntivi (</w:t>
            </w:r>
            <w:r w:rsidRPr="00A43213">
              <w:rPr>
                <w:i/>
                <w:iCs/>
              </w:rPr>
              <w:t>claim</w:t>
            </w:r>
            <w:r w:rsidRPr="00A43213">
              <w:t>), compresi rispettivamente</w:t>
            </w:r>
            <w:r>
              <w:t xml:space="preserve"> </w:t>
            </w:r>
            <w:r w:rsidRPr="00A43213">
              <w:t>nelle rimanenze e nel valore della produzione, nonché quello delle rettifiche di valore operate</w:t>
            </w:r>
            <w:r>
              <w:t xml:space="preserve"> sulle rimanenze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526C53" w:rsidRDefault="00445361" w:rsidP="00AC34B7">
            <w:pPr>
              <w:pStyle w:val="rientrotrattinook"/>
              <w:tabs>
                <w:tab w:val="clear" w:pos="704"/>
              </w:tabs>
              <w:ind w:left="450" w:hanging="284"/>
            </w:pPr>
            <w:r w:rsidRPr="00A43213">
              <w:t>la distinzione tra anticipi e acconti, a meno che non sia stata già effettuata nello stato</w:t>
            </w:r>
            <w:r>
              <w:t xml:space="preserve"> patrimoniale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526C53" w:rsidRDefault="00445361" w:rsidP="00AC34B7">
            <w:pPr>
              <w:pStyle w:val="rientrotrattinook"/>
              <w:tabs>
                <w:tab w:val="clear" w:pos="704"/>
              </w:tabs>
              <w:ind w:left="450" w:hanging="284"/>
            </w:pPr>
            <w:r w:rsidRPr="00A43213">
              <w:t>per le società appaltatrici partecipanti a consorzi, l’elenco, con relativa descrizione, delle</w:t>
            </w:r>
            <w:r>
              <w:t xml:space="preserve"> </w:t>
            </w:r>
            <w:r w:rsidRPr="00A43213">
              <w:t>significative partecipazioni ai consorzi, con l’indicazione della quota di partecipazione, delle</w:t>
            </w:r>
            <w:r>
              <w:t xml:space="preserve"> </w:t>
            </w:r>
            <w:r w:rsidRPr="00A43213">
              <w:t>clausole che comportano significativi impegni e dei lavori ottenuti dai consorzi o affidati ai</w:t>
            </w:r>
            <w:r>
              <w:t xml:space="preserve"> </w:t>
            </w:r>
            <w:r w:rsidRPr="00624E3F">
              <w:t>consorzi?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145E36" w:rsidRDefault="00445361" w:rsidP="00D73E98">
            <w:pPr>
              <w:pStyle w:val="Titolo3"/>
              <w:rPr>
                <w:lang w:val="it-IT"/>
              </w:rPr>
            </w:pPr>
            <w:r w:rsidRPr="00E37D64">
              <w:rPr>
                <w:lang w:val="it-IT"/>
              </w:rPr>
              <w:t>Informazioni relative alle società che redigono il bilancio in forma abbreviata</w:t>
            </w:r>
            <w:r>
              <w:rPr>
                <w:lang w:val="it-IT"/>
              </w:rPr>
              <w:t xml:space="preserve"> </w:t>
            </w:r>
          </w:p>
        </w:tc>
        <w:tc>
          <w:tcPr>
            <w:tcW w:w="564" w:type="dxa"/>
            <w:tcMar>
              <w:left w:w="85" w:type="dxa"/>
              <w:right w:w="85" w:type="dxa"/>
            </w:tcMar>
            <w:vAlign w:val="center"/>
          </w:tcPr>
          <w:p w:rsidR="00445361" w:rsidRPr="00E37D64" w:rsidRDefault="00445361" w:rsidP="00D73E98">
            <w:pPr>
              <w:jc w:val="center"/>
              <w:rPr>
                <w:lang w:val="it-IT"/>
              </w:rPr>
            </w:pPr>
          </w:p>
        </w:tc>
        <w:tc>
          <w:tcPr>
            <w:tcW w:w="573" w:type="dxa"/>
            <w:tcMar>
              <w:left w:w="108" w:type="dxa"/>
            </w:tcMar>
            <w:vAlign w:val="center"/>
          </w:tcPr>
          <w:p w:rsidR="00445361" w:rsidRPr="00E37D64" w:rsidRDefault="00445361" w:rsidP="00D73E98">
            <w:pPr>
              <w:jc w:val="center"/>
              <w:rPr>
                <w:lang w:val="it-IT"/>
              </w:rPr>
            </w:pPr>
          </w:p>
        </w:tc>
        <w:tc>
          <w:tcPr>
            <w:tcW w:w="570" w:type="dxa"/>
            <w:tcMar>
              <w:left w:w="108" w:type="dxa"/>
            </w:tcMar>
            <w:vAlign w:val="center"/>
          </w:tcPr>
          <w:p w:rsidR="00445361" w:rsidRPr="00E37D64" w:rsidRDefault="00445361" w:rsidP="00D73E98">
            <w:pPr>
              <w:jc w:val="center"/>
              <w:rPr>
                <w:lang w:val="it-IT"/>
              </w:rPr>
            </w:pPr>
          </w:p>
        </w:tc>
      </w:tr>
      <w:tr w:rsidR="00445361" w:rsidRPr="00CC242B" w:rsidTr="00D73E98">
        <w:trPr>
          <w:cantSplit/>
          <w:trHeight w:val="20"/>
        </w:trPr>
        <w:tc>
          <w:tcPr>
            <w:tcW w:w="679" w:type="dxa"/>
          </w:tcPr>
          <w:p w:rsidR="00445361" w:rsidRPr="007D7BBE" w:rsidRDefault="00445361" w:rsidP="00D73E98">
            <w:pPr>
              <w:jc w:val="center"/>
              <w:rPr>
                <w:b/>
                <w:lang w:val="it-IT"/>
              </w:rPr>
            </w:pPr>
            <w:r w:rsidRPr="007D7BBE">
              <w:rPr>
                <w:b/>
                <w:lang w:val="it-IT"/>
              </w:rPr>
              <w:t>58)</w:t>
            </w:r>
          </w:p>
        </w:tc>
        <w:tc>
          <w:tcPr>
            <w:tcW w:w="856" w:type="dxa"/>
            <w:tcMar>
              <w:left w:w="108" w:type="dxa"/>
              <w:right w:w="0" w:type="dxa"/>
            </w:tcMar>
          </w:tcPr>
          <w:p w:rsidR="00445361" w:rsidRPr="00E37D64" w:rsidRDefault="00445361" w:rsidP="00D73E98">
            <w:pPr>
              <w:pStyle w:val="PrincCont"/>
              <w:jc w:val="left"/>
            </w:pPr>
            <w:r w:rsidRPr="00E37D64">
              <w:t xml:space="preserve">Art. 2435-bis, art. </w:t>
            </w:r>
            <w:r>
              <w:t>2427, c.1, CC             OIC 23.100</w:t>
            </w:r>
          </w:p>
        </w:tc>
        <w:tc>
          <w:tcPr>
            <w:tcW w:w="7078" w:type="dxa"/>
            <w:tcMar>
              <w:left w:w="108" w:type="dxa"/>
            </w:tcMar>
          </w:tcPr>
          <w:p w:rsidR="00445361" w:rsidRPr="00E37D64" w:rsidRDefault="00445361" w:rsidP="00D73E98">
            <w:pPr>
              <w:pStyle w:val="Titolo2"/>
              <w:spacing w:line="230" w:lineRule="exact"/>
              <w:rPr>
                <w:b w:val="0"/>
                <w:sz w:val="20"/>
                <w:lang w:val="it-IT"/>
              </w:rPr>
            </w:pPr>
            <w:r w:rsidRPr="00E37D64">
              <w:rPr>
                <w:b w:val="0"/>
                <w:sz w:val="20"/>
                <w:lang w:val="it-IT"/>
              </w:rPr>
              <w:t xml:space="preserve">La </w:t>
            </w:r>
            <w:r>
              <w:rPr>
                <w:b w:val="0"/>
                <w:sz w:val="20"/>
                <w:lang w:val="it-IT"/>
              </w:rPr>
              <w:t>Nota Integrativa</w:t>
            </w:r>
            <w:r w:rsidRPr="00E37D64">
              <w:rPr>
                <w:b w:val="0"/>
                <w:sz w:val="20"/>
                <w:lang w:val="it-IT"/>
              </w:rPr>
              <w:t xml:space="preserve"> delle società che redigono il bilancio in forma abbreviata indica:</w:t>
            </w:r>
          </w:p>
          <w:p w:rsidR="00445361" w:rsidRPr="009E63F7" w:rsidRDefault="00445361" w:rsidP="00D73E98">
            <w:pPr>
              <w:pStyle w:val="Puntoelenco"/>
              <w:numPr>
                <w:ilvl w:val="0"/>
                <w:numId w:val="0"/>
              </w:numPr>
              <w:spacing w:line="230" w:lineRule="exact"/>
              <w:ind w:left="485"/>
            </w:pPr>
          </w:p>
        </w:tc>
        <w:tc>
          <w:tcPr>
            <w:tcW w:w="564" w:type="dxa"/>
            <w:tcMar>
              <w:left w:w="85" w:type="dxa"/>
              <w:right w:w="85" w:type="dxa"/>
            </w:tcMar>
            <w:vAlign w:val="center"/>
          </w:tcPr>
          <w:p w:rsidR="00445361" w:rsidRPr="00E37D64" w:rsidRDefault="00445361" w:rsidP="00D73E98">
            <w:pPr>
              <w:jc w:val="center"/>
              <w:rPr>
                <w:lang w:val="it-IT"/>
              </w:rPr>
            </w:pPr>
            <w:r>
              <w:rPr>
                <w:lang w:val="it-IT"/>
              </w:rPr>
              <w:t xml:space="preserve"> </w:t>
            </w:r>
          </w:p>
        </w:tc>
        <w:tc>
          <w:tcPr>
            <w:tcW w:w="573" w:type="dxa"/>
            <w:tcMar>
              <w:left w:w="108" w:type="dxa"/>
            </w:tcMar>
            <w:vAlign w:val="center"/>
          </w:tcPr>
          <w:p w:rsidR="00445361" w:rsidRPr="00E37D64" w:rsidRDefault="00445361" w:rsidP="00D73E98">
            <w:pPr>
              <w:jc w:val="center"/>
              <w:rPr>
                <w:lang w:val="it-IT"/>
              </w:rPr>
            </w:pPr>
          </w:p>
        </w:tc>
        <w:tc>
          <w:tcPr>
            <w:tcW w:w="570" w:type="dxa"/>
            <w:tcMar>
              <w:left w:w="108" w:type="dxa"/>
            </w:tcMar>
            <w:vAlign w:val="center"/>
          </w:tcPr>
          <w:p w:rsidR="00445361" w:rsidRPr="00E37D64" w:rsidRDefault="00445361" w:rsidP="00D73E98">
            <w:pPr>
              <w:jc w:val="center"/>
              <w:rPr>
                <w:lang w:val="it-IT"/>
              </w:rPr>
            </w:pPr>
          </w:p>
        </w:tc>
      </w:tr>
      <w:tr w:rsidR="00445361" w:rsidRPr="000201F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445361" w:rsidRDefault="00445361" w:rsidP="00D73E98">
            <w:pPr>
              <w:pStyle w:val="PrincCont"/>
              <w:jc w:val="left"/>
              <w:rPr>
                <w:lang w:val="it-IT"/>
              </w:rPr>
            </w:pPr>
          </w:p>
        </w:tc>
        <w:tc>
          <w:tcPr>
            <w:tcW w:w="7078" w:type="dxa"/>
            <w:tcMar>
              <w:left w:w="108" w:type="dxa"/>
            </w:tcMar>
          </w:tcPr>
          <w:p w:rsidR="00445361" w:rsidRPr="00E37D64" w:rsidRDefault="00445361" w:rsidP="00032976">
            <w:pPr>
              <w:pStyle w:val="Puntoelenco"/>
              <w:tabs>
                <w:tab w:val="clear" w:pos="704"/>
                <w:tab w:val="num" w:pos="485"/>
              </w:tabs>
              <w:spacing w:line="230" w:lineRule="exact"/>
              <w:ind w:left="450" w:hanging="284"/>
              <w:rPr>
                <w:b/>
              </w:rPr>
            </w:pPr>
            <w:r w:rsidRPr="00E37D64">
              <w:t>i criteri applicati nella valutazione delle voci del bilancio, nelle rettifiche di valore e nella</w:t>
            </w:r>
            <w:r w:rsidR="00032976">
              <w:t xml:space="preserve"> </w:t>
            </w:r>
            <w:r w:rsidRPr="00032976">
              <w:t>conversione dei valori non espressi all’origine in moneta avente corso legale nello Stato</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0201F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E37D64" w:rsidRDefault="00445361" w:rsidP="00D73E98">
            <w:pPr>
              <w:pStyle w:val="PrincCont"/>
              <w:jc w:val="left"/>
            </w:pPr>
          </w:p>
        </w:tc>
        <w:tc>
          <w:tcPr>
            <w:tcW w:w="7078" w:type="dxa"/>
            <w:tcMar>
              <w:left w:w="108" w:type="dxa"/>
            </w:tcMar>
          </w:tcPr>
          <w:p w:rsidR="00445361" w:rsidRPr="00E37D64" w:rsidRDefault="00445361" w:rsidP="00032976">
            <w:pPr>
              <w:pStyle w:val="Puntoelenco"/>
              <w:tabs>
                <w:tab w:val="clear" w:pos="704"/>
                <w:tab w:val="num" w:pos="485"/>
              </w:tabs>
              <w:spacing w:line="230" w:lineRule="exact"/>
              <w:ind w:left="450" w:hanging="284"/>
              <w:rPr>
                <w:b/>
              </w:rPr>
            </w:pPr>
            <w:r w:rsidRPr="00E37D64">
              <w:t>l'ammontare degli oneri finanziari imputati nell'esercizio ai valori iscritti nell'attivo dello</w:t>
            </w:r>
            <w:r w:rsidR="00032976">
              <w:rPr>
                <w:b/>
              </w:rPr>
              <w:t xml:space="preserve"> </w:t>
            </w:r>
            <w:r w:rsidRPr="00032976">
              <w:t>stato patrimoniale, distintamente per ogni voce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0201F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E37D64" w:rsidRDefault="00445361" w:rsidP="00D73E98">
            <w:pPr>
              <w:pStyle w:val="PrincCont"/>
              <w:jc w:val="left"/>
            </w:pPr>
          </w:p>
        </w:tc>
        <w:tc>
          <w:tcPr>
            <w:tcW w:w="7078" w:type="dxa"/>
            <w:tcMar>
              <w:left w:w="108" w:type="dxa"/>
            </w:tcMar>
          </w:tcPr>
          <w:p w:rsidR="00445361" w:rsidRPr="00E37D64" w:rsidRDefault="00445361" w:rsidP="00032976">
            <w:pPr>
              <w:pStyle w:val="Puntoelenco"/>
              <w:tabs>
                <w:tab w:val="clear" w:pos="704"/>
                <w:tab w:val="num" w:pos="485"/>
              </w:tabs>
              <w:spacing w:line="230" w:lineRule="exact"/>
              <w:ind w:left="450" w:hanging="284"/>
              <w:rPr>
                <w:b/>
              </w:rPr>
            </w:pPr>
            <w:r w:rsidRPr="00E37D64">
              <w:t>l’importo complessivo degli impegni, delle garanzie e delle passività potenziali non risultanti</w:t>
            </w:r>
            <w:r>
              <w:t xml:space="preserve"> </w:t>
            </w:r>
            <w:r w:rsidRPr="009E63F7">
              <w:t>dallo stato patrimoniale, con indicazione della natura delle garanzie reali prestate; gli</w:t>
            </w:r>
            <w:r>
              <w:t xml:space="preserve"> </w:t>
            </w:r>
            <w:r w:rsidRPr="009E63F7">
              <w:t>impegni esistenti in materia di trattamento di quiescenza e simili, nonché gli impegni assunti</w:t>
            </w:r>
            <w:r>
              <w:t xml:space="preserve"> </w:t>
            </w:r>
            <w:r w:rsidRPr="009E63F7">
              <w:t>nei confronti di imprese controllate, collegate nonché controllanti e imprese sottoposte al</w:t>
            </w:r>
            <w:r>
              <w:t xml:space="preserve"> </w:t>
            </w:r>
            <w:r w:rsidRPr="009E63F7">
              <w:t>controllo di quest'ultime sono dis</w:t>
            </w:r>
            <w:r>
              <w:t>tintamente indicati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45361" w:rsidRPr="00CC242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F90EAC" w:rsidRDefault="00445361" w:rsidP="00D73E98">
            <w:pPr>
              <w:pStyle w:val="PrincCont"/>
              <w:jc w:val="left"/>
            </w:pPr>
            <w:r w:rsidRPr="00F90EAC">
              <w:rPr>
                <w:lang w:val="it-IT"/>
              </w:rPr>
              <w:t>Art. 2423, c.4, CC</w:t>
            </w:r>
            <w:r>
              <w:rPr>
                <w:lang w:val="it-IT"/>
              </w:rPr>
              <w:t xml:space="preserve">              </w:t>
            </w:r>
            <w:r w:rsidRPr="00F90EAC">
              <w:rPr>
                <w:lang w:val="it-IT"/>
              </w:rPr>
              <w:t>OIC 23.101</w:t>
            </w:r>
          </w:p>
        </w:tc>
        <w:tc>
          <w:tcPr>
            <w:tcW w:w="7078" w:type="dxa"/>
            <w:tcMar>
              <w:left w:w="108" w:type="dxa"/>
            </w:tcMar>
          </w:tcPr>
          <w:p w:rsidR="00445361" w:rsidRPr="00F90EAC" w:rsidRDefault="00445361" w:rsidP="00D73E98">
            <w:pPr>
              <w:pStyle w:val="Commentiriquadro"/>
              <w:rPr>
                <w:sz w:val="20"/>
              </w:rPr>
            </w:pPr>
            <w:r w:rsidRPr="00F90EAC">
              <w:t>L’articolo 2423, comma 4,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w:t>
            </w:r>
          </w:p>
        </w:tc>
        <w:tc>
          <w:tcPr>
            <w:tcW w:w="564" w:type="dxa"/>
            <w:tcMar>
              <w:left w:w="85" w:type="dxa"/>
              <w:right w:w="85" w:type="dxa"/>
            </w:tcMar>
            <w:vAlign w:val="center"/>
          </w:tcPr>
          <w:p w:rsidR="00445361" w:rsidRDefault="00445361" w:rsidP="00D73E98">
            <w:pPr>
              <w:jc w:val="center"/>
              <w:rPr>
                <w:lang w:val="it-IT"/>
              </w:rPr>
            </w:pPr>
          </w:p>
        </w:tc>
        <w:tc>
          <w:tcPr>
            <w:tcW w:w="573" w:type="dxa"/>
            <w:tcMar>
              <w:left w:w="108" w:type="dxa"/>
            </w:tcMar>
            <w:vAlign w:val="center"/>
          </w:tcPr>
          <w:p w:rsidR="00445361" w:rsidRPr="00E37D64" w:rsidRDefault="00445361" w:rsidP="00D73E98">
            <w:pPr>
              <w:jc w:val="center"/>
              <w:rPr>
                <w:lang w:val="it-IT"/>
              </w:rPr>
            </w:pPr>
          </w:p>
        </w:tc>
        <w:tc>
          <w:tcPr>
            <w:tcW w:w="570" w:type="dxa"/>
            <w:tcMar>
              <w:left w:w="108" w:type="dxa"/>
            </w:tcMar>
            <w:vAlign w:val="center"/>
          </w:tcPr>
          <w:p w:rsidR="00445361" w:rsidRPr="00E37D64" w:rsidRDefault="00445361" w:rsidP="00D73E98">
            <w:pPr>
              <w:jc w:val="center"/>
              <w:rPr>
                <w:lang w:val="it-IT"/>
              </w:rPr>
            </w:pPr>
          </w:p>
        </w:tc>
      </w:tr>
      <w:tr w:rsidR="00445361" w:rsidRPr="00E37D64"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F90EAC" w:rsidRDefault="00445361" w:rsidP="00D73E98">
            <w:pPr>
              <w:pStyle w:val="PrincCont"/>
              <w:jc w:val="left"/>
              <w:rPr>
                <w:lang w:val="it-IT"/>
              </w:rPr>
            </w:pPr>
          </w:p>
        </w:tc>
        <w:tc>
          <w:tcPr>
            <w:tcW w:w="7078" w:type="dxa"/>
            <w:tcMar>
              <w:left w:w="108" w:type="dxa"/>
            </w:tcMar>
          </w:tcPr>
          <w:p w:rsidR="00445361" w:rsidRPr="000358B1" w:rsidRDefault="00445361" w:rsidP="00D73E98">
            <w:pPr>
              <w:pStyle w:val="Titolo2"/>
            </w:pPr>
            <w:r w:rsidRPr="000358B1">
              <w:t>Disposizioni di prima applicazione</w:t>
            </w:r>
          </w:p>
        </w:tc>
        <w:tc>
          <w:tcPr>
            <w:tcW w:w="564" w:type="dxa"/>
            <w:tcMar>
              <w:left w:w="85" w:type="dxa"/>
              <w:right w:w="85" w:type="dxa"/>
            </w:tcMar>
            <w:vAlign w:val="center"/>
          </w:tcPr>
          <w:p w:rsidR="00445361" w:rsidRDefault="00445361" w:rsidP="00D73E98">
            <w:pPr>
              <w:jc w:val="center"/>
              <w:rPr>
                <w:lang w:val="it-IT"/>
              </w:rPr>
            </w:pPr>
          </w:p>
        </w:tc>
        <w:tc>
          <w:tcPr>
            <w:tcW w:w="573" w:type="dxa"/>
            <w:tcMar>
              <w:left w:w="108" w:type="dxa"/>
            </w:tcMar>
            <w:vAlign w:val="center"/>
          </w:tcPr>
          <w:p w:rsidR="00445361" w:rsidRPr="00E37D64" w:rsidRDefault="00445361" w:rsidP="00D73E98">
            <w:pPr>
              <w:jc w:val="center"/>
              <w:rPr>
                <w:lang w:val="it-IT"/>
              </w:rPr>
            </w:pPr>
          </w:p>
        </w:tc>
        <w:tc>
          <w:tcPr>
            <w:tcW w:w="570" w:type="dxa"/>
            <w:tcMar>
              <w:left w:w="108" w:type="dxa"/>
            </w:tcMar>
            <w:vAlign w:val="center"/>
          </w:tcPr>
          <w:p w:rsidR="00445361" w:rsidRPr="00E37D64" w:rsidRDefault="00445361" w:rsidP="00D73E98">
            <w:pPr>
              <w:jc w:val="center"/>
              <w:rPr>
                <w:lang w:val="it-IT"/>
              </w:rPr>
            </w:pPr>
          </w:p>
        </w:tc>
      </w:tr>
      <w:tr w:rsidR="00445361" w:rsidRPr="00CC242B"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F90EAC" w:rsidRDefault="00445361" w:rsidP="00D73E98">
            <w:pPr>
              <w:pStyle w:val="PrincCont"/>
              <w:jc w:val="left"/>
              <w:rPr>
                <w:lang w:val="it-IT"/>
              </w:rPr>
            </w:pPr>
            <w:r w:rsidRPr="00F90EAC">
              <w:rPr>
                <w:lang w:val="it-IT"/>
              </w:rPr>
              <w:t>OIC 23.105</w:t>
            </w:r>
          </w:p>
        </w:tc>
        <w:tc>
          <w:tcPr>
            <w:tcW w:w="7078" w:type="dxa"/>
            <w:tcMar>
              <w:left w:w="108" w:type="dxa"/>
            </w:tcMar>
          </w:tcPr>
          <w:p w:rsidR="00445361" w:rsidRPr="00F90EAC" w:rsidRDefault="00445361" w:rsidP="00D73E98">
            <w:pPr>
              <w:pStyle w:val="Commentiriquadro"/>
              <w:rPr>
                <w:b/>
                <w:i/>
              </w:rPr>
            </w:pPr>
            <w:r w:rsidRPr="00F90EAC">
              <w:rPr>
                <w:lang w:eastAsia="it-IT"/>
              </w:rPr>
              <w:t>Eventuali effetti derivanti dall’applicazione delle modifiche apportate alla precedente versione dell’OIC 16 possono essere rilevati in bilancio prospetticamente ai sensi dell’OIC 29. Pertanto le componenti delle voci riferite ad operazioni che non hanno ancora esaurito i loro effetti in bilancio possono continuare ad essere contabilizzate in conformità al precedente principio.</w:t>
            </w:r>
            <w:r w:rsidRPr="00F90EAC">
              <w:rPr>
                <w:b/>
                <w:lang w:eastAsia="it-IT"/>
              </w:rPr>
              <w:t xml:space="preserve"> </w:t>
            </w:r>
          </w:p>
        </w:tc>
        <w:tc>
          <w:tcPr>
            <w:tcW w:w="564" w:type="dxa"/>
            <w:tcMar>
              <w:left w:w="85" w:type="dxa"/>
              <w:right w:w="85" w:type="dxa"/>
            </w:tcMar>
            <w:vAlign w:val="center"/>
          </w:tcPr>
          <w:p w:rsidR="00445361" w:rsidRDefault="00445361" w:rsidP="00D73E98">
            <w:pPr>
              <w:jc w:val="center"/>
              <w:rPr>
                <w:lang w:val="it-IT"/>
              </w:rPr>
            </w:pPr>
          </w:p>
        </w:tc>
        <w:tc>
          <w:tcPr>
            <w:tcW w:w="573" w:type="dxa"/>
            <w:tcMar>
              <w:left w:w="108" w:type="dxa"/>
            </w:tcMar>
            <w:vAlign w:val="center"/>
          </w:tcPr>
          <w:p w:rsidR="00445361" w:rsidRPr="00E37D64" w:rsidRDefault="00445361" w:rsidP="00D73E98">
            <w:pPr>
              <w:jc w:val="center"/>
              <w:rPr>
                <w:lang w:val="it-IT"/>
              </w:rPr>
            </w:pPr>
          </w:p>
        </w:tc>
        <w:tc>
          <w:tcPr>
            <w:tcW w:w="570" w:type="dxa"/>
            <w:tcMar>
              <w:left w:w="108" w:type="dxa"/>
            </w:tcMar>
            <w:vAlign w:val="center"/>
          </w:tcPr>
          <w:p w:rsidR="00445361" w:rsidRPr="00E37D64" w:rsidRDefault="00445361" w:rsidP="00D73E98">
            <w:pPr>
              <w:jc w:val="center"/>
              <w:rPr>
                <w:lang w:val="it-IT"/>
              </w:rPr>
            </w:pPr>
          </w:p>
        </w:tc>
      </w:tr>
    </w:tbl>
    <w:p w:rsidR="00445361" w:rsidRPr="00E37D64" w:rsidRDefault="00445361" w:rsidP="00445361">
      <w:pPr>
        <w:rPr>
          <w:lang w:val="it-IT"/>
        </w:rPr>
      </w:pPr>
    </w:p>
    <w:p w:rsidR="00F271AC" w:rsidRDefault="00F271AC" w:rsidP="00A43012">
      <w:pPr>
        <w:rPr>
          <w:lang w:val="it-IT"/>
        </w:rPr>
        <w:sectPr w:rsidR="00F271AC" w:rsidSect="008E5F3E">
          <w:headerReference w:type="default" r:id="rId37"/>
          <w:footerReference w:type="default" r:id="rId38"/>
          <w:pgSz w:w="11906" w:h="16838" w:code="9"/>
          <w:pgMar w:top="1134" w:right="851" w:bottom="851" w:left="851" w:header="709" w:footer="567" w:gutter="0"/>
          <w:cols w:space="708"/>
          <w:docGrid w:linePitch="360"/>
        </w:sectPr>
      </w:pPr>
    </w:p>
    <w:p w:rsidR="00F271AC" w:rsidRPr="00655A70" w:rsidRDefault="00F271AC" w:rsidP="00F271AC">
      <w:pPr>
        <w:rPr>
          <w:lang w:val="it-IT"/>
        </w:rPr>
      </w:pPr>
    </w:p>
    <w:p w:rsidR="00F271AC" w:rsidRPr="00531398" w:rsidRDefault="00F271AC" w:rsidP="00F271AC">
      <w:pPr>
        <w:tabs>
          <w:tab w:val="left" w:pos="1890"/>
        </w:tabs>
        <w:spacing w:line="260" w:lineRule="exact"/>
        <w:ind w:left="990" w:hanging="990"/>
        <w:jc w:val="left"/>
        <w:rPr>
          <w:b/>
          <w:color w:val="0070C0"/>
        </w:rPr>
      </w:pPr>
      <w:r w:rsidRPr="00531398">
        <w:rPr>
          <w:b/>
          <w:color w:val="0070C0"/>
          <w:sz w:val="28"/>
        </w:rPr>
        <w:t>Crediti</w:t>
      </w:r>
    </w:p>
    <w:p w:rsidR="00F271AC" w:rsidRDefault="00F271AC" w:rsidP="00F271AC"/>
    <w:p w:rsidR="00F271AC" w:rsidRDefault="00F271AC" w:rsidP="00F271AC"/>
    <w:tbl>
      <w:tblPr>
        <w:tblW w:w="0" w:type="auto"/>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675"/>
        <w:gridCol w:w="843"/>
        <w:gridCol w:w="6964"/>
        <w:gridCol w:w="582"/>
        <w:gridCol w:w="571"/>
        <w:gridCol w:w="569"/>
      </w:tblGrid>
      <w:tr w:rsidR="00F271AC" w:rsidRPr="008A0F36" w:rsidTr="00D73E98">
        <w:trPr>
          <w:cantSplit/>
          <w:trHeight w:val="20"/>
          <w:tblHeader/>
        </w:trPr>
        <w:tc>
          <w:tcPr>
            <w:tcW w:w="675" w:type="dxa"/>
            <w:shd w:val="clear" w:color="auto" w:fill="F2F2F2" w:themeFill="background1" w:themeFillShade="F2"/>
          </w:tcPr>
          <w:p w:rsidR="00F271AC" w:rsidRPr="008A0F36" w:rsidRDefault="00F271AC" w:rsidP="00D73E98">
            <w:pPr>
              <w:jc w:val="center"/>
              <w:rPr>
                <w:lang w:val="it-IT"/>
              </w:rPr>
            </w:pPr>
          </w:p>
        </w:tc>
        <w:tc>
          <w:tcPr>
            <w:tcW w:w="843" w:type="dxa"/>
            <w:shd w:val="clear" w:color="auto" w:fill="F2F2F2" w:themeFill="background1" w:themeFillShade="F2"/>
            <w:tcMar>
              <w:left w:w="108" w:type="dxa"/>
              <w:right w:w="0" w:type="dxa"/>
            </w:tcMar>
          </w:tcPr>
          <w:p w:rsidR="00F271AC" w:rsidRPr="008A0F36" w:rsidRDefault="00F271AC" w:rsidP="00D73E98">
            <w:pPr>
              <w:jc w:val="left"/>
              <w:rPr>
                <w:b/>
                <w:lang w:val="it-IT"/>
              </w:rPr>
            </w:pPr>
          </w:p>
        </w:tc>
        <w:tc>
          <w:tcPr>
            <w:tcW w:w="6964" w:type="dxa"/>
            <w:shd w:val="clear" w:color="auto" w:fill="F2F2F2" w:themeFill="background1" w:themeFillShade="F2"/>
            <w:tcMar>
              <w:left w:w="108" w:type="dxa"/>
            </w:tcMar>
          </w:tcPr>
          <w:p w:rsidR="00F271AC" w:rsidRPr="008A0F36" w:rsidRDefault="00F271AC" w:rsidP="00D73E98">
            <w:pPr>
              <w:jc w:val="center"/>
              <w:rPr>
                <w:b/>
                <w:lang w:val="it-IT"/>
              </w:rPr>
            </w:pPr>
          </w:p>
        </w:tc>
        <w:tc>
          <w:tcPr>
            <w:tcW w:w="582" w:type="dxa"/>
            <w:shd w:val="clear" w:color="auto" w:fill="F2F2F2" w:themeFill="background1" w:themeFillShade="F2"/>
            <w:tcMar>
              <w:left w:w="85" w:type="dxa"/>
              <w:right w:w="85" w:type="dxa"/>
            </w:tcMar>
            <w:vAlign w:val="bottom"/>
          </w:tcPr>
          <w:p w:rsidR="00F271AC" w:rsidRPr="008A0F36" w:rsidRDefault="00F271AC" w:rsidP="00D73E98">
            <w:pPr>
              <w:jc w:val="center"/>
              <w:rPr>
                <w:b/>
                <w:lang w:val="it-IT"/>
              </w:rPr>
            </w:pPr>
            <w:r w:rsidRPr="008A0F36">
              <w:rPr>
                <w:b/>
                <w:lang w:val="it-IT"/>
              </w:rPr>
              <w:t>SI</w:t>
            </w:r>
          </w:p>
        </w:tc>
        <w:tc>
          <w:tcPr>
            <w:tcW w:w="571" w:type="dxa"/>
            <w:shd w:val="clear" w:color="auto" w:fill="F2F2F2" w:themeFill="background1" w:themeFillShade="F2"/>
            <w:tcMar>
              <w:left w:w="108" w:type="dxa"/>
            </w:tcMar>
            <w:vAlign w:val="bottom"/>
          </w:tcPr>
          <w:p w:rsidR="00F271AC" w:rsidRPr="008A0F36" w:rsidRDefault="00F271AC" w:rsidP="00D73E98">
            <w:pPr>
              <w:jc w:val="center"/>
              <w:rPr>
                <w:b/>
                <w:lang w:val="it-IT"/>
              </w:rPr>
            </w:pPr>
            <w:r w:rsidRPr="008A0F36">
              <w:rPr>
                <w:b/>
                <w:lang w:val="it-IT"/>
              </w:rPr>
              <w:t>NO</w:t>
            </w:r>
          </w:p>
        </w:tc>
        <w:tc>
          <w:tcPr>
            <w:tcW w:w="569" w:type="dxa"/>
            <w:shd w:val="clear" w:color="auto" w:fill="F2F2F2" w:themeFill="background1" w:themeFillShade="F2"/>
            <w:tcMar>
              <w:left w:w="108" w:type="dxa"/>
            </w:tcMar>
            <w:vAlign w:val="bottom"/>
          </w:tcPr>
          <w:p w:rsidR="00F271AC" w:rsidRPr="008A0F36" w:rsidRDefault="00F271AC" w:rsidP="00D73E98">
            <w:pPr>
              <w:jc w:val="center"/>
              <w:rPr>
                <w:b/>
                <w:lang w:val="it-IT"/>
              </w:rPr>
            </w:pPr>
            <w:r w:rsidRPr="008A0F36">
              <w:rPr>
                <w:b/>
                <w:lang w:val="it-IT"/>
              </w:rPr>
              <w:t>N/A</w:t>
            </w:r>
          </w:p>
        </w:tc>
      </w:tr>
      <w:tr w:rsidR="00F271AC" w:rsidRPr="00E1008D" w:rsidTr="00D73E98">
        <w:trPr>
          <w:cantSplit/>
          <w:trHeight w:val="20"/>
        </w:trPr>
        <w:tc>
          <w:tcPr>
            <w:tcW w:w="675" w:type="dxa"/>
            <w:vAlign w:val="center"/>
          </w:tcPr>
          <w:p w:rsidR="00F271AC" w:rsidRPr="008A0F36" w:rsidRDefault="00F271AC" w:rsidP="00D73E98">
            <w:pPr>
              <w:jc w:val="center"/>
              <w:rPr>
                <w:lang w:val="it-IT"/>
              </w:rPr>
            </w:pPr>
          </w:p>
        </w:tc>
        <w:tc>
          <w:tcPr>
            <w:tcW w:w="843" w:type="dxa"/>
            <w:tcMar>
              <w:left w:w="108" w:type="dxa"/>
              <w:right w:w="0" w:type="dxa"/>
            </w:tcMar>
            <w:vAlign w:val="center"/>
          </w:tcPr>
          <w:p w:rsidR="00F271AC" w:rsidRPr="008A0F36" w:rsidRDefault="00F271AC" w:rsidP="00D73E98">
            <w:pPr>
              <w:pStyle w:val="PrincCont"/>
              <w:jc w:val="left"/>
              <w:rPr>
                <w:lang w:val="it-IT"/>
              </w:rPr>
            </w:pPr>
          </w:p>
        </w:tc>
        <w:tc>
          <w:tcPr>
            <w:tcW w:w="6964" w:type="dxa"/>
            <w:tcMar>
              <w:left w:w="108" w:type="dxa"/>
            </w:tcMar>
            <w:vAlign w:val="center"/>
          </w:tcPr>
          <w:p w:rsidR="00F271AC" w:rsidRPr="00E1008D" w:rsidRDefault="00F271AC" w:rsidP="00D73E98">
            <w:pPr>
              <w:pStyle w:val="Titolo1"/>
            </w:pPr>
            <w:r w:rsidRPr="00E1008D">
              <w:t>CREDITI</w:t>
            </w:r>
          </w:p>
        </w:tc>
        <w:tc>
          <w:tcPr>
            <w:tcW w:w="582" w:type="dxa"/>
            <w:tcMar>
              <w:left w:w="85" w:type="dxa"/>
              <w:right w:w="85" w:type="dxa"/>
            </w:tcMar>
            <w:vAlign w:val="center"/>
          </w:tcPr>
          <w:p w:rsidR="00F271AC" w:rsidRPr="00E1008D" w:rsidRDefault="00F271AC" w:rsidP="00D73E98">
            <w:pPr>
              <w:jc w:val="left"/>
              <w:rPr>
                <w:lang w:val="it-IT"/>
              </w:rPr>
            </w:pPr>
          </w:p>
        </w:tc>
        <w:tc>
          <w:tcPr>
            <w:tcW w:w="571" w:type="dxa"/>
            <w:tcMar>
              <w:left w:w="108" w:type="dxa"/>
            </w:tcMar>
            <w:vAlign w:val="center"/>
          </w:tcPr>
          <w:p w:rsidR="00F271AC" w:rsidRPr="00E1008D" w:rsidRDefault="00F271AC" w:rsidP="00D73E98">
            <w:pPr>
              <w:jc w:val="left"/>
              <w:rPr>
                <w:lang w:val="it-IT"/>
              </w:rPr>
            </w:pPr>
          </w:p>
        </w:tc>
        <w:tc>
          <w:tcPr>
            <w:tcW w:w="569" w:type="dxa"/>
            <w:tcMar>
              <w:left w:w="108" w:type="dxa"/>
            </w:tcMar>
            <w:vAlign w:val="center"/>
          </w:tcPr>
          <w:p w:rsidR="00F271AC" w:rsidRPr="00E1008D" w:rsidRDefault="00F271AC" w:rsidP="00D73E98">
            <w:pPr>
              <w:jc w:val="left"/>
              <w:rPr>
                <w:lang w:val="it-IT"/>
              </w:rPr>
            </w:pPr>
          </w:p>
        </w:tc>
      </w:tr>
      <w:tr w:rsidR="00F271AC" w:rsidRPr="00121A1C" w:rsidTr="00D73E98">
        <w:trPr>
          <w:cantSplit/>
          <w:trHeight w:val="298"/>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vAlign w:val="center"/>
          </w:tcPr>
          <w:p w:rsidR="00F271AC" w:rsidRPr="007F4E04" w:rsidRDefault="00F271AC" w:rsidP="00D73E98">
            <w:pPr>
              <w:pStyle w:val="Titolo2"/>
            </w:pPr>
            <w:r w:rsidRPr="007F4E04">
              <w:t>Definizioni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15.4</w:t>
            </w:r>
          </w:p>
        </w:tc>
        <w:tc>
          <w:tcPr>
            <w:tcW w:w="6964" w:type="dxa"/>
            <w:tcMar>
              <w:left w:w="108" w:type="dxa"/>
            </w:tcMar>
          </w:tcPr>
          <w:p w:rsidR="00F271AC" w:rsidRPr="003739FA" w:rsidRDefault="00F271AC" w:rsidP="00D73E98">
            <w:pPr>
              <w:pStyle w:val="Commentiriquadro"/>
            </w:pPr>
            <w:r w:rsidRPr="003739FA">
              <w:t xml:space="preserve">I </w:t>
            </w:r>
            <w:r w:rsidRPr="003739FA">
              <w:rPr>
                <w:i/>
              </w:rPr>
              <w:t xml:space="preserve">crediti </w:t>
            </w:r>
            <w:r w:rsidRPr="003739FA">
              <w:t>rappresentano diritti ad esigere, ad una scadenza individuata o individuabile, ammontari fissi o determinabili di disponibilità liquide, o di beni/servizi aventi un valore equivalente, da clienti o da altri soggetti.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15.5</w:t>
            </w:r>
          </w:p>
        </w:tc>
        <w:tc>
          <w:tcPr>
            <w:tcW w:w="6964" w:type="dxa"/>
            <w:tcMar>
              <w:left w:w="108" w:type="dxa"/>
            </w:tcMar>
          </w:tcPr>
          <w:p w:rsidR="00F271AC" w:rsidRPr="003739FA" w:rsidRDefault="00F271AC" w:rsidP="00D73E98">
            <w:pPr>
              <w:pStyle w:val="Commentiriquadro"/>
            </w:pPr>
            <w:r w:rsidRPr="003739FA">
              <w:t xml:space="preserve">Le </w:t>
            </w:r>
            <w:r w:rsidRPr="003739FA">
              <w:rPr>
                <w:i/>
              </w:rPr>
              <w:t xml:space="preserve">cambiali attive </w:t>
            </w:r>
            <w:r w:rsidRPr="003739FA">
              <w:t>rappresentano titoli di credito che contengono un ordine o una promessa incondizionata di pagamento verso il portatore del titolo, che pertanto ha il diritto tutelato dalla legge di esigere il pagamento. Le disposizioni del presente principio sono applicabili anche alle cambiali attive.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6</w:t>
            </w:r>
          </w:p>
        </w:tc>
        <w:tc>
          <w:tcPr>
            <w:tcW w:w="6964" w:type="dxa"/>
            <w:tcMar>
              <w:left w:w="108" w:type="dxa"/>
            </w:tcMar>
          </w:tcPr>
          <w:p w:rsidR="00F271AC" w:rsidRDefault="00F271AC" w:rsidP="00D73E98">
            <w:pPr>
              <w:pStyle w:val="Commentiriquadro"/>
            </w:pPr>
            <w:r w:rsidRPr="00B0043D">
              <w:t xml:space="preserve">Le </w:t>
            </w:r>
            <w:r w:rsidRPr="00B0043D">
              <w:rPr>
                <w:i/>
              </w:rPr>
              <w:t xml:space="preserve">disponibilità liquide </w:t>
            </w:r>
            <w:r w:rsidRPr="00B0043D">
              <w:t>sono rappresentate da:</w:t>
            </w:r>
          </w:p>
          <w:p w:rsidR="00F271AC" w:rsidRPr="00B0043D" w:rsidRDefault="00F271AC" w:rsidP="004E27C2">
            <w:pPr>
              <w:pStyle w:val="Commentiriquadro"/>
              <w:numPr>
                <w:ilvl w:val="0"/>
                <w:numId w:val="33"/>
              </w:numPr>
              <w:ind w:left="176" w:hanging="119"/>
            </w:pPr>
            <w:r w:rsidRPr="00B0043D">
              <w:rPr>
                <w:lang w:val="en-US"/>
              </w:rPr>
              <w:t>depositi bancari e postali;</w:t>
            </w:r>
          </w:p>
          <w:p w:rsidR="00F271AC" w:rsidRPr="00B0043D" w:rsidRDefault="00F271AC" w:rsidP="004E27C2">
            <w:pPr>
              <w:pStyle w:val="Commentiriquadro"/>
              <w:numPr>
                <w:ilvl w:val="0"/>
                <w:numId w:val="33"/>
              </w:numPr>
              <w:ind w:left="176" w:hanging="119"/>
            </w:pPr>
            <w:r>
              <w:rPr>
                <w:lang w:val="en-US"/>
              </w:rPr>
              <w:t>assegni;</w:t>
            </w:r>
          </w:p>
          <w:p w:rsidR="00F271AC" w:rsidRPr="00B0043D" w:rsidRDefault="00F271AC" w:rsidP="004E27C2">
            <w:pPr>
              <w:pStyle w:val="Commentiriquadro"/>
              <w:numPr>
                <w:ilvl w:val="0"/>
                <w:numId w:val="33"/>
              </w:numPr>
              <w:ind w:left="176" w:hanging="119"/>
            </w:pPr>
            <w:r w:rsidRPr="00B0043D">
              <w:t>denaro e valori in cassa.</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7</w:t>
            </w:r>
          </w:p>
        </w:tc>
        <w:tc>
          <w:tcPr>
            <w:tcW w:w="6964" w:type="dxa"/>
            <w:tcMar>
              <w:left w:w="108" w:type="dxa"/>
            </w:tcMar>
          </w:tcPr>
          <w:p w:rsidR="00F271AC" w:rsidRPr="00B0043D" w:rsidRDefault="00F271AC" w:rsidP="00D73E98">
            <w:pPr>
              <w:pStyle w:val="Commentiriquadro"/>
            </w:pPr>
            <w:r w:rsidRPr="00B0043D">
              <w:t xml:space="preserve">Il </w:t>
            </w:r>
            <w:r w:rsidRPr="00B0043D">
              <w:rPr>
                <w:i/>
              </w:rPr>
              <w:t xml:space="preserve">valore nominale </w:t>
            </w:r>
            <w:r w:rsidRPr="00B0043D">
              <w:t>di un credito è l’ammontare, definito contrattualmente, che si ha diritto di esigere.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8</w:t>
            </w:r>
          </w:p>
        </w:tc>
        <w:tc>
          <w:tcPr>
            <w:tcW w:w="6964" w:type="dxa"/>
            <w:tcMar>
              <w:left w:w="108" w:type="dxa"/>
            </w:tcMar>
          </w:tcPr>
          <w:p w:rsidR="00F271AC" w:rsidRPr="00B0043D" w:rsidRDefault="00F271AC" w:rsidP="00D73E98">
            <w:pPr>
              <w:pStyle w:val="Commentiriquadro"/>
            </w:pPr>
            <w:r w:rsidRPr="00B0043D">
              <w:t xml:space="preserve">Il </w:t>
            </w:r>
            <w:r w:rsidRPr="00B0043D">
              <w:rPr>
                <w:i/>
              </w:rPr>
              <w:t xml:space="preserve">tasso di interesse nominale </w:t>
            </w:r>
            <w:r w:rsidRPr="00B0043D">
              <w:t>di un credito è il tasso di interesse contrattuale che, applicato al suo valore nominale, consente di determinare i flussi finanziari costituiti da interessi attivi nominali lungo la durata del credito.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9</w:t>
            </w:r>
          </w:p>
        </w:tc>
        <w:tc>
          <w:tcPr>
            <w:tcW w:w="6964" w:type="dxa"/>
            <w:tcMar>
              <w:left w:w="108" w:type="dxa"/>
            </w:tcMar>
          </w:tcPr>
          <w:p w:rsidR="00F271AC" w:rsidRPr="00B0043D" w:rsidRDefault="00F271AC" w:rsidP="00D73E98">
            <w:pPr>
              <w:pStyle w:val="Commentiriquadro"/>
            </w:pPr>
            <w:r w:rsidRPr="00B0043D">
              <w:t xml:space="preserve">Il </w:t>
            </w:r>
            <w:r w:rsidRPr="00B0043D">
              <w:rPr>
                <w:i/>
              </w:rPr>
              <w:t xml:space="preserve">tasso di interesse desumibile dalle condizioni contrattuali </w:t>
            </w:r>
            <w:r w:rsidRPr="00B0043D">
              <w:t>è il tasso che prende in considerazione tutti i flussi di cassa pagati tra le parti e previsti dal contratto (es.: commissioni, pagamenti anticipati e ogni altra differenza tra valore iniziale e valore a scadenza del credito), ma non considera i costi di transazione.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10</w:t>
            </w:r>
          </w:p>
        </w:tc>
        <w:tc>
          <w:tcPr>
            <w:tcW w:w="6964" w:type="dxa"/>
            <w:tcMar>
              <w:left w:w="108" w:type="dxa"/>
            </w:tcMar>
          </w:tcPr>
          <w:p w:rsidR="00F271AC" w:rsidRDefault="00F271AC" w:rsidP="00D73E98">
            <w:pPr>
              <w:pStyle w:val="Commentiriquadro"/>
            </w:pPr>
            <w:r w:rsidRPr="00B0043D">
              <w:t>L’</w:t>
            </w:r>
            <w:r w:rsidRPr="00B0043D">
              <w:rPr>
                <w:i/>
              </w:rPr>
              <w:t>attualizzazione</w:t>
            </w:r>
            <w:r w:rsidRPr="00B0043D">
              <w:t>, sotto il profilo finanziario, è il processo che consente, tramite l’applicazione di un tasso di sconto, di determinare il valore ad oggi di flussi finanziari che saranno incassati in una o più date future.</w:t>
            </w:r>
          </w:p>
          <w:p w:rsidR="00F271AC" w:rsidRPr="00B0043D" w:rsidRDefault="00F271AC" w:rsidP="00D73E98">
            <w:pPr>
              <w:pStyle w:val="Commentiriquadro"/>
            </w:pPr>
            <w:r w:rsidRPr="00593F9A">
              <w:t>L’attualizzazione è prevista dall’art. 2426, c</w:t>
            </w:r>
            <w:r>
              <w:t>.</w:t>
            </w:r>
            <w:r w:rsidRPr="00593F9A">
              <w:t>1, n.8 laddove si richiede che la valutazione dei crediti tenga conto anche del “fattore temporale” nel caso in cui, al momento della rilevazione iniziale, il tasso di interesse desumibile dalle condizioni contrattuali risulti significativamente diverso da quello di mercato.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11</w:t>
            </w:r>
          </w:p>
        </w:tc>
        <w:tc>
          <w:tcPr>
            <w:tcW w:w="6964" w:type="dxa"/>
            <w:tcMar>
              <w:left w:w="108" w:type="dxa"/>
            </w:tcMar>
          </w:tcPr>
          <w:p w:rsidR="00F271AC" w:rsidRPr="00A849D5" w:rsidRDefault="00F271AC" w:rsidP="00D73E98">
            <w:pPr>
              <w:pStyle w:val="Commentiriquadro"/>
            </w:pPr>
            <w:r w:rsidRPr="00A849D5">
              <w:t xml:space="preserve">Il </w:t>
            </w:r>
            <w:r w:rsidRPr="00A849D5">
              <w:rPr>
                <w:i/>
              </w:rPr>
              <w:t xml:space="preserve">tasso di interesse di mercato </w:t>
            </w:r>
            <w:r w:rsidRPr="00A849D5">
              <w:t>è il tasso che sarebbe stato applicato se due parti indipendenti avessero negoziato un’operazione similare con termini e condizioni comparabili con quella oggetto di esame che ha generato il credito. Nel determinare tale tasso d’interesse si deve massimizzare l’utilizzo di parametri osservabili sul mercato.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12</w:t>
            </w:r>
          </w:p>
        </w:tc>
        <w:tc>
          <w:tcPr>
            <w:tcW w:w="6964" w:type="dxa"/>
            <w:tcMar>
              <w:left w:w="108" w:type="dxa"/>
            </w:tcMar>
          </w:tcPr>
          <w:p w:rsidR="00F271AC" w:rsidRPr="00A849D5" w:rsidRDefault="00F271AC" w:rsidP="00D73E98">
            <w:pPr>
              <w:pStyle w:val="Commentiriquadro"/>
            </w:pPr>
            <w:r w:rsidRPr="00A849D5">
              <w:t xml:space="preserve">La </w:t>
            </w:r>
            <w:r w:rsidRPr="00A849D5">
              <w:rPr>
                <w:i/>
              </w:rPr>
              <w:t xml:space="preserve">svalutazione </w:t>
            </w:r>
            <w:r w:rsidRPr="00A849D5">
              <w:t>è la riduzione di valore di un credito, derivante da una stima, al valore di presumibile realizzo riconducibile alla data di bilancio.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13</w:t>
            </w:r>
          </w:p>
        </w:tc>
        <w:tc>
          <w:tcPr>
            <w:tcW w:w="6964" w:type="dxa"/>
            <w:tcMar>
              <w:left w:w="108" w:type="dxa"/>
            </w:tcMar>
          </w:tcPr>
          <w:p w:rsidR="00F271AC" w:rsidRPr="00A849D5" w:rsidRDefault="00F271AC" w:rsidP="00D73E98">
            <w:pPr>
              <w:pStyle w:val="Commentiriquadro"/>
            </w:pPr>
            <w:r w:rsidRPr="00A849D5">
              <w:t xml:space="preserve">La </w:t>
            </w:r>
            <w:r w:rsidRPr="00A849D5">
              <w:rPr>
                <w:i/>
              </w:rPr>
              <w:t xml:space="preserve">perdita </w:t>
            </w:r>
            <w:r w:rsidRPr="00A849D5">
              <w:t>è un evento certo e definitivo che coincide con la parte del credito non più recuperabile.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14</w:t>
            </w:r>
          </w:p>
        </w:tc>
        <w:tc>
          <w:tcPr>
            <w:tcW w:w="6964" w:type="dxa"/>
            <w:tcMar>
              <w:left w:w="108" w:type="dxa"/>
            </w:tcMar>
          </w:tcPr>
          <w:p w:rsidR="00F271AC" w:rsidRPr="00A849D5" w:rsidRDefault="00F271AC" w:rsidP="00D73E98">
            <w:pPr>
              <w:pStyle w:val="Commentiriquadro"/>
            </w:pPr>
            <w:r w:rsidRPr="00A849D5">
              <w:t xml:space="preserve">Il </w:t>
            </w:r>
            <w:r w:rsidRPr="00A849D5">
              <w:rPr>
                <w:i/>
              </w:rPr>
              <w:t xml:space="preserve">bilancio in forma ordinaria </w:t>
            </w:r>
            <w:r w:rsidRPr="00A849D5">
              <w:t>è il bilancio redatto secondo le disposizioni del codice civile dalle società che non redigono il bilancio in forma abbreviata ai sensi dell’art. 2435-</w:t>
            </w:r>
            <w:r w:rsidRPr="008B6BC7">
              <w:t>bis</w:t>
            </w:r>
            <w:r w:rsidRPr="00A849D5">
              <w:rPr>
                <w:i/>
              </w:rPr>
              <w:t xml:space="preserve"> </w:t>
            </w:r>
            <w:r w:rsidRPr="00A849D5">
              <w:t>CC e dalle società che non redigono il bilancio ai sensi dell’art. 2435-</w:t>
            </w:r>
            <w:r w:rsidRPr="00A17D7B">
              <w:t>ter</w:t>
            </w:r>
            <w:r w:rsidRPr="00A849D5">
              <w:rPr>
                <w:i/>
              </w:rPr>
              <w:t xml:space="preserve"> </w:t>
            </w:r>
            <w:r>
              <w:t>CC.</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vAlign w:val="center"/>
          </w:tcPr>
          <w:p w:rsidR="00F271AC" w:rsidRPr="00A849D5" w:rsidRDefault="00F271AC" w:rsidP="00D73E98">
            <w:pPr>
              <w:pStyle w:val="Titolo3"/>
              <w:rPr>
                <w:lang w:val="it-IT"/>
              </w:rPr>
            </w:pPr>
            <w:r w:rsidRPr="00A849D5">
              <w:rPr>
                <w:lang w:val="it-IT"/>
              </w:rPr>
              <w:t>Definizioni tratte dai principi contabili internazionali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15</w:t>
            </w:r>
          </w:p>
        </w:tc>
        <w:tc>
          <w:tcPr>
            <w:tcW w:w="6964" w:type="dxa"/>
            <w:tcMar>
              <w:left w:w="108" w:type="dxa"/>
            </w:tcMar>
          </w:tcPr>
          <w:p w:rsidR="00F271AC" w:rsidRPr="00A849D5" w:rsidRDefault="00F271AC" w:rsidP="00D73E98">
            <w:pPr>
              <w:pStyle w:val="Commentiriquadro"/>
            </w:pPr>
            <w:r w:rsidRPr="00A849D5">
              <w:t>L’art. 2426, c</w:t>
            </w:r>
            <w:r>
              <w:t>.</w:t>
            </w:r>
            <w:r w:rsidRPr="00A849D5">
              <w:t>2</w:t>
            </w:r>
            <w:r>
              <w:t xml:space="preserve"> CC</w:t>
            </w:r>
            <w:r w:rsidRPr="00A849D5">
              <w:t xml:space="preserve"> prescrive che per la definizione di costo ammortizzato si fa riferimento ai principi contabili internazionali adottati dall’Unione europea. Lo IAS 39 (par. 9), adottato dall’Unione europea e in vigore al momento della pubblicazione di questo principio, ricomprende i crediti tra le attività finanziarie e fornisce le seguenti definizioni con riferimento al criterio del costo ammortizzato di attività e passività finanziarie.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16</w:t>
            </w:r>
          </w:p>
        </w:tc>
        <w:tc>
          <w:tcPr>
            <w:tcW w:w="6964" w:type="dxa"/>
            <w:tcMar>
              <w:left w:w="108" w:type="dxa"/>
            </w:tcMar>
          </w:tcPr>
          <w:p w:rsidR="00F271AC" w:rsidRPr="00A849D5" w:rsidRDefault="00F271AC" w:rsidP="00D73E98">
            <w:pPr>
              <w:pStyle w:val="Commentiriquadro"/>
            </w:pPr>
            <w:r w:rsidRPr="00A849D5">
              <w:t xml:space="preserve">“Il </w:t>
            </w:r>
            <w:r w:rsidRPr="00A849D5">
              <w:rPr>
                <w:i/>
              </w:rPr>
              <w:t xml:space="preserve">costo ammortizzato </w:t>
            </w:r>
            <w:r w:rsidRPr="00A849D5">
              <w:t>di un’attività o passività finanziaria è il valore a cui l’attività o la passività finanziaria è stata valutata al momento della rilevazione iniziale al netto dei rimborsi di capitale, aumentato o diminuito dall’ammortamento cumulato utilizzando il criterio dell’interesse effettivo su qualsiasi differenza tra il valore iniziale e quello a scadenza e dedotta qualsiasi riduzione (operata direttamente o attraverso l’uso di un accantonamento) a seguito di una riduzione di</w:t>
            </w:r>
            <w:r>
              <w:t xml:space="preserve"> </w:t>
            </w:r>
            <w:r w:rsidRPr="00A849D5">
              <w:t>valore o di irrecuperabilità”.</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17</w:t>
            </w:r>
          </w:p>
        </w:tc>
        <w:tc>
          <w:tcPr>
            <w:tcW w:w="6964" w:type="dxa"/>
            <w:tcMar>
              <w:left w:w="108" w:type="dxa"/>
            </w:tcMar>
          </w:tcPr>
          <w:p w:rsidR="00F271AC" w:rsidRPr="00A849D5" w:rsidRDefault="00F271AC" w:rsidP="00D73E98">
            <w:pPr>
              <w:pStyle w:val="Commentiriquadro"/>
            </w:pPr>
            <w:r w:rsidRPr="00A849D5">
              <w:t xml:space="preserve">“Il </w:t>
            </w:r>
            <w:r w:rsidRPr="00A849D5">
              <w:rPr>
                <w:i/>
              </w:rPr>
              <w:t xml:space="preserve">criterio dell’interesse effettivo </w:t>
            </w:r>
            <w:r w:rsidRPr="00A849D5">
              <w:t>è un metodo di calcolo del costo ammortizzato di un’attività o passività finanziaria (o gruppo di attività o passività finanziarie) e di ripartizione degli interessi attivi o passivi lungo il relativo periodo”.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C81B68" w:rsidRDefault="00F271AC" w:rsidP="00D73E98">
            <w:pPr>
              <w:pStyle w:val="PrincCont"/>
              <w:jc w:val="left"/>
              <w:rPr>
                <w:lang w:val="it-IT"/>
              </w:rPr>
            </w:pPr>
            <w:r w:rsidRPr="00C81B68">
              <w:rPr>
                <w:lang w:val="it-IT"/>
              </w:rPr>
              <w:t>OIC 15.</w:t>
            </w:r>
            <w:r>
              <w:rPr>
                <w:lang w:val="it-IT"/>
              </w:rPr>
              <w:t>18</w:t>
            </w:r>
          </w:p>
        </w:tc>
        <w:tc>
          <w:tcPr>
            <w:tcW w:w="6964" w:type="dxa"/>
            <w:tcMar>
              <w:left w:w="108" w:type="dxa"/>
            </w:tcMar>
          </w:tcPr>
          <w:p w:rsidR="00F271AC" w:rsidRPr="00A849D5" w:rsidRDefault="00F271AC" w:rsidP="00D73E98">
            <w:pPr>
              <w:pStyle w:val="Commentiriquadro"/>
            </w:pPr>
            <w:r w:rsidRPr="00A849D5">
              <w:t xml:space="preserve">“Il </w:t>
            </w:r>
            <w:r w:rsidRPr="00A849D5">
              <w:rPr>
                <w:i/>
              </w:rPr>
              <w:t xml:space="preserve">tasso di interesse effettivo </w:t>
            </w:r>
            <w:r w:rsidRPr="00A849D5">
              <w:t>è il tasso che attualizza esattamente i pagamenti o gli incassi futuri stimati lungo la vita attesa dello strumento finanziario o, ove opportuno, un periodo più breve al valore contabile netto dell’attività o passività finanziaria. Quando si calcola il tasso di interesse effettivo,</w:t>
            </w:r>
            <w:r>
              <w:t xml:space="preserve"> </w:t>
            </w:r>
            <w:r w:rsidRPr="00A849D5">
              <w:t>un’entità</w:t>
            </w:r>
            <w:r>
              <w:t xml:space="preserve"> </w:t>
            </w:r>
            <w:r w:rsidRPr="00A849D5">
              <w:t>deve</w:t>
            </w:r>
            <w:r>
              <w:t xml:space="preserve"> </w:t>
            </w:r>
            <w:r w:rsidRPr="00A849D5">
              <w:t>valutare</w:t>
            </w:r>
            <w:r>
              <w:t xml:space="preserve"> </w:t>
            </w:r>
            <w:r w:rsidRPr="00A849D5">
              <w:t>i</w:t>
            </w:r>
            <w:r>
              <w:t xml:space="preserve"> </w:t>
            </w:r>
            <w:r w:rsidRPr="00A849D5">
              <w:t>flussi</w:t>
            </w:r>
            <w:r>
              <w:t xml:space="preserve"> </w:t>
            </w:r>
            <w:r w:rsidRPr="00A849D5">
              <w:t>finanziari</w:t>
            </w:r>
            <w:r>
              <w:t xml:space="preserve"> </w:t>
            </w:r>
            <w:r w:rsidRPr="00A849D5">
              <w:t>tenendo</w:t>
            </w:r>
            <w:r>
              <w:t xml:space="preserve"> </w:t>
            </w:r>
            <w:r w:rsidRPr="00A849D5">
              <w:t>in</w:t>
            </w:r>
            <w:r>
              <w:t xml:space="preserve"> </w:t>
            </w:r>
            <w:r w:rsidRPr="00A849D5">
              <w:t>considerazione</w:t>
            </w:r>
            <w:r>
              <w:t xml:space="preserve"> </w:t>
            </w:r>
            <w:r w:rsidRPr="00A849D5">
              <w:t>tutti</w:t>
            </w:r>
            <w:r>
              <w:t xml:space="preserve"> </w:t>
            </w:r>
            <w:r w:rsidRPr="00A849D5">
              <w:t>i termini</w:t>
            </w:r>
            <w:r>
              <w:t xml:space="preserve"> </w:t>
            </w:r>
            <w:r w:rsidRPr="00593F9A">
              <w:t>contrattuali dello strumento finanziario (per esempio, il pagamento anticipato, un’opzione call e simili), ma non deve considerare perdite future su crediti. Il calcolo include tutti gli oneri e punti base pagati o ricevuti tra le parti di un contratto che sono parte integrante del tasso di interesse effettivo, i costi di transazione e tutti gli altri premi o sconti. Si presume che i flussi finanziari e la vita attesa di un gruppo di strumenti finanziari similari possano essere valutati in modo attendibile. Tuttavia, in quei rari casi in cui non è possibile determinare in modo attendibile i flussi finanziari o la vita attesa di uno strumento finanziario (o gruppo di strumenti finanziari), l’entità deve utilizzare i flussi finanziari contrattuali per tutta la durata del contratto dello strumento finanziario (o gruppo di strumenti</w:t>
            </w:r>
            <w:r w:rsidRPr="00593F9A">
              <w:rPr>
                <w:spacing w:val="-17"/>
              </w:rPr>
              <w:t xml:space="preserve"> </w:t>
            </w:r>
            <w:r w:rsidRPr="00593F9A">
              <w:t>finanziari)”.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19</w:t>
            </w:r>
          </w:p>
        </w:tc>
        <w:tc>
          <w:tcPr>
            <w:tcW w:w="6964" w:type="dxa"/>
            <w:tcMar>
              <w:left w:w="108" w:type="dxa"/>
            </w:tcMar>
          </w:tcPr>
          <w:p w:rsidR="00F271AC" w:rsidRPr="00A849D5" w:rsidRDefault="00F271AC" w:rsidP="00D73E98">
            <w:pPr>
              <w:pStyle w:val="Commentiriquadro"/>
            </w:pPr>
            <w:r w:rsidRPr="00A849D5">
              <w:t xml:space="preserve">“I </w:t>
            </w:r>
            <w:r w:rsidRPr="00A849D5">
              <w:rPr>
                <w:i/>
              </w:rPr>
              <w:t xml:space="preserve">costi di transazione </w:t>
            </w:r>
            <w:r w:rsidRPr="00A849D5">
              <w:t>sono costi marginali direttamente attribuibili all’acquisizione,</w:t>
            </w:r>
            <w:r>
              <w:t xml:space="preserve"> </w:t>
            </w:r>
            <w:r w:rsidRPr="00A849D5">
              <w:t>all’emissione o alla dismissione di un’attività o di una passività finanziaria. Un costo marginale è un costo che non sarebbe stato sostenuto se l’entità non avesse acquisito, emesso o dismesso lo strumento finanziario”. I costi di transazione includono gli onorari e le commissioni pagati a soggetti terzi (es.: consulenti, mediatori finanziari e notai), i contributi pagati a organismi di regolamentazione e le tasse e gli oneri sui trasferimenti. I costi di transazione non includono</w:t>
            </w:r>
            <w:r>
              <w:t xml:space="preserve"> </w:t>
            </w:r>
            <w:r w:rsidRPr="00A849D5">
              <w:t>premi o sconti sul valore nominale del credito e tutti gli altri oneri previsti dal contratto di finanziamento e pagati alla controparte.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vAlign w:val="center"/>
          </w:tcPr>
          <w:p w:rsidR="00F271AC" w:rsidRPr="00E1008D" w:rsidRDefault="00F271AC" w:rsidP="00D73E98">
            <w:pPr>
              <w:pStyle w:val="Titolo2"/>
              <w:rPr>
                <w:lang w:val="it-IT"/>
              </w:rPr>
            </w:pPr>
            <w:r w:rsidRPr="00E1008D">
              <w:rPr>
                <w:lang w:val="it-IT"/>
              </w:rPr>
              <w:t>Classificazione e contenuto delle voci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64"/>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vAlign w:val="center"/>
          </w:tcPr>
          <w:p w:rsidR="00F271AC" w:rsidRPr="00E1008D" w:rsidRDefault="00F271AC" w:rsidP="00D73E98">
            <w:pPr>
              <w:pStyle w:val="Titolo3"/>
              <w:jc w:val="left"/>
            </w:pPr>
            <w:r w:rsidRPr="00E1008D">
              <w:rPr>
                <w:lang w:val="it-IT"/>
              </w:rPr>
              <w:t>Stato patrimoniale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1)</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20</w:t>
            </w:r>
          </w:p>
        </w:tc>
        <w:tc>
          <w:tcPr>
            <w:tcW w:w="6964" w:type="dxa"/>
            <w:tcMar>
              <w:left w:w="108" w:type="dxa"/>
            </w:tcMar>
          </w:tcPr>
          <w:p w:rsidR="00F271AC" w:rsidRPr="007F4E04" w:rsidRDefault="00F271AC" w:rsidP="00D73E98">
            <w:pPr>
              <w:spacing w:line="230" w:lineRule="exact"/>
              <w:rPr>
                <w:lang w:val="it-IT"/>
              </w:rPr>
            </w:pPr>
            <w:r w:rsidRPr="007F4E04">
              <w:rPr>
                <w:lang w:val="it-IT"/>
              </w:rPr>
              <w:t>I crediti sono classificati nelle seguenti voci</w:t>
            </w:r>
          </w:p>
          <w:p w:rsidR="00F271AC" w:rsidRPr="007F4E04" w:rsidRDefault="00F271AC" w:rsidP="004E27C2">
            <w:pPr>
              <w:pStyle w:val="Rientroa"/>
              <w:numPr>
                <w:ilvl w:val="0"/>
                <w:numId w:val="32"/>
              </w:numPr>
              <w:tabs>
                <w:tab w:val="clear" w:pos="392"/>
                <w:tab w:val="num" w:pos="331"/>
              </w:tabs>
              <w:spacing w:line="230" w:lineRule="exact"/>
            </w:pPr>
            <w:r w:rsidRPr="007F4E04">
              <w:t>per i crediti immobilizzati: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331"/>
              <w:rPr>
                <w:lang w:val="it-IT"/>
              </w:rPr>
            </w:pPr>
            <w:r w:rsidRPr="007F4E04">
              <w:rPr>
                <w:lang w:val="it-IT"/>
              </w:rPr>
              <w:t xml:space="preserve">B III 2 — </w:t>
            </w:r>
            <w:r w:rsidRPr="007F4E04">
              <w:rPr>
                <w:i/>
                <w:lang w:val="it-IT"/>
              </w:rPr>
              <w:t>Crediti</w:t>
            </w:r>
            <w:r w:rsidRPr="007F4E04">
              <w:rPr>
                <w:i/>
                <w:iCs/>
                <w:lang w:val="it-IT"/>
              </w:rPr>
              <w:t>:</w:t>
            </w:r>
          </w:p>
        </w:tc>
        <w:tc>
          <w:tcPr>
            <w:tcW w:w="582" w:type="dxa"/>
            <w:tcMar>
              <w:left w:w="85" w:type="dxa"/>
              <w:right w:w="85" w:type="dxa"/>
            </w:tcMar>
            <w:vAlign w:val="center"/>
          </w:tcPr>
          <w:p w:rsidR="00F271AC" w:rsidRPr="00E1008D" w:rsidRDefault="00F271AC" w:rsidP="00D73E98">
            <w:pPr>
              <w:jc w:val="center"/>
            </w:pPr>
          </w:p>
        </w:tc>
        <w:tc>
          <w:tcPr>
            <w:tcW w:w="571" w:type="dxa"/>
            <w:tcMar>
              <w:left w:w="108" w:type="dxa"/>
            </w:tcMar>
            <w:vAlign w:val="center"/>
          </w:tcPr>
          <w:p w:rsidR="00F271AC" w:rsidRPr="00E1008D" w:rsidRDefault="00F271AC" w:rsidP="00D73E98">
            <w:pPr>
              <w:jc w:val="center"/>
            </w:pPr>
          </w:p>
        </w:tc>
        <w:tc>
          <w:tcPr>
            <w:tcW w:w="569" w:type="dxa"/>
            <w:tcMar>
              <w:left w:w="108" w:type="dxa"/>
            </w:tcMar>
            <w:vAlign w:val="center"/>
          </w:tcPr>
          <w:p w:rsidR="00F271AC" w:rsidRPr="00E1008D" w:rsidRDefault="00F271AC" w:rsidP="00D73E98">
            <w:pPr>
              <w:jc w:val="center"/>
            </w:pP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615" w:hanging="142"/>
              <w:rPr>
                <w:i/>
                <w:lang w:val="it-IT"/>
              </w:rPr>
            </w:pPr>
            <w:r w:rsidRPr="007F4E04">
              <w:rPr>
                <w:i/>
                <w:lang w:val="it-IT"/>
              </w:rPr>
              <w:t>a. verso imprese controllate</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615" w:hanging="142"/>
              <w:rPr>
                <w:i/>
                <w:lang w:val="it-IT"/>
              </w:rPr>
            </w:pPr>
            <w:r w:rsidRPr="007F4E04">
              <w:rPr>
                <w:i/>
                <w:lang w:val="it-IT"/>
              </w:rPr>
              <w:t>b. verso imprese collegate</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615" w:hanging="142"/>
              <w:rPr>
                <w:i/>
              </w:rPr>
            </w:pPr>
            <w:r w:rsidRPr="007F4E04">
              <w:rPr>
                <w:i/>
                <w:lang w:val="it-IT"/>
              </w:rPr>
              <w:t>c. verso controlla</w:t>
            </w:r>
            <w:r w:rsidRPr="007F4E04">
              <w:rPr>
                <w:i/>
              </w:rPr>
              <w:t>nti</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615" w:hanging="142"/>
              <w:rPr>
                <w:i/>
                <w:lang w:val="it-IT"/>
              </w:rPr>
            </w:pPr>
            <w:r w:rsidRPr="007F4E04">
              <w:rPr>
                <w:i/>
                <w:lang w:val="it-IT"/>
              </w:rPr>
              <w:t>d. verso imprese sottoposte al controllo delle controllanti</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756" w:hanging="283"/>
              <w:rPr>
                <w:i/>
              </w:rPr>
            </w:pPr>
            <w:r w:rsidRPr="007F4E04">
              <w:rPr>
                <w:i/>
              </w:rPr>
              <w:t>d-bis. verso altri</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4E27C2">
            <w:pPr>
              <w:pStyle w:val="Rientroa"/>
              <w:numPr>
                <w:ilvl w:val="0"/>
                <w:numId w:val="32"/>
              </w:numPr>
              <w:tabs>
                <w:tab w:val="clear" w:pos="392"/>
                <w:tab w:val="num" w:pos="331"/>
              </w:tabs>
              <w:spacing w:line="230" w:lineRule="exact"/>
            </w:pPr>
            <w:r w:rsidRPr="007F4E04">
              <w:t>per i crediti facenti parte dell’attivo circolante: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331"/>
              <w:rPr>
                <w:lang w:val="it-IT"/>
              </w:rPr>
            </w:pPr>
            <w:r w:rsidRPr="007F4E04">
              <w:rPr>
                <w:lang w:val="it-IT"/>
              </w:rPr>
              <w:t xml:space="preserve">C II — </w:t>
            </w:r>
            <w:r w:rsidRPr="007F4E04">
              <w:rPr>
                <w:i/>
                <w:lang w:val="it-IT"/>
              </w:rPr>
              <w:t>Crediti:</w:t>
            </w:r>
          </w:p>
        </w:tc>
        <w:tc>
          <w:tcPr>
            <w:tcW w:w="582" w:type="dxa"/>
            <w:tcMar>
              <w:left w:w="85" w:type="dxa"/>
              <w:right w:w="85" w:type="dxa"/>
            </w:tcMar>
            <w:vAlign w:val="center"/>
          </w:tcPr>
          <w:p w:rsidR="00F271AC" w:rsidRPr="00E1008D" w:rsidRDefault="00F271AC" w:rsidP="00D73E98">
            <w:pPr>
              <w:jc w:val="center"/>
            </w:pPr>
          </w:p>
        </w:tc>
        <w:tc>
          <w:tcPr>
            <w:tcW w:w="571" w:type="dxa"/>
            <w:tcMar>
              <w:left w:w="108" w:type="dxa"/>
            </w:tcMar>
            <w:vAlign w:val="center"/>
          </w:tcPr>
          <w:p w:rsidR="00F271AC" w:rsidRPr="00E1008D" w:rsidRDefault="00F271AC" w:rsidP="00D73E98">
            <w:pPr>
              <w:jc w:val="center"/>
            </w:pPr>
          </w:p>
        </w:tc>
        <w:tc>
          <w:tcPr>
            <w:tcW w:w="569" w:type="dxa"/>
            <w:tcMar>
              <w:left w:w="108" w:type="dxa"/>
            </w:tcMar>
            <w:vAlign w:val="center"/>
          </w:tcPr>
          <w:p w:rsidR="00F271AC" w:rsidRPr="00E1008D" w:rsidRDefault="00F271AC" w:rsidP="00D73E98">
            <w:pPr>
              <w:jc w:val="center"/>
            </w:pP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756" w:hanging="283"/>
              <w:rPr>
                <w:i/>
                <w:lang w:val="it-IT"/>
              </w:rPr>
            </w:pPr>
            <w:r w:rsidRPr="007F4E04">
              <w:rPr>
                <w:i/>
                <w:lang w:val="it-IT"/>
              </w:rPr>
              <w:t>1. verso clienti</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756" w:hanging="283"/>
              <w:rPr>
                <w:i/>
                <w:lang w:val="it-IT"/>
              </w:rPr>
            </w:pPr>
            <w:r w:rsidRPr="007F4E04">
              <w:rPr>
                <w:i/>
                <w:lang w:val="it-IT"/>
              </w:rPr>
              <w:t>2. verso imprese controllate</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756" w:hanging="283"/>
              <w:rPr>
                <w:i/>
                <w:lang w:val="it-IT"/>
              </w:rPr>
            </w:pPr>
            <w:r w:rsidRPr="007F4E04">
              <w:rPr>
                <w:i/>
                <w:lang w:val="it-IT"/>
              </w:rPr>
              <w:t>3. verso imprese collegate</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756" w:hanging="283"/>
              <w:rPr>
                <w:i/>
                <w:lang w:val="it-IT"/>
              </w:rPr>
            </w:pPr>
            <w:r w:rsidRPr="007F4E04">
              <w:rPr>
                <w:i/>
                <w:lang w:val="it-IT"/>
              </w:rPr>
              <w:t>4. verso controllanti</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72676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756" w:hanging="283"/>
              <w:rPr>
                <w:i/>
                <w:lang w:val="it-IT"/>
              </w:rPr>
            </w:pPr>
            <w:r w:rsidRPr="007F4E04">
              <w:rPr>
                <w:i/>
                <w:lang w:val="it-IT"/>
              </w:rPr>
              <w:t>5. verso imprese sottoposte al controllo delle controllanti</w:t>
            </w:r>
          </w:p>
        </w:tc>
        <w:tc>
          <w:tcPr>
            <w:tcW w:w="582" w:type="dxa"/>
            <w:tcMar>
              <w:left w:w="85" w:type="dxa"/>
              <w:right w:w="85" w:type="dxa"/>
            </w:tcMar>
            <w:vAlign w:val="center"/>
          </w:tcPr>
          <w:p w:rsidR="00F271AC" w:rsidRPr="0072676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72676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72676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72676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AA4412">
            <w:pPr>
              <w:spacing w:line="230" w:lineRule="exact"/>
              <w:ind w:left="898" w:hanging="425"/>
              <w:rPr>
                <w:i/>
                <w:lang w:val="it-IT"/>
              </w:rPr>
            </w:pPr>
            <w:r w:rsidRPr="007F4E04">
              <w:rPr>
                <w:i/>
                <w:lang w:val="it-IT"/>
              </w:rPr>
              <w:t>5-bis</w:t>
            </w:r>
            <w:r w:rsidR="00AA4412">
              <w:rPr>
                <w:i/>
                <w:lang w:val="it-IT"/>
              </w:rPr>
              <w:t>.</w:t>
            </w:r>
            <w:r w:rsidRPr="007F4E04">
              <w:rPr>
                <w:i/>
                <w:lang w:val="it-IT"/>
              </w:rPr>
              <w:t xml:space="preserve"> crediti tributari</w:t>
            </w:r>
          </w:p>
        </w:tc>
        <w:tc>
          <w:tcPr>
            <w:tcW w:w="582" w:type="dxa"/>
            <w:tcMar>
              <w:left w:w="85" w:type="dxa"/>
              <w:right w:w="85" w:type="dxa"/>
            </w:tcMar>
            <w:vAlign w:val="center"/>
          </w:tcPr>
          <w:p w:rsidR="00F271AC" w:rsidRPr="0072676D" w:rsidRDefault="00F271AC" w:rsidP="00D73E98">
            <w:pPr>
              <w:jc w:val="center"/>
              <w:rPr>
                <w:lang w:val="it-IT"/>
              </w:rPr>
            </w:pPr>
            <w:r w:rsidRPr="00E1008D">
              <w:fldChar w:fldCharType="begin">
                <w:ffData>
                  <w:name w:val="Check4"/>
                  <w:enabled/>
                  <w:calcOnExit w:val="0"/>
                  <w:checkBox>
                    <w:sizeAuto/>
                    <w:default w:val="0"/>
                  </w:checkBox>
                </w:ffData>
              </w:fldChar>
            </w:r>
            <w:r w:rsidRPr="0072676D">
              <w:rPr>
                <w:lang w:val="it-IT"/>
              </w:rPr>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72676D" w:rsidRDefault="00F271AC" w:rsidP="00D73E98">
            <w:pPr>
              <w:jc w:val="center"/>
              <w:rPr>
                <w:lang w:val="it-IT"/>
              </w:rPr>
            </w:pPr>
            <w:r w:rsidRPr="00E1008D">
              <w:fldChar w:fldCharType="begin">
                <w:ffData>
                  <w:name w:val="Check4"/>
                  <w:enabled/>
                  <w:calcOnExit w:val="0"/>
                  <w:checkBox>
                    <w:sizeAuto/>
                    <w:default w:val="0"/>
                  </w:checkBox>
                </w:ffData>
              </w:fldChar>
            </w:r>
            <w:r w:rsidRPr="0072676D">
              <w:rPr>
                <w:lang w:val="it-IT"/>
              </w:rPr>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72676D" w:rsidRDefault="00F271AC" w:rsidP="00D73E98">
            <w:pPr>
              <w:jc w:val="center"/>
              <w:rPr>
                <w:lang w:val="it-IT"/>
              </w:rPr>
            </w:pPr>
            <w:r w:rsidRPr="00E1008D">
              <w:fldChar w:fldCharType="begin">
                <w:ffData>
                  <w:name w:val="Check4"/>
                  <w:enabled/>
                  <w:calcOnExit w:val="0"/>
                  <w:checkBox>
                    <w:sizeAuto/>
                    <w:default w:val="0"/>
                  </w:checkBox>
                </w:ffData>
              </w:fldChar>
            </w:r>
            <w:r w:rsidRPr="0072676D">
              <w:rPr>
                <w:lang w:val="it-IT"/>
              </w:rPr>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AA4412" w:rsidP="00AA4412">
            <w:pPr>
              <w:spacing w:line="230" w:lineRule="exact"/>
              <w:ind w:left="898" w:hanging="425"/>
              <w:rPr>
                <w:i/>
                <w:lang w:val="it-IT"/>
              </w:rPr>
            </w:pPr>
            <w:r>
              <w:rPr>
                <w:i/>
                <w:lang w:val="it-IT"/>
              </w:rPr>
              <w:t xml:space="preserve">5-ter. </w:t>
            </w:r>
            <w:r w:rsidR="00F271AC" w:rsidRPr="007F4E04">
              <w:rPr>
                <w:i/>
                <w:lang w:val="it-IT"/>
              </w:rPr>
              <w:t xml:space="preserve"> imposte anticipate</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72676D">
              <w:rPr>
                <w:lang w:val="it-IT"/>
              </w:rPr>
              <w:instrText xml:space="preserve"> FORMCHE</w:instrText>
            </w:r>
            <w:r w:rsidRPr="00E1008D">
              <w:instrText xml:space="preserv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AA4412">
            <w:pPr>
              <w:spacing w:line="230" w:lineRule="exact"/>
              <w:ind w:left="898" w:hanging="425"/>
              <w:rPr>
                <w:i/>
                <w:lang w:val="it-IT"/>
              </w:rPr>
            </w:pPr>
            <w:r w:rsidRPr="007F4E04">
              <w:rPr>
                <w:i/>
                <w:lang w:val="it-IT"/>
              </w:rPr>
              <w:t>5-quater. verso altri?</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2)</w:t>
            </w:r>
          </w:p>
        </w:tc>
        <w:tc>
          <w:tcPr>
            <w:tcW w:w="843" w:type="dxa"/>
            <w:tcMar>
              <w:left w:w="108" w:type="dxa"/>
              <w:right w:w="0" w:type="dxa"/>
            </w:tcMar>
          </w:tcPr>
          <w:p w:rsidR="00F271AC" w:rsidRPr="00E1008D" w:rsidRDefault="00F271AC" w:rsidP="00D73E98">
            <w:pPr>
              <w:pStyle w:val="PrincCont"/>
              <w:jc w:val="left"/>
              <w:rPr>
                <w:lang w:val="it-IT"/>
              </w:rPr>
            </w:pPr>
            <w:r>
              <w:rPr>
                <w:lang w:val="it-IT"/>
              </w:rPr>
              <w:t>Art. 2424 CC</w:t>
            </w:r>
          </w:p>
        </w:tc>
        <w:tc>
          <w:tcPr>
            <w:tcW w:w="6964" w:type="dxa"/>
            <w:tcMar>
              <w:left w:w="108" w:type="dxa"/>
            </w:tcMar>
          </w:tcPr>
          <w:p w:rsidR="00F271AC" w:rsidRPr="00877C47" w:rsidRDefault="00F271AC" w:rsidP="00D73E98">
            <w:pPr>
              <w:spacing w:line="230" w:lineRule="exact"/>
              <w:rPr>
                <w:highlight w:val="yellow"/>
                <w:lang w:val="it-IT"/>
              </w:rPr>
            </w:pPr>
            <w:r w:rsidRPr="00877C47">
              <w:rPr>
                <w:lang w:val="it-IT"/>
              </w:rPr>
              <w:t>Ciascuna delle voci dei crediti iscritti fra le immobilizzazioni e l'attivo circolante è suddivisa in base alla scadenza tra crediti esigibili entro/oltre l’esercizio successivo? (Si veda il par. 19 dell’OIC 25 relativamente alle imposte anticipate).</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15.21</w:t>
            </w:r>
          </w:p>
        </w:tc>
        <w:tc>
          <w:tcPr>
            <w:tcW w:w="6964" w:type="dxa"/>
            <w:tcMar>
              <w:left w:w="108" w:type="dxa"/>
            </w:tcMar>
          </w:tcPr>
          <w:p w:rsidR="00F271AC" w:rsidRPr="00603DDF" w:rsidRDefault="00F271AC" w:rsidP="00D73E98">
            <w:pPr>
              <w:pStyle w:val="Commentiriquadro"/>
            </w:pPr>
            <w:r w:rsidRPr="00603DDF">
              <w:t>La classificazione dei crediti tra l’attivo circolante e le immobilizzazioni finanziarie prescinde dal principio dell’esigibilità (cioè sulla base del periodo di tempo entro il quale le attività si trasformeranno in liquidità, convenzionalmente rappresentato dall’anno), bensì è effettuata sulla base del ruolo svolto dalle diverse attività nell’ambito dell’ordinaria gestione aziendale. In sostanza, la classificazione dei valori patrimoniali attivi si fonda sul criterio della “destinazione” (o dell’origine) degli stessi rispetto all’attività ordinaria. In particolare, il legislatore richiede la separata indicazione: dei crediti considerati tra le immobilizzazioni finanziarie (cioè di origine finanziaria) i cui importi sono esigibili entro l’esercizio successivo (si veda voce BIII2 dell’attivo); e dei crediti ricompresi nell’attivo circolante i cui importi sono esigibili oltre l’esercizio successivo (si veda voce CII dell’attivo).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22</w:t>
            </w:r>
          </w:p>
        </w:tc>
        <w:tc>
          <w:tcPr>
            <w:tcW w:w="6964" w:type="dxa"/>
            <w:tcMar>
              <w:left w:w="108" w:type="dxa"/>
            </w:tcMar>
          </w:tcPr>
          <w:p w:rsidR="00F271AC" w:rsidRDefault="00F271AC" w:rsidP="00D73E98">
            <w:pPr>
              <w:pStyle w:val="Commentiriquadro"/>
            </w:pPr>
            <w:r w:rsidRPr="00603DDF">
              <w:t>Ai fini dell’indicazione degli importi esigibili entro o oltre l’esercizio, la classificazione è effettuata con riferimento alla loro scadenza contrattuale o legale, tenendo conto anche:</w:t>
            </w:r>
          </w:p>
          <w:p w:rsidR="00F271AC" w:rsidRDefault="00F271AC" w:rsidP="004E27C2">
            <w:pPr>
              <w:pStyle w:val="Commentiriquadro"/>
              <w:numPr>
                <w:ilvl w:val="0"/>
                <w:numId w:val="33"/>
              </w:numPr>
              <w:ind w:left="176" w:hanging="119"/>
            </w:pPr>
            <w:r w:rsidRPr="00603DDF">
              <w:t>di fatti ed eventi previsti nel contratto che possono determinare una modifica della scadenza originaria, avvenuti entro la data di riferimento del bilancio;</w:t>
            </w:r>
          </w:p>
          <w:p w:rsidR="00F271AC" w:rsidRDefault="00F271AC" w:rsidP="004E27C2">
            <w:pPr>
              <w:pStyle w:val="Commentiriquadro"/>
              <w:numPr>
                <w:ilvl w:val="0"/>
                <w:numId w:val="33"/>
              </w:numPr>
              <w:ind w:left="176" w:hanging="119"/>
            </w:pPr>
            <w:r w:rsidRPr="00593F9A">
              <w:t>della realistica capacità del debitore di adempiere all’obbligazione nei termini previsti nel contratto;</w:t>
            </w:r>
            <w:r w:rsidRPr="00593F9A">
              <w:rPr>
                <w:spacing w:val="-3"/>
              </w:rPr>
              <w:t xml:space="preserve"> </w:t>
            </w:r>
            <w:r w:rsidRPr="00593F9A">
              <w:t>e</w:t>
            </w:r>
          </w:p>
          <w:p w:rsidR="00F271AC" w:rsidRPr="00603DDF" w:rsidRDefault="00F271AC" w:rsidP="004E27C2">
            <w:pPr>
              <w:pStyle w:val="Commentiriquadro"/>
              <w:numPr>
                <w:ilvl w:val="0"/>
                <w:numId w:val="33"/>
              </w:numPr>
              <w:ind w:left="176" w:hanging="119"/>
            </w:pPr>
            <w:r w:rsidRPr="00603DDF">
              <w:t>dell’orizzonte temporale in cui il creditore ritiene ragionevole di poter esigere il credito vantato.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3)</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15.22</w:t>
            </w:r>
          </w:p>
        </w:tc>
        <w:tc>
          <w:tcPr>
            <w:tcW w:w="6964" w:type="dxa"/>
            <w:tcMar>
              <w:left w:w="108" w:type="dxa"/>
            </w:tcMar>
          </w:tcPr>
          <w:p w:rsidR="00F271AC" w:rsidRPr="00E1008D" w:rsidRDefault="00F271AC" w:rsidP="00D73E98">
            <w:pPr>
              <w:spacing w:line="230" w:lineRule="exact"/>
              <w:rPr>
                <w:lang w:val="it-IT"/>
              </w:rPr>
            </w:pPr>
            <w:r w:rsidRPr="00E1008D">
              <w:rPr>
                <w:lang w:val="it-IT"/>
              </w:rPr>
              <w:t xml:space="preserve">La scadenza è determinata </w:t>
            </w:r>
            <w:r>
              <w:rPr>
                <w:lang w:val="it-IT"/>
              </w:rPr>
              <w:t>tenendo conto anche dei</w:t>
            </w:r>
            <w:r w:rsidRPr="00E1008D">
              <w:rPr>
                <w:lang w:val="it-IT"/>
              </w:rPr>
              <w:t xml:space="preserve"> termini di fatto del realizzo quando questi contrastino con i presupposti contrattuali o giuridici?</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4)</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23</w:t>
            </w:r>
          </w:p>
        </w:tc>
        <w:tc>
          <w:tcPr>
            <w:tcW w:w="6964" w:type="dxa"/>
            <w:tcMar>
              <w:left w:w="108" w:type="dxa"/>
            </w:tcMar>
          </w:tcPr>
          <w:p w:rsidR="00F271AC" w:rsidRPr="00E1008D" w:rsidRDefault="00F271AC" w:rsidP="00D73E98">
            <w:pPr>
              <w:spacing w:line="230" w:lineRule="exact"/>
              <w:rPr>
                <w:lang w:val="it-IT"/>
              </w:rPr>
            </w:pPr>
            <w:r w:rsidRPr="00C66E36">
              <w:rPr>
                <w:lang w:val="it-IT"/>
              </w:rPr>
              <w:t xml:space="preserve">I crediti sono esposti nello stato patrimoniale al netto di svalutazioni necessarie per ricondurli al valore di presumibile </w:t>
            </w:r>
            <w:r>
              <w:rPr>
                <w:lang w:val="it-IT"/>
              </w:rPr>
              <w:t>realizzo?</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5)</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24</w:t>
            </w:r>
          </w:p>
        </w:tc>
        <w:tc>
          <w:tcPr>
            <w:tcW w:w="6964" w:type="dxa"/>
            <w:tcMar>
              <w:left w:w="108" w:type="dxa"/>
            </w:tcMar>
          </w:tcPr>
          <w:p w:rsidR="00F271AC" w:rsidRPr="00E1008D" w:rsidRDefault="00F271AC" w:rsidP="00D73E98">
            <w:pPr>
              <w:spacing w:line="230" w:lineRule="exact"/>
              <w:rPr>
                <w:lang w:val="it-IT"/>
              </w:rPr>
            </w:pPr>
            <w:r w:rsidRPr="00C66E36">
              <w:rPr>
                <w:lang w:val="it-IT"/>
              </w:rPr>
              <w:t>I crediti verso imprese controllate, collegate o controllanti e verso imprese sottoposte al controllo delle controllanti, sono rilevati nelle apposite voci BIII2 a), b), c) e d) (se di natura finanziaria) o nelle voci CII 2), 3), 4) e 5) (se di natura commerciale)</w:t>
            </w:r>
            <w:r>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15.24</w:t>
            </w:r>
          </w:p>
        </w:tc>
        <w:tc>
          <w:tcPr>
            <w:tcW w:w="6964" w:type="dxa"/>
            <w:tcMar>
              <w:left w:w="108" w:type="dxa"/>
            </w:tcMar>
          </w:tcPr>
          <w:p w:rsidR="00F271AC" w:rsidRPr="00C66E36" w:rsidRDefault="00F271AC" w:rsidP="00D73E98">
            <w:pPr>
              <w:pStyle w:val="Commentiriquadro"/>
            </w:pPr>
            <w:r w:rsidRPr="00C66E36">
              <w:t>Per la definizione di imprese controllate, collegate, controllanti o sottoposte al controllo delle controllanti si rinvia al disposto normativo dell’art. 2359 CC. Le voci BIII2c) e CII4 accolgono anche i crediti verso le controllanti di livello superiore al primo, ovverossia le controllanti che controllano la società, indirettamente, tramite loro controllate intermedie.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CB0B6A" w:rsidRDefault="00F271AC" w:rsidP="00D73E98">
            <w:pPr>
              <w:pageBreakBefore/>
              <w:jc w:val="center"/>
              <w:rPr>
                <w:b/>
                <w:lang w:val="it-IT"/>
              </w:rPr>
            </w:pPr>
          </w:p>
        </w:tc>
        <w:tc>
          <w:tcPr>
            <w:tcW w:w="843" w:type="dxa"/>
            <w:tcMar>
              <w:left w:w="108" w:type="dxa"/>
              <w:right w:w="0" w:type="dxa"/>
            </w:tcMar>
          </w:tcPr>
          <w:p w:rsidR="00F271AC" w:rsidRPr="00E1008D" w:rsidRDefault="00F271AC" w:rsidP="00D73E98">
            <w:pPr>
              <w:pStyle w:val="PrincCont"/>
              <w:pageBreakBefore/>
              <w:jc w:val="left"/>
              <w:rPr>
                <w:lang w:val="it-IT"/>
              </w:rPr>
            </w:pPr>
          </w:p>
        </w:tc>
        <w:tc>
          <w:tcPr>
            <w:tcW w:w="6964" w:type="dxa"/>
            <w:tcMar>
              <w:left w:w="108" w:type="dxa"/>
            </w:tcMar>
          </w:tcPr>
          <w:p w:rsidR="00F271AC" w:rsidRPr="00E1008D" w:rsidRDefault="00F271AC" w:rsidP="00D73E98">
            <w:pPr>
              <w:pStyle w:val="Titolo3"/>
              <w:keepNext w:val="0"/>
              <w:pageBreakBefore/>
            </w:pPr>
            <w:r w:rsidRPr="00E1008D">
              <w:t>Conto economico</w:t>
            </w:r>
          </w:p>
        </w:tc>
        <w:tc>
          <w:tcPr>
            <w:tcW w:w="582" w:type="dxa"/>
            <w:tcMar>
              <w:left w:w="85" w:type="dxa"/>
              <w:right w:w="85" w:type="dxa"/>
            </w:tcMar>
            <w:vAlign w:val="center"/>
          </w:tcPr>
          <w:p w:rsidR="00F271AC" w:rsidRPr="00E1008D" w:rsidRDefault="00F271AC" w:rsidP="00D73E98">
            <w:pPr>
              <w:pageBreakBefore/>
              <w:jc w:val="center"/>
              <w:rPr>
                <w:lang w:val="it-IT"/>
              </w:rPr>
            </w:pPr>
          </w:p>
        </w:tc>
        <w:tc>
          <w:tcPr>
            <w:tcW w:w="571" w:type="dxa"/>
            <w:tcMar>
              <w:left w:w="108" w:type="dxa"/>
            </w:tcMar>
            <w:vAlign w:val="center"/>
          </w:tcPr>
          <w:p w:rsidR="00F271AC" w:rsidRPr="00E1008D" w:rsidRDefault="00F271AC" w:rsidP="00D73E98">
            <w:pPr>
              <w:pageBreakBefore/>
              <w:jc w:val="center"/>
              <w:rPr>
                <w:lang w:val="it-IT"/>
              </w:rPr>
            </w:pPr>
          </w:p>
        </w:tc>
        <w:tc>
          <w:tcPr>
            <w:tcW w:w="569" w:type="dxa"/>
            <w:tcMar>
              <w:left w:w="108" w:type="dxa"/>
            </w:tcMar>
            <w:vAlign w:val="center"/>
          </w:tcPr>
          <w:p w:rsidR="00F271AC" w:rsidRPr="00E1008D" w:rsidRDefault="00F271AC" w:rsidP="00D73E98">
            <w:pPr>
              <w:pageBreakBefore/>
              <w:jc w:val="center"/>
              <w:rPr>
                <w:lang w:val="it-IT"/>
              </w:rPr>
            </w:pP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6)</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15.25</w:t>
            </w:r>
          </w:p>
        </w:tc>
        <w:tc>
          <w:tcPr>
            <w:tcW w:w="6964" w:type="dxa"/>
            <w:tcMar>
              <w:left w:w="108" w:type="dxa"/>
            </w:tcMar>
          </w:tcPr>
          <w:p w:rsidR="00F271AC" w:rsidRPr="00E1008D" w:rsidRDefault="00F271AC" w:rsidP="00D73E98">
            <w:pPr>
              <w:pStyle w:val="Rientroa"/>
              <w:numPr>
                <w:ilvl w:val="0"/>
                <w:numId w:val="0"/>
              </w:numPr>
              <w:spacing w:line="224" w:lineRule="exact"/>
              <w:ind w:left="32"/>
            </w:pPr>
            <w:r>
              <w:t>L</w:t>
            </w:r>
            <w:r w:rsidRPr="00EB6231">
              <w:t xml:space="preserve">e svalutazioni dei crediti iscritti nell’attivo circolante </w:t>
            </w:r>
            <w:r w:rsidRPr="00E1008D">
              <w:t xml:space="preserve">sono </w:t>
            </w:r>
            <w:r>
              <w:t>classificate</w:t>
            </w:r>
            <w:r w:rsidRPr="00E1008D">
              <w:t xml:space="preserve"> nella voce B10d) del conto economico “svalutazioni dei crediti compresi nell’attivo circolante e delle disponibilità liquide”?</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7)</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15.25</w:t>
            </w:r>
          </w:p>
        </w:tc>
        <w:tc>
          <w:tcPr>
            <w:tcW w:w="6964" w:type="dxa"/>
            <w:tcMar>
              <w:left w:w="108" w:type="dxa"/>
            </w:tcMar>
          </w:tcPr>
          <w:p w:rsidR="00F271AC" w:rsidRPr="00E1008D" w:rsidRDefault="00F271AC" w:rsidP="00D73E98">
            <w:pPr>
              <w:pStyle w:val="Rientroa"/>
              <w:numPr>
                <w:ilvl w:val="0"/>
                <w:numId w:val="0"/>
              </w:numPr>
              <w:spacing w:line="224" w:lineRule="exact"/>
              <w:ind w:left="32"/>
            </w:pPr>
            <w:r>
              <w:t>L</w:t>
            </w:r>
            <w:r w:rsidRPr="00E1008D">
              <w:t>e svalutazioni di crediti finanziari iscritti nelle immobilizzazioni finanziarie sono classificati nella voce D19b) “svalutazioni di immobilizzazioni finanziarie che non costituiscono partecipazioni”?</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8)</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15.2</w:t>
            </w:r>
            <w:r w:rsidRPr="00E1008D">
              <w:rPr>
                <w:lang w:val="it-IT"/>
              </w:rPr>
              <w:t>5</w:t>
            </w:r>
          </w:p>
        </w:tc>
        <w:tc>
          <w:tcPr>
            <w:tcW w:w="6964" w:type="dxa"/>
            <w:tcMar>
              <w:left w:w="108" w:type="dxa"/>
            </w:tcMar>
          </w:tcPr>
          <w:p w:rsidR="00F271AC" w:rsidRPr="00E1008D" w:rsidRDefault="00F271AC" w:rsidP="00D73E98">
            <w:pPr>
              <w:spacing w:line="224" w:lineRule="exact"/>
              <w:rPr>
                <w:lang w:val="it-IT"/>
              </w:rPr>
            </w:pPr>
            <w:r>
              <w:rPr>
                <w:lang w:val="it-IT"/>
              </w:rPr>
              <w:t>G</w:t>
            </w:r>
            <w:r w:rsidRPr="00A44EEC">
              <w:rPr>
                <w:lang w:val="it-IT"/>
              </w:rPr>
              <w:t>li storni di precedenti svalutazioni dei crediti iscritti nell’attivo circolante, quando le cause ch</w:t>
            </w:r>
            <w:r>
              <w:rPr>
                <w:lang w:val="it-IT"/>
              </w:rPr>
              <w:t>e le hanno generate vengono meno, sono classificati n</w:t>
            </w:r>
            <w:r w:rsidRPr="00A44EEC">
              <w:rPr>
                <w:lang w:val="it-IT"/>
              </w:rPr>
              <w:t>ella voce A5 del conto economico “altri ricavi e proventi”</w:t>
            </w:r>
            <w:r>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9)</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15.2</w:t>
            </w:r>
            <w:r w:rsidRPr="00E1008D">
              <w:rPr>
                <w:lang w:val="it-IT"/>
              </w:rPr>
              <w:t>5</w:t>
            </w:r>
          </w:p>
        </w:tc>
        <w:tc>
          <w:tcPr>
            <w:tcW w:w="6964" w:type="dxa"/>
            <w:tcMar>
              <w:left w:w="108" w:type="dxa"/>
            </w:tcMar>
          </w:tcPr>
          <w:p w:rsidR="00F271AC" w:rsidRPr="00E1008D" w:rsidRDefault="00F271AC" w:rsidP="00D73E98">
            <w:pPr>
              <w:spacing w:line="224" w:lineRule="exact"/>
              <w:rPr>
                <w:lang w:val="it-IT"/>
              </w:rPr>
            </w:pPr>
            <w:r>
              <w:rPr>
                <w:lang w:val="it-IT"/>
              </w:rPr>
              <w:t>G</w:t>
            </w:r>
            <w:r w:rsidRPr="00404838">
              <w:rPr>
                <w:lang w:val="it-IT"/>
              </w:rPr>
              <w:t>li storni di precedenti svalutazioni di crediti iscritti nelle immobilizzazioni finanziarie, quando le cause che le hanno generate vengono meno</w:t>
            </w:r>
            <w:r>
              <w:rPr>
                <w:lang w:val="it-IT"/>
              </w:rPr>
              <w:t>,</w:t>
            </w:r>
            <w:r w:rsidRPr="00404838">
              <w:rPr>
                <w:lang w:val="it-IT"/>
              </w:rPr>
              <w:t xml:space="preserve"> </w:t>
            </w:r>
            <w:r>
              <w:rPr>
                <w:lang w:val="it-IT"/>
              </w:rPr>
              <w:t>sono classificati n</w:t>
            </w:r>
            <w:r w:rsidRPr="00A44EEC">
              <w:rPr>
                <w:lang w:val="it-IT"/>
              </w:rPr>
              <w:t>ella voce</w:t>
            </w:r>
            <w:r>
              <w:rPr>
                <w:lang w:val="it-IT"/>
              </w:rPr>
              <w:t xml:space="preserve"> </w:t>
            </w:r>
            <w:r w:rsidRPr="00404838">
              <w:rPr>
                <w:lang w:val="it-IT"/>
              </w:rPr>
              <w:t>D18b) del conto economico “rivalutazioni di immobilizzazioni finanziarie che non costituiscono partecipazioni”</w:t>
            </w:r>
            <w:r>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10)</w:t>
            </w:r>
          </w:p>
        </w:tc>
        <w:tc>
          <w:tcPr>
            <w:tcW w:w="843" w:type="dxa"/>
            <w:tcMar>
              <w:left w:w="108" w:type="dxa"/>
              <w:right w:w="0" w:type="dxa"/>
            </w:tcMar>
          </w:tcPr>
          <w:p w:rsidR="00F271AC" w:rsidRDefault="00F271AC" w:rsidP="00D73E98">
            <w:pPr>
              <w:pStyle w:val="PrincCont"/>
              <w:jc w:val="left"/>
              <w:rPr>
                <w:lang w:val="it-IT"/>
              </w:rPr>
            </w:pPr>
            <w:r>
              <w:rPr>
                <w:lang w:val="it-IT"/>
              </w:rPr>
              <w:t>OIC 15.2</w:t>
            </w:r>
            <w:r w:rsidRPr="00E1008D">
              <w:rPr>
                <w:lang w:val="it-IT"/>
              </w:rPr>
              <w:t>5</w:t>
            </w:r>
          </w:p>
        </w:tc>
        <w:tc>
          <w:tcPr>
            <w:tcW w:w="6964" w:type="dxa"/>
            <w:tcMar>
              <w:left w:w="108" w:type="dxa"/>
            </w:tcMar>
          </w:tcPr>
          <w:p w:rsidR="00F271AC" w:rsidRPr="00E1008D" w:rsidRDefault="00F271AC" w:rsidP="00D73E98">
            <w:pPr>
              <w:spacing w:line="224" w:lineRule="exact"/>
              <w:rPr>
                <w:lang w:val="it-IT"/>
              </w:rPr>
            </w:pPr>
            <w:r>
              <w:rPr>
                <w:lang w:val="it-IT"/>
              </w:rPr>
              <w:t>G</w:t>
            </w:r>
            <w:r w:rsidRPr="00404838">
              <w:rPr>
                <w:lang w:val="it-IT"/>
              </w:rPr>
              <w:t xml:space="preserve">li “altri proventi finanziari” rappresentati da interessi attivi e altri proventi maturati sui crediti immobilizzati e i maggiori importi incassati sui crediti acquistati ed iscritti nelle immobilizzazioni finanziarie, </w:t>
            </w:r>
            <w:r>
              <w:rPr>
                <w:lang w:val="it-IT"/>
              </w:rPr>
              <w:t>sono classificati n</w:t>
            </w:r>
            <w:r w:rsidRPr="00A44EEC">
              <w:rPr>
                <w:lang w:val="it-IT"/>
              </w:rPr>
              <w:t>ella voce</w:t>
            </w:r>
            <w:r w:rsidRPr="00404838">
              <w:rPr>
                <w:lang w:val="it-IT"/>
              </w:rPr>
              <w:t xml:space="preserve"> C16a) “Altri proventi finanziari – a) da crediti iscritti nelle immobilizzazioni” con separata indicazione di quelli da imprese controllate, collegate, controllanti e sottoposte al controllo di queste ultime</w:t>
            </w:r>
            <w:r>
              <w:rPr>
                <w:lang w:val="it-IT"/>
              </w:rPr>
              <w:t>?</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11)</w:t>
            </w:r>
          </w:p>
        </w:tc>
        <w:tc>
          <w:tcPr>
            <w:tcW w:w="843" w:type="dxa"/>
            <w:tcMar>
              <w:left w:w="108" w:type="dxa"/>
              <w:right w:w="0" w:type="dxa"/>
            </w:tcMar>
          </w:tcPr>
          <w:p w:rsidR="00F271AC" w:rsidRDefault="00F271AC" w:rsidP="00D73E98">
            <w:pPr>
              <w:pStyle w:val="PrincCont"/>
              <w:jc w:val="left"/>
              <w:rPr>
                <w:lang w:val="it-IT"/>
              </w:rPr>
            </w:pPr>
            <w:r>
              <w:rPr>
                <w:lang w:val="it-IT"/>
              </w:rPr>
              <w:t>OIC 15.2</w:t>
            </w:r>
            <w:r w:rsidRPr="00E1008D">
              <w:rPr>
                <w:lang w:val="it-IT"/>
              </w:rPr>
              <w:t>5</w:t>
            </w:r>
          </w:p>
        </w:tc>
        <w:tc>
          <w:tcPr>
            <w:tcW w:w="6964" w:type="dxa"/>
            <w:tcMar>
              <w:left w:w="108" w:type="dxa"/>
            </w:tcMar>
          </w:tcPr>
          <w:p w:rsidR="00F271AC" w:rsidRPr="00E1008D" w:rsidRDefault="00F271AC" w:rsidP="00D73E98">
            <w:pPr>
              <w:spacing w:line="224" w:lineRule="exact"/>
              <w:rPr>
                <w:lang w:val="it-IT"/>
              </w:rPr>
            </w:pPr>
            <w:r>
              <w:rPr>
                <w:lang w:val="it-IT"/>
              </w:rPr>
              <w:t>G</w:t>
            </w:r>
            <w:r w:rsidRPr="00404838">
              <w:rPr>
                <w:lang w:val="it-IT"/>
              </w:rPr>
              <w:t xml:space="preserve">li “altri proventi finanziari” sui crediti iscritti nell’attivo circolante, </w:t>
            </w:r>
            <w:r>
              <w:rPr>
                <w:lang w:val="it-IT"/>
              </w:rPr>
              <w:t>sono classificati n</w:t>
            </w:r>
            <w:r w:rsidRPr="00A44EEC">
              <w:rPr>
                <w:lang w:val="it-IT"/>
              </w:rPr>
              <w:t>ella voce</w:t>
            </w:r>
            <w:r w:rsidRPr="00404838">
              <w:rPr>
                <w:lang w:val="it-IT"/>
              </w:rPr>
              <w:t xml:space="preserve"> C16d) “Altri proventi finanziari – d) diversi dai precedenti” con separata indicazione di quelli da imprese controllate, collegate, controllanti e sottoposte al controllo di queste ultime</w:t>
            </w:r>
            <w:r>
              <w:rPr>
                <w:lang w:val="it-IT"/>
              </w:rPr>
              <w:t>?</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12)</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2</w:t>
            </w:r>
            <w:r w:rsidRPr="00E1008D">
              <w:rPr>
                <w:lang w:val="it-IT"/>
              </w:rPr>
              <w:t>6</w:t>
            </w:r>
          </w:p>
        </w:tc>
        <w:tc>
          <w:tcPr>
            <w:tcW w:w="6964" w:type="dxa"/>
            <w:tcMar>
              <w:left w:w="108" w:type="dxa"/>
            </w:tcMar>
          </w:tcPr>
          <w:p w:rsidR="00F271AC" w:rsidRPr="00E1008D" w:rsidRDefault="00F271AC" w:rsidP="00D73E98">
            <w:pPr>
              <w:spacing w:line="224" w:lineRule="exact"/>
              <w:rPr>
                <w:lang w:val="it-IT"/>
              </w:rPr>
            </w:pPr>
            <w:r w:rsidRPr="00E1008D">
              <w:rPr>
                <w:lang w:val="it-IT"/>
              </w:rPr>
              <w:t xml:space="preserve">Le perdite realizzate su crediti </w:t>
            </w:r>
            <w:r w:rsidRPr="00780D60">
              <w:rPr>
                <w:lang w:val="it-IT"/>
              </w:rPr>
              <w:t xml:space="preserve">iscritti nell’attivo circolante </w:t>
            </w:r>
            <w:r w:rsidRPr="00E1008D">
              <w:rPr>
                <w:lang w:val="it-IT"/>
              </w:rPr>
              <w:t>(ad esempio derivanti da un riconoscimento giudiziale inferiore al valore del credito, da una transazione o da prescrizione)</w:t>
            </w:r>
            <w:r>
              <w:rPr>
                <w:lang w:val="it-IT"/>
              </w:rPr>
              <w:t>,</w:t>
            </w:r>
            <w:r w:rsidRPr="00E1008D">
              <w:rPr>
                <w:lang w:val="it-IT"/>
              </w:rPr>
              <w:t xml:space="preserve"> </w:t>
            </w:r>
            <w:r w:rsidRPr="00D90738">
              <w:rPr>
                <w:lang w:val="it-IT"/>
              </w:rPr>
              <w:t>per la parte che eccede l’importo del credito già svalutato</w:t>
            </w:r>
            <w:r>
              <w:rPr>
                <w:lang w:val="it-IT"/>
              </w:rPr>
              <w:t>,</w:t>
            </w:r>
            <w:r w:rsidRPr="00E1008D">
              <w:rPr>
                <w:lang w:val="it-IT"/>
              </w:rPr>
              <w:t xml:space="preserve"> sono classificate nella voce B14 “</w:t>
            </w:r>
            <w:r w:rsidRPr="00E1008D">
              <w:rPr>
                <w:iCs/>
                <w:lang w:val="it-IT"/>
              </w:rPr>
              <w:t>oneri diversi di gestione</w:t>
            </w:r>
            <w:r w:rsidRPr="00E1008D">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r>
      <w:tr w:rsidR="00F271AC" w:rsidRPr="00D90738" w:rsidTr="00D73E98">
        <w:trPr>
          <w:cantSplit/>
          <w:trHeight w:val="20"/>
        </w:trPr>
        <w:tc>
          <w:tcPr>
            <w:tcW w:w="675" w:type="dxa"/>
          </w:tcPr>
          <w:p w:rsidR="00F271AC" w:rsidRPr="00CB0B6A" w:rsidRDefault="00F271AC" w:rsidP="00D73E98">
            <w:pPr>
              <w:jc w:val="center"/>
              <w:rPr>
                <w:b/>
                <w:lang w:val="it-IT"/>
              </w:rPr>
            </w:pPr>
            <w:r w:rsidRPr="00CB0B6A">
              <w:rPr>
                <w:b/>
                <w:lang w:val="it-IT"/>
              </w:rPr>
              <w:t>13)</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2</w:t>
            </w:r>
            <w:r w:rsidRPr="00E1008D">
              <w:rPr>
                <w:lang w:val="it-IT"/>
              </w:rPr>
              <w:t>6</w:t>
            </w:r>
          </w:p>
        </w:tc>
        <w:tc>
          <w:tcPr>
            <w:tcW w:w="6964" w:type="dxa"/>
            <w:tcMar>
              <w:left w:w="108" w:type="dxa"/>
            </w:tcMar>
          </w:tcPr>
          <w:p w:rsidR="00F271AC" w:rsidRPr="00E1008D" w:rsidRDefault="00F271AC" w:rsidP="00D73E98">
            <w:pPr>
              <w:spacing w:line="224" w:lineRule="exact"/>
              <w:rPr>
                <w:lang w:val="it-IT"/>
              </w:rPr>
            </w:pPr>
            <w:r>
              <w:rPr>
                <w:lang w:val="it-IT"/>
              </w:rPr>
              <w:t>L</w:t>
            </w:r>
            <w:r w:rsidRPr="00D90738">
              <w:rPr>
                <w:lang w:val="it-IT"/>
              </w:rPr>
              <w:t>e perdite relative a crediti iscritti nelle immobilizzazioni finanziarie sono classificate nella voce C17 “Interessi e altri oneri finanziari”, con separata indicazione di quelle da imprese controllate, collegate, controllanti e sottopost</w:t>
            </w:r>
            <w:r>
              <w:rPr>
                <w:lang w:val="it-IT"/>
              </w:rPr>
              <w:t>e al controllo di queste ultime?</w:t>
            </w:r>
          </w:p>
        </w:tc>
        <w:tc>
          <w:tcPr>
            <w:tcW w:w="582" w:type="dxa"/>
            <w:tcMar>
              <w:left w:w="85" w:type="dxa"/>
              <w:right w:w="85" w:type="dxa"/>
            </w:tcMar>
            <w:vAlign w:val="center"/>
          </w:tcPr>
          <w:p w:rsidR="00F271AC" w:rsidRPr="00D90738"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D90738"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D90738"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r>
      <w:tr w:rsidR="00F271AC" w:rsidRPr="00D90738" w:rsidTr="00D73E98">
        <w:trPr>
          <w:cantSplit/>
          <w:trHeight w:val="20"/>
        </w:trPr>
        <w:tc>
          <w:tcPr>
            <w:tcW w:w="675" w:type="dxa"/>
          </w:tcPr>
          <w:p w:rsidR="00F271AC" w:rsidRPr="00CB0B6A" w:rsidRDefault="00F271AC" w:rsidP="00D73E98">
            <w:pPr>
              <w:jc w:val="center"/>
              <w:rPr>
                <w:b/>
                <w:lang w:val="it-IT"/>
              </w:rPr>
            </w:pPr>
            <w:r w:rsidRPr="00CB0B6A">
              <w:rPr>
                <w:b/>
                <w:lang w:val="it-IT"/>
              </w:rPr>
              <w:t>14)</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27</w:t>
            </w:r>
          </w:p>
        </w:tc>
        <w:tc>
          <w:tcPr>
            <w:tcW w:w="6964" w:type="dxa"/>
            <w:tcMar>
              <w:left w:w="108" w:type="dxa"/>
            </w:tcMar>
          </w:tcPr>
          <w:p w:rsidR="00F271AC" w:rsidRDefault="00F271AC" w:rsidP="00D73E98">
            <w:pPr>
              <w:spacing w:line="224" w:lineRule="exact"/>
              <w:rPr>
                <w:lang w:val="it-IT"/>
              </w:rPr>
            </w:pPr>
            <w:r w:rsidRPr="00A6278E">
              <w:rPr>
                <w:lang w:val="it-IT"/>
              </w:rPr>
              <w:t xml:space="preserve">I crediti verso i propri creditori </w:t>
            </w:r>
            <w:r>
              <w:rPr>
                <w:lang w:val="it-IT"/>
              </w:rPr>
              <w:t xml:space="preserve">che </w:t>
            </w:r>
            <w:r w:rsidRPr="00A6278E">
              <w:rPr>
                <w:lang w:val="it-IT"/>
              </w:rPr>
              <w:t>non possono essere compensati e sono rilevati tra le attività in coerenza con quanto disposto dall’art</w:t>
            </w:r>
            <w:r>
              <w:rPr>
                <w:lang w:val="it-IT"/>
              </w:rPr>
              <w:t>.</w:t>
            </w:r>
            <w:r w:rsidRPr="00A6278E">
              <w:rPr>
                <w:lang w:val="it-IT"/>
              </w:rPr>
              <w:t xml:space="preserve"> 2423-ter, c</w:t>
            </w:r>
            <w:r>
              <w:rPr>
                <w:lang w:val="it-IT"/>
              </w:rPr>
              <w:t>.</w:t>
            </w:r>
            <w:r w:rsidRPr="00A6278E">
              <w:rPr>
                <w:lang w:val="it-IT"/>
              </w:rPr>
              <w:t>6, che vieta la compensazione tra partite</w:t>
            </w:r>
            <w:r>
              <w:rPr>
                <w:lang w:val="it-IT"/>
              </w:rPr>
              <w:t>?</w:t>
            </w:r>
          </w:p>
        </w:tc>
        <w:tc>
          <w:tcPr>
            <w:tcW w:w="582" w:type="dxa"/>
            <w:tcMar>
              <w:left w:w="85" w:type="dxa"/>
              <w:right w:w="85" w:type="dxa"/>
            </w:tcMar>
            <w:vAlign w:val="center"/>
          </w:tcPr>
          <w:p w:rsidR="00F271AC" w:rsidRPr="00D90738"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D90738"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D90738"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A6278E" w:rsidRDefault="00F271AC" w:rsidP="00D73E98">
            <w:pPr>
              <w:pStyle w:val="Commentiriquadro"/>
            </w:pPr>
            <w:r w:rsidRPr="00E40219">
              <w:t>La compensazione è ammessa nei limiti delle disposizioni legali o contrattuali (ad esempio, la compensazione legale ex art</w:t>
            </w:r>
            <w:r>
              <w:t>.</w:t>
            </w:r>
            <w:r w:rsidRPr="00E40219">
              <w:t xml:space="preserve"> 1243, c</w:t>
            </w:r>
            <w:r>
              <w:t>.</w:t>
            </w:r>
            <w:r w:rsidRPr="00E40219">
              <w:t>1</w:t>
            </w:r>
            <w:r>
              <w:t xml:space="preserve"> CC</w:t>
            </w:r>
            <w:r w:rsidRPr="00E40219">
              <w:t>).</w:t>
            </w:r>
          </w:p>
        </w:tc>
        <w:tc>
          <w:tcPr>
            <w:tcW w:w="582" w:type="dxa"/>
            <w:tcMar>
              <w:left w:w="85" w:type="dxa"/>
              <w:right w:w="85" w:type="dxa"/>
            </w:tcMar>
            <w:vAlign w:val="center"/>
          </w:tcPr>
          <w:p w:rsidR="00F271AC" w:rsidRPr="00D90738" w:rsidRDefault="00F271AC" w:rsidP="00D73E98">
            <w:pPr>
              <w:jc w:val="center"/>
              <w:rPr>
                <w:lang w:val="it-IT"/>
              </w:rPr>
            </w:pPr>
          </w:p>
        </w:tc>
        <w:tc>
          <w:tcPr>
            <w:tcW w:w="571" w:type="dxa"/>
            <w:tcMar>
              <w:left w:w="108" w:type="dxa"/>
            </w:tcMar>
            <w:vAlign w:val="center"/>
          </w:tcPr>
          <w:p w:rsidR="00F271AC" w:rsidRPr="00D90738" w:rsidRDefault="00F271AC" w:rsidP="00D73E98">
            <w:pPr>
              <w:jc w:val="center"/>
              <w:rPr>
                <w:lang w:val="it-IT"/>
              </w:rPr>
            </w:pPr>
          </w:p>
        </w:tc>
        <w:tc>
          <w:tcPr>
            <w:tcW w:w="569" w:type="dxa"/>
            <w:tcMar>
              <w:left w:w="108" w:type="dxa"/>
            </w:tcMar>
            <w:vAlign w:val="center"/>
          </w:tcPr>
          <w:p w:rsidR="00F271AC" w:rsidRPr="00D90738" w:rsidRDefault="00F271AC" w:rsidP="00D73E98">
            <w:pPr>
              <w:jc w:val="center"/>
              <w:rPr>
                <w:lang w:val="it-IT"/>
              </w:rPr>
            </w:pPr>
          </w:p>
        </w:tc>
      </w:tr>
      <w:tr w:rsidR="00F271AC" w:rsidRPr="00D90738"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Default="00F271AC" w:rsidP="00D73E98">
            <w:pPr>
              <w:pStyle w:val="Titolo3"/>
              <w:rPr>
                <w:lang w:val="it-IT"/>
              </w:rPr>
            </w:pPr>
            <w:r>
              <w:rPr>
                <w:lang w:val="it-IT"/>
              </w:rPr>
              <w:t>Bilancio in forma abbreviata</w:t>
            </w:r>
          </w:p>
        </w:tc>
        <w:tc>
          <w:tcPr>
            <w:tcW w:w="582" w:type="dxa"/>
            <w:tcMar>
              <w:left w:w="85" w:type="dxa"/>
              <w:right w:w="85" w:type="dxa"/>
            </w:tcMar>
            <w:vAlign w:val="center"/>
          </w:tcPr>
          <w:p w:rsidR="00F271AC" w:rsidRPr="00D90738" w:rsidRDefault="00F271AC" w:rsidP="00D73E98">
            <w:pPr>
              <w:jc w:val="center"/>
              <w:rPr>
                <w:lang w:val="it-IT"/>
              </w:rPr>
            </w:pPr>
          </w:p>
        </w:tc>
        <w:tc>
          <w:tcPr>
            <w:tcW w:w="571" w:type="dxa"/>
            <w:tcMar>
              <w:left w:w="108" w:type="dxa"/>
            </w:tcMar>
            <w:vAlign w:val="center"/>
          </w:tcPr>
          <w:p w:rsidR="00F271AC" w:rsidRPr="00D90738" w:rsidRDefault="00F271AC" w:rsidP="00D73E98">
            <w:pPr>
              <w:jc w:val="center"/>
              <w:rPr>
                <w:lang w:val="it-IT"/>
              </w:rPr>
            </w:pPr>
          </w:p>
        </w:tc>
        <w:tc>
          <w:tcPr>
            <w:tcW w:w="569" w:type="dxa"/>
            <w:tcMar>
              <w:left w:w="108" w:type="dxa"/>
            </w:tcMar>
            <w:vAlign w:val="center"/>
          </w:tcPr>
          <w:p w:rsidR="00F271AC" w:rsidRPr="00D90738" w:rsidRDefault="00F271AC" w:rsidP="00D73E98">
            <w:pPr>
              <w:jc w:val="center"/>
              <w:rPr>
                <w:lang w:val="it-IT"/>
              </w:rPr>
            </w:pPr>
          </w:p>
        </w:tc>
      </w:tr>
      <w:tr w:rsidR="00F271AC" w:rsidRPr="00CC242B"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28</w:t>
            </w:r>
          </w:p>
        </w:tc>
        <w:tc>
          <w:tcPr>
            <w:tcW w:w="6964" w:type="dxa"/>
            <w:tcMar>
              <w:left w:w="108" w:type="dxa"/>
            </w:tcMar>
          </w:tcPr>
          <w:p w:rsidR="00F271AC" w:rsidRPr="00A6278E" w:rsidRDefault="00F271AC" w:rsidP="00D73E98">
            <w:pPr>
              <w:pStyle w:val="Commentiriquadro"/>
            </w:pPr>
            <w:r w:rsidRPr="00E40219">
              <w:t>Ai sensi dell’art</w:t>
            </w:r>
            <w:r>
              <w:t>.</w:t>
            </w:r>
            <w:r w:rsidRPr="00E40219">
              <w:t xml:space="preserve"> 2435-bis</w:t>
            </w:r>
            <w:r>
              <w:t xml:space="preserve"> CC</w:t>
            </w:r>
            <w:r w:rsidRPr="00E40219">
              <w:t>, nel bilancio in forma abbreviata, “lo stato patrimoniale comprende solo le voci contrassegnate nell’art. 2424 con lettere maiuscole e con numeri romani”. Nella voce CII possono essere ricomprese le voci A “Crediti verso soci per versamenti ancora dovuti” e D “Ratei e risconti”. In ogni caso nella voce CII, devono essere separatamente indicati i crediti esigibili oltre l’esercizio successivo. Inoltre, nel conto economico del bilancio in forma abbreviata le seguenti voci previste dall’art. 2425 possono essere tra loro raggruppate: voci C16(b) e C16(c); voci D18(a), D18(b), D18(c) e D18(d); voci D19(a), D19(b), D19(c) e D19(d).</w:t>
            </w:r>
          </w:p>
        </w:tc>
        <w:tc>
          <w:tcPr>
            <w:tcW w:w="582" w:type="dxa"/>
            <w:tcMar>
              <w:left w:w="85" w:type="dxa"/>
              <w:right w:w="85" w:type="dxa"/>
            </w:tcMar>
            <w:vAlign w:val="center"/>
          </w:tcPr>
          <w:p w:rsidR="00F271AC" w:rsidRPr="00D90738" w:rsidRDefault="00F271AC" w:rsidP="00D73E98">
            <w:pPr>
              <w:jc w:val="center"/>
              <w:rPr>
                <w:lang w:val="it-IT"/>
              </w:rPr>
            </w:pPr>
          </w:p>
        </w:tc>
        <w:tc>
          <w:tcPr>
            <w:tcW w:w="571" w:type="dxa"/>
            <w:tcMar>
              <w:left w:w="108" w:type="dxa"/>
            </w:tcMar>
            <w:vAlign w:val="center"/>
          </w:tcPr>
          <w:p w:rsidR="00F271AC" w:rsidRPr="00D90738" w:rsidRDefault="00F271AC" w:rsidP="00D73E98">
            <w:pPr>
              <w:jc w:val="center"/>
              <w:rPr>
                <w:lang w:val="it-IT"/>
              </w:rPr>
            </w:pPr>
          </w:p>
        </w:tc>
        <w:tc>
          <w:tcPr>
            <w:tcW w:w="569" w:type="dxa"/>
            <w:tcMar>
              <w:left w:w="108" w:type="dxa"/>
            </w:tcMar>
            <w:vAlign w:val="center"/>
          </w:tcPr>
          <w:p w:rsidR="00F271AC" w:rsidRPr="00D90738" w:rsidRDefault="00F271AC" w:rsidP="00D73E98">
            <w:pPr>
              <w:jc w:val="center"/>
              <w:rPr>
                <w:lang w:val="it-IT"/>
              </w:rPr>
            </w:pPr>
          </w:p>
        </w:tc>
      </w:tr>
      <w:tr w:rsidR="00F271AC" w:rsidRPr="00E1008D"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keepNext/>
              <w:jc w:val="left"/>
              <w:rPr>
                <w:lang w:val="it-IT"/>
              </w:rPr>
            </w:pPr>
          </w:p>
        </w:tc>
        <w:tc>
          <w:tcPr>
            <w:tcW w:w="6964" w:type="dxa"/>
            <w:shd w:val="clear" w:color="auto" w:fill="FFFFFF" w:themeFill="background1"/>
            <w:tcMar>
              <w:left w:w="108" w:type="dxa"/>
            </w:tcMar>
          </w:tcPr>
          <w:p w:rsidR="00F271AC" w:rsidRPr="00E1008D" w:rsidRDefault="00F271AC" w:rsidP="00D73E98">
            <w:pPr>
              <w:pStyle w:val="Titolo2"/>
              <w:rPr>
                <w:lang w:val="it-IT"/>
              </w:rPr>
            </w:pPr>
            <w:r w:rsidRPr="00E1008D">
              <w:rPr>
                <w:lang w:val="it-IT"/>
              </w:rPr>
              <w:t>Rilevazione iniziale</w:t>
            </w:r>
          </w:p>
        </w:tc>
        <w:tc>
          <w:tcPr>
            <w:tcW w:w="582" w:type="dxa"/>
            <w:tcMar>
              <w:left w:w="85" w:type="dxa"/>
              <w:right w:w="85" w:type="dxa"/>
            </w:tcMar>
            <w:vAlign w:val="bottom"/>
          </w:tcPr>
          <w:p w:rsidR="00F271AC" w:rsidRPr="00E1008D" w:rsidRDefault="00F271AC" w:rsidP="00D73E98">
            <w:pPr>
              <w:keepNext/>
              <w:rPr>
                <w:lang w:val="it-IT"/>
              </w:rPr>
            </w:pPr>
          </w:p>
        </w:tc>
        <w:tc>
          <w:tcPr>
            <w:tcW w:w="571" w:type="dxa"/>
            <w:tcMar>
              <w:left w:w="108" w:type="dxa"/>
            </w:tcMar>
            <w:vAlign w:val="bottom"/>
          </w:tcPr>
          <w:p w:rsidR="00F271AC" w:rsidRPr="00E1008D" w:rsidRDefault="00F271AC" w:rsidP="00D73E98">
            <w:pPr>
              <w:keepNext/>
              <w:rPr>
                <w:lang w:val="it-IT"/>
              </w:rPr>
            </w:pPr>
          </w:p>
        </w:tc>
        <w:tc>
          <w:tcPr>
            <w:tcW w:w="569" w:type="dxa"/>
            <w:tcMar>
              <w:left w:w="108" w:type="dxa"/>
            </w:tcMar>
            <w:vAlign w:val="bottom"/>
          </w:tcPr>
          <w:p w:rsidR="00F271AC" w:rsidRPr="00E1008D" w:rsidRDefault="00F271AC" w:rsidP="00D73E98">
            <w:pPr>
              <w:keepNext/>
              <w:rPr>
                <w:lang w:val="it-IT"/>
              </w:rPr>
            </w:pPr>
          </w:p>
        </w:tc>
      </w:tr>
      <w:tr w:rsidR="00F271AC" w:rsidRPr="00CC242B" w:rsidTr="00D73E98">
        <w:trPr>
          <w:cantSplit/>
          <w:trHeight w:val="20"/>
        </w:trPr>
        <w:tc>
          <w:tcPr>
            <w:tcW w:w="675" w:type="dxa"/>
          </w:tcPr>
          <w:p w:rsidR="00F271AC" w:rsidRPr="00CB0B6A" w:rsidRDefault="00F271AC" w:rsidP="00D73E98">
            <w:pPr>
              <w:jc w:val="center"/>
              <w:rPr>
                <w:b/>
                <w:lang w:val="it-IT"/>
              </w:rPr>
            </w:pPr>
            <w:r w:rsidRPr="00CB0B6A">
              <w:rPr>
                <w:b/>
                <w:lang w:val="it-IT"/>
              </w:rPr>
              <w:t>15)</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15.2</w:t>
            </w:r>
            <w:r>
              <w:rPr>
                <w:lang w:val="it-IT"/>
              </w:rPr>
              <w:t>9</w:t>
            </w:r>
          </w:p>
        </w:tc>
        <w:tc>
          <w:tcPr>
            <w:tcW w:w="6964" w:type="dxa"/>
            <w:tcMar>
              <w:left w:w="108" w:type="dxa"/>
            </w:tcMar>
          </w:tcPr>
          <w:p w:rsidR="00F271AC" w:rsidRPr="00E900CF" w:rsidRDefault="00F271AC" w:rsidP="00D73E98">
            <w:pPr>
              <w:spacing w:line="240" w:lineRule="exact"/>
              <w:rPr>
                <w:lang w:val="it-IT"/>
              </w:rPr>
            </w:pPr>
            <w:r w:rsidRPr="00E1008D">
              <w:rPr>
                <w:lang w:val="it-IT"/>
              </w:rPr>
              <w:t>I crediti originati da ricavi per operazioni di vendita di beni o prestazione di servizi sono rilevati in base al principio della competenza quando si verificano entrambe le seguenti condizioni: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900CF" w:rsidRDefault="00F271AC" w:rsidP="00840B93">
            <w:pPr>
              <w:pStyle w:val="rientrotrattinook"/>
            </w:pPr>
            <w:r w:rsidRPr="00E1008D">
              <w:t>il processo produttivo dei beni o dei servizi è stato completato</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1008D" w:rsidRDefault="00F271AC" w:rsidP="00840B93">
            <w:pPr>
              <w:pStyle w:val="rientrotrattinook"/>
            </w:pPr>
            <w:r w:rsidRPr="00E1008D">
              <w:t>si è verificato il passaggio sostanziale e non formale del titolo di proprietà</w:t>
            </w:r>
            <w:r>
              <w:t xml:space="preserve"> </w:t>
            </w:r>
            <w:r w:rsidRPr="00E40219">
              <w:t>assumendo quale parametro di riferimento, per il passaggio sostanziale, il trasferimento dei rischi e benefici</w:t>
            </w:r>
            <w:r w:rsidRPr="00E1008D">
              <w:t>?</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15.29</w:t>
            </w:r>
          </w:p>
        </w:tc>
        <w:tc>
          <w:tcPr>
            <w:tcW w:w="6964" w:type="dxa"/>
            <w:tcMar>
              <w:left w:w="108" w:type="dxa"/>
            </w:tcMar>
          </w:tcPr>
          <w:p w:rsidR="00F271AC" w:rsidRDefault="00F271AC" w:rsidP="00D73E98">
            <w:pPr>
              <w:pStyle w:val="Commentiriquadro"/>
            </w:pPr>
            <w:r w:rsidRPr="00E40219">
              <w:t>Salvo che le condizioni degli accordi contrattuali prevedano che il trasferimento dei rischi e benefici avvenga diversamente:</w:t>
            </w:r>
          </w:p>
          <w:p w:rsidR="00F271AC" w:rsidRDefault="00F271AC" w:rsidP="004E27C2">
            <w:pPr>
              <w:pStyle w:val="Commentiriquadro"/>
              <w:numPr>
                <w:ilvl w:val="0"/>
                <w:numId w:val="34"/>
              </w:numPr>
            </w:pPr>
            <w:r w:rsidRPr="00767331">
              <w:t>in caso di vendita di beni mobili, il trasferimento dei rischi e benefici si verifica con la spedizione o consegna dei beni stessi;</w:t>
            </w:r>
          </w:p>
          <w:p w:rsidR="00F271AC" w:rsidRDefault="00F271AC" w:rsidP="004E27C2">
            <w:pPr>
              <w:pStyle w:val="Commentiriquadro"/>
              <w:numPr>
                <w:ilvl w:val="0"/>
                <w:numId w:val="34"/>
              </w:numPr>
            </w:pPr>
            <w:r w:rsidRPr="00767331">
              <w:t>per i beni per i quali è richiesto l’atto pubblico (ad esempio, beni immobili) il trasferimento dei rischi e benefici coincide con la data della stipulazione del contratto di compravendita;</w:t>
            </w:r>
          </w:p>
          <w:p w:rsidR="00F271AC" w:rsidRDefault="00F271AC" w:rsidP="004E27C2">
            <w:pPr>
              <w:pStyle w:val="Commentiriquadro"/>
              <w:numPr>
                <w:ilvl w:val="0"/>
                <w:numId w:val="34"/>
              </w:numPr>
            </w:pPr>
            <w:r w:rsidRPr="00767331">
              <w:t>nel caso della vendita a rate con riserva della proprietà, l’art. 1523 CC prevede che il compratore acquista la proprietà della cosa con il pagamento dell’ultima rata di prezzo, ma assume i rischi dal momento della consegna. Pertanto, la rilevazione del ricavo e del relativo credito avvengono alla consegna, indipendentemente dal passaggio di proprietà.</w:t>
            </w:r>
          </w:p>
          <w:p w:rsidR="00F271AC" w:rsidRPr="00767331" w:rsidRDefault="00F271AC" w:rsidP="00D73E98">
            <w:pPr>
              <w:pStyle w:val="Commentiriquadro"/>
              <w:spacing w:line="190" w:lineRule="exact"/>
            </w:pPr>
            <w:r w:rsidRPr="00767331">
              <w:t>I crediti originati da ricavi per prestazioni di servizi sono rilevati in base al principio della competenza quando il servizio è reso, cioè la prestazione è stata effettuata.</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16)</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15.2</w:t>
            </w:r>
            <w:r>
              <w:rPr>
                <w:lang w:val="it-IT"/>
              </w:rPr>
              <w:t>9</w:t>
            </w:r>
          </w:p>
        </w:tc>
        <w:tc>
          <w:tcPr>
            <w:tcW w:w="6964" w:type="dxa"/>
            <w:tcMar>
              <w:left w:w="108" w:type="dxa"/>
            </w:tcMar>
          </w:tcPr>
          <w:p w:rsidR="00F271AC" w:rsidRPr="00E1008D" w:rsidRDefault="00F271AC" w:rsidP="00D73E98">
            <w:pPr>
              <w:spacing w:line="240" w:lineRule="exact"/>
              <w:rPr>
                <w:lang w:val="it-IT"/>
              </w:rPr>
            </w:pPr>
            <w:r w:rsidRPr="00E1008D">
              <w:rPr>
                <w:lang w:val="it-IT"/>
              </w:rPr>
              <w:t>Per i contratti di vendita con riserva della proprietà la rilevazione del ricavo di vendita e del relativo credito avvengono alla consegna, indipendentemente dal passaggio di proprietà?</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17)</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15.2</w:t>
            </w:r>
            <w:r>
              <w:rPr>
                <w:lang w:val="it-IT"/>
              </w:rPr>
              <w:t>9</w:t>
            </w:r>
          </w:p>
        </w:tc>
        <w:tc>
          <w:tcPr>
            <w:tcW w:w="6964" w:type="dxa"/>
            <w:tcMar>
              <w:left w:w="108" w:type="dxa"/>
            </w:tcMar>
          </w:tcPr>
          <w:p w:rsidR="00F271AC" w:rsidRPr="00767331" w:rsidRDefault="00F271AC" w:rsidP="00D73E98">
            <w:pPr>
              <w:spacing w:line="240" w:lineRule="exact"/>
              <w:rPr>
                <w:lang w:val="it-IT"/>
              </w:rPr>
            </w:pPr>
            <w:r w:rsidRPr="00767331">
              <w:rPr>
                <w:lang w:val="it-IT"/>
              </w:rPr>
              <w:t>I crediti originati da ricavi per prestazioni di servizi sono rilevati in base al principio della competenza quando il servizio è reso, cioè la</w:t>
            </w:r>
            <w:r>
              <w:rPr>
                <w:lang w:val="it-IT"/>
              </w:rPr>
              <w:t xml:space="preserve"> prestazione è stata effettuata?</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18)</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15.30</w:t>
            </w:r>
          </w:p>
        </w:tc>
        <w:tc>
          <w:tcPr>
            <w:tcW w:w="6964" w:type="dxa"/>
            <w:tcMar>
              <w:left w:w="108" w:type="dxa"/>
            </w:tcMar>
          </w:tcPr>
          <w:p w:rsidR="00F271AC" w:rsidRPr="00E1008D" w:rsidRDefault="00F271AC" w:rsidP="00D73E98">
            <w:pPr>
              <w:spacing w:line="240" w:lineRule="exact"/>
              <w:rPr>
                <w:lang w:val="it-IT"/>
              </w:rPr>
            </w:pPr>
            <w:r w:rsidRPr="00E1008D">
              <w:rPr>
                <w:lang w:val="it-IT"/>
              </w:rPr>
              <w:t>I crediti che si originano per ragioni differenti dallo scambio di beni e servizi (ad esempio per operazioni di finanziamento) sono iscritti in bilancio se sussiste “titolo” al credito, e cioè se essi rappresentano effettivamente obbligazione di terzi verso l</w:t>
            </w:r>
            <w:r>
              <w:rPr>
                <w:lang w:val="it-IT"/>
              </w:rPr>
              <w:t>a società</w:t>
            </w:r>
            <w:r w:rsidRPr="00E1008D">
              <w:rPr>
                <w:lang w:val="it-IT"/>
              </w:rPr>
              <w:t xml:space="preserve">? </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19)</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3</w:t>
            </w:r>
            <w:r w:rsidRPr="00E1008D">
              <w:rPr>
                <w:lang w:val="it-IT"/>
              </w:rPr>
              <w:t>1</w:t>
            </w:r>
          </w:p>
        </w:tc>
        <w:tc>
          <w:tcPr>
            <w:tcW w:w="6964" w:type="dxa"/>
            <w:tcMar>
              <w:left w:w="108" w:type="dxa"/>
            </w:tcMar>
          </w:tcPr>
          <w:p w:rsidR="00F271AC" w:rsidRPr="00A722AA" w:rsidRDefault="00F271AC" w:rsidP="00D73E98">
            <w:pPr>
              <w:spacing w:line="240" w:lineRule="exact"/>
              <w:rPr>
                <w:lang w:val="it-IT"/>
              </w:rPr>
            </w:pPr>
            <w:r w:rsidRPr="00A722AA">
              <w:rPr>
                <w:lang w:val="it-IT"/>
              </w:rPr>
              <w:t>I crediti incassabili con un'attività diversa dalle disponibilità liquide sono valutati al valore corrente realizzabile di mercato di tali attività</w:t>
            </w:r>
            <w:r>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1008D" w:rsidRDefault="00F271AC" w:rsidP="00D73E98">
            <w:pPr>
              <w:pStyle w:val="Titolo3"/>
              <w:rPr>
                <w:lang w:val="it-IT"/>
              </w:rPr>
            </w:pPr>
            <w:r w:rsidRPr="00593F9A">
              <w:rPr>
                <w:lang w:val="it-IT"/>
              </w:rPr>
              <w:t>Rilevazione iniziale dei crediti valutati al costo ammortizzato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32</w:t>
            </w:r>
          </w:p>
        </w:tc>
        <w:tc>
          <w:tcPr>
            <w:tcW w:w="6964" w:type="dxa"/>
            <w:tcMar>
              <w:left w:w="108" w:type="dxa"/>
            </w:tcMar>
          </w:tcPr>
          <w:p w:rsidR="00F271AC" w:rsidRPr="00A722AA" w:rsidRDefault="00F271AC" w:rsidP="00D73E98">
            <w:pPr>
              <w:pStyle w:val="Commentiriquadro"/>
            </w:pPr>
            <w:r w:rsidRPr="00A722AA">
              <w:t>L’art. 2426</w:t>
            </w:r>
            <w:r>
              <w:t>,</w:t>
            </w:r>
            <w:r w:rsidRPr="00A722AA">
              <w:t xml:space="preserve"> c</w:t>
            </w:r>
            <w:r>
              <w:t>.</w:t>
            </w:r>
            <w:r w:rsidRPr="00A722AA">
              <w:t>1</w:t>
            </w:r>
            <w:r>
              <w:t>,</w:t>
            </w:r>
            <w:r w:rsidRPr="00A722AA">
              <w:t xml:space="preserve"> n.8 CC prescrive che “</w:t>
            </w:r>
            <w:r w:rsidRPr="00A722AA">
              <w:rPr>
                <w:i/>
              </w:rPr>
              <w:t>i crediti sono rilevati in bilancio secondo il criterio del costo ammortizzato, tenendo conto del fattore temporale</w:t>
            </w:r>
            <w:r w:rsidRPr="00A722AA">
              <w:t>”.</w:t>
            </w:r>
          </w:p>
        </w:tc>
        <w:tc>
          <w:tcPr>
            <w:tcW w:w="582" w:type="dxa"/>
            <w:tcMar>
              <w:left w:w="85" w:type="dxa"/>
              <w:right w:w="85" w:type="dxa"/>
            </w:tcMar>
            <w:vAlign w:val="center"/>
          </w:tcPr>
          <w:p w:rsidR="00F271AC" w:rsidRPr="00A722AA" w:rsidRDefault="00F271AC" w:rsidP="00D73E98">
            <w:pPr>
              <w:jc w:val="center"/>
              <w:rPr>
                <w:lang w:val="it-IT"/>
              </w:rPr>
            </w:pPr>
          </w:p>
        </w:tc>
        <w:tc>
          <w:tcPr>
            <w:tcW w:w="571" w:type="dxa"/>
            <w:tcMar>
              <w:left w:w="108" w:type="dxa"/>
            </w:tcMar>
            <w:vAlign w:val="center"/>
          </w:tcPr>
          <w:p w:rsidR="00F271AC" w:rsidRPr="00A722AA" w:rsidRDefault="00F271AC" w:rsidP="00D73E98">
            <w:pPr>
              <w:jc w:val="center"/>
              <w:rPr>
                <w:lang w:val="it-IT"/>
              </w:rPr>
            </w:pPr>
          </w:p>
        </w:tc>
        <w:tc>
          <w:tcPr>
            <w:tcW w:w="569" w:type="dxa"/>
            <w:tcMar>
              <w:left w:w="108" w:type="dxa"/>
            </w:tcMar>
            <w:vAlign w:val="center"/>
          </w:tcPr>
          <w:p w:rsidR="00F271AC" w:rsidRPr="00A722AA" w:rsidRDefault="00F271AC" w:rsidP="00D73E98">
            <w:pPr>
              <w:jc w:val="center"/>
              <w:rPr>
                <w:lang w:val="it-IT"/>
              </w:rPr>
            </w:pPr>
          </w:p>
        </w:tc>
      </w:tr>
      <w:tr w:rsidR="00F271AC" w:rsidRPr="00CC242B"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33</w:t>
            </w:r>
          </w:p>
        </w:tc>
        <w:tc>
          <w:tcPr>
            <w:tcW w:w="6964" w:type="dxa"/>
            <w:tcMar>
              <w:left w:w="108" w:type="dxa"/>
            </w:tcMar>
          </w:tcPr>
          <w:p w:rsidR="00F271AC" w:rsidRPr="00A722AA" w:rsidRDefault="00F271AC" w:rsidP="00D73E98">
            <w:pPr>
              <w:pStyle w:val="Commentiriquadro"/>
              <w:spacing w:line="190" w:lineRule="exact"/>
            </w:pPr>
            <w:r w:rsidRPr="00A722AA">
              <w:t>Il criterio del costo ammortizzato può non essere applicato ai crediti se gli effetti sono irrilevanti rispetto al valore determinato in base ai paragrafi 46-48. Generalmente gli effetti sono irrilevanti se i crediti sono a breve termine (ossia con scadenza inferiore ai 12 mesi).</w:t>
            </w:r>
          </w:p>
        </w:tc>
        <w:tc>
          <w:tcPr>
            <w:tcW w:w="582" w:type="dxa"/>
            <w:tcMar>
              <w:left w:w="85" w:type="dxa"/>
              <w:right w:w="85" w:type="dxa"/>
            </w:tcMar>
            <w:vAlign w:val="center"/>
          </w:tcPr>
          <w:p w:rsidR="00F271AC" w:rsidRPr="00A722AA" w:rsidRDefault="00F271AC" w:rsidP="00D73E98">
            <w:pPr>
              <w:jc w:val="center"/>
              <w:rPr>
                <w:lang w:val="it-IT"/>
              </w:rPr>
            </w:pPr>
          </w:p>
        </w:tc>
        <w:tc>
          <w:tcPr>
            <w:tcW w:w="571" w:type="dxa"/>
            <w:tcMar>
              <w:left w:w="108" w:type="dxa"/>
            </w:tcMar>
            <w:vAlign w:val="center"/>
          </w:tcPr>
          <w:p w:rsidR="00F271AC" w:rsidRPr="00A722AA" w:rsidRDefault="00F271AC" w:rsidP="00D73E98">
            <w:pPr>
              <w:jc w:val="center"/>
              <w:rPr>
                <w:lang w:val="it-IT"/>
              </w:rPr>
            </w:pPr>
          </w:p>
        </w:tc>
        <w:tc>
          <w:tcPr>
            <w:tcW w:w="569" w:type="dxa"/>
            <w:tcMar>
              <w:left w:w="108" w:type="dxa"/>
            </w:tcMar>
            <w:vAlign w:val="center"/>
          </w:tcPr>
          <w:p w:rsidR="00F271AC" w:rsidRPr="00A722AA" w:rsidRDefault="00F271AC" w:rsidP="00D73E98">
            <w:pPr>
              <w:jc w:val="center"/>
              <w:rPr>
                <w:lang w:val="it-IT"/>
              </w:rPr>
            </w:pPr>
          </w:p>
        </w:tc>
      </w:tr>
      <w:tr w:rsidR="00F271AC" w:rsidRPr="00CC242B"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A722AA" w:rsidRDefault="00F271AC" w:rsidP="00D73E98">
            <w:pPr>
              <w:pStyle w:val="Titolo4"/>
            </w:pPr>
            <w:r w:rsidRPr="00A722AA">
              <w:t>Costo ammortizzato in assenza di attualizzazione</w:t>
            </w:r>
          </w:p>
        </w:tc>
        <w:tc>
          <w:tcPr>
            <w:tcW w:w="582" w:type="dxa"/>
            <w:tcMar>
              <w:left w:w="85" w:type="dxa"/>
              <w:right w:w="85" w:type="dxa"/>
            </w:tcMar>
            <w:vAlign w:val="center"/>
          </w:tcPr>
          <w:p w:rsidR="00F271AC" w:rsidRPr="00A722AA" w:rsidRDefault="00F271AC" w:rsidP="00D73E98">
            <w:pPr>
              <w:jc w:val="center"/>
              <w:rPr>
                <w:lang w:val="it-IT"/>
              </w:rPr>
            </w:pPr>
          </w:p>
        </w:tc>
        <w:tc>
          <w:tcPr>
            <w:tcW w:w="571" w:type="dxa"/>
            <w:tcMar>
              <w:left w:w="108" w:type="dxa"/>
            </w:tcMar>
            <w:vAlign w:val="center"/>
          </w:tcPr>
          <w:p w:rsidR="00F271AC" w:rsidRPr="00A722AA" w:rsidRDefault="00F271AC" w:rsidP="00D73E98">
            <w:pPr>
              <w:jc w:val="center"/>
              <w:rPr>
                <w:lang w:val="it-IT"/>
              </w:rPr>
            </w:pPr>
          </w:p>
        </w:tc>
        <w:tc>
          <w:tcPr>
            <w:tcW w:w="569" w:type="dxa"/>
            <w:tcMar>
              <w:left w:w="108" w:type="dxa"/>
            </w:tcMar>
            <w:vAlign w:val="center"/>
          </w:tcPr>
          <w:p w:rsidR="00F271AC" w:rsidRPr="00A722AA" w:rsidRDefault="00F271AC" w:rsidP="00D73E98">
            <w:pPr>
              <w:jc w:val="center"/>
              <w:rPr>
                <w:lang w:val="it-IT"/>
              </w:rPr>
            </w:pP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20)</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15.3</w:t>
            </w:r>
            <w:r w:rsidRPr="00E1008D">
              <w:rPr>
                <w:lang w:val="it-IT"/>
              </w:rPr>
              <w:t>4</w:t>
            </w:r>
          </w:p>
        </w:tc>
        <w:tc>
          <w:tcPr>
            <w:tcW w:w="6964" w:type="dxa"/>
            <w:tcMar>
              <w:left w:w="108" w:type="dxa"/>
            </w:tcMar>
          </w:tcPr>
          <w:p w:rsidR="00F271AC" w:rsidRPr="00E1008D" w:rsidRDefault="00F271AC" w:rsidP="00D73E98">
            <w:pPr>
              <w:spacing w:line="240" w:lineRule="exact"/>
              <w:rPr>
                <w:lang w:val="it-IT"/>
              </w:rPr>
            </w:pPr>
            <w:r w:rsidRPr="008B3199">
              <w:rPr>
                <w:lang w:val="it-IT"/>
              </w:rPr>
              <w:t>Quando un credito è rilevato per la prima volta, il valore di iscrizione iniziale è rappresentato dal valore nominale del credito, salvo quanto previsto dai paragrafi 41-45, al netto di tutti i premi, gli sconti, gli abbuoni ed inclusivo degli eventuali costi direttamente attribuibili alla transazione che ha generato il credito</w:t>
            </w:r>
            <w:r>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21)</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35</w:t>
            </w:r>
          </w:p>
          <w:p w:rsidR="00F271AC" w:rsidRPr="00E1008D" w:rsidRDefault="00F271AC" w:rsidP="00D73E98">
            <w:pPr>
              <w:pStyle w:val="PrincCont"/>
              <w:jc w:val="left"/>
              <w:rPr>
                <w:lang w:val="it-IT"/>
              </w:rPr>
            </w:pPr>
          </w:p>
        </w:tc>
        <w:tc>
          <w:tcPr>
            <w:tcW w:w="6964" w:type="dxa"/>
            <w:tcMar>
              <w:left w:w="108" w:type="dxa"/>
            </w:tcMar>
          </w:tcPr>
          <w:p w:rsidR="00F271AC" w:rsidRPr="008B3199" w:rsidRDefault="00F271AC" w:rsidP="00840B93">
            <w:pPr>
              <w:pStyle w:val="rientrotrattinook"/>
              <w:numPr>
                <w:ilvl w:val="0"/>
                <w:numId w:val="0"/>
              </w:numPr>
            </w:pPr>
            <w:r w:rsidRPr="008B3199">
              <w:t>I costi di transazione, le eventuali commissioni attive e passive e ogni differenza tra valore iniziale e valore nominale a scadenza sono inclusi nel calcolo del costo ammortizzato utilizzando il criterio dell’interesse effettivo</w:t>
            </w:r>
            <w: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35</w:t>
            </w:r>
          </w:p>
        </w:tc>
        <w:tc>
          <w:tcPr>
            <w:tcW w:w="6964" w:type="dxa"/>
            <w:tcMar>
              <w:left w:w="108" w:type="dxa"/>
            </w:tcMar>
          </w:tcPr>
          <w:p w:rsidR="00F271AC" w:rsidRPr="008B3199" w:rsidRDefault="00F271AC" w:rsidP="00D73E98">
            <w:pPr>
              <w:pStyle w:val="Commentiriquadro"/>
            </w:pPr>
            <w:r>
              <w:t>I</w:t>
            </w:r>
            <w:r w:rsidRPr="008B3199">
              <w:t xml:space="preserve">l criterio dell’interesse effettivo, implica che </w:t>
            </w:r>
            <w:r>
              <w:t>i</w:t>
            </w:r>
            <w:r w:rsidRPr="008B3199">
              <w:t xml:space="preserve"> costi di transazione, le eventuali commissioni attive e passive e ogni differenza tra valore iniziale e valore nominale a scadenza siano ammortizzati lungo la durata attesa del credito. Il loro ammortamento integra o rettifica gli interessi attivi calcolati al tasso nominale (seguendone la medesima classificazione nel conto econo</w:t>
            </w:r>
            <w:r>
              <w:t xml:space="preserve">mico), di modo che il tasso di </w:t>
            </w:r>
            <w:r w:rsidRPr="008B3199">
              <w:t>interesse</w:t>
            </w:r>
            <w:r w:rsidRPr="008B3199">
              <w:rPr>
                <w:rFonts w:ascii="Times New Roman" w:hAnsi="Times New Roman"/>
                <w:sz w:val="22"/>
                <w:szCs w:val="22"/>
              </w:rPr>
              <w:t xml:space="preserve"> </w:t>
            </w:r>
            <w:r w:rsidRPr="008B3199">
              <w:t xml:space="preserve">effettivo possa rimanere un tasso di interesse costante lungo la durata del credito da applicarsi al suo valore contabile, fatta salva la rilevazione delle variazioni imputabili ai flussi finanziari dei tassi variabili di riferimento, ove applicabili (si veda </w:t>
            </w:r>
            <w:r>
              <w:t>OIC 15.</w:t>
            </w:r>
            <w:r w:rsidRPr="008B3199">
              <w:t>53). Il criterio del costo ammortizzato può non essere applicato se gli effetti sono irrilevanti; ciò è presumibile quando i costi di transazione, le commissioni pagate tra le parti e ogni altra differenza tra valore iniziale e valore a scadenza sono di scarso rilievo.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22)</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36</w:t>
            </w:r>
          </w:p>
        </w:tc>
        <w:tc>
          <w:tcPr>
            <w:tcW w:w="6964" w:type="dxa"/>
            <w:tcMar>
              <w:left w:w="108" w:type="dxa"/>
            </w:tcMar>
          </w:tcPr>
          <w:p w:rsidR="00F271AC" w:rsidRPr="00345971" w:rsidRDefault="00F271AC" w:rsidP="00D73E98">
            <w:pPr>
              <w:spacing w:line="240" w:lineRule="exact"/>
              <w:rPr>
                <w:lang w:val="it-IT"/>
              </w:rPr>
            </w:pPr>
            <w:r w:rsidRPr="00345971">
              <w:rPr>
                <w:lang w:val="it-IT"/>
              </w:rPr>
              <w:t xml:space="preserve">I costi di transazione che saranno prevedibilmente sostenuti all’atto della eventuale successiva cessione del credito </w:t>
            </w:r>
            <w:r>
              <w:rPr>
                <w:lang w:val="it-IT"/>
              </w:rPr>
              <w:t>s</w:t>
            </w:r>
            <w:r w:rsidRPr="00345971">
              <w:rPr>
                <w:lang w:val="it-IT"/>
              </w:rPr>
              <w:t xml:space="preserve">ono </w:t>
            </w:r>
            <w:r>
              <w:rPr>
                <w:lang w:val="it-IT"/>
              </w:rPr>
              <w:t>stati es</w:t>
            </w:r>
            <w:r w:rsidRPr="00345971">
              <w:rPr>
                <w:lang w:val="it-IT"/>
              </w:rPr>
              <w:t xml:space="preserve">clusi </w:t>
            </w:r>
            <w:r>
              <w:rPr>
                <w:lang w:val="it-IT"/>
              </w:rPr>
              <w:t>da</w:t>
            </w:r>
            <w:r w:rsidRPr="00345971">
              <w:rPr>
                <w:lang w:val="it-IT"/>
              </w:rPr>
              <w:t>lla valutazione del credito al costo ammortizzato</w:t>
            </w:r>
            <w:r>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23)</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15.37</w:t>
            </w:r>
          </w:p>
        </w:tc>
        <w:tc>
          <w:tcPr>
            <w:tcW w:w="6964" w:type="dxa"/>
            <w:tcMar>
              <w:left w:w="108" w:type="dxa"/>
            </w:tcMar>
          </w:tcPr>
          <w:p w:rsidR="00F271AC" w:rsidRPr="00E1008D" w:rsidRDefault="00F271AC" w:rsidP="00D73E98">
            <w:pPr>
              <w:spacing w:line="240" w:lineRule="exact"/>
              <w:rPr>
                <w:lang w:val="it-IT"/>
              </w:rPr>
            </w:pPr>
            <w:r w:rsidRPr="00A56C0D">
              <w:rPr>
                <w:lang w:val="it-IT"/>
              </w:rPr>
              <w:t>Il tasso di interesse effettivo è il tasso interno di rendimento, costante lungo la durata del credito, che rende uguale il valore attuale dei flussi finanziari futuri derivanti dal credito e il suo valore di rilevazione iniziale</w:t>
            </w:r>
            <w:r>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15.37</w:t>
            </w:r>
          </w:p>
        </w:tc>
        <w:tc>
          <w:tcPr>
            <w:tcW w:w="6964" w:type="dxa"/>
            <w:tcMar>
              <w:left w:w="108" w:type="dxa"/>
            </w:tcMar>
          </w:tcPr>
          <w:p w:rsidR="00F271AC" w:rsidRPr="00151BE2" w:rsidRDefault="00F271AC" w:rsidP="00D73E98">
            <w:pPr>
              <w:pStyle w:val="Commentiriquadro"/>
            </w:pPr>
            <w:r w:rsidRPr="00151BE2">
              <w:t>Il tasso di interesse effettivo, secondo il criterio dell’interesse effettivo, è calcolato al momento della rilevazione iniziale del credito ed è poi utilizzato per la sua valutazione successiva.</w:t>
            </w:r>
          </w:p>
          <w:p w:rsidR="00F271AC" w:rsidRPr="00151BE2" w:rsidRDefault="00F271AC" w:rsidP="00D73E98">
            <w:pPr>
              <w:pStyle w:val="Commentiriquadro"/>
            </w:pPr>
            <w:r w:rsidRPr="00151BE2">
              <w:t>In caso di interessi contrattuali a tasso variabile si rinvia a OIC 15.53.</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24)</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15.38</w:t>
            </w:r>
          </w:p>
        </w:tc>
        <w:tc>
          <w:tcPr>
            <w:tcW w:w="6964" w:type="dxa"/>
            <w:tcMar>
              <w:left w:w="108" w:type="dxa"/>
            </w:tcMar>
          </w:tcPr>
          <w:p w:rsidR="00F271AC" w:rsidRPr="00230280" w:rsidRDefault="00F271AC" w:rsidP="00D73E98">
            <w:pPr>
              <w:rPr>
                <w:lang w:val="it-IT"/>
              </w:rPr>
            </w:pPr>
            <w:r w:rsidRPr="00230280">
              <w:rPr>
                <w:lang w:val="it-IT"/>
              </w:rPr>
              <w:t>I flussi finanziari futuri utili al calcolo del tasso di interesse effettivo sono determinati tenendo in considerazione tutti i termini contrattuali della transazione che ha originato il credito, incluse le scadenze previste di incasso e pagamento, la natura dei flussi finanziari (capitale o interessi), e la probabilità che l’incasso o il pagamento anticipato si verifichi quan</w:t>
            </w:r>
            <w:r>
              <w:rPr>
                <w:lang w:val="it-IT"/>
              </w:rPr>
              <w:t>do contrattualmente è previsto?</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w:instrText>
            </w:r>
            <w:r w:rsidRPr="00E1008D">
              <w:instrText xml:space="preserve">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15.38</w:t>
            </w:r>
          </w:p>
        </w:tc>
        <w:tc>
          <w:tcPr>
            <w:tcW w:w="6964" w:type="dxa"/>
            <w:tcMar>
              <w:left w:w="108" w:type="dxa"/>
            </w:tcMar>
          </w:tcPr>
          <w:p w:rsidR="00F271AC" w:rsidRPr="00230280" w:rsidRDefault="00F271AC" w:rsidP="00D73E98">
            <w:pPr>
              <w:pStyle w:val="Commentiriquadro"/>
            </w:pPr>
            <w:r w:rsidRPr="00230280">
              <w:t>In caso di una variazione nelle stime dei flussi finanziari futuri si rinvia</w:t>
            </w:r>
            <w:r>
              <w:t xml:space="preserve"> a quanto indicato nell’ OIC 15.</w:t>
            </w:r>
            <w:r w:rsidRPr="00230280">
              <w:t>51.</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30280" w:rsidTr="00D73E98">
        <w:trPr>
          <w:cantSplit/>
          <w:trHeight w:val="20"/>
        </w:trPr>
        <w:tc>
          <w:tcPr>
            <w:tcW w:w="675" w:type="dxa"/>
          </w:tcPr>
          <w:p w:rsidR="00F271AC" w:rsidRPr="00CB0B6A" w:rsidRDefault="00F271AC" w:rsidP="00D73E98">
            <w:pPr>
              <w:jc w:val="center"/>
              <w:rPr>
                <w:b/>
                <w:lang w:val="it-IT"/>
              </w:rPr>
            </w:pPr>
            <w:r w:rsidRPr="00CB0B6A">
              <w:rPr>
                <w:b/>
                <w:lang w:val="it-IT"/>
              </w:rPr>
              <w:t>25)</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15.39</w:t>
            </w:r>
          </w:p>
        </w:tc>
        <w:tc>
          <w:tcPr>
            <w:tcW w:w="6964" w:type="dxa"/>
            <w:tcMar>
              <w:left w:w="108" w:type="dxa"/>
            </w:tcMar>
          </w:tcPr>
          <w:p w:rsidR="00F271AC" w:rsidRPr="00230280" w:rsidRDefault="00F271AC" w:rsidP="00D73E98">
            <w:pPr>
              <w:spacing w:line="240" w:lineRule="exact"/>
              <w:rPr>
                <w:lang w:val="it-IT"/>
              </w:rPr>
            </w:pPr>
            <w:r w:rsidRPr="00CA03F7">
              <w:rPr>
                <w:lang w:val="it-IT"/>
              </w:rPr>
              <w:t xml:space="preserve">I flussi finanziari futuri utili al calcolo del tasso di interesse effettivo </w:t>
            </w:r>
            <w:r>
              <w:rPr>
                <w:lang w:val="it-IT"/>
              </w:rPr>
              <w:t>esc</w:t>
            </w:r>
            <w:r w:rsidRPr="00CA03F7">
              <w:rPr>
                <w:lang w:val="it-IT"/>
              </w:rPr>
              <w:t>ludono le perdite e le svalutazioni future dei crediti, salvo il caso in cui le perdite siano riflesse nel valore iniziale di iscrizione del credito, in quanto acquistato ad un prezzo che tenga conto delle pe</w:t>
            </w:r>
            <w:r>
              <w:rPr>
                <w:lang w:val="it-IT"/>
              </w:rPr>
              <w:t>rdite stimate per inesigibilità?</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15.40</w:t>
            </w:r>
          </w:p>
        </w:tc>
        <w:tc>
          <w:tcPr>
            <w:tcW w:w="6964" w:type="dxa"/>
            <w:tcMar>
              <w:left w:w="108" w:type="dxa"/>
            </w:tcMar>
          </w:tcPr>
          <w:p w:rsidR="00F271AC" w:rsidRPr="00CA03F7" w:rsidRDefault="00F271AC" w:rsidP="00D73E98">
            <w:pPr>
              <w:pStyle w:val="Commentiriquadro"/>
            </w:pPr>
            <w:r w:rsidRPr="00CA03F7">
              <w:t>Le scadenze di pagamento previste contrattualmente non sono considerate nella determinazione dei flussi finanziari futuri se ed in quanto, al momento della rilevazione iniziale, sia oggettivamente dimostrabile, sulla base dell’esperienza o di altri fattori documentati, che il credito sarà incassato in date posteriori alle scadenze contrattuali e a condizione che l’entità del ritardo negli incassi sia ragionevolmente stimabile sulla base delle evidenze disponibili.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20"/>
        </w:trPr>
        <w:tc>
          <w:tcPr>
            <w:tcW w:w="675" w:type="dxa"/>
          </w:tcPr>
          <w:p w:rsidR="00F271AC" w:rsidRPr="00E1008D" w:rsidRDefault="00F271AC" w:rsidP="00D73E98">
            <w:pPr>
              <w:pageBreakBefore/>
              <w:jc w:val="center"/>
              <w:rPr>
                <w:lang w:val="it-IT"/>
              </w:rPr>
            </w:pPr>
          </w:p>
        </w:tc>
        <w:tc>
          <w:tcPr>
            <w:tcW w:w="843" w:type="dxa"/>
            <w:tcMar>
              <w:left w:w="108" w:type="dxa"/>
              <w:right w:w="0" w:type="dxa"/>
            </w:tcMar>
          </w:tcPr>
          <w:p w:rsidR="00F271AC" w:rsidRPr="00E1008D" w:rsidRDefault="00F271AC" w:rsidP="00D73E98">
            <w:pPr>
              <w:pStyle w:val="PrincCont"/>
              <w:pageBreakBefore/>
              <w:jc w:val="left"/>
              <w:rPr>
                <w:lang w:val="it-IT"/>
              </w:rPr>
            </w:pPr>
          </w:p>
        </w:tc>
        <w:tc>
          <w:tcPr>
            <w:tcW w:w="6964" w:type="dxa"/>
            <w:tcMar>
              <w:left w:w="108" w:type="dxa"/>
            </w:tcMar>
          </w:tcPr>
          <w:p w:rsidR="00F271AC" w:rsidRPr="00CA03F7" w:rsidRDefault="00F271AC" w:rsidP="00D73E98">
            <w:pPr>
              <w:pStyle w:val="Titolo4"/>
              <w:keepNext w:val="0"/>
              <w:pageBreakBefore/>
            </w:pPr>
            <w:r w:rsidRPr="00CA03F7">
              <w:t>Costo ammortizzato in presenza di attualizzazione</w:t>
            </w:r>
          </w:p>
        </w:tc>
        <w:tc>
          <w:tcPr>
            <w:tcW w:w="582" w:type="dxa"/>
            <w:tcMar>
              <w:left w:w="85" w:type="dxa"/>
              <w:right w:w="85" w:type="dxa"/>
            </w:tcMar>
            <w:vAlign w:val="center"/>
          </w:tcPr>
          <w:p w:rsidR="00F271AC" w:rsidRPr="00E1008D" w:rsidRDefault="00F271AC" w:rsidP="00D73E98">
            <w:pPr>
              <w:pageBreakBefore/>
              <w:jc w:val="center"/>
              <w:rPr>
                <w:lang w:val="it-IT"/>
              </w:rPr>
            </w:pPr>
          </w:p>
        </w:tc>
        <w:tc>
          <w:tcPr>
            <w:tcW w:w="571" w:type="dxa"/>
            <w:tcMar>
              <w:left w:w="108" w:type="dxa"/>
            </w:tcMar>
            <w:vAlign w:val="center"/>
          </w:tcPr>
          <w:p w:rsidR="00F271AC" w:rsidRPr="00E1008D" w:rsidRDefault="00F271AC" w:rsidP="00D73E98">
            <w:pPr>
              <w:pageBreakBefore/>
              <w:jc w:val="center"/>
              <w:rPr>
                <w:lang w:val="it-IT"/>
              </w:rPr>
            </w:pPr>
          </w:p>
        </w:tc>
        <w:tc>
          <w:tcPr>
            <w:tcW w:w="569" w:type="dxa"/>
            <w:tcMar>
              <w:left w:w="108" w:type="dxa"/>
            </w:tcMar>
            <w:vAlign w:val="center"/>
          </w:tcPr>
          <w:p w:rsidR="00F271AC" w:rsidRPr="00E1008D" w:rsidRDefault="00F271AC" w:rsidP="00D73E98">
            <w:pPr>
              <w:pageBreakBefore/>
              <w:jc w:val="center"/>
              <w:rPr>
                <w:lang w:val="it-IT"/>
              </w:rPr>
            </w:pPr>
          </w:p>
        </w:tc>
      </w:tr>
      <w:tr w:rsidR="00F271AC" w:rsidRPr="00CC242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15.41</w:t>
            </w:r>
          </w:p>
        </w:tc>
        <w:tc>
          <w:tcPr>
            <w:tcW w:w="6964" w:type="dxa"/>
            <w:tcMar>
              <w:left w:w="108" w:type="dxa"/>
            </w:tcMar>
          </w:tcPr>
          <w:p w:rsidR="00F271AC" w:rsidRDefault="00F271AC" w:rsidP="00D73E98">
            <w:pPr>
              <w:pStyle w:val="Commentiriquadro"/>
            </w:pPr>
            <w:r w:rsidRPr="00CA03F7">
              <w:t>L’art. 2426, c</w:t>
            </w:r>
            <w:r>
              <w:t>.</w:t>
            </w:r>
            <w:r w:rsidRPr="00CA03F7">
              <w:t>1, n.8, prescrive che occorre tenere conto del “</w:t>
            </w:r>
            <w:r w:rsidRPr="00CA03F7">
              <w:rPr>
                <w:i/>
              </w:rPr>
              <w:t>fattore temporale</w:t>
            </w:r>
            <w:r w:rsidRPr="00CA03F7">
              <w:t>” nella valutazione dei crediti. In sede di rilevazione iniziale, per tenere conto del fattore temporale, il tasso di interesse desumibile dalle condizioni contrattuali deve essere confrontato con i tassi di interesse di mercato.</w:t>
            </w:r>
          </w:p>
          <w:p w:rsidR="00F271AC" w:rsidRPr="00E1008D" w:rsidRDefault="00F271AC" w:rsidP="00D73E98">
            <w:pPr>
              <w:pStyle w:val="Commentiriquadro"/>
            </w:pPr>
            <w:r w:rsidRPr="0021433B">
              <w:t>Il tasso di interesse di mercato è il tasso che sarebbe stato applicato se due parti indipendenti avessero negoziato un’operazione similare di finanziamento con termini e condizioni comparabili a quella oggetto di esame.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15.42</w:t>
            </w:r>
          </w:p>
        </w:tc>
        <w:tc>
          <w:tcPr>
            <w:tcW w:w="6964" w:type="dxa"/>
            <w:tcMar>
              <w:left w:w="108" w:type="dxa"/>
            </w:tcMar>
          </w:tcPr>
          <w:p w:rsidR="00F271AC" w:rsidRPr="0021433B" w:rsidRDefault="00F271AC" w:rsidP="00D73E98">
            <w:pPr>
              <w:pStyle w:val="Commentiriquadro"/>
            </w:pPr>
            <w:r w:rsidRPr="0021433B">
              <w:t>Qualora il tasso di interesse desumibile dalle condizioni contrattuali sia significativamente diverso dal tasso di interesse di mercato, il tasso di interesse di mercato deve essere utilizzato per attualizzare i flussi finanziari futuri derivanti dal credito. In tal caso, il valore di iscrizione iniziale del credito è pari al valore attuale dei flussi finanziari futuri più gli eventuali costi di transazione come definiti al paragrafo 19. Il tasso di interesse desumibile dalle condizioni contrattuali (da confrontare con il tasso di mercato) include le commissioni contrattuali tra le parti dell’operazione e ogni altra differenza tra valore iniziale e valore a scadenza e non comprende i costi di transazione come definiti al paragrafo 19; tuttavia, se le commissioni contrattuali tra le parti e ogni altra differenza tra valore iniziale e valore a scadenza non sono significativi, il tasso desumibile dalle condizioni contrattuali dell’operazione può essere approssimato dal tasso di interesse nominale.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15.43</w:t>
            </w:r>
          </w:p>
        </w:tc>
        <w:tc>
          <w:tcPr>
            <w:tcW w:w="6964" w:type="dxa"/>
            <w:tcMar>
              <w:left w:w="108" w:type="dxa"/>
            </w:tcMar>
          </w:tcPr>
          <w:p w:rsidR="00F271AC" w:rsidRPr="005774F1" w:rsidRDefault="00F271AC" w:rsidP="00D73E98">
            <w:pPr>
              <w:pStyle w:val="Commentiriquadro"/>
            </w:pPr>
            <w:r w:rsidRPr="005774F1">
              <w:t>Una volta determinato il valore di iscrizione iniziale a seguito dell’attualizzazione, occorre calcolare il tasso di interesse effettivo, ossia il tasso interno di rendimento, costante lungo la durata del credito, che rende uguale il valore attuale dei flussi finanziari futuri derivanti dal credito e il suo valore di rilevazione iniziale. Salvo il caso previsto dal paragrafo 53, se il tasso di interesse effettivo determinato in sede di rilevazione iniziale successivamente si discosta dai tassi di mercato, esso non è comunque aggiornato.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26)</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15.42</w:t>
            </w:r>
          </w:p>
        </w:tc>
        <w:tc>
          <w:tcPr>
            <w:tcW w:w="6964" w:type="dxa"/>
            <w:tcMar>
              <w:left w:w="108" w:type="dxa"/>
            </w:tcMar>
          </w:tcPr>
          <w:p w:rsidR="00F271AC" w:rsidRPr="005774F1" w:rsidRDefault="00F271AC" w:rsidP="00D73E98">
            <w:pPr>
              <w:spacing w:line="230" w:lineRule="exact"/>
              <w:rPr>
                <w:lang w:val="it-IT"/>
              </w:rPr>
            </w:pPr>
            <w:r>
              <w:rPr>
                <w:lang w:val="it-IT"/>
              </w:rPr>
              <w:t>I crediti aventi un</w:t>
            </w:r>
            <w:r w:rsidRPr="005774F1">
              <w:rPr>
                <w:lang w:val="it-IT"/>
              </w:rPr>
              <w:t xml:space="preserve"> tasso di interesse desumibile dalle condizioni contrattuali significativamente diverso dal tasso di interesse di mercato</w:t>
            </w:r>
            <w:r>
              <w:rPr>
                <w:lang w:val="it-IT"/>
              </w:rPr>
              <w:t xml:space="preserve"> sono stati attualizzati?</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Default="00F271AC" w:rsidP="00D73E98">
            <w:pPr>
              <w:pStyle w:val="PrincCont"/>
              <w:jc w:val="left"/>
              <w:rPr>
                <w:lang w:val="it-IT"/>
              </w:rPr>
            </w:pPr>
            <w:r>
              <w:rPr>
                <w:lang w:val="it-IT"/>
              </w:rPr>
              <w:t>OIC 15.44</w:t>
            </w:r>
          </w:p>
        </w:tc>
        <w:tc>
          <w:tcPr>
            <w:tcW w:w="6964" w:type="dxa"/>
            <w:tcMar>
              <w:left w:w="108" w:type="dxa"/>
            </w:tcMar>
          </w:tcPr>
          <w:p w:rsidR="00F271AC" w:rsidRPr="00857EB3" w:rsidRDefault="00F271AC" w:rsidP="00D73E98">
            <w:pPr>
              <w:pStyle w:val="Commentiriquadro"/>
            </w:pPr>
            <w:r w:rsidRPr="00857EB3">
              <w:t>I crediti commerciali con scadenza oltre i 12 mesi dal momento della rilevazione iniziale, senza corresponsione di interessi, o con interessi significativamente diversi dai tassi di interesse di mercato, ed i relativi ricavi, si rilevano inizialmente al valore determinato attualizzando i flussi finanziari futuri al tasso di interesse di mercato. La differenza tra il valore di rilevazione iniziale del credito così determinato e il valore a termine deve essere rilevata a conto economico come provento finanziario lungo la durata del credito utilizzando il criterio del tasso di interesse effettivo.</w:t>
            </w:r>
          </w:p>
        </w:tc>
        <w:tc>
          <w:tcPr>
            <w:tcW w:w="582" w:type="dxa"/>
            <w:tcMar>
              <w:left w:w="85" w:type="dxa"/>
              <w:right w:w="85" w:type="dxa"/>
            </w:tcMar>
            <w:vAlign w:val="center"/>
          </w:tcPr>
          <w:p w:rsidR="00F271AC" w:rsidRPr="00857EB3" w:rsidRDefault="00F271AC" w:rsidP="00D73E98">
            <w:pPr>
              <w:jc w:val="center"/>
              <w:rPr>
                <w:lang w:val="it-IT"/>
              </w:rPr>
            </w:pPr>
          </w:p>
        </w:tc>
        <w:tc>
          <w:tcPr>
            <w:tcW w:w="571" w:type="dxa"/>
            <w:tcMar>
              <w:left w:w="108" w:type="dxa"/>
            </w:tcMar>
            <w:vAlign w:val="center"/>
          </w:tcPr>
          <w:p w:rsidR="00F271AC" w:rsidRPr="00857EB3" w:rsidRDefault="00F271AC" w:rsidP="00D73E98">
            <w:pPr>
              <w:jc w:val="center"/>
              <w:rPr>
                <w:lang w:val="it-IT"/>
              </w:rPr>
            </w:pPr>
          </w:p>
        </w:tc>
        <w:tc>
          <w:tcPr>
            <w:tcW w:w="569" w:type="dxa"/>
            <w:tcMar>
              <w:left w:w="108" w:type="dxa"/>
            </w:tcMar>
            <w:vAlign w:val="center"/>
          </w:tcPr>
          <w:p w:rsidR="00F271AC" w:rsidRPr="00857EB3" w:rsidRDefault="00F271AC" w:rsidP="00D73E98">
            <w:pPr>
              <w:jc w:val="center"/>
              <w:rPr>
                <w:lang w:val="it-IT"/>
              </w:rPr>
            </w:pP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27)</w:t>
            </w:r>
          </w:p>
        </w:tc>
        <w:tc>
          <w:tcPr>
            <w:tcW w:w="843" w:type="dxa"/>
            <w:tcMar>
              <w:left w:w="108" w:type="dxa"/>
              <w:right w:w="0" w:type="dxa"/>
            </w:tcMar>
          </w:tcPr>
          <w:p w:rsidR="00F271AC" w:rsidRDefault="00F271AC" w:rsidP="00D73E98">
            <w:pPr>
              <w:pStyle w:val="PrincCont"/>
              <w:jc w:val="left"/>
              <w:rPr>
                <w:lang w:val="it-IT"/>
              </w:rPr>
            </w:pPr>
            <w:r>
              <w:rPr>
                <w:lang w:val="it-IT"/>
              </w:rPr>
              <w:t>OIC 15.44</w:t>
            </w:r>
          </w:p>
        </w:tc>
        <w:tc>
          <w:tcPr>
            <w:tcW w:w="6964" w:type="dxa"/>
            <w:tcMar>
              <w:left w:w="108" w:type="dxa"/>
            </w:tcMar>
          </w:tcPr>
          <w:p w:rsidR="00F271AC" w:rsidRDefault="00F271AC" w:rsidP="00D73E98">
            <w:pPr>
              <w:spacing w:line="240" w:lineRule="exact"/>
              <w:rPr>
                <w:lang w:val="it-IT"/>
              </w:rPr>
            </w:pPr>
            <w:r w:rsidRPr="00857EB3">
              <w:rPr>
                <w:lang w:val="it-IT"/>
              </w:rPr>
              <w:t>I crediti commerciali con scadenza oltre i 12 mesi dal momento della rilevazione iniziale, senza corresponsione di interessi, o con interessi significativamente diversi dai tassi di interesse di mercato</w:t>
            </w:r>
            <w:r>
              <w:rPr>
                <w:lang w:val="it-IT"/>
              </w:rPr>
              <w:t xml:space="preserve"> sono stati attualizzati?</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28)</w:t>
            </w:r>
          </w:p>
        </w:tc>
        <w:tc>
          <w:tcPr>
            <w:tcW w:w="843" w:type="dxa"/>
            <w:tcMar>
              <w:left w:w="108" w:type="dxa"/>
              <w:right w:w="0" w:type="dxa"/>
            </w:tcMar>
          </w:tcPr>
          <w:p w:rsidR="00F271AC" w:rsidRDefault="00F271AC" w:rsidP="00D73E98">
            <w:pPr>
              <w:pStyle w:val="PrincCont"/>
              <w:jc w:val="left"/>
              <w:rPr>
                <w:lang w:val="it-IT"/>
              </w:rPr>
            </w:pPr>
            <w:r>
              <w:rPr>
                <w:lang w:val="it-IT"/>
              </w:rPr>
              <w:t>OIC 15.44</w:t>
            </w:r>
          </w:p>
        </w:tc>
        <w:tc>
          <w:tcPr>
            <w:tcW w:w="6964" w:type="dxa"/>
            <w:tcMar>
              <w:left w:w="108" w:type="dxa"/>
            </w:tcMar>
          </w:tcPr>
          <w:p w:rsidR="00F271AC" w:rsidRDefault="00F271AC" w:rsidP="00D73E98">
            <w:pPr>
              <w:spacing w:line="240" w:lineRule="exact"/>
              <w:rPr>
                <w:lang w:val="it-IT"/>
              </w:rPr>
            </w:pPr>
            <w:r w:rsidRPr="00857EB3">
              <w:rPr>
                <w:lang w:val="it-IT"/>
              </w:rPr>
              <w:t xml:space="preserve">La differenza tra il valore di rilevazione iniziale del credito </w:t>
            </w:r>
            <w:r>
              <w:rPr>
                <w:lang w:val="it-IT"/>
              </w:rPr>
              <w:t xml:space="preserve">attualizzato </w:t>
            </w:r>
            <w:r w:rsidRPr="00857EB3">
              <w:rPr>
                <w:lang w:val="it-IT"/>
              </w:rPr>
              <w:t xml:space="preserve">e il valore a termine </w:t>
            </w:r>
            <w:r>
              <w:rPr>
                <w:lang w:val="it-IT"/>
              </w:rPr>
              <w:t>è stata r</w:t>
            </w:r>
            <w:r w:rsidRPr="00857EB3">
              <w:rPr>
                <w:lang w:val="it-IT"/>
              </w:rPr>
              <w:t>ilevata a conto economico come provento finanziario lungo la durata del credito utilizzando il criterio d</w:t>
            </w:r>
            <w:r>
              <w:rPr>
                <w:lang w:val="it-IT"/>
              </w:rPr>
              <w:t>el tasso di interesse effettivo?</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30)</w:t>
            </w:r>
          </w:p>
        </w:tc>
        <w:tc>
          <w:tcPr>
            <w:tcW w:w="843" w:type="dxa"/>
            <w:tcMar>
              <w:left w:w="108" w:type="dxa"/>
              <w:right w:w="0" w:type="dxa"/>
            </w:tcMar>
          </w:tcPr>
          <w:p w:rsidR="00F271AC" w:rsidRDefault="00F271AC" w:rsidP="00D73E98">
            <w:pPr>
              <w:pStyle w:val="PrincCont"/>
              <w:jc w:val="left"/>
              <w:rPr>
                <w:lang w:val="it-IT"/>
              </w:rPr>
            </w:pPr>
            <w:r>
              <w:rPr>
                <w:lang w:val="it-IT"/>
              </w:rPr>
              <w:t>OIC 15.45</w:t>
            </w:r>
          </w:p>
        </w:tc>
        <w:tc>
          <w:tcPr>
            <w:tcW w:w="6964" w:type="dxa"/>
            <w:tcMar>
              <w:left w:w="108" w:type="dxa"/>
            </w:tcMar>
          </w:tcPr>
          <w:p w:rsidR="00F271AC" w:rsidRDefault="00F271AC" w:rsidP="00D73E98">
            <w:pPr>
              <w:spacing w:line="240" w:lineRule="exact"/>
              <w:rPr>
                <w:lang w:val="it-IT"/>
              </w:rPr>
            </w:pPr>
            <w:r w:rsidRPr="00857EB3">
              <w:rPr>
                <w:lang w:val="it-IT"/>
              </w:rPr>
              <w:t>Nel caso dei crediti finanziari, la differenza tra le disponibilità liquide erogate ed il valore attual</w:t>
            </w:r>
            <w:r>
              <w:rPr>
                <w:lang w:val="it-IT"/>
              </w:rPr>
              <w:t>e dei flussi finanziari futuri</w:t>
            </w:r>
            <w:r w:rsidRPr="00857EB3">
              <w:rPr>
                <w:lang w:val="it-IT"/>
              </w:rPr>
              <w:t xml:space="preserve"> </w:t>
            </w:r>
            <w:r>
              <w:rPr>
                <w:lang w:val="it-IT"/>
              </w:rPr>
              <w:t>a</w:t>
            </w:r>
            <w:r w:rsidRPr="00857EB3">
              <w:rPr>
                <w:lang w:val="it-IT"/>
              </w:rPr>
              <w:t>l tasso di interesse di mercato, è rilevata tra gli oneri finanziari o tra i proventi finanziari del conto economico al momento della rilevazione iniziale</w:t>
            </w:r>
            <w:r>
              <w:rPr>
                <w:lang w:val="it-IT"/>
              </w:rPr>
              <w:t xml:space="preserve">, </w:t>
            </w:r>
            <w:r w:rsidRPr="00857EB3">
              <w:rPr>
                <w:lang w:val="it-IT"/>
              </w:rPr>
              <w:t xml:space="preserve">salvo che la </w:t>
            </w:r>
            <w:r w:rsidRPr="00857EB3">
              <w:rPr>
                <w:i/>
                <w:lang w:val="it-IT"/>
              </w:rPr>
              <w:t xml:space="preserve">sostanza dell’operazione o del contratto </w:t>
            </w:r>
            <w:r w:rsidRPr="00857EB3">
              <w:rPr>
                <w:lang w:val="it-IT"/>
              </w:rPr>
              <w:t>non inducano ad attribuire a tale componente una diversa natura</w:t>
            </w:r>
            <w:r>
              <w:rPr>
                <w:lang w:val="it-IT"/>
              </w:rPr>
              <w:t>?</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Default="00F271AC" w:rsidP="00D73E98">
            <w:pPr>
              <w:pStyle w:val="PrincCont"/>
              <w:jc w:val="left"/>
              <w:rPr>
                <w:lang w:val="it-IT"/>
              </w:rPr>
            </w:pPr>
          </w:p>
        </w:tc>
        <w:tc>
          <w:tcPr>
            <w:tcW w:w="6964" w:type="dxa"/>
            <w:tcMar>
              <w:left w:w="108" w:type="dxa"/>
            </w:tcMar>
          </w:tcPr>
          <w:p w:rsidR="00F271AC" w:rsidRDefault="00F271AC" w:rsidP="00D73E98">
            <w:pPr>
              <w:pStyle w:val="Titolo3"/>
              <w:rPr>
                <w:lang w:val="it-IT"/>
              </w:rPr>
            </w:pPr>
            <w:r w:rsidRPr="005B6DC8">
              <w:rPr>
                <w:lang w:val="it-IT"/>
              </w:rPr>
              <w:t>Rilevazione iniziale dei crediti non valutati al costo ammortizzato e non soggetti ad attualizzazione nel bilancio in forma abbreviata</w:t>
            </w:r>
          </w:p>
        </w:tc>
        <w:tc>
          <w:tcPr>
            <w:tcW w:w="582" w:type="dxa"/>
            <w:tcMar>
              <w:left w:w="85" w:type="dxa"/>
              <w:right w:w="85" w:type="dxa"/>
            </w:tcMar>
            <w:vAlign w:val="center"/>
          </w:tcPr>
          <w:p w:rsidR="00F271AC" w:rsidRPr="00857EB3" w:rsidRDefault="00F271AC" w:rsidP="00D73E98">
            <w:pPr>
              <w:jc w:val="center"/>
              <w:rPr>
                <w:lang w:val="it-IT"/>
              </w:rPr>
            </w:pPr>
          </w:p>
        </w:tc>
        <w:tc>
          <w:tcPr>
            <w:tcW w:w="571" w:type="dxa"/>
            <w:tcMar>
              <w:left w:w="108" w:type="dxa"/>
            </w:tcMar>
            <w:vAlign w:val="center"/>
          </w:tcPr>
          <w:p w:rsidR="00F271AC" w:rsidRPr="00857EB3" w:rsidRDefault="00F271AC" w:rsidP="00D73E98">
            <w:pPr>
              <w:jc w:val="center"/>
              <w:rPr>
                <w:lang w:val="it-IT"/>
              </w:rPr>
            </w:pPr>
          </w:p>
        </w:tc>
        <w:tc>
          <w:tcPr>
            <w:tcW w:w="569" w:type="dxa"/>
            <w:tcMar>
              <w:left w:w="108" w:type="dxa"/>
            </w:tcMar>
            <w:vAlign w:val="center"/>
          </w:tcPr>
          <w:p w:rsidR="00F271AC" w:rsidRPr="00857EB3" w:rsidRDefault="00F271AC" w:rsidP="00D73E98">
            <w:pPr>
              <w:jc w:val="center"/>
              <w:rPr>
                <w:lang w:val="it-IT"/>
              </w:rPr>
            </w:pPr>
          </w:p>
        </w:tc>
      </w:tr>
      <w:tr w:rsidR="00F271AC" w:rsidRPr="00CC242B"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Default="00F271AC" w:rsidP="00D73E98">
            <w:pPr>
              <w:pStyle w:val="PrincCont"/>
              <w:jc w:val="left"/>
              <w:rPr>
                <w:lang w:val="it-IT"/>
              </w:rPr>
            </w:pPr>
            <w:r>
              <w:rPr>
                <w:lang w:val="it-IT"/>
              </w:rPr>
              <w:t>OIC 15.46</w:t>
            </w:r>
          </w:p>
        </w:tc>
        <w:tc>
          <w:tcPr>
            <w:tcW w:w="6964" w:type="dxa"/>
            <w:tcMar>
              <w:left w:w="108" w:type="dxa"/>
            </w:tcMar>
          </w:tcPr>
          <w:p w:rsidR="00F271AC" w:rsidRDefault="00F271AC" w:rsidP="00D73E98">
            <w:pPr>
              <w:pStyle w:val="Commentiriquadro"/>
            </w:pPr>
            <w:r w:rsidRPr="005B6DC8">
              <w:t>Nel bilancio in forma abbreviata redatto ai sensi dell’art. 2435-</w:t>
            </w:r>
            <w:r w:rsidRPr="00FF6B7C">
              <w:t>bis</w:t>
            </w:r>
            <w:r>
              <w:t xml:space="preserve"> CC</w:t>
            </w:r>
            <w:r w:rsidRPr="005B6DC8">
              <w:t>, i crediti possono essere valutati al valore di presumibile realizzo senza applicare il criterio di valutazione del costo ammortizzato e l’attualizzazione.</w:t>
            </w:r>
          </w:p>
        </w:tc>
        <w:tc>
          <w:tcPr>
            <w:tcW w:w="582" w:type="dxa"/>
            <w:tcMar>
              <w:left w:w="85" w:type="dxa"/>
              <w:right w:w="85" w:type="dxa"/>
            </w:tcMar>
            <w:vAlign w:val="center"/>
          </w:tcPr>
          <w:p w:rsidR="00F271AC" w:rsidRPr="00857EB3" w:rsidRDefault="00F271AC" w:rsidP="00D73E98">
            <w:pPr>
              <w:jc w:val="center"/>
              <w:rPr>
                <w:lang w:val="it-IT"/>
              </w:rPr>
            </w:pPr>
          </w:p>
        </w:tc>
        <w:tc>
          <w:tcPr>
            <w:tcW w:w="571" w:type="dxa"/>
            <w:tcMar>
              <w:left w:w="108" w:type="dxa"/>
            </w:tcMar>
            <w:vAlign w:val="center"/>
          </w:tcPr>
          <w:p w:rsidR="00F271AC" w:rsidRPr="00857EB3" w:rsidRDefault="00F271AC" w:rsidP="00D73E98">
            <w:pPr>
              <w:jc w:val="center"/>
              <w:rPr>
                <w:lang w:val="it-IT"/>
              </w:rPr>
            </w:pPr>
          </w:p>
        </w:tc>
        <w:tc>
          <w:tcPr>
            <w:tcW w:w="569" w:type="dxa"/>
            <w:tcMar>
              <w:left w:w="108" w:type="dxa"/>
            </w:tcMar>
            <w:vAlign w:val="center"/>
          </w:tcPr>
          <w:p w:rsidR="00F271AC" w:rsidRPr="00857EB3" w:rsidRDefault="00F271AC" w:rsidP="00D73E98">
            <w:pPr>
              <w:jc w:val="center"/>
              <w:rPr>
                <w:lang w:val="it-IT"/>
              </w:rPr>
            </w:pPr>
          </w:p>
        </w:tc>
      </w:tr>
      <w:tr w:rsidR="00F271AC" w:rsidRPr="00CC242B"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Default="00F271AC" w:rsidP="00D73E98">
            <w:pPr>
              <w:pStyle w:val="PrincCont"/>
              <w:jc w:val="left"/>
              <w:rPr>
                <w:lang w:val="it-IT"/>
              </w:rPr>
            </w:pPr>
            <w:r>
              <w:rPr>
                <w:lang w:val="it-IT"/>
              </w:rPr>
              <w:t>OIC 15.47</w:t>
            </w:r>
          </w:p>
        </w:tc>
        <w:tc>
          <w:tcPr>
            <w:tcW w:w="6964" w:type="dxa"/>
            <w:tcMar>
              <w:left w:w="108" w:type="dxa"/>
            </w:tcMar>
          </w:tcPr>
          <w:p w:rsidR="00F271AC" w:rsidRDefault="00F271AC" w:rsidP="00D73E98">
            <w:pPr>
              <w:pStyle w:val="Commentiriquadro"/>
            </w:pPr>
            <w:r w:rsidRPr="00E37211">
              <w:t>Qualora la società si avvalga di questa facoltà, i paragrafi 32-45 non si applicano e la rilevazione iniziale del credito è effettuata al valore nominale al netto dei premi, degli sconti, degli abbuoni</w:t>
            </w:r>
            <w:r w:rsidRPr="00E37211">
              <w:rPr>
                <w:rFonts w:ascii="Times New Roman" w:hAnsi="Times New Roman"/>
                <w:sz w:val="22"/>
                <w:szCs w:val="22"/>
              </w:rPr>
              <w:t xml:space="preserve"> </w:t>
            </w:r>
            <w:r w:rsidRPr="00E37211">
              <w:t>previsti contrattualmente o comunque concessi. Quando la legge prevede l’automatica applicazione degli interessi di mora, in relazione ai ritardi di pagamento nelle transazioni commerciali, si rilevano i relativi interessi nella voce C16 “</w:t>
            </w:r>
            <w:r w:rsidRPr="00E37211">
              <w:rPr>
                <w:i/>
              </w:rPr>
              <w:t>altri proventi finanziari</w:t>
            </w:r>
            <w:r w:rsidRPr="00E37211">
              <w:t>”, lettera d). Nel caso in cui l’incasso di interessi sia dubbio, occorre effettuare uno stanziamento al fondo svalutazione crediti sulla base della stimata possibilità di recupero.</w:t>
            </w:r>
          </w:p>
        </w:tc>
        <w:tc>
          <w:tcPr>
            <w:tcW w:w="582" w:type="dxa"/>
            <w:tcMar>
              <w:left w:w="85" w:type="dxa"/>
              <w:right w:w="85" w:type="dxa"/>
            </w:tcMar>
            <w:vAlign w:val="center"/>
          </w:tcPr>
          <w:p w:rsidR="00F271AC" w:rsidRPr="00857EB3" w:rsidRDefault="00F271AC" w:rsidP="00D73E98">
            <w:pPr>
              <w:jc w:val="center"/>
              <w:rPr>
                <w:lang w:val="it-IT"/>
              </w:rPr>
            </w:pPr>
          </w:p>
        </w:tc>
        <w:tc>
          <w:tcPr>
            <w:tcW w:w="571" w:type="dxa"/>
            <w:tcMar>
              <w:left w:w="108" w:type="dxa"/>
            </w:tcMar>
            <w:vAlign w:val="center"/>
          </w:tcPr>
          <w:p w:rsidR="00F271AC" w:rsidRPr="00857EB3" w:rsidRDefault="00F271AC" w:rsidP="00D73E98">
            <w:pPr>
              <w:jc w:val="center"/>
              <w:rPr>
                <w:lang w:val="it-IT"/>
              </w:rPr>
            </w:pPr>
          </w:p>
        </w:tc>
        <w:tc>
          <w:tcPr>
            <w:tcW w:w="569" w:type="dxa"/>
            <w:tcMar>
              <w:left w:w="108" w:type="dxa"/>
            </w:tcMar>
            <w:vAlign w:val="center"/>
          </w:tcPr>
          <w:p w:rsidR="00F271AC" w:rsidRPr="00857EB3" w:rsidRDefault="00F271AC" w:rsidP="00D73E98">
            <w:pPr>
              <w:jc w:val="center"/>
              <w:rPr>
                <w:lang w:val="it-IT"/>
              </w:rPr>
            </w:pP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31)</w:t>
            </w:r>
          </w:p>
        </w:tc>
        <w:tc>
          <w:tcPr>
            <w:tcW w:w="843" w:type="dxa"/>
            <w:tcMar>
              <w:left w:w="108" w:type="dxa"/>
              <w:right w:w="0" w:type="dxa"/>
            </w:tcMar>
          </w:tcPr>
          <w:p w:rsidR="00F271AC" w:rsidRDefault="00F271AC" w:rsidP="00D73E98">
            <w:pPr>
              <w:pStyle w:val="PrincCont"/>
              <w:jc w:val="left"/>
              <w:rPr>
                <w:lang w:val="it-IT"/>
              </w:rPr>
            </w:pPr>
            <w:r>
              <w:rPr>
                <w:lang w:val="it-IT"/>
              </w:rPr>
              <w:t>OIC 15.47</w:t>
            </w:r>
          </w:p>
        </w:tc>
        <w:tc>
          <w:tcPr>
            <w:tcW w:w="6964" w:type="dxa"/>
            <w:tcMar>
              <w:left w:w="108" w:type="dxa"/>
            </w:tcMar>
          </w:tcPr>
          <w:p w:rsidR="00F271AC" w:rsidRDefault="00F271AC" w:rsidP="00D73E98">
            <w:pPr>
              <w:spacing w:line="240" w:lineRule="exact"/>
              <w:rPr>
                <w:lang w:val="it-IT"/>
              </w:rPr>
            </w:pPr>
            <w:r>
              <w:rPr>
                <w:lang w:val="it-IT"/>
              </w:rPr>
              <w:t>Se la società si è avvalsa della facoltà di non applicare il criterio del costo ammortizzato e l’attualizzazione ha iscritto i crediti al valore nominale al netto di premi, sconti e abbuoni?</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32)</w:t>
            </w:r>
          </w:p>
        </w:tc>
        <w:tc>
          <w:tcPr>
            <w:tcW w:w="843" w:type="dxa"/>
            <w:tcMar>
              <w:left w:w="108" w:type="dxa"/>
              <w:right w:w="0" w:type="dxa"/>
            </w:tcMar>
          </w:tcPr>
          <w:p w:rsidR="00F271AC" w:rsidRDefault="00F271AC" w:rsidP="00D73E98">
            <w:pPr>
              <w:pStyle w:val="PrincCont"/>
              <w:jc w:val="left"/>
              <w:rPr>
                <w:lang w:val="it-IT"/>
              </w:rPr>
            </w:pPr>
            <w:r>
              <w:rPr>
                <w:lang w:val="it-IT"/>
              </w:rPr>
              <w:t>OIC 15.48</w:t>
            </w:r>
          </w:p>
        </w:tc>
        <w:tc>
          <w:tcPr>
            <w:tcW w:w="6964" w:type="dxa"/>
            <w:tcMar>
              <w:left w:w="108" w:type="dxa"/>
            </w:tcMar>
          </w:tcPr>
          <w:p w:rsidR="00F271AC" w:rsidRDefault="00F271AC" w:rsidP="00D73E98">
            <w:pPr>
              <w:spacing w:line="240" w:lineRule="exact"/>
              <w:rPr>
                <w:lang w:val="it-IT"/>
              </w:rPr>
            </w:pPr>
            <w:r w:rsidRPr="00E37211">
              <w:rPr>
                <w:lang w:val="it-IT"/>
              </w:rPr>
              <w:t>I costi di transazione iniziali sono rilevati tra i risconti attivi nella classe D dell’attivo dello stato patrimoniale</w:t>
            </w:r>
            <w:r>
              <w:rPr>
                <w:lang w:val="it-IT"/>
              </w:rPr>
              <w:t>?</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121A1C"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Default="00F271AC" w:rsidP="00D73E98">
            <w:pPr>
              <w:pStyle w:val="PrincCont"/>
              <w:jc w:val="left"/>
              <w:rPr>
                <w:lang w:val="it-IT"/>
              </w:rPr>
            </w:pPr>
          </w:p>
        </w:tc>
        <w:tc>
          <w:tcPr>
            <w:tcW w:w="6964" w:type="dxa"/>
            <w:tcMar>
              <w:left w:w="108" w:type="dxa"/>
            </w:tcMar>
          </w:tcPr>
          <w:p w:rsidR="00F271AC" w:rsidRDefault="00F271AC" w:rsidP="00D73E98">
            <w:pPr>
              <w:pStyle w:val="Titolo2"/>
              <w:rPr>
                <w:lang w:val="it-IT"/>
              </w:rPr>
            </w:pPr>
            <w:r w:rsidRPr="00E37211">
              <w:rPr>
                <w:lang w:val="it-IT"/>
              </w:rPr>
              <w:t>Valutazione e rilevazioni successive</w:t>
            </w:r>
          </w:p>
        </w:tc>
        <w:tc>
          <w:tcPr>
            <w:tcW w:w="582" w:type="dxa"/>
            <w:tcMar>
              <w:left w:w="85" w:type="dxa"/>
              <w:right w:w="85" w:type="dxa"/>
            </w:tcMar>
            <w:vAlign w:val="center"/>
          </w:tcPr>
          <w:p w:rsidR="00F271AC" w:rsidRPr="00857EB3" w:rsidRDefault="00F271AC" w:rsidP="00D73E98">
            <w:pPr>
              <w:jc w:val="center"/>
              <w:rPr>
                <w:lang w:val="it-IT"/>
              </w:rPr>
            </w:pPr>
          </w:p>
        </w:tc>
        <w:tc>
          <w:tcPr>
            <w:tcW w:w="571" w:type="dxa"/>
            <w:tcMar>
              <w:left w:w="108" w:type="dxa"/>
            </w:tcMar>
            <w:vAlign w:val="center"/>
          </w:tcPr>
          <w:p w:rsidR="00F271AC" w:rsidRPr="00857EB3" w:rsidRDefault="00F271AC" w:rsidP="00D73E98">
            <w:pPr>
              <w:jc w:val="center"/>
              <w:rPr>
                <w:lang w:val="it-IT"/>
              </w:rPr>
            </w:pPr>
          </w:p>
        </w:tc>
        <w:tc>
          <w:tcPr>
            <w:tcW w:w="569" w:type="dxa"/>
            <w:tcMar>
              <w:left w:w="108" w:type="dxa"/>
            </w:tcMar>
            <w:vAlign w:val="center"/>
          </w:tcPr>
          <w:p w:rsidR="00F271AC" w:rsidRPr="00857EB3" w:rsidRDefault="00F271AC" w:rsidP="00D73E98">
            <w:pPr>
              <w:jc w:val="center"/>
              <w:rPr>
                <w:lang w:val="it-IT"/>
              </w:rPr>
            </w:pPr>
          </w:p>
        </w:tc>
      </w:tr>
      <w:tr w:rsidR="00F271AC" w:rsidRPr="00CC242B"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Default="00F271AC" w:rsidP="00D73E98">
            <w:pPr>
              <w:pStyle w:val="PrincCont"/>
              <w:jc w:val="left"/>
              <w:rPr>
                <w:lang w:val="it-IT"/>
              </w:rPr>
            </w:pPr>
          </w:p>
        </w:tc>
        <w:tc>
          <w:tcPr>
            <w:tcW w:w="6964" w:type="dxa"/>
            <w:tcMar>
              <w:left w:w="108" w:type="dxa"/>
            </w:tcMar>
          </w:tcPr>
          <w:p w:rsidR="00F271AC" w:rsidRDefault="00F271AC" w:rsidP="00D73E98">
            <w:pPr>
              <w:pStyle w:val="Titolo3"/>
              <w:rPr>
                <w:lang w:val="it-IT"/>
              </w:rPr>
            </w:pPr>
            <w:r w:rsidRPr="00DA2A5D">
              <w:rPr>
                <w:lang w:val="it-IT"/>
              </w:rPr>
              <w:t>Valutazione successiva dei crediti valutati al costo ammortizzato</w:t>
            </w:r>
          </w:p>
        </w:tc>
        <w:tc>
          <w:tcPr>
            <w:tcW w:w="582" w:type="dxa"/>
            <w:tcMar>
              <w:left w:w="85" w:type="dxa"/>
              <w:right w:w="85" w:type="dxa"/>
            </w:tcMar>
            <w:vAlign w:val="center"/>
          </w:tcPr>
          <w:p w:rsidR="00F271AC" w:rsidRPr="00857EB3" w:rsidRDefault="00F271AC" w:rsidP="00D73E98">
            <w:pPr>
              <w:jc w:val="center"/>
              <w:rPr>
                <w:lang w:val="it-IT"/>
              </w:rPr>
            </w:pPr>
          </w:p>
        </w:tc>
        <w:tc>
          <w:tcPr>
            <w:tcW w:w="571" w:type="dxa"/>
            <w:tcMar>
              <w:left w:w="108" w:type="dxa"/>
            </w:tcMar>
            <w:vAlign w:val="center"/>
          </w:tcPr>
          <w:p w:rsidR="00F271AC" w:rsidRPr="00857EB3" w:rsidRDefault="00F271AC" w:rsidP="00D73E98">
            <w:pPr>
              <w:jc w:val="center"/>
              <w:rPr>
                <w:lang w:val="it-IT"/>
              </w:rPr>
            </w:pPr>
          </w:p>
        </w:tc>
        <w:tc>
          <w:tcPr>
            <w:tcW w:w="569" w:type="dxa"/>
            <w:tcMar>
              <w:left w:w="108" w:type="dxa"/>
            </w:tcMar>
            <w:vAlign w:val="center"/>
          </w:tcPr>
          <w:p w:rsidR="00F271AC" w:rsidRPr="00857EB3" w:rsidRDefault="00F271AC" w:rsidP="00D73E98">
            <w:pPr>
              <w:jc w:val="center"/>
              <w:rPr>
                <w:lang w:val="it-IT"/>
              </w:rPr>
            </w:pP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33)</w:t>
            </w:r>
          </w:p>
        </w:tc>
        <w:tc>
          <w:tcPr>
            <w:tcW w:w="843" w:type="dxa"/>
            <w:tcMar>
              <w:left w:w="108" w:type="dxa"/>
              <w:right w:w="0" w:type="dxa"/>
            </w:tcMar>
          </w:tcPr>
          <w:p w:rsidR="00F271AC" w:rsidRDefault="00F271AC" w:rsidP="00D73E98">
            <w:pPr>
              <w:pStyle w:val="PrincCont"/>
              <w:jc w:val="left"/>
              <w:rPr>
                <w:lang w:val="it-IT"/>
              </w:rPr>
            </w:pPr>
            <w:r>
              <w:rPr>
                <w:lang w:val="it-IT"/>
              </w:rPr>
              <w:t>OIC 15.49</w:t>
            </w:r>
          </w:p>
        </w:tc>
        <w:tc>
          <w:tcPr>
            <w:tcW w:w="6964" w:type="dxa"/>
            <w:tcMar>
              <w:left w:w="108" w:type="dxa"/>
            </w:tcMar>
          </w:tcPr>
          <w:p w:rsidR="00F271AC" w:rsidRDefault="00F271AC" w:rsidP="00D73E98">
            <w:pPr>
              <w:spacing w:line="240" w:lineRule="exact"/>
              <w:rPr>
                <w:lang w:val="it-IT"/>
              </w:rPr>
            </w:pPr>
            <w:r w:rsidRPr="00DA2A5D">
              <w:rPr>
                <w:lang w:val="it-IT"/>
              </w:rPr>
              <w:t xml:space="preserve">Alla chiusura dell’esercizio, il valore dei crediti valutati al costo ammortizzato è </w:t>
            </w:r>
            <w:r>
              <w:rPr>
                <w:lang w:val="it-IT"/>
              </w:rPr>
              <w:t>pari</w:t>
            </w:r>
            <w:r w:rsidRPr="00DA2A5D">
              <w:rPr>
                <w:lang w:val="it-IT"/>
              </w:rPr>
              <w:t xml:space="preserve"> al valore attuale dei flussi finanziari futuri scontati al tasso di interesse effettivo</w:t>
            </w:r>
            <w:r>
              <w:rPr>
                <w:lang w:val="it-IT"/>
              </w:rPr>
              <w:t>?</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Default="00F271AC" w:rsidP="00D73E98">
            <w:pPr>
              <w:pStyle w:val="PrincCont"/>
              <w:jc w:val="left"/>
              <w:rPr>
                <w:lang w:val="it-IT"/>
              </w:rPr>
            </w:pPr>
            <w:r>
              <w:rPr>
                <w:lang w:val="it-IT"/>
              </w:rPr>
              <w:t>OIC 15.50</w:t>
            </w:r>
          </w:p>
        </w:tc>
        <w:tc>
          <w:tcPr>
            <w:tcW w:w="6964" w:type="dxa"/>
            <w:tcMar>
              <w:left w:w="108" w:type="dxa"/>
            </w:tcMar>
          </w:tcPr>
          <w:p w:rsidR="00F271AC" w:rsidRDefault="00F271AC" w:rsidP="00D73E98">
            <w:pPr>
              <w:pStyle w:val="Commentiriquadro"/>
            </w:pPr>
            <w:r w:rsidRPr="00593F9A">
              <w:t>Il procedimento per determinare, successivamente alla rilevazione iniziale, il valore dei crediti valutati al costo ammortizzato da iscrivere in bilancio è il</w:t>
            </w:r>
            <w:r w:rsidRPr="00593F9A">
              <w:rPr>
                <w:spacing w:val="-13"/>
              </w:rPr>
              <w:t xml:space="preserve"> </w:t>
            </w:r>
            <w:r w:rsidRPr="00593F9A">
              <w:t>seguente:</w:t>
            </w:r>
          </w:p>
          <w:p w:rsidR="00F271AC" w:rsidRDefault="00F271AC" w:rsidP="004E27C2">
            <w:pPr>
              <w:pStyle w:val="Commentiriquadro"/>
              <w:numPr>
                <w:ilvl w:val="0"/>
                <w:numId w:val="35"/>
              </w:numPr>
              <w:ind w:left="318" w:hanging="261"/>
            </w:pPr>
            <w:r w:rsidRPr="00DA2A5D">
              <w:t>determinare l’ammontare degli interessi calcolati con il criterio del tasso di interesse effettivo sul valore contabile del credito all’inizio dell’esercizio, o alla più recente data di rilevazione iniziale;</w:t>
            </w:r>
          </w:p>
          <w:p w:rsidR="00F271AC" w:rsidRDefault="00F271AC" w:rsidP="004E27C2">
            <w:pPr>
              <w:pStyle w:val="Commentiriquadro"/>
              <w:numPr>
                <w:ilvl w:val="0"/>
                <w:numId w:val="35"/>
              </w:numPr>
              <w:ind w:left="318" w:hanging="261"/>
            </w:pPr>
            <w:r w:rsidRPr="00DA2A5D">
              <w:t>aggiungere l’ammontare degli interessi così ottenuto al precedente valore contabile del credito;</w:t>
            </w:r>
          </w:p>
          <w:p w:rsidR="00F271AC" w:rsidRDefault="00F271AC" w:rsidP="004E27C2">
            <w:pPr>
              <w:pStyle w:val="Commentiriquadro"/>
              <w:numPr>
                <w:ilvl w:val="0"/>
                <w:numId w:val="35"/>
              </w:numPr>
              <w:ind w:left="318" w:hanging="261"/>
            </w:pPr>
            <w:r w:rsidRPr="00DA2A5D">
              <w:t>sottrarre gli incassi per interessi e capitale intervenuti nel periodo;</w:t>
            </w:r>
          </w:p>
          <w:p w:rsidR="00F271AC" w:rsidRPr="00DA2A5D" w:rsidRDefault="00F271AC" w:rsidP="004E27C2">
            <w:pPr>
              <w:pStyle w:val="Commentiriquadro"/>
              <w:numPr>
                <w:ilvl w:val="0"/>
                <w:numId w:val="35"/>
              </w:numPr>
              <w:ind w:left="318" w:hanging="261"/>
            </w:pPr>
            <w:r w:rsidRPr="00DA2A5D">
              <w:t>sottrarre le svalutazioni al valore di presumibile realizzo e le perdite su crediti.</w:t>
            </w:r>
          </w:p>
        </w:tc>
        <w:tc>
          <w:tcPr>
            <w:tcW w:w="582" w:type="dxa"/>
            <w:tcMar>
              <w:left w:w="85" w:type="dxa"/>
              <w:right w:w="85" w:type="dxa"/>
            </w:tcMar>
            <w:vAlign w:val="center"/>
          </w:tcPr>
          <w:p w:rsidR="00F271AC" w:rsidRPr="00857EB3" w:rsidRDefault="00F271AC" w:rsidP="00D73E98">
            <w:pPr>
              <w:jc w:val="center"/>
              <w:rPr>
                <w:lang w:val="it-IT"/>
              </w:rPr>
            </w:pPr>
          </w:p>
        </w:tc>
        <w:tc>
          <w:tcPr>
            <w:tcW w:w="571" w:type="dxa"/>
            <w:tcMar>
              <w:left w:w="108" w:type="dxa"/>
            </w:tcMar>
            <w:vAlign w:val="center"/>
          </w:tcPr>
          <w:p w:rsidR="00F271AC" w:rsidRPr="00857EB3" w:rsidRDefault="00F271AC" w:rsidP="00D73E98">
            <w:pPr>
              <w:jc w:val="center"/>
              <w:rPr>
                <w:lang w:val="it-IT"/>
              </w:rPr>
            </w:pPr>
          </w:p>
        </w:tc>
        <w:tc>
          <w:tcPr>
            <w:tcW w:w="569" w:type="dxa"/>
            <w:tcMar>
              <w:left w:w="108" w:type="dxa"/>
            </w:tcMar>
            <w:vAlign w:val="center"/>
          </w:tcPr>
          <w:p w:rsidR="00F271AC" w:rsidRPr="00857EB3" w:rsidRDefault="00F271AC" w:rsidP="00D73E98">
            <w:pPr>
              <w:jc w:val="center"/>
              <w:rPr>
                <w:lang w:val="it-IT"/>
              </w:rPr>
            </w:pPr>
          </w:p>
        </w:tc>
      </w:tr>
      <w:tr w:rsidR="00F271AC" w:rsidRPr="00CC242B"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Default="00F271AC" w:rsidP="00D73E98">
            <w:pPr>
              <w:pStyle w:val="PrincCont"/>
              <w:jc w:val="left"/>
              <w:rPr>
                <w:lang w:val="it-IT"/>
              </w:rPr>
            </w:pPr>
            <w:r>
              <w:rPr>
                <w:lang w:val="it-IT"/>
              </w:rPr>
              <w:t>OIC 15.51</w:t>
            </w:r>
          </w:p>
        </w:tc>
        <w:tc>
          <w:tcPr>
            <w:tcW w:w="6964" w:type="dxa"/>
            <w:tcMar>
              <w:left w:w="108" w:type="dxa"/>
            </w:tcMar>
          </w:tcPr>
          <w:p w:rsidR="00F271AC" w:rsidRDefault="00F271AC" w:rsidP="00D73E98">
            <w:pPr>
              <w:pStyle w:val="Commentiriquadro"/>
            </w:pPr>
            <w:r w:rsidRPr="00DA2A5D">
              <w:t>Se, successivamente alla rilevazione iniziale, la società rivede le proprie stime di flussi finanziari futuri (es.: prevede che il credito sarà rimborsato anticipatamente o successivamente rispetto alla scadenza), essa deve rettificare il valore contabile del credito per riflettere i rideterminati flussi finanziari stimati. La società ricalcola il valore contabile del credito alla data di revisione della stima dei flussi finanziari attualizzando i rideterminati flussi finanziari al tasso di interesse effettivo calcolato in sede di rilevazione iniziale. La differenza tra il valore attuale rideterminato del credito alla data di revisione della stima dei flussi finanziari futuri e il suo precedente valore contabile alla stessa data è rilevata a conto economico negli oneri o nei proventi finanziari. Nel caso di incasso anticipato di un credito, l’eventuale differenza tra il valore contabile residuo del credito e l’incasso relativo alla sua estinzione anticipata è rilevata nel conto economico tra i proventi o tra gli oneri finanziari.</w:t>
            </w:r>
          </w:p>
        </w:tc>
        <w:tc>
          <w:tcPr>
            <w:tcW w:w="582" w:type="dxa"/>
            <w:tcMar>
              <w:left w:w="85" w:type="dxa"/>
              <w:right w:w="85" w:type="dxa"/>
            </w:tcMar>
            <w:vAlign w:val="center"/>
          </w:tcPr>
          <w:p w:rsidR="00F271AC" w:rsidRPr="00857EB3" w:rsidRDefault="00F271AC" w:rsidP="00D73E98">
            <w:pPr>
              <w:jc w:val="center"/>
              <w:rPr>
                <w:lang w:val="it-IT"/>
              </w:rPr>
            </w:pPr>
          </w:p>
        </w:tc>
        <w:tc>
          <w:tcPr>
            <w:tcW w:w="571" w:type="dxa"/>
            <w:tcMar>
              <w:left w:w="108" w:type="dxa"/>
            </w:tcMar>
            <w:vAlign w:val="center"/>
          </w:tcPr>
          <w:p w:rsidR="00F271AC" w:rsidRPr="00857EB3" w:rsidRDefault="00F271AC" w:rsidP="00D73E98">
            <w:pPr>
              <w:jc w:val="center"/>
              <w:rPr>
                <w:lang w:val="it-IT"/>
              </w:rPr>
            </w:pPr>
          </w:p>
        </w:tc>
        <w:tc>
          <w:tcPr>
            <w:tcW w:w="569" w:type="dxa"/>
            <w:tcMar>
              <w:left w:w="108" w:type="dxa"/>
            </w:tcMar>
            <w:vAlign w:val="center"/>
          </w:tcPr>
          <w:p w:rsidR="00F271AC" w:rsidRPr="00857EB3" w:rsidRDefault="00F271AC" w:rsidP="00D73E98">
            <w:pPr>
              <w:jc w:val="center"/>
              <w:rPr>
                <w:lang w:val="it-IT"/>
              </w:rPr>
            </w:pP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34)</w:t>
            </w:r>
          </w:p>
        </w:tc>
        <w:tc>
          <w:tcPr>
            <w:tcW w:w="843" w:type="dxa"/>
            <w:tcMar>
              <w:left w:w="108" w:type="dxa"/>
              <w:right w:w="0" w:type="dxa"/>
            </w:tcMar>
          </w:tcPr>
          <w:p w:rsidR="00F271AC" w:rsidRDefault="00F271AC" w:rsidP="00D73E98">
            <w:pPr>
              <w:pStyle w:val="PrincCont"/>
              <w:jc w:val="left"/>
              <w:rPr>
                <w:lang w:val="it-IT"/>
              </w:rPr>
            </w:pPr>
            <w:r>
              <w:rPr>
                <w:lang w:val="it-IT"/>
              </w:rPr>
              <w:t>OIC 15.51</w:t>
            </w:r>
          </w:p>
        </w:tc>
        <w:tc>
          <w:tcPr>
            <w:tcW w:w="6964" w:type="dxa"/>
            <w:tcMar>
              <w:left w:w="108" w:type="dxa"/>
            </w:tcMar>
          </w:tcPr>
          <w:p w:rsidR="00F271AC" w:rsidRDefault="00F271AC" w:rsidP="00D73E98">
            <w:pPr>
              <w:spacing w:line="230" w:lineRule="exact"/>
              <w:rPr>
                <w:lang w:val="it-IT"/>
              </w:rPr>
            </w:pPr>
            <w:r w:rsidRPr="00CF6768">
              <w:rPr>
                <w:lang w:val="it-IT"/>
              </w:rPr>
              <w:t>La differenza tra il valore attuale rideterminato del credito alla data di revisione della stima dei flussi finanziari futuri e il suo precedente valore contabile alla stessa data è rilevata a conto economico negli oneri o nei proventi finanziari</w:t>
            </w:r>
            <w:r>
              <w:rPr>
                <w:lang w:val="it-IT"/>
              </w:rPr>
              <w:t>?</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35)</w:t>
            </w:r>
          </w:p>
        </w:tc>
        <w:tc>
          <w:tcPr>
            <w:tcW w:w="843" w:type="dxa"/>
            <w:tcMar>
              <w:left w:w="108" w:type="dxa"/>
              <w:right w:w="0" w:type="dxa"/>
            </w:tcMar>
          </w:tcPr>
          <w:p w:rsidR="00F271AC" w:rsidRDefault="00F271AC" w:rsidP="00D73E98">
            <w:pPr>
              <w:pStyle w:val="PrincCont"/>
              <w:jc w:val="left"/>
              <w:rPr>
                <w:lang w:val="it-IT"/>
              </w:rPr>
            </w:pPr>
            <w:r>
              <w:rPr>
                <w:lang w:val="it-IT"/>
              </w:rPr>
              <w:t>OIC 15.51</w:t>
            </w:r>
          </w:p>
        </w:tc>
        <w:tc>
          <w:tcPr>
            <w:tcW w:w="6964" w:type="dxa"/>
            <w:tcMar>
              <w:left w:w="108" w:type="dxa"/>
            </w:tcMar>
          </w:tcPr>
          <w:p w:rsidR="00F271AC" w:rsidRPr="00CF6768" w:rsidRDefault="00F271AC" w:rsidP="00D73E98">
            <w:pPr>
              <w:spacing w:line="230" w:lineRule="exact"/>
              <w:rPr>
                <w:lang w:val="it-IT"/>
              </w:rPr>
            </w:pPr>
            <w:r w:rsidRPr="00CF6768">
              <w:rPr>
                <w:lang w:val="it-IT"/>
              </w:rPr>
              <w:t>Nel caso di incasso anticipato di un credito, l’eventuale differenza tra il valore contabile residuo del credito e l’incasso relativo alla sua estinzione anticipata è rilevata nel conto economico tra i proventi o tra gli oneri finanziari</w:t>
            </w:r>
            <w:r>
              <w:rPr>
                <w:lang w:val="it-IT"/>
              </w:rPr>
              <w:t>?</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36)</w:t>
            </w:r>
          </w:p>
        </w:tc>
        <w:tc>
          <w:tcPr>
            <w:tcW w:w="843" w:type="dxa"/>
            <w:tcMar>
              <w:left w:w="108" w:type="dxa"/>
              <w:right w:w="0" w:type="dxa"/>
            </w:tcMar>
          </w:tcPr>
          <w:p w:rsidR="00F271AC" w:rsidRDefault="00F271AC" w:rsidP="00D73E98">
            <w:pPr>
              <w:pStyle w:val="PrincCont"/>
              <w:jc w:val="left"/>
              <w:rPr>
                <w:lang w:val="it-IT"/>
              </w:rPr>
            </w:pPr>
            <w:r>
              <w:rPr>
                <w:lang w:val="it-IT"/>
              </w:rPr>
              <w:t>OIC 15.52</w:t>
            </w:r>
          </w:p>
        </w:tc>
        <w:tc>
          <w:tcPr>
            <w:tcW w:w="6964" w:type="dxa"/>
            <w:tcMar>
              <w:left w:w="108" w:type="dxa"/>
            </w:tcMar>
          </w:tcPr>
          <w:p w:rsidR="00F271AC" w:rsidRDefault="00F271AC" w:rsidP="00D73E98">
            <w:pPr>
              <w:spacing w:line="230" w:lineRule="exact"/>
              <w:rPr>
                <w:lang w:val="it-IT"/>
              </w:rPr>
            </w:pPr>
            <w:r w:rsidRPr="00CF6768">
              <w:rPr>
                <w:lang w:val="it-IT"/>
              </w:rPr>
              <w:t xml:space="preserve">Il tasso di interesse effettivo determinato in sede di rilevazione iniziale non è successivamente ricalcolato ed è applicato fino all’estinzione del credito, ad eccezione del caso </w:t>
            </w:r>
            <w:r>
              <w:rPr>
                <w:lang w:val="it-IT"/>
              </w:rPr>
              <w:t xml:space="preserve">dei tassi contrattuali variabili </w:t>
            </w:r>
            <w:r w:rsidRPr="00CF6768">
              <w:rPr>
                <w:lang w:val="it-IT"/>
              </w:rPr>
              <w:t>descritto al paragrafo 53</w:t>
            </w:r>
            <w:r>
              <w:rPr>
                <w:lang w:val="it-IT"/>
              </w:rPr>
              <w:t xml:space="preserve"> dell’OIC 15?</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Default="00F271AC" w:rsidP="00D73E98">
            <w:pPr>
              <w:pStyle w:val="PrincCont"/>
              <w:jc w:val="left"/>
              <w:rPr>
                <w:lang w:val="it-IT"/>
              </w:rPr>
            </w:pPr>
            <w:r>
              <w:rPr>
                <w:lang w:val="it-IT"/>
              </w:rPr>
              <w:t>OIC 15.53</w:t>
            </w:r>
          </w:p>
        </w:tc>
        <w:tc>
          <w:tcPr>
            <w:tcW w:w="6964" w:type="dxa"/>
            <w:tcMar>
              <w:left w:w="108" w:type="dxa"/>
            </w:tcMar>
          </w:tcPr>
          <w:p w:rsidR="00F271AC" w:rsidRPr="00CF6768" w:rsidRDefault="00F271AC" w:rsidP="00D73E98">
            <w:pPr>
              <w:pStyle w:val="Commentiriquadro"/>
            </w:pPr>
            <w:r w:rsidRPr="00CF6768">
              <w:t>Quando il tasso di interesse nominale contrattuale è variabile e parametrato ai tassi di mercato, i flussi finanziari futuri sono rideterminati periodicamente per riflettere le variazioni dei tassi di</w:t>
            </w:r>
            <w:r w:rsidRPr="00CF6768">
              <w:rPr>
                <w:rFonts w:ascii="Times New Roman" w:hAnsi="Times New Roman"/>
                <w:sz w:val="22"/>
                <w:szCs w:val="22"/>
              </w:rPr>
              <w:t xml:space="preserve"> </w:t>
            </w:r>
            <w:r w:rsidRPr="00CF6768">
              <w:t>interesse di mercato e il tasso di interesse effettivo è ricalcolato con decorrenza dalla data in cui gli interessi sono stati rilevati in base al contratto. Nel ricalcolare il tasso di interesse effettivo, in alternativa all’utilizzo della curva dei tassi attesi, si può proiettare l’ultimo tasso disponibile. Non occorre ricalcolare il tasso di interesse effettivo quando il tasso di interesse nominale aumenta o diminuisce in modo prestabilito dalle previsioni contrattuali e le sue variazioni non sono dovute a indicizzazioni legate a parametri di mercato; può essere il caso delle clausole contrattuali di “</w:t>
            </w:r>
            <w:r w:rsidRPr="00CF6768">
              <w:rPr>
                <w:i/>
              </w:rPr>
              <w:t>step- up</w:t>
            </w:r>
            <w:r w:rsidRPr="00CF6768">
              <w:t>” o di “</w:t>
            </w:r>
            <w:r w:rsidRPr="00CF6768">
              <w:rPr>
                <w:i/>
              </w:rPr>
              <w:t>step-down</w:t>
            </w:r>
            <w:r w:rsidRPr="00CF6768">
              <w:t>” che prevedono incrementi o decrementi prestabiliti del tasso di interesse nominale (es.: il tasso del 4% per il primo anno, del 6% per il secondo e dell’8% dal terzo anno e fino alla data di scadenza).</w:t>
            </w:r>
          </w:p>
        </w:tc>
        <w:tc>
          <w:tcPr>
            <w:tcW w:w="582" w:type="dxa"/>
            <w:tcMar>
              <w:left w:w="85" w:type="dxa"/>
              <w:right w:w="85" w:type="dxa"/>
            </w:tcMar>
            <w:vAlign w:val="center"/>
          </w:tcPr>
          <w:p w:rsidR="00F271AC" w:rsidRPr="00857EB3" w:rsidRDefault="00F271AC" w:rsidP="00D73E98">
            <w:pPr>
              <w:jc w:val="center"/>
              <w:rPr>
                <w:lang w:val="it-IT"/>
              </w:rPr>
            </w:pPr>
          </w:p>
        </w:tc>
        <w:tc>
          <w:tcPr>
            <w:tcW w:w="571" w:type="dxa"/>
            <w:tcMar>
              <w:left w:w="108" w:type="dxa"/>
            </w:tcMar>
            <w:vAlign w:val="center"/>
          </w:tcPr>
          <w:p w:rsidR="00F271AC" w:rsidRPr="00857EB3" w:rsidRDefault="00F271AC" w:rsidP="00D73E98">
            <w:pPr>
              <w:jc w:val="center"/>
              <w:rPr>
                <w:lang w:val="it-IT"/>
              </w:rPr>
            </w:pPr>
          </w:p>
        </w:tc>
        <w:tc>
          <w:tcPr>
            <w:tcW w:w="569" w:type="dxa"/>
            <w:tcMar>
              <w:left w:w="108" w:type="dxa"/>
            </w:tcMar>
            <w:vAlign w:val="center"/>
          </w:tcPr>
          <w:p w:rsidR="00F271AC" w:rsidRPr="00857EB3" w:rsidRDefault="00F271AC" w:rsidP="00D73E98">
            <w:pPr>
              <w:jc w:val="center"/>
              <w:rPr>
                <w:lang w:val="it-IT"/>
              </w:rPr>
            </w:pP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37)</w:t>
            </w:r>
          </w:p>
        </w:tc>
        <w:tc>
          <w:tcPr>
            <w:tcW w:w="843" w:type="dxa"/>
            <w:tcMar>
              <w:left w:w="108" w:type="dxa"/>
              <w:right w:w="0" w:type="dxa"/>
            </w:tcMar>
          </w:tcPr>
          <w:p w:rsidR="00F271AC" w:rsidRDefault="00F271AC" w:rsidP="00D73E98">
            <w:pPr>
              <w:pStyle w:val="PrincCont"/>
              <w:jc w:val="left"/>
              <w:rPr>
                <w:lang w:val="it-IT"/>
              </w:rPr>
            </w:pPr>
            <w:r>
              <w:rPr>
                <w:lang w:val="it-IT"/>
              </w:rPr>
              <w:t>OIC 15.53</w:t>
            </w:r>
          </w:p>
        </w:tc>
        <w:tc>
          <w:tcPr>
            <w:tcW w:w="6964" w:type="dxa"/>
            <w:tcMar>
              <w:left w:w="108" w:type="dxa"/>
            </w:tcMar>
          </w:tcPr>
          <w:p w:rsidR="00F271AC" w:rsidRDefault="00F271AC" w:rsidP="00D73E98">
            <w:pPr>
              <w:spacing w:line="230" w:lineRule="exact"/>
              <w:rPr>
                <w:lang w:val="it-IT"/>
              </w:rPr>
            </w:pPr>
            <w:r>
              <w:rPr>
                <w:lang w:val="it-IT"/>
              </w:rPr>
              <w:t xml:space="preserve">In caso di tasso contrattuale variabile </w:t>
            </w:r>
            <w:r w:rsidRPr="00301E2A">
              <w:rPr>
                <w:lang w:val="it-IT"/>
              </w:rPr>
              <w:t xml:space="preserve">i flussi finanziari futuri e il tasso di interesse effettivo </w:t>
            </w:r>
            <w:r>
              <w:rPr>
                <w:lang w:val="it-IT"/>
              </w:rPr>
              <w:t>sono stati ricalcolati?</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38)</w:t>
            </w:r>
          </w:p>
        </w:tc>
        <w:tc>
          <w:tcPr>
            <w:tcW w:w="843" w:type="dxa"/>
            <w:tcMar>
              <w:left w:w="108" w:type="dxa"/>
              <w:right w:w="0" w:type="dxa"/>
            </w:tcMar>
          </w:tcPr>
          <w:p w:rsidR="00F271AC" w:rsidRDefault="00F271AC" w:rsidP="00D73E98">
            <w:pPr>
              <w:pStyle w:val="PrincCont"/>
              <w:jc w:val="left"/>
              <w:rPr>
                <w:lang w:val="it-IT"/>
              </w:rPr>
            </w:pPr>
            <w:r>
              <w:rPr>
                <w:lang w:val="it-IT"/>
              </w:rPr>
              <w:t>OIC 15.54</w:t>
            </w:r>
          </w:p>
        </w:tc>
        <w:tc>
          <w:tcPr>
            <w:tcW w:w="6964" w:type="dxa"/>
            <w:tcMar>
              <w:left w:w="108" w:type="dxa"/>
            </w:tcMar>
          </w:tcPr>
          <w:p w:rsidR="00F271AC" w:rsidRDefault="00F271AC" w:rsidP="00D73E98">
            <w:pPr>
              <w:spacing w:line="230" w:lineRule="exact"/>
              <w:rPr>
                <w:lang w:val="it-IT"/>
              </w:rPr>
            </w:pPr>
            <w:r w:rsidRPr="00301E2A">
              <w:rPr>
                <w:lang w:val="it-IT"/>
              </w:rPr>
              <w:t>Gli sconti e gli abbuoni di natura finanziaria (per esempio per pagamento a pronta cassa), che non hanno concorso al computo del costo ammortizzato perché non prevedibili al momento della rilevazione iniziale del credito, sono rilevati al momento dell'incasso come oneri di natura finanziaria</w:t>
            </w:r>
            <w:r>
              <w:rPr>
                <w:lang w:val="it-IT"/>
              </w:rPr>
              <w:t>?</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Default="00F271AC" w:rsidP="00D73E98">
            <w:pPr>
              <w:pStyle w:val="PrincCont"/>
              <w:jc w:val="left"/>
              <w:rPr>
                <w:lang w:val="it-IT"/>
              </w:rPr>
            </w:pPr>
          </w:p>
        </w:tc>
        <w:tc>
          <w:tcPr>
            <w:tcW w:w="6964" w:type="dxa"/>
            <w:tcMar>
              <w:left w:w="108" w:type="dxa"/>
            </w:tcMar>
          </w:tcPr>
          <w:p w:rsidR="00F271AC" w:rsidRDefault="00F271AC" w:rsidP="00D73E98">
            <w:pPr>
              <w:pStyle w:val="Titolo3"/>
              <w:rPr>
                <w:lang w:val="it-IT"/>
              </w:rPr>
            </w:pPr>
            <w:r w:rsidRPr="00301E2A">
              <w:rPr>
                <w:lang w:val="it-IT"/>
              </w:rPr>
              <w:t>Valutazione successiva dei crediti non valutati al costo ammortizzato nel bilancio in forma abbreviata</w:t>
            </w:r>
          </w:p>
        </w:tc>
        <w:tc>
          <w:tcPr>
            <w:tcW w:w="582" w:type="dxa"/>
            <w:tcMar>
              <w:left w:w="85" w:type="dxa"/>
              <w:right w:w="85" w:type="dxa"/>
            </w:tcMar>
            <w:vAlign w:val="center"/>
          </w:tcPr>
          <w:p w:rsidR="00F271AC" w:rsidRPr="00857EB3" w:rsidRDefault="00F271AC" w:rsidP="00D73E98">
            <w:pPr>
              <w:jc w:val="center"/>
              <w:rPr>
                <w:lang w:val="it-IT"/>
              </w:rPr>
            </w:pPr>
          </w:p>
        </w:tc>
        <w:tc>
          <w:tcPr>
            <w:tcW w:w="571" w:type="dxa"/>
            <w:tcMar>
              <w:left w:w="108" w:type="dxa"/>
            </w:tcMar>
            <w:vAlign w:val="center"/>
          </w:tcPr>
          <w:p w:rsidR="00F271AC" w:rsidRPr="00857EB3" w:rsidRDefault="00F271AC" w:rsidP="00D73E98">
            <w:pPr>
              <w:jc w:val="center"/>
              <w:rPr>
                <w:lang w:val="it-IT"/>
              </w:rPr>
            </w:pPr>
          </w:p>
        </w:tc>
        <w:tc>
          <w:tcPr>
            <w:tcW w:w="569" w:type="dxa"/>
            <w:tcMar>
              <w:left w:w="108" w:type="dxa"/>
            </w:tcMar>
            <w:vAlign w:val="center"/>
          </w:tcPr>
          <w:p w:rsidR="00F271AC" w:rsidRPr="00857EB3" w:rsidRDefault="00F271AC" w:rsidP="00D73E98">
            <w:pPr>
              <w:jc w:val="center"/>
              <w:rPr>
                <w:lang w:val="it-IT"/>
              </w:rPr>
            </w:pPr>
          </w:p>
        </w:tc>
      </w:tr>
      <w:tr w:rsidR="00F271AC" w:rsidRPr="00CC242B"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Default="00F271AC" w:rsidP="00D73E98">
            <w:pPr>
              <w:pStyle w:val="PrincCont"/>
              <w:jc w:val="left"/>
              <w:rPr>
                <w:lang w:val="it-IT"/>
              </w:rPr>
            </w:pPr>
            <w:r>
              <w:rPr>
                <w:lang w:val="it-IT"/>
              </w:rPr>
              <w:t>OIC 15.55</w:t>
            </w:r>
          </w:p>
        </w:tc>
        <w:tc>
          <w:tcPr>
            <w:tcW w:w="6964" w:type="dxa"/>
            <w:tcMar>
              <w:left w:w="108" w:type="dxa"/>
            </w:tcMar>
          </w:tcPr>
          <w:p w:rsidR="00F271AC" w:rsidRDefault="00F271AC" w:rsidP="00D73E98">
            <w:pPr>
              <w:pStyle w:val="Commentiriquadro"/>
            </w:pPr>
            <w:r w:rsidRPr="00301E2A">
              <w:t>Nel bilancio in forma abbreviata redatto ai sensi dell’art. 2435-</w:t>
            </w:r>
            <w:r w:rsidRPr="00FF6B7C">
              <w:t>bis</w:t>
            </w:r>
            <w:r>
              <w:t xml:space="preserve"> CC</w:t>
            </w:r>
            <w:r w:rsidRPr="00301E2A">
              <w:t>, i crediti possono essere valutati al valore di presumibile realizzo senza applicare il criterio di valutazione del costo ammortizzato e l’attualizzazione.</w:t>
            </w:r>
          </w:p>
        </w:tc>
        <w:tc>
          <w:tcPr>
            <w:tcW w:w="582" w:type="dxa"/>
            <w:tcMar>
              <w:left w:w="85" w:type="dxa"/>
              <w:right w:w="85" w:type="dxa"/>
            </w:tcMar>
            <w:vAlign w:val="center"/>
          </w:tcPr>
          <w:p w:rsidR="00F271AC" w:rsidRPr="00857EB3" w:rsidRDefault="00F271AC" w:rsidP="00D73E98">
            <w:pPr>
              <w:jc w:val="center"/>
              <w:rPr>
                <w:lang w:val="it-IT"/>
              </w:rPr>
            </w:pPr>
          </w:p>
        </w:tc>
        <w:tc>
          <w:tcPr>
            <w:tcW w:w="571" w:type="dxa"/>
            <w:tcMar>
              <w:left w:w="108" w:type="dxa"/>
            </w:tcMar>
            <w:vAlign w:val="center"/>
          </w:tcPr>
          <w:p w:rsidR="00F271AC" w:rsidRPr="00857EB3" w:rsidRDefault="00F271AC" w:rsidP="00D73E98">
            <w:pPr>
              <w:jc w:val="center"/>
              <w:rPr>
                <w:lang w:val="it-IT"/>
              </w:rPr>
            </w:pPr>
          </w:p>
        </w:tc>
        <w:tc>
          <w:tcPr>
            <w:tcW w:w="569" w:type="dxa"/>
            <w:tcMar>
              <w:left w:w="108" w:type="dxa"/>
            </w:tcMar>
            <w:vAlign w:val="center"/>
          </w:tcPr>
          <w:p w:rsidR="00F271AC" w:rsidRPr="00857EB3" w:rsidRDefault="00F271AC" w:rsidP="00D73E98">
            <w:pPr>
              <w:jc w:val="center"/>
              <w:rPr>
                <w:lang w:val="it-IT"/>
              </w:rPr>
            </w:pPr>
          </w:p>
        </w:tc>
      </w:tr>
      <w:tr w:rsidR="00F271AC" w:rsidRPr="00121A1C"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Default="00F271AC" w:rsidP="00D73E98">
            <w:pPr>
              <w:pStyle w:val="PrincCont"/>
              <w:jc w:val="left"/>
              <w:rPr>
                <w:lang w:val="it-IT"/>
              </w:rPr>
            </w:pPr>
            <w:r>
              <w:rPr>
                <w:lang w:val="it-IT"/>
              </w:rPr>
              <w:t>OIC 15.56</w:t>
            </w:r>
          </w:p>
        </w:tc>
        <w:tc>
          <w:tcPr>
            <w:tcW w:w="6964" w:type="dxa"/>
            <w:tcMar>
              <w:left w:w="108" w:type="dxa"/>
            </w:tcMar>
          </w:tcPr>
          <w:p w:rsidR="00F271AC" w:rsidRDefault="00F271AC" w:rsidP="00D73E98">
            <w:pPr>
              <w:spacing w:line="230" w:lineRule="exact"/>
              <w:rPr>
                <w:lang w:val="it-IT"/>
              </w:rPr>
            </w:pPr>
            <w:r w:rsidRPr="00301E2A">
              <w:rPr>
                <w:lang w:val="it-IT"/>
              </w:rPr>
              <w:t>Qualora la società si avvalga d</w:t>
            </w:r>
            <w:r>
              <w:rPr>
                <w:lang w:val="it-IT"/>
              </w:rPr>
              <w:t>ell</w:t>
            </w:r>
            <w:r w:rsidRPr="00301E2A">
              <w:rPr>
                <w:lang w:val="it-IT"/>
              </w:rPr>
              <w:t>a facoltà</w:t>
            </w:r>
            <w:r>
              <w:rPr>
                <w:lang w:val="it-IT"/>
              </w:rPr>
              <w:t xml:space="preserve"> di valutare i crediti al valore di presumibile realizzo</w:t>
            </w:r>
            <w:r w:rsidRPr="00301E2A">
              <w:rPr>
                <w:lang w:val="it-IT"/>
              </w:rPr>
              <w:t>, la valutazione successiva del credito è effettuata al valore nominale, più gli interessi calcolati al tasso di interesse nominale, dedotti gli incassi ricevuti per capitale e interessi e al netto delle svalutazioni stimate e delle perdite su crediti contabilizzate per adeguare il credito al</w:t>
            </w:r>
            <w:r>
              <w:rPr>
                <w:lang w:val="it-IT"/>
              </w:rPr>
              <w:t xml:space="preserve"> valore di presumibile realizzo?</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121A1C"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Default="00F271AC" w:rsidP="00D73E98">
            <w:pPr>
              <w:pStyle w:val="PrincCont"/>
              <w:jc w:val="left"/>
              <w:rPr>
                <w:lang w:val="it-IT"/>
              </w:rPr>
            </w:pPr>
            <w:r>
              <w:rPr>
                <w:lang w:val="it-IT"/>
              </w:rPr>
              <w:t>OIC 15.57</w:t>
            </w:r>
          </w:p>
        </w:tc>
        <w:tc>
          <w:tcPr>
            <w:tcW w:w="6964" w:type="dxa"/>
            <w:tcMar>
              <w:left w:w="108" w:type="dxa"/>
            </w:tcMar>
          </w:tcPr>
          <w:p w:rsidR="00F271AC" w:rsidRDefault="00F271AC" w:rsidP="00D73E98">
            <w:pPr>
              <w:spacing w:line="230" w:lineRule="exact"/>
              <w:rPr>
                <w:lang w:val="it-IT"/>
              </w:rPr>
            </w:pPr>
            <w:r w:rsidRPr="00301E2A">
              <w:rPr>
                <w:lang w:val="it-IT"/>
              </w:rPr>
              <w:t>Gli sconti e gli abbuoni di natura finanziaria (per esempio per pagamento a pronta cassa), che non hanno concorso al computo del valore di presumibile realizzo perché non prevedibili al momento della rilevazione iniziale del credito, sono rilevati al momento dell'incasso come oneri di natura finanziaria</w:t>
            </w:r>
            <w:r>
              <w:rPr>
                <w:lang w:val="it-IT"/>
              </w:rPr>
              <w:t>?</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121A1C"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Default="00F271AC" w:rsidP="00D73E98">
            <w:pPr>
              <w:pStyle w:val="PrincCont"/>
              <w:jc w:val="left"/>
              <w:rPr>
                <w:lang w:val="it-IT"/>
              </w:rPr>
            </w:pPr>
            <w:r>
              <w:rPr>
                <w:lang w:val="it-IT"/>
              </w:rPr>
              <w:t>OIC 15.58</w:t>
            </w:r>
          </w:p>
        </w:tc>
        <w:tc>
          <w:tcPr>
            <w:tcW w:w="6964" w:type="dxa"/>
            <w:tcMar>
              <w:left w:w="108" w:type="dxa"/>
            </w:tcMar>
          </w:tcPr>
          <w:p w:rsidR="00F271AC" w:rsidRDefault="00F271AC" w:rsidP="00D73E98">
            <w:pPr>
              <w:spacing w:line="230" w:lineRule="exact"/>
              <w:rPr>
                <w:lang w:val="it-IT"/>
              </w:rPr>
            </w:pPr>
            <w:r w:rsidRPr="00301E2A">
              <w:rPr>
                <w:lang w:val="it-IT"/>
              </w:rPr>
              <w:t>I costi di transazione iniziali, rilevati tra i risconti attivi, sono ammortizzati a quote costanti lungo la durata del credito a rettifica degli interessi attivi nominali</w:t>
            </w:r>
            <w:r>
              <w:rPr>
                <w:lang w:val="it-IT"/>
              </w:rPr>
              <w:t>?</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F271AC" w:rsidRDefault="00F271AC" w:rsidP="00D73E98">
            <w:pPr>
              <w:pStyle w:val="Titolo3"/>
              <w:rPr>
                <w:lang w:val="it-IT"/>
              </w:rPr>
            </w:pPr>
            <w:r w:rsidRPr="00F271AC">
              <w:rPr>
                <w:lang w:val="it-IT"/>
              </w:rPr>
              <w:t>Stima delle svalutazioni dei crediti valutati al costo ammortizzato e dei crediti non valutati al costo ammortizzato</w:t>
            </w:r>
          </w:p>
        </w:tc>
        <w:tc>
          <w:tcPr>
            <w:tcW w:w="582" w:type="dxa"/>
            <w:tcMar>
              <w:left w:w="85" w:type="dxa"/>
              <w:right w:w="85" w:type="dxa"/>
            </w:tcMar>
            <w:vAlign w:val="center"/>
          </w:tcPr>
          <w:p w:rsidR="00F271AC" w:rsidRPr="00FF6B7C" w:rsidRDefault="00F271AC" w:rsidP="00D73E98">
            <w:pPr>
              <w:jc w:val="center"/>
              <w:rPr>
                <w:lang w:val="it-IT"/>
              </w:rPr>
            </w:pPr>
          </w:p>
        </w:tc>
        <w:tc>
          <w:tcPr>
            <w:tcW w:w="571" w:type="dxa"/>
            <w:tcMar>
              <w:left w:w="108" w:type="dxa"/>
            </w:tcMar>
            <w:vAlign w:val="center"/>
          </w:tcPr>
          <w:p w:rsidR="00F271AC" w:rsidRPr="00FF6B7C" w:rsidRDefault="00F271AC" w:rsidP="00D73E98">
            <w:pPr>
              <w:jc w:val="center"/>
              <w:rPr>
                <w:lang w:val="it-IT"/>
              </w:rPr>
            </w:pPr>
          </w:p>
        </w:tc>
        <w:tc>
          <w:tcPr>
            <w:tcW w:w="569" w:type="dxa"/>
            <w:tcMar>
              <w:left w:w="108" w:type="dxa"/>
            </w:tcMar>
            <w:vAlign w:val="center"/>
          </w:tcPr>
          <w:p w:rsidR="00F271AC" w:rsidRPr="00FF6B7C" w:rsidRDefault="00F271AC" w:rsidP="00D73E98">
            <w:pPr>
              <w:jc w:val="center"/>
              <w:rPr>
                <w:lang w:val="it-IT"/>
              </w:rPr>
            </w:pPr>
          </w:p>
        </w:tc>
      </w:tr>
      <w:tr w:rsidR="00F271AC" w:rsidRPr="00E1008D" w:rsidTr="00D73E98">
        <w:trPr>
          <w:cantSplit/>
          <w:trHeight w:val="20"/>
        </w:trPr>
        <w:tc>
          <w:tcPr>
            <w:tcW w:w="675" w:type="dxa"/>
          </w:tcPr>
          <w:p w:rsidR="00F271AC" w:rsidRPr="005D542D" w:rsidRDefault="00F271AC" w:rsidP="00D73E98">
            <w:pPr>
              <w:jc w:val="center"/>
              <w:rPr>
                <w:b/>
                <w:lang w:val="it-IT"/>
              </w:rPr>
            </w:pPr>
            <w:r w:rsidRPr="005D542D">
              <w:rPr>
                <w:b/>
                <w:lang w:val="it-IT"/>
              </w:rPr>
              <w:t>39)</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15.59</w:t>
            </w:r>
          </w:p>
        </w:tc>
        <w:tc>
          <w:tcPr>
            <w:tcW w:w="6964" w:type="dxa"/>
            <w:tcMar>
              <w:left w:w="108" w:type="dxa"/>
            </w:tcMar>
          </w:tcPr>
          <w:p w:rsidR="00F271AC" w:rsidRPr="003C6EB6" w:rsidRDefault="00F271AC" w:rsidP="00D73E98">
            <w:pPr>
              <w:spacing w:line="230" w:lineRule="exact"/>
              <w:rPr>
                <w:lang w:val="it-IT"/>
              </w:rPr>
            </w:pPr>
            <w:r w:rsidRPr="003C6EB6">
              <w:rPr>
                <w:lang w:val="it-IT"/>
              </w:rPr>
              <w:t>I crediti sono rappresentati in bilancio al netto del fondo svalutazione crediti?</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5D542D" w:rsidRDefault="00F271AC" w:rsidP="00D73E98">
            <w:pPr>
              <w:jc w:val="center"/>
              <w:rPr>
                <w:b/>
                <w:lang w:val="it-IT"/>
              </w:rPr>
            </w:pPr>
            <w:r w:rsidRPr="005D542D">
              <w:rPr>
                <w:b/>
                <w:lang w:val="it-IT"/>
              </w:rPr>
              <w:t>40)</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59</w:t>
            </w:r>
          </w:p>
        </w:tc>
        <w:tc>
          <w:tcPr>
            <w:tcW w:w="6964" w:type="dxa"/>
            <w:tcMar>
              <w:left w:w="108" w:type="dxa"/>
            </w:tcMar>
          </w:tcPr>
          <w:p w:rsidR="00F271AC" w:rsidRPr="00E1008D" w:rsidRDefault="00F271AC" w:rsidP="00D73E98">
            <w:pPr>
              <w:spacing w:line="230" w:lineRule="exact"/>
              <w:rPr>
                <w:lang w:val="it-IT"/>
              </w:rPr>
            </w:pPr>
            <w:r>
              <w:rPr>
                <w:lang w:val="it-IT"/>
              </w:rPr>
              <w:t>I cr</w:t>
            </w:r>
            <w:r w:rsidRPr="003C6EB6">
              <w:rPr>
                <w:lang w:val="it-IT"/>
              </w:rPr>
              <w:t>edit</w:t>
            </w:r>
            <w:r>
              <w:rPr>
                <w:lang w:val="it-IT"/>
              </w:rPr>
              <w:t>i</w:t>
            </w:r>
            <w:r w:rsidRPr="003C6EB6">
              <w:rPr>
                <w:lang w:val="it-IT"/>
              </w:rPr>
              <w:t xml:space="preserve"> </w:t>
            </w:r>
            <w:r>
              <w:rPr>
                <w:lang w:val="it-IT"/>
              </w:rPr>
              <w:t>sono</w:t>
            </w:r>
            <w:r w:rsidRPr="003C6EB6">
              <w:rPr>
                <w:lang w:val="it-IT"/>
              </w:rPr>
              <w:t xml:space="preserve"> svalutat</w:t>
            </w:r>
            <w:r>
              <w:rPr>
                <w:lang w:val="it-IT"/>
              </w:rPr>
              <w:t>i</w:t>
            </w:r>
            <w:r w:rsidRPr="003C6EB6">
              <w:rPr>
                <w:lang w:val="it-IT"/>
              </w:rPr>
              <w:t xml:space="preserve"> nell’esercizio in cui si ritiene probabile che abbia</w:t>
            </w:r>
            <w:r>
              <w:rPr>
                <w:lang w:val="it-IT"/>
              </w:rPr>
              <w:t>no</w:t>
            </w:r>
            <w:r w:rsidRPr="003C6EB6">
              <w:rPr>
                <w:lang w:val="it-IT"/>
              </w:rPr>
              <w:t xml:space="preserve"> perso </w:t>
            </w:r>
            <w:r>
              <w:rPr>
                <w:lang w:val="it-IT"/>
              </w:rPr>
              <w:t>valore?</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60</w:t>
            </w:r>
          </w:p>
        </w:tc>
        <w:tc>
          <w:tcPr>
            <w:tcW w:w="6964" w:type="dxa"/>
            <w:tcMar>
              <w:left w:w="108" w:type="dxa"/>
            </w:tcMar>
          </w:tcPr>
          <w:p w:rsidR="00F271AC" w:rsidRPr="00EB3F67" w:rsidRDefault="00F271AC" w:rsidP="00D73E98">
            <w:pPr>
              <w:pStyle w:val="Commentiriquadro"/>
            </w:pPr>
            <w:r w:rsidRPr="00783D03">
              <w:t xml:space="preserve">Al fine di stimare il fondo svalutazione crediti una società deve valutare se sussistano degli indicatori che facciano ritenere probabile che un credito abbia perso valore. </w:t>
            </w:r>
            <w:r w:rsidRPr="00EB3F67">
              <w:t>Di seguito si riportano alcuni esempi di tali indicatori:</w:t>
            </w:r>
          </w:p>
          <w:p w:rsidR="00F271AC" w:rsidRPr="00EB3F67" w:rsidRDefault="00F271AC" w:rsidP="00D73E98">
            <w:pPr>
              <w:pStyle w:val="Commentiriquadro"/>
              <w:ind w:left="176" w:hanging="119"/>
            </w:pPr>
            <w:r w:rsidRPr="00EB3F67">
              <w:t>-</w:t>
            </w:r>
            <w:r w:rsidRPr="00EB3F67">
              <w:tab/>
            </w:r>
            <w:r w:rsidRPr="00593F9A">
              <w:t>significative difficoltà finanziarie del</w:t>
            </w:r>
            <w:r w:rsidRPr="00593F9A">
              <w:rPr>
                <w:spacing w:val="-7"/>
              </w:rPr>
              <w:t xml:space="preserve"> </w:t>
            </w:r>
            <w:r w:rsidRPr="00593F9A">
              <w:t>debitore;</w:t>
            </w:r>
          </w:p>
          <w:p w:rsidR="00F271AC" w:rsidRPr="00EB3F67" w:rsidRDefault="00F271AC" w:rsidP="00D73E98">
            <w:pPr>
              <w:pStyle w:val="Commentiriquadro"/>
              <w:ind w:left="176" w:hanging="119"/>
            </w:pPr>
            <w:r w:rsidRPr="00EB3F67">
              <w:t xml:space="preserve">- </w:t>
            </w:r>
            <w:r w:rsidRPr="00EB3F67">
              <w:tab/>
            </w:r>
            <w:r w:rsidRPr="00783D03">
              <w:t>una violazione del contratto, quale un inadempimento o un mancato pagamento degli interessi o del capitale;</w:t>
            </w:r>
          </w:p>
          <w:p w:rsidR="00F271AC" w:rsidRPr="00EB3F67" w:rsidRDefault="00F271AC" w:rsidP="00D73E98">
            <w:pPr>
              <w:pStyle w:val="Commentiriquadro"/>
              <w:ind w:left="176" w:hanging="119"/>
            </w:pPr>
            <w:r w:rsidRPr="00EB3F67">
              <w:t xml:space="preserve">- </w:t>
            </w:r>
            <w:r w:rsidRPr="00EB3F67">
              <w:tab/>
            </w:r>
            <w:r w:rsidRPr="00783D03">
              <w:t>il creditore, per ragioni economiche o legali relative alla difficoltà finanziaria del debitore, estende a quest’ultimo una concessione che il creditore non avrebbe altrimenti preso in considerazione;</w:t>
            </w:r>
          </w:p>
          <w:p w:rsidR="00F271AC" w:rsidRPr="00EB3F67" w:rsidRDefault="00F271AC" w:rsidP="00D73E98">
            <w:pPr>
              <w:pStyle w:val="Commentiriquadro"/>
              <w:ind w:left="176" w:hanging="119"/>
            </w:pPr>
            <w:r w:rsidRPr="00EB3F67">
              <w:t xml:space="preserve">- </w:t>
            </w:r>
            <w:r w:rsidRPr="00EB3F67">
              <w:tab/>
            </w:r>
            <w:r w:rsidRPr="00783D03">
              <w:t>sussiste la probabilità che il debitore dichiari fallimento o attivi altre procedure di ristrutturazione finanziaria;</w:t>
            </w:r>
            <w:r w:rsidRPr="00EB3F67">
              <w:t xml:space="preserve"> </w:t>
            </w:r>
          </w:p>
          <w:p w:rsidR="00F271AC" w:rsidRPr="00EB3F67" w:rsidRDefault="00F271AC" w:rsidP="00D73E98">
            <w:pPr>
              <w:pStyle w:val="Commentiriquadro"/>
              <w:ind w:left="176" w:hanging="119"/>
            </w:pPr>
            <w:r w:rsidRPr="00EB3F67">
              <w:t xml:space="preserve">- </w:t>
            </w:r>
            <w:r w:rsidRPr="00EB3F67">
              <w:tab/>
            </w:r>
            <w:r w:rsidRPr="00783D03">
              <w:t>dati osservabili che indichino l’esistenza di una diminuzione sensibile nei futuri flussi finanziari stimati per un credito, ivi incluso, condizioni economiche nazionali o locali sfavorevoli o cambiamenti sfavorevoli nelle condizioni economiche del settore economico di appartenenza del debitore.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15.61</w:t>
            </w:r>
          </w:p>
        </w:tc>
        <w:tc>
          <w:tcPr>
            <w:tcW w:w="6964" w:type="dxa"/>
            <w:tcMar>
              <w:left w:w="108" w:type="dxa"/>
            </w:tcMar>
          </w:tcPr>
          <w:p w:rsidR="00F271AC" w:rsidRDefault="00F271AC" w:rsidP="00D73E98">
            <w:pPr>
              <w:pStyle w:val="Commentiriquadro"/>
            </w:pPr>
            <w:r w:rsidRPr="002045D7">
              <w:t>La verifica dell’esistenza degli indicatori di perdita di valore varia a seconda della composizione delle voci dei crediti. Tale verifica è effettuata per ogni singolo credito in presenza di un numero limitato di crediti.</w:t>
            </w:r>
          </w:p>
          <w:p w:rsidR="00F271AC" w:rsidRDefault="00F271AC" w:rsidP="00D73E98">
            <w:pPr>
              <w:pStyle w:val="Commentiriquadro"/>
            </w:pPr>
            <w:r w:rsidRPr="002045D7">
              <w:t>Se invece i crediti sono numerosi e individualmente non significativi, tale verifica può essere effettuata a livello di portafoglio crediti secondo le regole del paragrafo 62).</w:t>
            </w:r>
          </w:p>
          <w:p w:rsidR="00F271AC" w:rsidRPr="002045D7" w:rsidRDefault="00F271AC" w:rsidP="00D73E98">
            <w:pPr>
              <w:pStyle w:val="Commentiriquadro"/>
            </w:pPr>
            <w:r w:rsidRPr="002045D7">
              <w:t>Nel caso in cui i crediti sono numerosi, ma alcuni di questi sono individualmente significativi, la verifica dell’esistenza degli indicatori di perdita di valore è effettuata a livello di singolo credito per i crediti individualmente significativi, mentre può essere effettuata a livello di portafoglio per i restanti crediti.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15.62</w:t>
            </w:r>
          </w:p>
        </w:tc>
        <w:tc>
          <w:tcPr>
            <w:tcW w:w="6964" w:type="dxa"/>
            <w:tcMar>
              <w:left w:w="108" w:type="dxa"/>
            </w:tcMar>
          </w:tcPr>
          <w:p w:rsidR="00F271AC" w:rsidRPr="002045D7" w:rsidRDefault="00F271AC" w:rsidP="00D73E98">
            <w:pPr>
              <w:pStyle w:val="Commentiriquadro"/>
            </w:pPr>
            <w:r w:rsidRPr="002045D7">
              <w:t>Se la stima del fondo svalutazione crediti avviene a livello di portafoglio, i crediti sono raggruppati sulla base di caratteristiche di rischio di credito simili che sono indicative della capacità dei debitori di corrispondere tutti gli importi dovuti secondo le condizioni contrattuali (per esempio, settore economico di appartenenza dei debitori, area geografica, presenza di garanzie, classi di scaduto, ecc.). In questi casi, alle suddette classi di crediti si possono applicare formule per la determinazione delle riduzioni di valore (ad esempio, una percentuale dei crediti rappresentativa delle perdite medie storicamente rilevate, eventualmente corretta per tenere conto della congiuntura corrente).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045D7" w:rsidTr="00D73E98">
        <w:trPr>
          <w:cantSplit/>
          <w:trHeight w:val="20"/>
        </w:trPr>
        <w:tc>
          <w:tcPr>
            <w:tcW w:w="675" w:type="dxa"/>
          </w:tcPr>
          <w:p w:rsidR="00F271AC" w:rsidRPr="0013791A" w:rsidRDefault="00F271AC" w:rsidP="00D73E98">
            <w:pPr>
              <w:jc w:val="center"/>
              <w:rPr>
                <w:b/>
                <w:lang w:val="it-IT"/>
              </w:rPr>
            </w:pPr>
            <w:r w:rsidRPr="0013791A">
              <w:rPr>
                <w:b/>
                <w:lang w:val="it-IT"/>
              </w:rPr>
              <w:t>41)</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15.61</w:t>
            </w:r>
          </w:p>
        </w:tc>
        <w:tc>
          <w:tcPr>
            <w:tcW w:w="6964" w:type="dxa"/>
            <w:tcMar>
              <w:left w:w="108" w:type="dxa"/>
            </w:tcMar>
          </w:tcPr>
          <w:p w:rsidR="00F271AC" w:rsidRPr="00E1008D" w:rsidRDefault="00F271AC" w:rsidP="00D73E98">
            <w:pPr>
              <w:spacing w:line="230" w:lineRule="exact"/>
              <w:rPr>
                <w:lang w:val="it-IT"/>
              </w:rPr>
            </w:pPr>
            <w:r>
              <w:rPr>
                <w:lang w:val="it-IT"/>
              </w:rPr>
              <w:t xml:space="preserve">La verifica </w:t>
            </w:r>
            <w:r w:rsidRPr="002045D7">
              <w:rPr>
                <w:lang w:val="it-IT"/>
              </w:rPr>
              <w:t>degli indicatori di perdita di valore è effettuata a livello di singolo credito per i crediti individualmente significativi</w:t>
            </w:r>
            <w:r>
              <w:rPr>
                <w:lang w:val="it-IT"/>
              </w:rPr>
              <w:t>?</w:t>
            </w:r>
          </w:p>
        </w:tc>
        <w:tc>
          <w:tcPr>
            <w:tcW w:w="582" w:type="dxa"/>
            <w:tcMar>
              <w:left w:w="85" w:type="dxa"/>
              <w:right w:w="85" w:type="dxa"/>
            </w:tcMar>
            <w:vAlign w:val="center"/>
          </w:tcPr>
          <w:p w:rsidR="00F271AC" w:rsidRPr="002045D7"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2045D7"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2045D7"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2045D7" w:rsidTr="00D73E98">
        <w:trPr>
          <w:cantSplit/>
          <w:trHeight w:val="20"/>
        </w:trPr>
        <w:tc>
          <w:tcPr>
            <w:tcW w:w="675" w:type="dxa"/>
          </w:tcPr>
          <w:p w:rsidR="00F271AC" w:rsidRPr="0013791A" w:rsidRDefault="00F271AC" w:rsidP="00D73E98">
            <w:pPr>
              <w:jc w:val="center"/>
              <w:rPr>
                <w:b/>
                <w:lang w:val="it-IT"/>
              </w:rPr>
            </w:pPr>
            <w:r w:rsidRPr="0013791A">
              <w:rPr>
                <w:b/>
                <w:lang w:val="it-IT"/>
              </w:rPr>
              <w:t>42)</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15.62</w:t>
            </w:r>
          </w:p>
        </w:tc>
        <w:tc>
          <w:tcPr>
            <w:tcW w:w="6964" w:type="dxa"/>
            <w:tcMar>
              <w:left w:w="108" w:type="dxa"/>
            </w:tcMar>
          </w:tcPr>
          <w:p w:rsidR="00F271AC" w:rsidRPr="00E1008D" w:rsidRDefault="00F271AC" w:rsidP="00D73E98">
            <w:pPr>
              <w:spacing w:line="230" w:lineRule="exact"/>
              <w:rPr>
                <w:lang w:val="it-IT"/>
              </w:rPr>
            </w:pPr>
            <w:r w:rsidRPr="002045D7">
              <w:rPr>
                <w:lang w:val="it-IT"/>
              </w:rPr>
              <w:t>Se la stima del fondo svalutazione crediti avviene a livello di portafoglio, i crediti sono raggruppati sulla base di caratteristiche di rischio di credito simili</w:t>
            </w:r>
            <w:r>
              <w:rPr>
                <w:lang w:val="it-IT"/>
              </w:rPr>
              <w:t>?</w:t>
            </w:r>
          </w:p>
        </w:tc>
        <w:tc>
          <w:tcPr>
            <w:tcW w:w="582" w:type="dxa"/>
            <w:tcMar>
              <w:left w:w="85" w:type="dxa"/>
              <w:right w:w="85" w:type="dxa"/>
            </w:tcMar>
            <w:vAlign w:val="center"/>
          </w:tcPr>
          <w:p w:rsidR="00F271AC" w:rsidRPr="002045D7"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2045D7"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2045D7"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43)</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15.63</w:t>
            </w:r>
          </w:p>
        </w:tc>
        <w:tc>
          <w:tcPr>
            <w:tcW w:w="6964" w:type="dxa"/>
            <w:tcMar>
              <w:left w:w="108" w:type="dxa"/>
            </w:tcMar>
          </w:tcPr>
          <w:p w:rsidR="00F271AC" w:rsidRPr="00E1008D" w:rsidRDefault="00F271AC" w:rsidP="00D73E98">
            <w:pPr>
              <w:spacing w:line="230" w:lineRule="exact"/>
              <w:rPr>
                <w:lang w:val="it-IT"/>
              </w:rPr>
            </w:pPr>
            <w:r w:rsidRPr="00E1008D">
              <w:rPr>
                <w:lang w:val="it-IT"/>
              </w:rPr>
              <w:t>L’accantonamento al fondo svalutazione dei crediti assistiti da garanzie (ad esempio pegno, ipoteca, fidejussione) tiene conto degli effetti relativi all’escussione delle garanzie?</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44)</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15.64</w:t>
            </w:r>
          </w:p>
        </w:tc>
        <w:tc>
          <w:tcPr>
            <w:tcW w:w="6964" w:type="dxa"/>
            <w:tcMar>
              <w:left w:w="108" w:type="dxa"/>
            </w:tcMar>
          </w:tcPr>
          <w:p w:rsidR="00F271AC" w:rsidRPr="00E1008D" w:rsidRDefault="00F271AC" w:rsidP="00D73E98">
            <w:pPr>
              <w:spacing w:line="230" w:lineRule="exact"/>
              <w:rPr>
                <w:iCs/>
                <w:lang w:val="it-IT"/>
              </w:rPr>
            </w:pPr>
            <w:r w:rsidRPr="00E1008D">
              <w:rPr>
                <w:lang w:val="it-IT"/>
              </w:rPr>
              <w:t>L’accantonamento al fondo svalutazione dei crediti assicurati si limita alla quota non coperta dall’assicurazione, solo se vi è la ragionevole certezza che l</w:t>
            </w:r>
            <w:r>
              <w:rPr>
                <w:lang w:val="it-IT"/>
              </w:rPr>
              <w:t xml:space="preserve">a società </w:t>
            </w:r>
            <w:r w:rsidRPr="00E1008D">
              <w:rPr>
                <w:lang w:val="it-IT"/>
              </w:rPr>
              <w:t>di assicurazione riconoscerà l’indennizzo?</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Default="00F271AC" w:rsidP="00D73E98">
            <w:pPr>
              <w:pStyle w:val="PrincCont"/>
              <w:jc w:val="left"/>
              <w:rPr>
                <w:lang w:val="it-IT"/>
              </w:rPr>
            </w:pPr>
            <w:r>
              <w:rPr>
                <w:lang w:val="it-IT"/>
              </w:rPr>
              <w:t>OIC 15.65</w:t>
            </w:r>
          </w:p>
        </w:tc>
        <w:tc>
          <w:tcPr>
            <w:tcW w:w="6964" w:type="dxa"/>
            <w:tcMar>
              <w:left w:w="108" w:type="dxa"/>
            </w:tcMar>
          </w:tcPr>
          <w:p w:rsidR="00F271AC" w:rsidRPr="008B5ACC" w:rsidRDefault="00F271AC" w:rsidP="00D73E98">
            <w:pPr>
              <w:pStyle w:val="Commentiriquadro"/>
            </w:pPr>
            <w:r w:rsidRPr="008B5ACC">
              <w:t>Il fondo svalutazione crediti accantonato alla fine dell’esercizio è utilizzato negli esercizi successivi a copertura di perdite realizzate sui crediti.</w:t>
            </w:r>
          </w:p>
        </w:tc>
        <w:tc>
          <w:tcPr>
            <w:tcW w:w="582" w:type="dxa"/>
            <w:tcMar>
              <w:left w:w="85" w:type="dxa"/>
              <w:right w:w="85" w:type="dxa"/>
            </w:tcMar>
            <w:vAlign w:val="center"/>
          </w:tcPr>
          <w:p w:rsidR="00F271AC" w:rsidRPr="008B5ACC" w:rsidRDefault="00F271AC" w:rsidP="00D73E98">
            <w:pPr>
              <w:jc w:val="center"/>
              <w:rPr>
                <w:lang w:val="it-IT"/>
              </w:rPr>
            </w:pPr>
          </w:p>
        </w:tc>
        <w:tc>
          <w:tcPr>
            <w:tcW w:w="571" w:type="dxa"/>
            <w:tcMar>
              <w:left w:w="108" w:type="dxa"/>
            </w:tcMar>
            <w:vAlign w:val="center"/>
          </w:tcPr>
          <w:p w:rsidR="00F271AC" w:rsidRPr="008B5ACC" w:rsidRDefault="00F271AC" w:rsidP="00D73E98">
            <w:pPr>
              <w:jc w:val="center"/>
              <w:rPr>
                <w:lang w:val="it-IT"/>
              </w:rPr>
            </w:pPr>
          </w:p>
        </w:tc>
        <w:tc>
          <w:tcPr>
            <w:tcW w:w="569" w:type="dxa"/>
            <w:tcMar>
              <w:left w:w="108" w:type="dxa"/>
            </w:tcMar>
            <w:vAlign w:val="center"/>
          </w:tcPr>
          <w:p w:rsidR="00F271AC" w:rsidRPr="008B5ACC" w:rsidRDefault="00F271AC" w:rsidP="00D73E98">
            <w:pPr>
              <w:jc w:val="center"/>
              <w:rPr>
                <w:lang w:val="it-IT"/>
              </w:rPr>
            </w:pPr>
          </w:p>
        </w:tc>
      </w:tr>
      <w:tr w:rsidR="00F271AC" w:rsidRPr="00CC242B"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8B5ACC" w:rsidRDefault="00F271AC" w:rsidP="00D73E98">
            <w:pPr>
              <w:pStyle w:val="Titolo3"/>
              <w:rPr>
                <w:lang w:val="it-IT"/>
              </w:rPr>
            </w:pPr>
            <w:r w:rsidRPr="008B5ACC">
              <w:rPr>
                <w:lang w:val="it-IT"/>
              </w:rPr>
              <w:t>Effetti delle svalutazioni e dei ripristini di valore dei crediti valutati al costo ammortizzato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347C93" w:rsidTr="00D73E98">
        <w:trPr>
          <w:cantSplit/>
          <w:trHeight w:val="20"/>
        </w:trPr>
        <w:tc>
          <w:tcPr>
            <w:tcW w:w="675" w:type="dxa"/>
          </w:tcPr>
          <w:p w:rsidR="00F271AC" w:rsidRPr="0013791A" w:rsidRDefault="00F271AC" w:rsidP="00D73E98">
            <w:pPr>
              <w:jc w:val="center"/>
              <w:rPr>
                <w:b/>
                <w:lang w:val="it-IT"/>
              </w:rPr>
            </w:pPr>
            <w:r w:rsidRPr="0013791A">
              <w:rPr>
                <w:b/>
                <w:lang w:val="it-IT"/>
              </w:rPr>
              <w:t>45)</w:t>
            </w:r>
          </w:p>
        </w:tc>
        <w:tc>
          <w:tcPr>
            <w:tcW w:w="843" w:type="dxa"/>
            <w:tcMar>
              <w:left w:w="108" w:type="dxa"/>
              <w:right w:w="0" w:type="dxa"/>
            </w:tcMar>
          </w:tcPr>
          <w:p w:rsidR="00F271AC" w:rsidRPr="00E1008D" w:rsidRDefault="00F271AC" w:rsidP="00D73E98">
            <w:pPr>
              <w:pStyle w:val="PrincCont"/>
              <w:jc w:val="left"/>
            </w:pPr>
            <w:r>
              <w:t>OIC 15.66</w:t>
            </w:r>
          </w:p>
        </w:tc>
        <w:tc>
          <w:tcPr>
            <w:tcW w:w="6964" w:type="dxa"/>
            <w:tcMar>
              <w:left w:w="108" w:type="dxa"/>
            </w:tcMar>
          </w:tcPr>
          <w:p w:rsidR="00F271AC" w:rsidRPr="00347C93" w:rsidRDefault="00F271AC" w:rsidP="00D73E98">
            <w:pPr>
              <w:spacing w:line="230" w:lineRule="exact"/>
              <w:rPr>
                <w:lang w:val="it-IT"/>
              </w:rPr>
            </w:pPr>
            <w:r w:rsidRPr="00347C93">
              <w:rPr>
                <w:lang w:val="it-IT"/>
              </w:rPr>
              <w:t xml:space="preserve">L’importo della svalutazione alla data di bilancio è pari alla differenza tra il valore contabile e il valore dei flussi finanziari futuri stimati, ridotti degli importi che si prevede di non incassare, attualizzato al tasso di interesse effettivo originario del credito (ossia al tasso di interesse effettivo calcolato in sede di rilevazione iniziale)? </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CA1681">
              <w:fldChar w:fldCharType="separate"/>
            </w:r>
            <w:r w:rsidRPr="00E1008D">
              <w:fldChar w:fldCharType="end"/>
            </w:r>
          </w:p>
        </w:tc>
      </w:tr>
      <w:tr w:rsidR="00F271AC" w:rsidRPr="00347C93" w:rsidTr="00D73E98">
        <w:trPr>
          <w:cantSplit/>
          <w:trHeight w:val="20"/>
        </w:trPr>
        <w:tc>
          <w:tcPr>
            <w:tcW w:w="675" w:type="dxa"/>
          </w:tcPr>
          <w:p w:rsidR="00F271AC" w:rsidRPr="0013791A" w:rsidRDefault="00F271AC" w:rsidP="00D73E98">
            <w:pPr>
              <w:jc w:val="center"/>
              <w:rPr>
                <w:b/>
                <w:lang w:val="it-IT"/>
              </w:rPr>
            </w:pPr>
            <w:r w:rsidRPr="0013791A">
              <w:rPr>
                <w:b/>
                <w:lang w:val="it-IT"/>
              </w:rPr>
              <w:t>46)</w:t>
            </w:r>
          </w:p>
        </w:tc>
        <w:tc>
          <w:tcPr>
            <w:tcW w:w="843" w:type="dxa"/>
            <w:tcMar>
              <w:left w:w="108" w:type="dxa"/>
              <w:right w:w="0" w:type="dxa"/>
            </w:tcMar>
          </w:tcPr>
          <w:p w:rsidR="00F271AC" w:rsidRPr="00E1008D" w:rsidRDefault="00F271AC" w:rsidP="00D73E98">
            <w:pPr>
              <w:pStyle w:val="PrincCont"/>
              <w:jc w:val="left"/>
            </w:pPr>
            <w:r>
              <w:t>OIC 15.66</w:t>
            </w:r>
          </w:p>
        </w:tc>
        <w:tc>
          <w:tcPr>
            <w:tcW w:w="6964" w:type="dxa"/>
            <w:tcMar>
              <w:left w:w="108" w:type="dxa"/>
            </w:tcMar>
          </w:tcPr>
          <w:p w:rsidR="00F271AC" w:rsidRPr="00347C93" w:rsidRDefault="00F271AC" w:rsidP="00D73E98">
            <w:pPr>
              <w:spacing w:line="230" w:lineRule="exact"/>
              <w:rPr>
                <w:lang w:val="it-IT"/>
              </w:rPr>
            </w:pPr>
            <w:r w:rsidRPr="00347C93">
              <w:rPr>
                <w:lang w:val="it-IT"/>
              </w:rPr>
              <w:t xml:space="preserve">L’importo della svalutazione </w:t>
            </w:r>
            <w:r>
              <w:rPr>
                <w:lang w:val="it-IT"/>
              </w:rPr>
              <w:t xml:space="preserve">è stato </w:t>
            </w:r>
            <w:r w:rsidRPr="00347C93">
              <w:rPr>
                <w:lang w:val="it-IT"/>
              </w:rPr>
              <w:t>rilevato nelle apposite voci di conto economico</w:t>
            </w:r>
            <w:r>
              <w:rPr>
                <w:lang w:val="it-IT"/>
              </w:rPr>
              <w:t>?</w:t>
            </w:r>
          </w:p>
        </w:tc>
        <w:tc>
          <w:tcPr>
            <w:tcW w:w="582" w:type="dxa"/>
            <w:tcMar>
              <w:left w:w="85" w:type="dxa"/>
              <w:right w:w="85" w:type="dxa"/>
            </w:tcMar>
            <w:vAlign w:val="center"/>
          </w:tcPr>
          <w:p w:rsidR="00F271AC" w:rsidRPr="00347C93"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347C93"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347C93"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47)</w:t>
            </w:r>
          </w:p>
        </w:tc>
        <w:tc>
          <w:tcPr>
            <w:tcW w:w="843" w:type="dxa"/>
            <w:tcMar>
              <w:left w:w="108" w:type="dxa"/>
              <w:right w:w="0" w:type="dxa"/>
            </w:tcMar>
          </w:tcPr>
          <w:p w:rsidR="00F271AC" w:rsidRPr="00347C93" w:rsidRDefault="00F271AC" w:rsidP="00D73E98">
            <w:pPr>
              <w:pStyle w:val="PrincCont"/>
              <w:jc w:val="left"/>
              <w:rPr>
                <w:lang w:val="it-IT"/>
              </w:rPr>
            </w:pPr>
            <w:r>
              <w:rPr>
                <w:lang w:val="it-IT"/>
              </w:rPr>
              <w:t>OIC 15 67</w:t>
            </w:r>
          </w:p>
        </w:tc>
        <w:tc>
          <w:tcPr>
            <w:tcW w:w="6964" w:type="dxa"/>
            <w:tcMar>
              <w:left w:w="108" w:type="dxa"/>
            </w:tcMar>
          </w:tcPr>
          <w:p w:rsidR="00F271AC" w:rsidRPr="00347C93" w:rsidRDefault="00F271AC" w:rsidP="00D73E98">
            <w:pPr>
              <w:spacing w:line="230" w:lineRule="exact"/>
              <w:rPr>
                <w:lang w:val="it-IT"/>
              </w:rPr>
            </w:pPr>
            <w:r w:rsidRPr="00347C93">
              <w:rPr>
                <w:lang w:val="it-IT"/>
              </w:rPr>
              <w:t>Il calcolo del valore attuale dei futuri flussi finanziari stimati di un credito assistito da garanzia riflette i flussi finanziari che possono risultare dall’escussione della garanzia meno i costi per l’escussione della garanzia stessa, tenendo conto se sia probabile o meno che la garanzia sia effettivamente escussa?</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347C93" w:rsidTr="00D73E98">
        <w:trPr>
          <w:cantSplit/>
          <w:trHeight w:val="20"/>
        </w:trPr>
        <w:tc>
          <w:tcPr>
            <w:tcW w:w="675" w:type="dxa"/>
          </w:tcPr>
          <w:p w:rsidR="00F271AC" w:rsidRPr="0013791A" w:rsidRDefault="00F271AC" w:rsidP="00D73E98">
            <w:pPr>
              <w:jc w:val="center"/>
              <w:rPr>
                <w:b/>
                <w:lang w:val="it-IT"/>
              </w:rPr>
            </w:pPr>
            <w:r w:rsidRPr="0013791A">
              <w:rPr>
                <w:b/>
                <w:lang w:val="it-IT"/>
              </w:rPr>
              <w:t>48)</w:t>
            </w:r>
          </w:p>
        </w:tc>
        <w:tc>
          <w:tcPr>
            <w:tcW w:w="843" w:type="dxa"/>
            <w:tcMar>
              <w:left w:w="108" w:type="dxa"/>
              <w:right w:w="0" w:type="dxa"/>
            </w:tcMar>
          </w:tcPr>
          <w:p w:rsidR="00F271AC" w:rsidRPr="00E1008D" w:rsidRDefault="00F271AC" w:rsidP="00D73E98">
            <w:pPr>
              <w:pStyle w:val="PrincCont"/>
              <w:jc w:val="left"/>
              <w:rPr>
                <w:lang w:val="it-IT"/>
              </w:rPr>
            </w:pPr>
            <w:r w:rsidRPr="00E1008D">
              <w:t xml:space="preserve">OIC 15 </w:t>
            </w:r>
            <w:r>
              <w:t>68</w:t>
            </w:r>
          </w:p>
        </w:tc>
        <w:tc>
          <w:tcPr>
            <w:tcW w:w="6964" w:type="dxa"/>
            <w:tcMar>
              <w:left w:w="108" w:type="dxa"/>
            </w:tcMar>
          </w:tcPr>
          <w:p w:rsidR="00F271AC" w:rsidRPr="00E1008D" w:rsidRDefault="00F271AC" w:rsidP="00D73E98">
            <w:pPr>
              <w:spacing w:line="230" w:lineRule="exact"/>
              <w:rPr>
                <w:lang w:val="it-IT"/>
              </w:rPr>
            </w:pPr>
            <w:r w:rsidRPr="00347C93">
              <w:rPr>
                <w:lang w:val="it-IT"/>
              </w:rPr>
              <w:t xml:space="preserve">Se, in un esercizio successivo, le ragioni che in precedenza avevano comportato la contabilizzazione di una svalutazione </w:t>
            </w:r>
            <w:r>
              <w:rPr>
                <w:lang w:val="it-IT"/>
              </w:rPr>
              <w:t xml:space="preserve">sono </w:t>
            </w:r>
            <w:r w:rsidRPr="00347C93">
              <w:rPr>
                <w:lang w:val="it-IT"/>
              </w:rPr>
              <w:t>ven</w:t>
            </w:r>
            <w:r>
              <w:rPr>
                <w:lang w:val="it-IT"/>
              </w:rPr>
              <w:t>ute</w:t>
            </w:r>
            <w:r w:rsidRPr="00347C93">
              <w:rPr>
                <w:lang w:val="it-IT"/>
              </w:rPr>
              <w:t xml:space="preserve"> meno in tutto o in parte (es.: per un miglioramento nella solvibilità del debitore), la svalutazione rilevata precedentemente </w:t>
            </w:r>
            <w:r>
              <w:rPr>
                <w:lang w:val="it-IT"/>
              </w:rPr>
              <w:t>è stata</w:t>
            </w:r>
            <w:r w:rsidRPr="00347C93">
              <w:rPr>
                <w:lang w:val="it-IT"/>
              </w:rPr>
              <w:t xml:space="preserve"> stornata</w:t>
            </w:r>
            <w:r>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49)</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68</w:t>
            </w:r>
          </w:p>
        </w:tc>
        <w:tc>
          <w:tcPr>
            <w:tcW w:w="6964" w:type="dxa"/>
            <w:tcMar>
              <w:left w:w="108" w:type="dxa"/>
            </w:tcMar>
          </w:tcPr>
          <w:p w:rsidR="00F271AC" w:rsidRPr="00E1008D" w:rsidRDefault="00F271AC" w:rsidP="00D73E98">
            <w:pPr>
              <w:spacing w:line="230" w:lineRule="exact"/>
              <w:rPr>
                <w:lang w:val="it-IT"/>
              </w:rPr>
            </w:pPr>
            <w:r w:rsidRPr="00347C93">
              <w:rPr>
                <w:lang w:val="it-IT"/>
              </w:rPr>
              <w:t xml:space="preserve">Il </w:t>
            </w:r>
            <w:r>
              <w:rPr>
                <w:lang w:val="it-IT"/>
              </w:rPr>
              <w:t>ripristino di valore del credito</w:t>
            </w:r>
            <w:r w:rsidRPr="00347C93">
              <w:rPr>
                <w:lang w:val="it-IT"/>
              </w:rPr>
              <w:t xml:space="preserve"> non </w:t>
            </w:r>
            <w:r>
              <w:rPr>
                <w:lang w:val="it-IT"/>
              </w:rPr>
              <w:t>ha</w:t>
            </w:r>
            <w:r w:rsidRPr="00347C93">
              <w:rPr>
                <w:lang w:val="it-IT"/>
              </w:rPr>
              <w:t xml:space="preserve"> determina</w:t>
            </w:r>
            <w:r>
              <w:rPr>
                <w:lang w:val="it-IT"/>
              </w:rPr>
              <w:t>to</w:t>
            </w:r>
            <w:r w:rsidRPr="00347C93">
              <w:rPr>
                <w:lang w:val="it-IT"/>
              </w:rPr>
              <w:t xml:space="preserve"> un valore del credito superiore al costo ammortizzato che si sarebbe avuto se la svalutazione non fosse mai stata rilevata</w:t>
            </w:r>
            <w:r>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6728DA" w:rsidRDefault="00F271AC" w:rsidP="00D73E98">
            <w:pPr>
              <w:pStyle w:val="Titolo3"/>
              <w:rPr>
                <w:lang w:val="it-IT"/>
              </w:rPr>
            </w:pPr>
            <w:r w:rsidRPr="006728DA">
              <w:rPr>
                <w:lang w:val="it-IT"/>
              </w:rPr>
              <w:t>Effetti delle svalutazioni e dei ripristini di valore dei crediti non valutati al costo ammortizzato nei bilanci redatti in forma abbreviata</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121A1C" w:rsidTr="00D73E98">
        <w:trPr>
          <w:cantSplit/>
          <w:trHeight w:val="20"/>
        </w:trPr>
        <w:tc>
          <w:tcPr>
            <w:tcW w:w="675" w:type="dxa"/>
          </w:tcPr>
          <w:p w:rsidR="00F271AC" w:rsidRPr="0013791A" w:rsidRDefault="00F271AC" w:rsidP="00D73E98">
            <w:pPr>
              <w:jc w:val="center"/>
              <w:rPr>
                <w:b/>
                <w:lang w:val="it-IT"/>
              </w:rPr>
            </w:pPr>
            <w:r w:rsidRPr="0013791A">
              <w:rPr>
                <w:b/>
                <w:lang w:val="it-IT"/>
              </w:rPr>
              <w:t>50)</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15.69</w:t>
            </w:r>
          </w:p>
        </w:tc>
        <w:tc>
          <w:tcPr>
            <w:tcW w:w="6964" w:type="dxa"/>
            <w:tcMar>
              <w:left w:w="108" w:type="dxa"/>
            </w:tcMar>
          </w:tcPr>
          <w:p w:rsidR="00F271AC" w:rsidRPr="00E1008D" w:rsidRDefault="00F271AC" w:rsidP="00D73E98">
            <w:pPr>
              <w:spacing w:line="230" w:lineRule="exact"/>
              <w:rPr>
                <w:lang w:val="it-IT"/>
              </w:rPr>
            </w:pPr>
            <w:r w:rsidRPr="006728DA">
              <w:rPr>
                <w:lang w:val="it-IT"/>
              </w:rPr>
              <w:t>I crediti sono iscritti al loro valore nominale me</w:t>
            </w:r>
            <w:r>
              <w:rPr>
                <w:lang w:val="it-IT"/>
              </w:rPr>
              <w:t>no l’importo della svalutazione?</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51)</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69</w:t>
            </w:r>
          </w:p>
        </w:tc>
        <w:tc>
          <w:tcPr>
            <w:tcW w:w="6964" w:type="dxa"/>
            <w:tcMar>
              <w:left w:w="108" w:type="dxa"/>
            </w:tcMar>
          </w:tcPr>
          <w:p w:rsidR="00F271AC" w:rsidRPr="00E1008D" w:rsidRDefault="00F271AC" w:rsidP="00D73E98">
            <w:pPr>
              <w:spacing w:line="230" w:lineRule="exact"/>
              <w:rPr>
                <w:lang w:val="it-IT"/>
              </w:rPr>
            </w:pPr>
            <w:r w:rsidRPr="005D322C">
              <w:rPr>
                <w:lang w:val="it-IT"/>
              </w:rPr>
              <w:t xml:space="preserve">L’importo della svalutazione </w:t>
            </w:r>
            <w:r>
              <w:rPr>
                <w:lang w:val="it-IT"/>
              </w:rPr>
              <w:t>è</w:t>
            </w:r>
            <w:r w:rsidRPr="005D322C">
              <w:rPr>
                <w:lang w:val="it-IT"/>
              </w:rPr>
              <w:t xml:space="preserve"> rilevato nel conto economico</w:t>
            </w:r>
            <w:r>
              <w:rPr>
                <w:lang w:val="it-IT"/>
              </w:rPr>
              <w:t xml:space="preserve"> con gli stessi criteri previsti per le rettifiche per inadempimento </w:t>
            </w:r>
            <w:r w:rsidRPr="0013791A">
              <w:rPr>
                <w:lang w:val="it-IT"/>
              </w:rPr>
              <w:t>(domande 39-44</w:t>
            </w:r>
            <w:r>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70</w:t>
            </w:r>
          </w:p>
        </w:tc>
        <w:tc>
          <w:tcPr>
            <w:tcW w:w="6964" w:type="dxa"/>
            <w:tcMar>
              <w:left w:w="108" w:type="dxa"/>
            </w:tcMar>
          </w:tcPr>
          <w:p w:rsidR="00F271AC" w:rsidRPr="00E1008D" w:rsidRDefault="00F271AC" w:rsidP="00D73E98">
            <w:pPr>
              <w:pStyle w:val="Commentiriquadro"/>
            </w:pPr>
            <w:r w:rsidRPr="005D322C">
              <w:t>Se, in un esercizio successivo, le ragioni che in precedenza avevano comportato la contabilizzazione di una svalutazione vengono meno in tutto o in parte (es.: per un miglioramento nella solvibilità del debitore), la svalutazione rilevata precedentemente deve essere stornata. Il ripristino di valore del credito non deve determinare un valore del credito superiore a quello che si sarebbe avuto se la svalutazione non fosse mai stata rilevata.</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52)</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7</w:t>
            </w:r>
            <w:r w:rsidRPr="00E1008D">
              <w:rPr>
                <w:lang w:val="it-IT"/>
              </w:rPr>
              <w:t>0</w:t>
            </w:r>
          </w:p>
        </w:tc>
        <w:tc>
          <w:tcPr>
            <w:tcW w:w="6964" w:type="dxa"/>
            <w:tcMar>
              <w:left w:w="108" w:type="dxa"/>
            </w:tcMar>
          </w:tcPr>
          <w:p w:rsidR="00F271AC" w:rsidRPr="00E1008D" w:rsidRDefault="00F271AC" w:rsidP="00D73E98">
            <w:pPr>
              <w:spacing w:line="230" w:lineRule="exact"/>
              <w:rPr>
                <w:lang w:val="it-IT"/>
              </w:rPr>
            </w:pPr>
            <w:r>
              <w:rPr>
                <w:lang w:val="it-IT"/>
              </w:rPr>
              <w:t>Sono state stornate le svalutazioni le cui ragioni sono venute meno?</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1008D" w:rsidRDefault="00F271AC" w:rsidP="00D73E98">
            <w:pPr>
              <w:pStyle w:val="Titolo2"/>
              <w:rPr>
                <w:lang w:val="it-IT"/>
              </w:rPr>
            </w:pPr>
            <w:r w:rsidRPr="00E1008D">
              <w:rPr>
                <w:lang w:val="it-IT"/>
              </w:rPr>
              <w:t>Cancellazione dei crediti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20"/>
        </w:trPr>
        <w:tc>
          <w:tcPr>
            <w:tcW w:w="675" w:type="dxa"/>
          </w:tcPr>
          <w:p w:rsidR="00F271AC" w:rsidRPr="0013791A" w:rsidRDefault="00F271AC" w:rsidP="00D73E98">
            <w:pPr>
              <w:jc w:val="center"/>
              <w:rPr>
                <w:b/>
                <w:lang w:val="it-IT"/>
              </w:rPr>
            </w:pPr>
            <w:r w:rsidRPr="0013791A">
              <w:rPr>
                <w:b/>
                <w:lang w:val="it-IT"/>
              </w:rPr>
              <w:t>53)</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15.7</w:t>
            </w:r>
            <w:r>
              <w:rPr>
                <w:lang w:val="it-IT"/>
              </w:rPr>
              <w:t>1</w:t>
            </w:r>
          </w:p>
        </w:tc>
        <w:tc>
          <w:tcPr>
            <w:tcW w:w="6964" w:type="dxa"/>
            <w:tcMar>
              <w:left w:w="108" w:type="dxa"/>
            </w:tcMar>
          </w:tcPr>
          <w:p w:rsidR="00F271AC" w:rsidRPr="00E1008D" w:rsidRDefault="00F271AC" w:rsidP="00D73E98">
            <w:pPr>
              <w:spacing w:line="230" w:lineRule="exact"/>
              <w:rPr>
                <w:lang w:val="it-IT"/>
              </w:rPr>
            </w:pPr>
            <w:r w:rsidRPr="00E1008D">
              <w:rPr>
                <w:lang w:val="it-IT"/>
              </w:rPr>
              <w:t>I crediti sono cancellati da</w:t>
            </w:r>
            <w:r>
              <w:rPr>
                <w:lang w:val="it-IT"/>
              </w:rPr>
              <w:t>l</w:t>
            </w:r>
            <w:r w:rsidRPr="00E1008D">
              <w:rPr>
                <w:lang w:val="it-IT"/>
              </w:rPr>
              <w:t xml:space="preserve"> bilancio quando: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1008D" w:rsidRDefault="00F271AC" w:rsidP="00032976">
            <w:pPr>
              <w:pStyle w:val="rientrotrattinook"/>
              <w:tabs>
                <w:tab w:val="clear" w:pos="704"/>
              </w:tabs>
              <w:ind w:left="473" w:hanging="284"/>
            </w:pPr>
            <w:r w:rsidRPr="00E1008D">
              <w:t>i diritti contrattuali sui flussi finanziari derivanti dal credito si estinguono</w:t>
            </w:r>
            <w:r>
              <w:t xml:space="preserve"> </w:t>
            </w:r>
            <w:r w:rsidRPr="00B54AAF">
              <w:t>parzialmente o totalmente</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1008D" w:rsidRDefault="00F271AC" w:rsidP="00032976">
            <w:pPr>
              <w:pStyle w:val="rientrotrattinook"/>
              <w:tabs>
                <w:tab w:val="clear" w:pos="704"/>
              </w:tabs>
              <w:ind w:left="473" w:hanging="284"/>
            </w:pPr>
            <w:r w:rsidRPr="00E1008D">
              <w:t>la titolarità dei diritti contrattuali sui flussi finanziari derivanti dal credito è trasferita e con essa sono trasferiti sostanzialmente tutti i rischi inerenti il credito?</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15.7</w:t>
            </w:r>
            <w:r>
              <w:rPr>
                <w:lang w:val="it-IT"/>
              </w:rPr>
              <w:t>1</w:t>
            </w:r>
            <w:r w:rsidRPr="00E1008D">
              <w:rPr>
                <w:lang w:val="it-IT"/>
              </w:rPr>
              <w:t xml:space="preserve">, </w:t>
            </w:r>
            <w:r w:rsidRPr="00E53C6A">
              <w:rPr>
                <w:lang w:val="it-IT"/>
              </w:rPr>
              <w:t>nota piè di pagina 1</w:t>
            </w:r>
          </w:p>
        </w:tc>
        <w:tc>
          <w:tcPr>
            <w:tcW w:w="6964" w:type="dxa"/>
            <w:tcMar>
              <w:left w:w="108" w:type="dxa"/>
            </w:tcMar>
            <w:vAlign w:val="center"/>
          </w:tcPr>
          <w:p w:rsidR="00F271AC" w:rsidRPr="00E1008D" w:rsidRDefault="00F271AC" w:rsidP="00D73E98">
            <w:pPr>
              <w:pStyle w:val="Commentiriquadro"/>
            </w:pPr>
            <w:r w:rsidRPr="00E1008D">
              <w:t>Il Principio indica che, salvo casi eccezionali, il trasferimento dei rischi implica anche il trasferimento dei benefici.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CC242B"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15.7</w:t>
            </w:r>
            <w:r>
              <w:rPr>
                <w:lang w:val="it-IT"/>
              </w:rPr>
              <w:t>2</w:t>
            </w:r>
          </w:p>
        </w:tc>
        <w:tc>
          <w:tcPr>
            <w:tcW w:w="6964" w:type="dxa"/>
            <w:tcMar>
              <w:left w:w="108" w:type="dxa"/>
            </w:tcMar>
            <w:vAlign w:val="center"/>
          </w:tcPr>
          <w:p w:rsidR="00F271AC" w:rsidRPr="00B54AAF" w:rsidRDefault="00F271AC" w:rsidP="00D73E98">
            <w:pPr>
              <w:pStyle w:val="Commentiriquadro"/>
            </w:pPr>
            <w:r w:rsidRPr="00B54AAF">
              <w:t>I diritti contrattuali si estinguono per pagamento, prescrizione, transazione, rinuncia al credito, rettifiche di fatturazione e ogni altro evento che fa venire meno il diritto ad esigere determinati ammontari di disponibilità liquide, o beni/servizi di valore equivalente, da clienti o da altri soggetti.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54)</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73</w:t>
            </w:r>
          </w:p>
        </w:tc>
        <w:tc>
          <w:tcPr>
            <w:tcW w:w="6964" w:type="dxa"/>
            <w:tcMar>
              <w:left w:w="108" w:type="dxa"/>
            </w:tcMar>
          </w:tcPr>
          <w:p w:rsidR="00F271AC" w:rsidRPr="00E1008D" w:rsidRDefault="00F271AC" w:rsidP="00D73E98">
            <w:pPr>
              <w:spacing w:line="230" w:lineRule="exact"/>
              <w:rPr>
                <w:lang w:val="it-IT"/>
              </w:rPr>
            </w:pPr>
            <w:r w:rsidRPr="00E1008D">
              <w:rPr>
                <w:lang w:val="it-IT"/>
              </w:rPr>
              <w:t>Ai fini della valutazione del trasferimento dei rischi si è tenuto conto di tutte le clausole contrattuali, quali – a titolo meramente esemplificativo – gli obblighi di riacquisto al verificarsi di certi eventi o l’esistenza di commissioni, di franchigie e di penali dovute per il mancato pagamento?</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55)</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15.74</w:t>
            </w:r>
          </w:p>
        </w:tc>
        <w:tc>
          <w:tcPr>
            <w:tcW w:w="6964" w:type="dxa"/>
            <w:tcMar>
              <w:left w:w="108" w:type="dxa"/>
            </w:tcMar>
          </w:tcPr>
          <w:p w:rsidR="00F271AC" w:rsidRPr="00E1008D" w:rsidRDefault="00F271AC" w:rsidP="00D73E98">
            <w:pPr>
              <w:spacing w:line="230" w:lineRule="exact"/>
              <w:rPr>
                <w:lang w:val="it-IT"/>
              </w:rPr>
            </w:pPr>
            <w:r w:rsidRPr="00E1008D">
              <w:rPr>
                <w:lang w:val="it-IT"/>
              </w:rPr>
              <w:t xml:space="preserve">Quando il credito è cancellato dal bilancio a seguito di un’operazione di cessione che comporta il trasferimento sostanziale di tutti i rischi, la differenza tra corrispettivo e valore </w:t>
            </w:r>
            <w:r>
              <w:rPr>
                <w:lang w:val="it-IT"/>
              </w:rPr>
              <w:t xml:space="preserve">contabile </w:t>
            </w:r>
            <w:r w:rsidRPr="00E1008D">
              <w:rPr>
                <w:lang w:val="it-IT"/>
              </w:rPr>
              <w:t xml:space="preserve">del credito al momento della cessione è rilevata come perdita </w:t>
            </w:r>
            <w:r>
              <w:rPr>
                <w:lang w:val="it-IT"/>
              </w:rPr>
              <w:t>su crediti</w:t>
            </w:r>
            <w:r w:rsidRPr="00E1008D">
              <w:rPr>
                <w:lang w:val="it-IT"/>
              </w:rPr>
              <w:t xml:space="preserve"> da iscriversi alla voce B14 del conto economico, salvo che il contratto non consenta di individuare componenti economiche di diversa natura, anche finanziaria?</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56)</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75</w:t>
            </w:r>
          </w:p>
        </w:tc>
        <w:tc>
          <w:tcPr>
            <w:tcW w:w="6964" w:type="dxa"/>
            <w:tcMar>
              <w:left w:w="108" w:type="dxa"/>
            </w:tcMar>
          </w:tcPr>
          <w:p w:rsidR="00F271AC" w:rsidRPr="00E1008D" w:rsidRDefault="00F271AC" w:rsidP="00D73E98">
            <w:pPr>
              <w:spacing w:line="230" w:lineRule="exact"/>
              <w:rPr>
                <w:lang w:val="it-IT"/>
              </w:rPr>
            </w:pPr>
            <w:r w:rsidRPr="00E1008D">
              <w:rPr>
                <w:lang w:val="it-IT"/>
              </w:rPr>
              <w:t>Quando la cessione del credito non comporta la sua cancellazione dal bilancio perché la società non ha trasferito sostanzialmente tutti i rischi, il credito che rimane iscritto in bilancio è assoggettato alle regole generali di valutazione previste dall’OIC 15?</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57)</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15.75</w:t>
            </w:r>
          </w:p>
        </w:tc>
        <w:tc>
          <w:tcPr>
            <w:tcW w:w="6964" w:type="dxa"/>
            <w:tcMar>
              <w:left w:w="108" w:type="dxa"/>
            </w:tcMar>
          </w:tcPr>
          <w:p w:rsidR="00F271AC" w:rsidRPr="00E1008D" w:rsidRDefault="00F271AC" w:rsidP="00D73E98">
            <w:pPr>
              <w:spacing w:line="230" w:lineRule="exact"/>
              <w:rPr>
                <w:lang w:val="it-IT"/>
              </w:rPr>
            </w:pPr>
            <w:r w:rsidRPr="00E1008D">
              <w:rPr>
                <w:lang w:val="it-IT"/>
              </w:rPr>
              <w:t>Nel caso di anticipazione di una parte del corrispettivo pattuito da parte del cessionario, in contropartita dell’anticipazione ricevuta è stato iscritto un debito di natura finanziaria?</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58)</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15.76</w:t>
            </w:r>
          </w:p>
        </w:tc>
        <w:tc>
          <w:tcPr>
            <w:tcW w:w="6964" w:type="dxa"/>
            <w:tcMar>
              <w:left w:w="108" w:type="dxa"/>
            </w:tcMar>
          </w:tcPr>
          <w:p w:rsidR="00F271AC" w:rsidRPr="00E1008D" w:rsidRDefault="00F271AC" w:rsidP="00D73E98">
            <w:pPr>
              <w:spacing w:line="230" w:lineRule="exact"/>
              <w:rPr>
                <w:lang w:val="it-IT"/>
              </w:rPr>
            </w:pPr>
            <w:r w:rsidRPr="00E1008D">
              <w:rPr>
                <w:lang w:val="it-IT"/>
              </w:rPr>
              <w:t>Nelle cessioni che non comportano la cancellazione del credito dal bilancio, i costi dell’operazione sono riflessi in interessi e commissioni da corrispondere al cessionario che trovano separata rilevazione nel conto economico in base alla loro natura?</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59)</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15.77</w:t>
            </w:r>
          </w:p>
        </w:tc>
        <w:tc>
          <w:tcPr>
            <w:tcW w:w="6964" w:type="dxa"/>
            <w:tcMar>
              <w:left w:w="108" w:type="dxa"/>
            </w:tcMar>
          </w:tcPr>
          <w:p w:rsidR="00F271AC" w:rsidRPr="00E1008D" w:rsidRDefault="00F271AC" w:rsidP="00D73E98">
            <w:pPr>
              <w:spacing w:line="230" w:lineRule="exact"/>
              <w:rPr>
                <w:lang w:val="it-IT"/>
              </w:rPr>
            </w:pPr>
            <w:r w:rsidRPr="00E1008D">
              <w:rPr>
                <w:lang w:val="it-IT"/>
              </w:rPr>
              <w:t>Qualora a seguito della cessione siano stati trasferiti sostanzialmente tutti i rischi inerenti il credito ma rimangano in capo al cedente taluni rischi minimali, se ricorrono le condizioni previste dall’OIC 31 “</w:t>
            </w:r>
            <w:r w:rsidRPr="00E1008D">
              <w:rPr>
                <w:iCs/>
                <w:lang w:val="it-IT"/>
              </w:rPr>
              <w:t>Fondi per rischi e oneri e Trattamento di Fine Rapporto</w:t>
            </w:r>
            <w:r w:rsidRPr="00E1008D">
              <w:rPr>
                <w:lang w:val="it-IT"/>
              </w:rPr>
              <w:t>”, è stato effettuato un apposito accantonamento?</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1008D" w:rsidRDefault="00F271AC" w:rsidP="00D73E98">
            <w:pPr>
              <w:pStyle w:val="Titolo2"/>
              <w:jc w:val="both"/>
              <w:rPr>
                <w:lang w:val="it-IT"/>
              </w:rPr>
            </w:pPr>
            <w:r>
              <w:rPr>
                <w:lang w:val="it-IT"/>
              </w:rPr>
              <w:t>Nota Integrativa</w:t>
            </w:r>
          </w:p>
        </w:tc>
        <w:tc>
          <w:tcPr>
            <w:tcW w:w="582" w:type="dxa"/>
            <w:tcMar>
              <w:left w:w="85" w:type="dxa"/>
              <w:right w:w="85" w:type="dxa"/>
            </w:tcMar>
            <w:vAlign w:val="center"/>
          </w:tcPr>
          <w:p w:rsidR="00F271AC" w:rsidRPr="00E1008D" w:rsidRDefault="00F271AC" w:rsidP="00D73E98">
            <w:pPr>
              <w:jc w:val="center"/>
            </w:pPr>
          </w:p>
        </w:tc>
        <w:tc>
          <w:tcPr>
            <w:tcW w:w="571" w:type="dxa"/>
            <w:tcMar>
              <w:left w:w="108" w:type="dxa"/>
            </w:tcMar>
            <w:vAlign w:val="center"/>
          </w:tcPr>
          <w:p w:rsidR="00F271AC" w:rsidRPr="00E1008D" w:rsidRDefault="00F271AC" w:rsidP="00D73E98">
            <w:pPr>
              <w:jc w:val="center"/>
            </w:pPr>
          </w:p>
        </w:tc>
        <w:tc>
          <w:tcPr>
            <w:tcW w:w="569" w:type="dxa"/>
            <w:tcMar>
              <w:left w:w="108" w:type="dxa"/>
            </w:tcMar>
            <w:vAlign w:val="center"/>
          </w:tcPr>
          <w:p w:rsidR="00F271AC" w:rsidRPr="00E1008D" w:rsidRDefault="00F271AC" w:rsidP="00D73E98">
            <w:pPr>
              <w:jc w:val="center"/>
            </w:pPr>
          </w:p>
        </w:tc>
      </w:tr>
      <w:tr w:rsidR="00F271AC" w:rsidRPr="00CC242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Default="00F271AC" w:rsidP="00D73E98">
            <w:pPr>
              <w:pStyle w:val="Titolo3"/>
              <w:rPr>
                <w:lang w:val="it-IT"/>
              </w:rPr>
            </w:pPr>
            <w:r w:rsidRPr="00FF2F91">
              <w:rPr>
                <w:lang w:val="it-IT"/>
              </w:rPr>
              <w:t xml:space="preserve">Informazioni relative alle società che redigono il bilancio in forma </w:t>
            </w:r>
            <w:r>
              <w:rPr>
                <w:lang w:val="it-IT"/>
              </w:rPr>
              <w:t>ordinaria</w:t>
            </w:r>
          </w:p>
        </w:tc>
        <w:tc>
          <w:tcPr>
            <w:tcW w:w="582" w:type="dxa"/>
            <w:tcMar>
              <w:left w:w="85" w:type="dxa"/>
              <w:right w:w="85" w:type="dxa"/>
            </w:tcMar>
            <w:vAlign w:val="center"/>
          </w:tcPr>
          <w:p w:rsidR="00F271AC" w:rsidRPr="00F271AC" w:rsidRDefault="00F271AC" w:rsidP="00D73E98">
            <w:pPr>
              <w:jc w:val="center"/>
              <w:rPr>
                <w:lang w:val="it-IT"/>
              </w:rPr>
            </w:pPr>
          </w:p>
        </w:tc>
        <w:tc>
          <w:tcPr>
            <w:tcW w:w="571" w:type="dxa"/>
            <w:tcMar>
              <w:left w:w="108" w:type="dxa"/>
            </w:tcMar>
            <w:vAlign w:val="center"/>
          </w:tcPr>
          <w:p w:rsidR="00F271AC" w:rsidRPr="00F271AC" w:rsidRDefault="00F271AC" w:rsidP="00D73E98">
            <w:pPr>
              <w:jc w:val="center"/>
              <w:rPr>
                <w:lang w:val="it-IT"/>
              </w:rPr>
            </w:pPr>
          </w:p>
        </w:tc>
        <w:tc>
          <w:tcPr>
            <w:tcW w:w="569" w:type="dxa"/>
            <w:tcMar>
              <w:left w:w="108" w:type="dxa"/>
            </w:tcMar>
            <w:vAlign w:val="center"/>
          </w:tcPr>
          <w:p w:rsidR="00F271AC" w:rsidRPr="00F271AC" w:rsidRDefault="00F271AC" w:rsidP="00D73E98">
            <w:pPr>
              <w:jc w:val="center"/>
              <w:rPr>
                <w:lang w:val="it-IT"/>
              </w:rPr>
            </w:pPr>
          </w:p>
        </w:tc>
      </w:tr>
      <w:tr w:rsidR="00F271AC" w:rsidRPr="00CC242B" w:rsidTr="00D73E98">
        <w:trPr>
          <w:cantSplit/>
          <w:trHeight w:val="20"/>
        </w:trPr>
        <w:tc>
          <w:tcPr>
            <w:tcW w:w="675" w:type="dxa"/>
          </w:tcPr>
          <w:p w:rsidR="00F271AC" w:rsidRPr="0013791A" w:rsidRDefault="00F271AC" w:rsidP="00D73E98">
            <w:pPr>
              <w:jc w:val="center"/>
              <w:rPr>
                <w:b/>
                <w:lang w:val="it-IT"/>
              </w:rPr>
            </w:pPr>
            <w:r w:rsidRPr="0013791A">
              <w:rPr>
                <w:b/>
                <w:lang w:val="it-IT"/>
              </w:rPr>
              <w:t>60)</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Art. 2427, c.1 CC</w:t>
            </w:r>
            <w:r>
              <w:rPr>
                <w:lang w:val="it-IT"/>
              </w:rPr>
              <w:t xml:space="preserve">             </w:t>
            </w:r>
            <w:r w:rsidRPr="00E1008D">
              <w:rPr>
                <w:lang w:val="it-IT"/>
              </w:rPr>
              <w:t>OIC 15.</w:t>
            </w:r>
            <w:r>
              <w:rPr>
                <w:lang w:val="it-IT"/>
              </w:rPr>
              <w:t>78</w:t>
            </w:r>
          </w:p>
        </w:tc>
        <w:tc>
          <w:tcPr>
            <w:tcW w:w="6964" w:type="dxa"/>
            <w:tcMar>
              <w:left w:w="108" w:type="dxa"/>
            </w:tcMar>
            <w:vAlign w:val="center"/>
          </w:tcPr>
          <w:p w:rsidR="00F271AC" w:rsidRPr="00E1008D" w:rsidRDefault="00F271AC" w:rsidP="00D73E98">
            <w:pPr>
              <w:spacing w:line="230" w:lineRule="exact"/>
              <w:rPr>
                <w:lang w:val="it-IT"/>
              </w:rPr>
            </w:pPr>
            <w:r w:rsidRPr="00E1008D">
              <w:rPr>
                <w:lang w:val="it-IT"/>
              </w:rPr>
              <w:t xml:space="preserve">La </w:t>
            </w:r>
            <w:r>
              <w:rPr>
                <w:lang w:val="it-IT"/>
              </w:rPr>
              <w:t>Nota Integrativa</w:t>
            </w:r>
            <w:r w:rsidRPr="00E1008D">
              <w:rPr>
                <w:lang w:val="it-IT"/>
              </w:rPr>
              <w:t xml:space="preserve"> contiene le seguenti informazioni: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Art. 2427, c.1, n.1 CC</w:t>
            </w:r>
          </w:p>
        </w:tc>
        <w:tc>
          <w:tcPr>
            <w:tcW w:w="6964" w:type="dxa"/>
            <w:tcMar>
              <w:left w:w="108" w:type="dxa"/>
            </w:tcMar>
          </w:tcPr>
          <w:p w:rsidR="00F271AC" w:rsidRPr="00E1008D" w:rsidRDefault="00F271AC" w:rsidP="00032976">
            <w:pPr>
              <w:pStyle w:val="rientrotrattinook"/>
              <w:tabs>
                <w:tab w:val="clear" w:pos="704"/>
              </w:tabs>
              <w:ind w:left="473" w:hanging="284"/>
            </w:pPr>
            <w:r w:rsidRPr="00E1008D">
              <w:t xml:space="preserve">i criteri applicati nelle valutazioni, nelle rettifiche di valore e nella conversione dei valori non espressi all'origine in euro </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AF734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78</w:t>
            </w:r>
          </w:p>
        </w:tc>
        <w:tc>
          <w:tcPr>
            <w:tcW w:w="6964" w:type="dxa"/>
            <w:tcMar>
              <w:left w:w="108" w:type="dxa"/>
            </w:tcMar>
          </w:tcPr>
          <w:p w:rsidR="00F271AC" w:rsidRPr="00E1008D" w:rsidRDefault="00F271AC" w:rsidP="00D73E98">
            <w:pPr>
              <w:spacing w:line="230" w:lineRule="exact"/>
              <w:rPr>
                <w:lang w:val="it-IT"/>
              </w:rPr>
            </w:pPr>
            <w:r w:rsidRPr="00E1008D">
              <w:rPr>
                <w:lang w:val="it-IT"/>
              </w:rPr>
              <w:t xml:space="preserve">Nel </w:t>
            </w:r>
            <w:r>
              <w:rPr>
                <w:lang w:val="it-IT"/>
              </w:rPr>
              <w:t>fornire</w:t>
            </w:r>
            <w:r w:rsidRPr="00E1008D">
              <w:rPr>
                <w:lang w:val="it-IT"/>
              </w:rPr>
              <w:t xml:space="preserve"> le informazioni richieste dal n. 1, c.1, dell’art. 2427 CC, la </w:t>
            </w:r>
            <w:r>
              <w:rPr>
                <w:lang w:val="it-IT"/>
              </w:rPr>
              <w:t>Nota Integrativa</w:t>
            </w:r>
            <w:r w:rsidRPr="00E1008D">
              <w:rPr>
                <w:lang w:val="it-IT"/>
              </w:rPr>
              <w:t xml:space="preserve"> </w:t>
            </w:r>
            <w:r>
              <w:rPr>
                <w:lang w:val="it-IT"/>
              </w:rPr>
              <w:t xml:space="preserve">indica </w:t>
            </w:r>
            <w:r w:rsidRPr="00AF734B">
              <w:rPr>
                <w:lang w:val="it-IT"/>
              </w:rPr>
              <w:t>le ragioni che hanno condott</w:t>
            </w:r>
            <w:r>
              <w:rPr>
                <w:lang w:val="it-IT"/>
              </w:rPr>
              <w:t>o</w:t>
            </w:r>
            <w:r w:rsidRPr="00AF734B">
              <w:rPr>
                <w:lang w:val="it-IT"/>
              </w:rPr>
              <w:t>, ai sensi del</w:t>
            </w:r>
            <w:r>
              <w:rPr>
                <w:lang w:val="it-IT"/>
              </w:rPr>
              <w:t>l’OIC 15.</w:t>
            </w:r>
            <w:r w:rsidRPr="00AF734B">
              <w:rPr>
                <w:lang w:val="it-IT"/>
              </w:rPr>
              <w:t>45, ad attribuire alla differenza tra le disponibilità liquide erogate e il valore attuale dei flussi finanziari futuri una natura diversa da quella finanziaria</w:t>
            </w:r>
            <w:r w:rsidRPr="00E1008D">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AF734B">
              <w:rPr>
                <w:lang w:val="it-IT"/>
              </w:rPr>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AF734B">
              <w:rPr>
                <w:lang w:val="it-IT"/>
              </w:rPr>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AF734B">
              <w:rPr>
                <w:lang w:val="it-IT"/>
              </w:rPr>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Art. 2427, c.1, n.2 CC</w:t>
            </w:r>
          </w:p>
        </w:tc>
        <w:tc>
          <w:tcPr>
            <w:tcW w:w="6964" w:type="dxa"/>
            <w:tcMar>
              <w:left w:w="108" w:type="dxa"/>
            </w:tcMar>
          </w:tcPr>
          <w:p w:rsidR="00F271AC" w:rsidRPr="003B24EA" w:rsidRDefault="00F271AC" w:rsidP="00032976">
            <w:pPr>
              <w:pStyle w:val="rientrotrattinook"/>
              <w:tabs>
                <w:tab w:val="clear" w:pos="704"/>
              </w:tabs>
              <w:ind w:left="473" w:hanging="284"/>
            </w:pPr>
            <w:r w:rsidRPr="003B24EA">
              <w:t>i movimenti delle immobilizzazioni, specificando per ciascuna voce: il costo; le precedenti rivalutazioni, ammortamenti e svalutazioni; le acquisizioni, gli spostamenti da una ad altra voce, le alienazioni avvenuti nell’esercizio; le rivalutazioni, gli ammortamenti e le svalutazioni effettuati nell’esercizio; il totale delle rivalutazioni riguardanti le immobilizzazioni esistenti alla chiusura dell’esercizio (per quanto riguarda i crediti classificati tra le immobilizzazioni finanziarie);</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Art. 2427, c.1, n.4 CC</w:t>
            </w:r>
          </w:p>
        </w:tc>
        <w:tc>
          <w:tcPr>
            <w:tcW w:w="6964" w:type="dxa"/>
            <w:tcMar>
              <w:left w:w="108" w:type="dxa"/>
            </w:tcMar>
          </w:tcPr>
          <w:p w:rsidR="00F271AC" w:rsidRPr="003B24EA" w:rsidRDefault="00F271AC" w:rsidP="00032976">
            <w:pPr>
              <w:pStyle w:val="rientrotrattinook"/>
              <w:tabs>
                <w:tab w:val="clear" w:pos="704"/>
              </w:tabs>
              <w:ind w:left="473" w:hanging="284"/>
            </w:pPr>
            <w:r w:rsidRPr="003B24EA">
              <w:t>le variazioni intervenute nella consistenza delle altre voci dell’attivo e del passivo; in particolare, per le voci del patrimonio netto, per i fondi e per il trattamento di fine rapporto, la formazione e le utilizzazioni;</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Art. 2427, c.1, n.6 CC</w:t>
            </w:r>
          </w:p>
        </w:tc>
        <w:tc>
          <w:tcPr>
            <w:tcW w:w="6964" w:type="dxa"/>
            <w:tcMar>
              <w:left w:w="108" w:type="dxa"/>
            </w:tcMar>
          </w:tcPr>
          <w:p w:rsidR="00F271AC" w:rsidRPr="00E1008D" w:rsidRDefault="00F271AC" w:rsidP="00032976">
            <w:pPr>
              <w:pStyle w:val="rientrotrattinook"/>
              <w:tabs>
                <w:tab w:val="clear" w:pos="704"/>
              </w:tabs>
              <w:ind w:left="473" w:hanging="284"/>
            </w:pPr>
            <w:r w:rsidRPr="00E1008D">
              <w:t>distintamente per ciascuna voce, l’ammontare dei crediti e dei debiti di durata residua superiore a cinque anni, e dei debiti assistiti da garanzie reali su beni sociali, con specifica indicazione della natura delle garanzie e con specifica ripartizione secondo le aree geografiche?</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15.78</w:t>
            </w:r>
          </w:p>
        </w:tc>
        <w:tc>
          <w:tcPr>
            <w:tcW w:w="6964" w:type="dxa"/>
            <w:tcMar>
              <w:left w:w="108" w:type="dxa"/>
            </w:tcMar>
          </w:tcPr>
          <w:p w:rsidR="00F271AC" w:rsidRPr="003B24EA" w:rsidRDefault="00F271AC" w:rsidP="00D73E98">
            <w:pPr>
              <w:pStyle w:val="Commentiriquadro"/>
            </w:pPr>
            <w:r w:rsidRPr="003B24EA">
              <w:t>L’indicazione sulla ripartizione geografica di cui al n. 6</w:t>
            </w:r>
            <w:r>
              <w:t>,</w:t>
            </w:r>
            <w:r w:rsidRPr="003B24EA">
              <w:t xml:space="preserve"> c.1</w:t>
            </w:r>
            <w:r>
              <w:t>,</w:t>
            </w:r>
            <w:r w:rsidRPr="003B24EA">
              <w:t xml:space="preserve"> art. 2427 CC riguarda tutti i crediti della società.</w:t>
            </w:r>
          </w:p>
        </w:tc>
        <w:tc>
          <w:tcPr>
            <w:tcW w:w="582" w:type="dxa"/>
            <w:tcMar>
              <w:left w:w="85" w:type="dxa"/>
              <w:right w:w="85" w:type="dxa"/>
            </w:tcMar>
            <w:vAlign w:val="center"/>
          </w:tcPr>
          <w:p w:rsidR="00F271AC" w:rsidRPr="003B24EA" w:rsidRDefault="00F271AC" w:rsidP="00D73E98">
            <w:pPr>
              <w:jc w:val="center"/>
              <w:rPr>
                <w:lang w:val="it-IT"/>
              </w:rPr>
            </w:pPr>
          </w:p>
        </w:tc>
        <w:tc>
          <w:tcPr>
            <w:tcW w:w="571" w:type="dxa"/>
            <w:tcMar>
              <w:left w:w="108" w:type="dxa"/>
            </w:tcMar>
            <w:vAlign w:val="center"/>
          </w:tcPr>
          <w:p w:rsidR="00F271AC" w:rsidRPr="003B24EA" w:rsidRDefault="00F271AC" w:rsidP="00D73E98">
            <w:pPr>
              <w:jc w:val="center"/>
              <w:rPr>
                <w:lang w:val="it-IT"/>
              </w:rPr>
            </w:pPr>
          </w:p>
        </w:tc>
        <w:tc>
          <w:tcPr>
            <w:tcW w:w="569" w:type="dxa"/>
            <w:tcMar>
              <w:left w:w="108" w:type="dxa"/>
            </w:tcMar>
            <w:vAlign w:val="center"/>
          </w:tcPr>
          <w:p w:rsidR="00F271AC" w:rsidRPr="003B24EA" w:rsidRDefault="00F271AC" w:rsidP="00D73E98">
            <w:pPr>
              <w:jc w:val="center"/>
              <w:rPr>
                <w:lang w:val="it-IT"/>
              </w:rPr>
            </w:pPr>
          </w:p>
        </w:tc>
      </w:tr>
      <w:tr w:rsidR="00F271AC" w:rsidRPr="00CC242B" w:rsidTr="00D73E98">
        <w:trPr>
          <w:cantSplit/>
          <w:trHeight w:val="20"/>
        </w:trPr>
        <w:tc>
          <w:tcPr>
            <w:tcW w:w="675" w:type="dxa"/>
          </w:tcPr>
          <w:p w:rsidR="00F271AC" w:rsidRPr="0013791A" w:rsidRDefault="00F271AC" w:rsidP="00D73E98">
            <w:pPr>
              <w:jc w:val="center"/>
              <w:rPr>
                <w:b/>
                <w:lang w:val="it-IT"/>
              </w:rPr>
            </w:pPr>
            <w:r w:rsidRPr="0013791A">
              <w:rPr>
                <w:b/>
                <w:lang w:val="it-IT"/>
              </w:rPr>
              <w:t>61)</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78</w:t>
            </w:r>
          </w:p>
        </w:tc>
        <w:tc>
          <w:tcPr>
            <w:tcW w:w="6964" w:type="dxa"/>
            <w:tcMar>
              <w:left w:w="108" w:type="dxa"/>
            </w:tcMar>
          </w:tcPr>
          <w:p w:rsidR="00F271AC" w:rsidRPr="00E1008D" w:rsidRDefault="00F271AC" w:rsidP="00032976">
            <w:pPr>
              <w:spacing w:line="240" w:lineRule="exact"/>
              <w:rPr>
                <w:lang w:val="it-IT"/>
              </w:rPr>
            </w:pPr>
            <w:r w:rsidRPr="00E1008D">
              <w:rPr>
                <w:lang w:val="it-IT"/>
              </w:rPr>
              <w:t xml:space="preserve">Ove rilevante, la </w:t>
            </w:r>
            <w:r>
              <w:rPr>
                <w:lang w:val="it-IT"/>
              </w:rPr>
              <w:t>Nota Integrativa</w:t>
            </w:r>
            <w:r w:rsidRPr="00E1008D">
              <w:rPr>
                <w:lang w:val="it-IT"/>
              </w:rPr>
              <w:t xml:space="preserve"> indica inoltre: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1008D" w:rsidRDefault="00F271AC" w:rsidP="00032976">
            <w:pPr>
              <w:pStyle w:val="rientrotrattinook"/>
              <w:tabs>
                <w:tab w:val="clear" w:pos="704"/>
              </w:tabs>
              <w:spacing w:line="240" w:lineRule="exact"/>
              <w:ind w:left="473" w:hanging="284"/>
            </w:pPr>
            <w:r w:rsidRPr="00E1008D">
              <w:t xml:space="preserve">il tasso d'interesse </w:t>
            </w:r>
            <w:r>
              <w:t xml:space="preserve">effettivo </w:t>
            </w:r>
            <w:r w:rsidRPr="00E1008D">
              <w:t>e le scadenze</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1008D" w:rsidRDefault="00F271AC" w:rsidP="00032976">
            <w:pPr>
              <w:pStyle w:val="rientrotrattinook"/>
              <w:tabs>
                <w:tab w:val="clear" w:pos="704"/>
              </w:tabs>
              <w:spacing w:line="240" w:lineRule="exact"/>
              <w:ind w:left="473" w:hanging="284"/>
            </w:pPr>
            <w:r w:rsidRPr="00E1008D">
              <w:t>l’ammontare dei crediti per i quali sono state modificate le condizioni di pagamento ed il relativo effetto sul conto economico</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1008D" w:rsidRDefault="00F271AC" w:rsidP="00032976">
            <w:pPr>
              <w:pStyle w:val="rientrotrattinook"/>
              <w:tabs>
                <w:tab w:val="clear" w:pos="704"/>
              </w:tabs>
              <w:spacing w:line="240" w:lineRule="exact"/>
              <w:ind w:left="473" w:hanging="284"/>
            </w:pPr>
            <w:r w:rsidRPr="00E1008D">
              <w:t>l’ammontare dei crediti dati in garanzia di propri debiti o impegni</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1008D" w:rsidRDefault="00F271AC" w:rsidP="00032976">
            <w:pPr>
              <w:pStyle w:val="rientrotrattinook"/>
              <w:tabs>
                <w:tab w:val="clear" w:pos="704"/>
              </w:tabs>
              <w:spacing w:line="240" w:lineRule="exact"/>
              <w:ind w:left="473" w:hanging="284"/>
            </w:pPr>
            <w:r w:rsidRPr="00E1008D">
              <w:t>l’ammontare degli interessi di mora compresi nei crediti scaduti, distinguendo tra quelli ritenuti recuperabili e quelli ritenuti irrecuperabili</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E1008D"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1008D" w:rsidRDefault="00F271AC" w:rsidP="00032976">
            <w:pPr>
              <w:pStyle w:val="rientrotrattinook"/>
              <w:tabs>
                <w:tab w:val="clear" w:pos="704"/>
              </w:tabs>
              <w:spacing w:line="240" w:lineRule="exact"/>
              <w:ind w:left="473" w:hanging="284"/>
              <w:rPr>
                <w:rFonts w:ascii="SymbolMT" w:eastAsia="SymbolMT" w:cs="SymbolMT"/>
              </w:rPr>
            </w:pPr>
            <w:r w:rsidRPr="00AE5877">
              <w:t xml:space="preserve">il grado di concentrazione dei crediti se è presente un fenomeno di concentrazione dei crediti; </w:t>
            </w:r>
            <w:r w:rsidRPr="00E1008D">
              <w:t>la natura dei creditori e la composizione della voce BIII2d</w:t>
            </w:r>
            <w:r>
              <w:t>-bis</w:t>
            </w:r>
            <w:r w:rsidRPr="00E1008D">
              <w:t>) e CII5</w:t>
            </w:r>
            <w:r>
              <w:t>-quater</w:t>
            </w:r>
            <w:r w:rsidRPr="00E1008D">
              <w:t xml:space="preserve"> “c</w:t>
            </w:r>
            <w:r w:rsidRPr="00E1008D">
              <w:rPr>
                <w:iCs/>
              </w:rPr>
              <w:t>rediti verso altri</w:t>
            </w:r>
            <w:r w:rsidRPr="00E1008D">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AE5877" w:rsidRDefault="00F271AC" w:rsidP="00D73E98">
            <w:pPr>
              <w:pStyle w:val="PrincCont"/>
              <w:jc w:val="left"/>
            </w:pPr>
            <w:r>
              <w:t xml:space="preserve">Art. 2423, c.4 CC             </w:t>
            </w:r>
            <w:r w:rsidRPr="00AE5877">
              <w:t>OIC 15.79</w:t>
            </w:r>
          </w:p>
        </w:tc>
        <w:tc>
          <w:tcPr>
            <w:tcW w:w="6964" w:type="dxa"/>
            <w:tcMar>
              <w:left w:w="108" w:type="dxa"/>
            </w:tcMar>
          </w:tcPr>
          <w:p w:rsidR="00F271AC" w:rsidRPr="00AE5877" w:rsidRDefault="00F271AC" w:rsidP="00871879">
            <w:pPr>
              <w:pStyle w:val="Commentiriquadro"/>
            </w:pPr>
            <w:r w:rsidRPr="00AE5877">
              <w:t>L’art</w:t>
            </w:r>
            <w:r>
              <w:t>.</w:t>
            </w:r>
            <w:r w:rsidRPr="00AE5877">
              <w:t xml:space="preserve"> 2423, c</w:t>
            </w:r>
            <w:r>
              <w:t>.</w:t>
            </w:r>
            <w:r w:rsidRPr="00AE5877">
              <w:t>4</w:t>
            </w:r>
            <w:r>
              <w:t xml:space="preserve"> CC</w:t>
            </w:r>
            <w:r w:rsidRPr="00AE5877">
              <w:t xml:space="preserve"> prevede che “</w:t>
            </w:r>
            <w:r w:rsidRPr="00AE5877">
              <w:rPr>
                <w:i/>
              </w:rPr>
              <w:t xml:space="preserve">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w:t>
            </w:r>
            <w:r w:rsidR="00871879">
              <w:rPr>
                <w:i/>
              </w:rPr>
              <w:t>n</w:t>
            </w:r>
            <w:r>
              <w:rPr>
                <w:i/>
              </w:rPr>
              <w:t xml:space="preserve">ota </w:t>
            </w:r>
            <w:r w:rsidR="00871879">
              <w:rPr>
                <w:i/>
              </w:rPr>
              <w:t>i</w:t>
            </w:r>
            <w:r>
              <w:rPr>
                <w:i/>
              </w:rPr>
              <w:t>ntegrativa</w:t>
            </w:r>
            <w:r w:rsidRPr="00AE5877">
              <w:rPr>
                <w:i/>
              </w:rPr>
              <w:t xml:space="preserve"> i criteri con i quali hanno dato attuazione alla presente disposizione</w:t>
            </w:r>
            <w:r w:rsidRPr="00AE5877">
              <w:t xml:space="preserve">.” Se, ad esempio, una società tenuta all’applicazione del criterio del costo ammortizzato decide di non utilizzarlo per crediti con scadenza inferiore ai 12 mesi o di non attualizzare un credito nel caso in cui il tasso di interesse desumibile dalle condizioni contrattuali non sia significativamente diverso dal tasso di interesse di mercato, la società ai sensi di tale previsione normativa illustra in </w:t>
            </w:r>
            <w:r w:rsidR="00104BFF">
              <w:t>N</w:t>
            </w:r>
            <w:r>
              <w:t xml:space="preserve">ota </w:t>
            </w:r>
            <w:r w:rsidR="00104BFF">
              <w:t>I</w:t>
            </w:r>
            <w:r>
              <w:t>ntegrativa</w:t>
            </w:r>
            <w:r w:rsidRPr="00AE5877">
              <w:t xml:space="preserve"> le politiche contabili adottate.</w:t>
            </w:r>
          </w:p>
        </w:tc>
        <w:tc>
          <w:tcPr>
            <w:tcW w:w="582" w:type="dxa"/>
            <w:tcMar>
              <w:left w:w="85" w:type="dxa"/>
              <w:right w:w="85" w:type="dxa"/>
            </w:tcMar>
            <w:vAlign w:val="center"/>
          </w:tcPr>
          <w:p w:rsidR="00F271AC" w:rsidRPr="00082F69" w:rsidRDefault="00F271AC" w:rsidP="00D73E98">
            <w:pPr>
              <w:jc w:val="center"/>
              <w:rPr>
                <w:lang w:val="it-IT"/>
              </w:rPr>
            </w:pPr>
          </w:p>
        </w:tc>
        <w:tc>
          <w:tcPr>
            <w:tcW w:w="571" w:type="dxa"/>
            <w:tcMar>
              <w:left w:w="108" w:type="dxa"/>
            </w:tcMar>
            <w:vAlign w:val="center"/>
          </w:tcPr>
          <w:p w:rsidR="00F271AC" w:rsidRPr="00082F69" w:rsidRDefault="00F271AC" w:rsidP="00D73E98">
            <w:pPr>
              <w:jc w:val="center"/>
              <w:rPr>
                <w:lang w:val="it-IT"/>
              </w:rPr>
            </w:pPr>
          </w:p>
        </w:tc>
        <w:tc>
          <w:tcPr>
            <w:tcW w:w="569" w:type="dxa"/>
            <w:tcMar>
              <w:left w:w="108" w:type="dxa"/>
            </w:tcMar>
            <w:vAlign w:val="center"/>
          </w:tcPr>
          <w:p w:rsidR="00F271AC" w:rsidRPr="00082F69" w:rsidRDefault="00F271AC" w:rsidP="00D73E98">
            <w:pPr>
              <w:jc w:val="center"/>
              <w:rPr>
                <w:lang w:val="it-IT"/>
              </w:rPr>
            </w:pPr>
          </w:p>
        </w:tc>
      </w:tr>
      <w:tr w:rsidR="00F271AC" w:rsidRPr="00121A1C" w:rsidTr="00D73E98">
        <w:trPr>
          <w:cantSplit/>
          <w:trHeight w:val="20"/>
        </w:trPr>
        <w:tc>
          <w:tcPr>
            <w:tcW w:w="675" w:type="dxa"/>
          </w:tcPr>
          <w:p w:rsidR="00F271AC" w:rsidRPr="0013791A" w:rsidRDefault="00F271AC" w:rsidP="00D73E98">
            <w:pPr>
              <w:jc w:val="center"/>
              <w:rPr>
                <w:b/>
                <w:lang w:val="it-IT"/>
              </w:rPr>
            </w:pPr>
            <w:r w:rsidRPr="0013791A">
              <w:rPr>
                <w:b/>
                <w:lang w:val="it-IT"/>
              </w:rPr>
              <w:t>62)</w:t>
            </w:r>
          </w:p>
        </w:tc>
        <w:tc>
          <w:tcPr>
            <w:tcW w:w="843" w:type="dxa"/>
            <w:tcMar>
              <w:left w:w="108" w:type="dxa"/>
              <w:right w:w="0" w:type="dxa"/>
            </w:tcMar>
          </w:tcPr>
          <w:p w:rsidR="00F271AC" w:rsidRDefault="00F271AC" w:rsidP="00D73E98">
            <w:pPr>
              <w:pStyle w:val="PrincCont"/>
              <w:jc w:val="left"/>
            </w:pPr>
            <w:r>
              <w:t>OIC 15.79</w:t>
            </w:r>
          </w:p>
        </w:tc>
        <w:tc>
          <w:tcPr>
            <w:tcW w:w="6964" w:type="dxa"/>
            <w:tcMar>
              <w:left w:w="108" w:type="dxa"/>
            </w:tcMar>
          </w:tcPr>
          <w:p w:rsidR="00F271AC" w:rsidRPr="00AE5877" w:rsidRDefault="00F271AC" w:rsidP="00032976">
            <w:pPr>
              <w:spacing w:line="240" w:lineRule="exact"/>
              <w:rPr>
                <w:lang w:val="it-IT"/>
              </w:rPr>
            </w:pPr>
            <w:r w:rsidRPr="00910DC3">
              <w:rPr>
                <w:lang w:val="it-IT"/>
              </w:rPr>
              <w:t xml:space="preserve">La </w:t>
            </w:r>
            <w:r>
              <w:rPr>
                <w:lang w:val="it-IT"/>
              </w:rPr>
              <w:t>Nota Integrativa</w:t>
            </w:r>
            <w:r w:rsidRPr="00910DC3">
              <w:rPr>
                <w:lang w:val="it-IT"/>
              </w:rPr>
              <w:t xml:space="preserve"> illustra le politiche contabili adottate e in particolare </w:t>
            </w:r>
            <w:r w:rsidRPr="00A6393F">
              <w:rPr>
                <w:lang w:val="it-IT"/>
              </w:rPr>
              <w:t xml:space="preserve">i criteri con i quali </w:t>
            </w:r>
            <w:r w:rsidRPr="00910DC3">
              <w:rPr>
                <w:lang w:val="it-IT"/>
              </w:rPr>
              <w:t xml:space="preserve">è stata </w:t>
            </w:r>
            <w:r w:rsidRPr="00A6393F">
              <w:rPr>
                <w:lang w:val="it-IT"/>
              </w:rPr>
              <w:t>dat</w:t>
            </w:r>
            <w:r w:rsidRPr="00910DC3">
              <w:rPr>
                <w:lang w:val="it-IT"/>
              </w:rPr>
              <w:t>a</w:t>
            </w:r>
            <w:r w:rsidRPr="00A6393F">
              <w:rPr>
                <w:lang w:val="it-IT"/>
              </w:rPr>
              <w:t xml:space="preserve"> attuazione alla disposizione</w:t>
            </w:r>
            <w:r>
              <w:rPr>
                <w:lang w:val="it-IT"/>
              </w:rPr>
              <w:t xml:space="preserve"> dell’</w:t>
            </w:r>
            <w:r w:rsidRPr="00A6393F">
              <w:rPr>
                <w:lang w:val="it-IT"/>
              </w:rPr>
              <w:t>art</w:t>
            </w:r>
            <w:r>
              <w:rPr>
                <w:lang w:val="it-IT"/>
              </w:rPr>
              <w:t>.</w:t>
            </w:r>
            <w:r w:rsidRPr="00A6393F">
              <w:rPr>
                <w:lang w:val="it-IT"/>
              </w:rPr>
              <w:t xml:space="preserve"> 2423, c</w:t>
            </w:r>
            <w:r>
              <w:rPr>
                <w:lang w:val="it-IT"/>
              </w:rPr>
              <w:t>.</w:t>
            </w:r>
            <w:r w:rsidRPr="00A6393F">
              <w:rPr>
                <w:lang w:val="it-IT"/>
              </w:rPr>
              <w:t>4</w:t>
            </w:r>
            <w:r>
              <w:rPr>
                <w:lang w:val="it-IT"/>
              </w:rPr>
              <w:t xml:space="preserve"> CC?</w:t>
            </w:r>
          </w:p>
        </w:tc>
        <w:tc>
          <w:tcPr>
            <w:tcW w:w="582" w:type="dxa"/>
            <w:tcMar>
              <w:left w:w="85" w:type="dxa"/>
              <w:right w:w="85" w:type="dxa"/>
            </w:tcMar>
            <w:vAlign w:val="center"/>
          </w:tcPr>
          <w:p w:rsidR="00F271AC" w:rsidRPr="00082F69"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082F69"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AE5877"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121A1C"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Default="00F271AC" w:rsidP="00D73E98">
            <w:pPr>
              <w:pStyle w:val="PrincCont"/>
              <w:jc w:val="left"/>
            </w:pPr>
            <w:r>
              <w:t>Art. 2424, c.2 CC             OIC 15.80</w:t>
            </w:r>
          </w:p>
        </w:tc>
        <w:tc>
          <w:tcPr>
            <w:tcW w:w="6964" w:type="dxa"/>
            <w:tcMar>
              <w:left w:w="108" w:type="dxa"/>
            </w:tcMar>
          </w:tcPr>
          <w:p w:rsidR="00F271AC" w:rsidRPr="00FD3A46" w:rsidRDefault="00F271AC" w:rsidP="00104BFF">
            <w:pPr>
              <w:pStyle w:val="Commentiriquadro"/>
            </w:pPr>
            <w:r w:rsidRPr="00FD3A46">
              <w:t>L’art</w:t>
            </w:r>
            <w:r>
              <w:t>.</w:t>
            </w:r>
            <w:r w:rsidRPr="00FD3A46">
              <w:t xml:space="preserve"> 2424, c</w:t>
            </w:r>
            <w:r>
              <w:t>.</w:t>
            </w:r>
            <w:r w:rsidRPr="00FD3A46">
              <w:t>2</w:t>
            </w:r>
            <w:r>
              <w:t xml:space="preserve"> CC</w:t>
            </w:r>
            <w:r w:rsidRPr="00FD3A46">
              <w:t xml:space="preserve"> prevede che </w:t>
            </w:r>
            <w:r w:rsidRPr="00FD3A46">
              <w:rPr>
                <w:i/>
              </w:rPr>
              <w:t xml:space="preserve">“se un elemento dell'attivo o del passivo ricade sotto più voci dello schema, nella </w:t>
            </w:r>
            <w:r w:rsidR="00104BFF">
              <w:rPr>
                <w:i/>
              </w:rPr>
              <w:t>nota i</w:t>
            </w:r>
            <w:r>
              <w:rPr>
                <w:i/>
              </w:rPr>
              <w:t>ntegrativa</w:t>
            </w:r>
            <w:r w:rsidRPr="00FD3A46">
              <w:rPr>
                <w:i/>
              </w:rPr>
              <w:t xml:space="preserve"> deve annotarsi, qualora ciò sia necessario ai fini della comprensione del bilancio, la sua appartenenza anche a voci diverse da quella nella quale è iscritto</w:t>
            </w:r>
            <w:r w:rsidRPr="00FD3A46">
              <w:t>”. Questa norma interessa i crediti quando, ad esempio, un credito</w:t>
            </w:r>
            <w:r w:rsidRPr="00FD3A46">
              <w:rPr>
                <w:rFonts w:ascii="Times New Roman" w:hAnsi="Times New Roman"/>
                <w:sz w:val="22"/>
                <w:szCs w:val="22"/>
              </w:rPr>
              <w:t xml:space="preserve"> </w:t>
            </w:r>
            <w:r w:rsidRPr="00FD3A46">
              <w:t xml:space="preserve">commerciale verso controllanti è classificato nei crediti verso le controllanti. </w:t>
            </w:r>
            <w:r w:rsidRPr="00FD3A46">
              <w:rPr>
                <w:lang w:val="en-US"/>
              </w:rPr>
              <w:t xml:space="preserve">Ciò va annotato in </w:t>
            </w:r>
            <w:r>
              <w:rPr>
                <w:lang w:val="en-US"/>
              </w:rPr>
              <w:t>Nota Integrativa</w:t>
            </w:r>
            <w:r w:rsidRPr="00FD3A46">
              <w:rPr>
                <w:lang w:val="en-US"/>
              </w:rPr>
              <w:t>.</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121A1C" w:rsidTr="00D73E98">
        <w:trPr>
          <w:cantSplit/>
          <w:trHeight w:val="20"/>
        </w:trPr>
        <w:tc>
          <w:tcPr>
            <w:tcW w:w="675" w:type="dxa"/>
          </w:tcPr>
          <w:p w:rsidR="00F271AC" w:rsidRPr="0013791A" w:rsidRDefault="00F271AC" w:rsidP="00D73E98">
            <w:pPr>
              <w:jc w:val="center"/>
              <w:rPr>
                <w:b/>
                <w:lang w:val="it-IT"/>
              </w:rPr>
            </w:pPr>
            <w:r w:rsidRPr="0013791A">
              <w:rPr>
                <w:b/>
                <w:lang w:val="it-IT"/>
              </w:rPr>
              <w:t>63)</w:t>
            </w:r>
          </w:p>
        </w:tc>
        <w:tc>
          <w:tcPr>
            <w:tcW w:w="843" w:type="dxa"/>
            <w:tcMar>
              <w:left w:w="108" w:type="dxa"/>
              <w:right w:w="0" w:type="dxa"/>
            </w:tcMar>
          </w:tcPr>
          <w:p w:rsidR="00F271AC" w:rsidRPr="00FD3A46" w:rsidRDefault="00F271AC" w:rsidP="00D73E98">
            <w:pPr>
              <w:pStyle w:val="PrincCont"/>
              <w:jc w:val="left"/>
              <w:rPr>
                <w:lang w:val="it-IT"/>
              </w:rPr>
            </w:pPr>
            <w:r>
              <w:rPr>
                <w:lang w:val="it-IT"/>
              </w:rPr>
              <w:t>OIC 15.80</w:t>
            </w:r>
          </w:p>
        </w:tc>
        <w:tc>
          <w:tcPr>
            <w:tcW w:w="6964" w:type="dxa"/>
            <w:tcMar>
              <w:left w:w="108" w:type="dxa"/>
            </w:tcMar>
          </w:tcPr>
          <w:p w:rsidR="00F271AC" w:rsidRPr="00AE5877" w:rsidRDefault="00F271AC" w:rsidP="00D73E98">
            <w:pPr>
              <w:spacing w:line="230" w:lineRule="exact"/>
              <w:rPr>
                <w:lang w:val="it-IT"/>
              </w:rPr>
            </w:pPr>
            <w:r>
              <w:rPr>
                <w:lang w:val="it-IT"/>
              </w:rPr>
              <w:t>La Nota Integrativa indica i crediti che appartengono anche a voci diverse da quelle nelle quali sono iscritte?</w:t>
            </w:r>
          </w:p>
        </w:tc>
        <w:tc>
          <w:tcPr>
            <w:tcW w:w="582" w:type="dxa"/>
            <w:tcMar>
              <w:left w:w="85" w:type="dxa"/>
              <w:right w:w="85"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FD3A46" w:rsidRDefault="00F271AC" w:rsidP="00D73E98">
            <w:pPr>
              <w:pStyle w:val="PrincCont"/>
              <w:jc w:val="left"/>
              <w:rPr>
                <w:lang w:val="it-IT"/>
              </w:rPr>
            </w:pPr>
            <w:r>
              <w:rPr>
                <w:lang w:val="it-IT"/>
              </w:rPr>
              <w:t>OIC 15.81</w:t>
            </w:r>
          </w:p>
        </w:tc>
        <w:tc>
          <w:tcPr>
            <w:tcW w:w="6964" w:type="dxa"/>
            <w:tcMar>
              <w:left w:w="108" w:type="dxa"/>
            </w:tcMar>
          </w:tcPr>
          <w:p w:rsidR="00F271AC" w:rsidRDefault="00F271AC" w:rsidP="00D73E98">
            <w:pPr>
              <w:pStyle w:val="Commentiriquadro"/>
              <w:spacing w:line="190" w:lineRule="exact"/>
            </w:pPr>
            <w:r w:rsidRPr="00FD3A46">
              <w:t xml:space="preserve">Con riferimento ai crediti immobilizzati iscritti ad un valore superiore al loro </w:t>
            </w:r>
            <w:r w:rsidRPr="00FD3A46">
              <w:rPr>
                <w:i/>
              </w:rPr>
              <w:t>fair value</w:t>
            </w:r>
            <w:r w:rsidRPr="00FD3A46">
              <w:t>, l’art</w:t>
            </w:r>
            <w:r>
              <w:t>.</w:t>
            </w:r>
            <w:r w:rsidRPr="00FD3A46">
              <w:t xml:space="preserve"> 2427-bis,</w:t>
            </w:r>
            <w:r>
              <w:t xml:space="preserve"> c.1,</w:t>
            </w:r>
            <w:r w:rsidRPr="00FD3A46">
              <w:t xml:space="preserve"> n</w:t>
            </w:r>
            <w:r>
              <w:t>.</w:t>
            </w:r>
            <w:r w:rsidRPr="00FD3A46">
              <w:t xml:space="preserve"> 2</w:t>
            </w:r>
            <w:r>
              <w:t xml:space="preserve"> CC</w:t>
            </w:r>
            <w:r w:rsidRPr="00FD3A46">
              <w:t xml:space="preserve"> richiede di indicare nella </w:t>
            </w:r>
            <w:r>
              <w:t>Nota Integrativa</w:t>
            </w:r>
            <w:r w:rsidRPr="00FD3A46">
              <w:t xml:space="preserve"> i motivi per i quali il valore contabile non è stato ridotto, inclusa la natura degli elementi sostanziali sui quali si basa il convincimento che tale valore possa essere recuperato.</w:t>
            </w:r>
          </w:p>
          <w:p w:rsidR="00F271AC" w:rsidRPr="00FD3A46" w:rsidRDefault="00F271AC" w:rsidP="00D73E98">
            <w:pPr>
              <w:pStyle w:val="Commentiriquadro"/>
            </w:pPr>
            <w:r w:rsidRPr="00FD3A46">
              <w:t>Per i crediti non esistono di fatto prezzi rilevabili su mercati attivi e liquidi. Pertanto occorre fare uso di modelli valutativi, tra i quali il cosiddetto “</w:t>
            </w:r>
            <w:r w:rsidRPr="00FD3A46">
              <w:rPr>
                <w:i/>
              </w:rPr>
              <w:t>Discounted cash flow</w:t>
            </w:r>
            <w:r w:rsidRPr="00FD3A46">
              <w:t>” (DCF), cioè il calcolo del valore attuale dei flussi di cassa futuri, è certamente il più comune.</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121A1C" w:rsidTr="00D73E98">
        <w:trPr>
          <w:cantSplit/>
          <w:trHeight w:val="20"/>
        </w:trPr>
        <w:tc>
          <w:tcPr>
            <w:tcW w:w="675" w:type="dxa"/>
          </w:tcPr>
          <w:p w:rsidR="00F271AC" w:rsidRPr="0013791A" w:rsidRDefault="00F271AC" w:rsidP="00D73E98">
            <w:pPr>
              <w:jc w:val="center"/>
              <w:rPr>
                <w:b/>
                <w:lang w:val="it-IT"/>
              </w:rPr>
            </w:pPr>
            <w:r w:rsidRPr="0013791A">
              <w:rPr>
                <w:b/>
                <w:lang w:val="it-IT"/>
              </w:rPr>
              <w:t>64)</w:t>
            </w:r>
          </w:p>
        </w:tc>
        <w:tc>
          <w:tcPr>
            <w:tcW w:w="843" w:type="dxa"/>
            <w:tcMar>
              <w:left w:w="108" w:type="dxa"/>
              <w:right w:w="0" w:type="dxa"/>
            </w:tcMar>
          </w:tcPr>
          <w:p w:rsidR="00F271AC" w:rsidRPr="00FD3A46" w:rsidRDefault="00F271AC" w:rsidP="00D73E98">
            <w:pPr>
              <w:pStyle w:val="PrincCont"/>
              <w:jc w:val="left"/>
              <w:rPr>
                <w:lang w:val="it-IT"/>
              </w:rPr>
            </w:pPr>
            <w:r>
              <w:rPr>
                <w:lang w:val="it-IT"/>
              </w:rPr>
              <w:t>OIC 15.81</w:t>
            </w:r>
          </w:p>
        </w:tc>
        <w:tc>
          <w:tcPr>
            <w:tcW w:w="6964" w:type="dxa"/>
            <w:tcMar>
              <w:left w:w="108" w:type="dxa"/>
            </w:tcMar>
          </w:tcPr>
          <w:p w:rsidR="00F271AC" w:rsidRPr="00AE5877" w:rsidRDefault="00F271AC" w:rsidP="00D73E98">
            <w:pPr>
              <w:spacing w:line="230" w:lineRule="exact"/>
              <w:rPr>
                <w:lang w:val="it-IT"/>
              </w:rPr>
            </w:pPr>
            <w:r>
              <w:rPr>
                <w:lang w:val="it-IT"/>
              </w:rPr>
              <w:t xml:space="preserve">La Nota Integrativa contiene l’indicazione dei crediti </w:t>
            </w:r>
            <w:r w:rsidRPr="00FD3A46">
              <w:rPr>
                <w:lang w:val="it-IT"/>
              </w:rPr>
              <w:t xml:space="preserve">immobilizzati iscritti ad un valore superiore al loro </w:t>
            </w:r>
            <w:r w:rsidRPr="0013791A">
              <w:rPr>
                <w:i/>
                <w:lang w:val="it-IT"/>
              </w:rPr>
              <w:t>fair value</w:t>
            </w:r>
            <w:r w:rsidRPr="00963CDF">
              <w:rPr>
                <w:lang w:val="it-IT"/>
              </w:rPr>
              <w:t xml:space="preserve"> </w:t>
            </w:r>
            <w:r>
              <w:rPr>
                <w:lang w:val="it-IT"/>
              </w:rPr>
              <w:t xml:space="preserve">con </w:t>
            </w:r>
            <w:r w:rsidRPr="00963CDF">
              <w:rPr>
                <w:lang w:val="it-IT"/>
              </w:rPr>
              <w:t>i motivi per i quali il valore contabile non è stato ridotto, inclusa la natura degli elementi sostanziali sui quali si basa il convincimento che tale valore possa essere recuperato</w:t>
            </w:r>
            <w:r>
              <w:rPr>
                <w:lang w:val="it-IT"/>
              </w:rPr>
              <w:t>?</w:t>
            </w:r>
          </w:p>
        </w:tc>
        <w:tc>
          <w:tcPr>
            <w:tcW w:w="582" w:type="dxa"/>
            <w:tcMar>
              <w:left w:w="85" w:type="dxa"/>
              <w:right w:w="85"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FD3A46" w:rsidRDefault="00F271AC" w:rsidP="00D73E98">
            <w:pPr>
              <w:pStyle w:val="PrincCont"/>
              <w:jc w:val="left"/>
              <w:rPr>
                <w:lang w:val="it-IT"/>
              </w:rPr>
            </w:pPr>
            <w:r>
              <w:rPr>
                <w:lang w:val="it-IT"/>
              </w:rPr>
              <w:t>OIC 15.82</w:t>
            </w:r>
          </w:p>
        </w:tc>
        <w:tc>
          <w:tcPr>
            <w:tcW w:w="6964" w:type="dxa"/>
            <w:tcMar>
              <w:left w:w="108" w:type="dxa"/>
            </w:tcMar>
          </w:tcPr>
          <w:p w:rsidR="00F271AC" w:rsidRDefault="00F271AC" w:rsidP="00D73E98">
            <w:pPr>
              <w:pStyle w:val="Commentiriquadro"/>
              <w:spacing w:line="190" w:lineRule="exact"/>
            </w:pPr>
            <w:r w:rsidRPr="00963CDF">
              <w:t xml:space="preserve">Le informazioni da fornire in </w:t>
            </w:r>
            <w:r>
              <w:t>Nota Integrativa</w:t>
            </w:r>
            <w:r w:rsidRPr="00963CDF">
              <w:t xml:space="preserve"> con riferimento ai crediti verso imprese controllate, collegate, controllanti, sottoposte al controllo delle controllanti e altre parti correlate sono disciplinate dall’OIC 12 “Composizione e schemi del bilancio d’esercizio”.</w:t>
            </w:r>
          </w:p>
          <w:p w:rsidR="00F271AC" w:rsidRPr="00AE5877" w:rsidRDefault="00F271AC" w:rsidP="00D73E98">
            <w:pPr>
              <w:pStyle w:val="Commentiriquadro"/>
              <w:spacing w:line="190" w:lineRule="exact"/>
            </w:pPr>
            <w:r w:rsidRPr="00963CDF">
              <w:t>Analogamente le informazioni relative ai crediti verso i soggetti che esercitano l’attività di direzione e coordinamento e verso le altre società che vi sono soggette sono disciplinate nell’OIC 12.</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CC242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FD3A46" w:rsidRDefault="00F271AC" w:rsidP="00D73E98">
            <w:pPr>
              <w:pStyle w:val="PrincCont"/>
              <w:jc w:val="left"/>
              <w:rPr>
                <w:lang w:val="it-IT"/>
              </w:rPr>
            </w:pPr>
          </w:p>
        </w:tc>
        <w:tc>
          <w:tcPr>
            <w:tcW w:w="6964" w:type="dxa"/>
            <w:tcMar>
              <w:left w:w="108" w:type="dxa"/>
            </w:tcMar>
          </w:tcPr>
          <w:p w:rsidR="00F271AC" w:rsidRPr="00FF2F91" w:rsidRDefault="00F271AC" w:rsidP="00D73E98">
            <w:pPr>
              <w:pStyle w:val="Titolo3"/>
              <w:rPr>
                <w:lang w:val="it-IT"/>
              </w:rPr>
            </w:pPr>
            <w:r w:rsidRPr="00FF2F91">
              <w:rPr>
                <w:lang w:val="it-IT"/>
              </w:rPr>
              <w:t>Informazioni relative alle società che redigono il bilancio in forma abbreviata</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CC242B" w:rsidTr="00D73E98">
        <w:trPr>
          <w:cantSplit/>
          <w:trHeight w:val="20"/>
        </w:trPr>
        <w:tc>
          <w:tcPr>
            <w:tcW w:w="675" w:type="dxa"/>
          </w:tcPr>
          <w:p w:rsidR="00F271AC" w:rsidRPr="0013791A" w:rsidRDefault="00F271AC" w:rsidP="00D73E98">
            <w:pPr>
              <w:jc w:val="center"/>
              <w:rPr>
                <w:b/>
                <w:lang w:val="it-IT"/>
              </w:rPr>
            </w:pPr>
            <w:r w:rsidRPr="0013791A">
              <w:rPr>
                <w:b/>
                <w:lang w:val="it-IT"/>
              </w:rPr>
              <w:t>65)</w:t>
            </w:r>
          </w:p>
        </w:tc>
        <w:tc>
          <w:tcPr>
            <w:tcW w:w="843" w:type="dxa"/>
            <w:tcMar>
              <w:left w:w="108" w:type="dxa"/>
              <w:right w:w="0" w:type="dxa"/>
            </w:tcMar>
          </w:tcPr>
          <w:p w:rsidR="00F271AC" w:rsidRPr="00FF5488" w:rsidRDefault="00F271AC" w:rsidP="00D73E98">
            <w:pPr>
              <w:pStyle w:val="PrincCont"/>
              <w:jc w:val="left"/>
            </w:pPr>
            <w:r w:rsidRPr="00FF5488">
              <w:t>Art. 2427, c.1 CC</w:t>
            </w:r>
            <w:r>
              <w:t xml:space="preserve">             </w:t>
            </w:r>
            <w:r w:rsidRPr="00FF5488">
              <w:t>OIC 15.83</w:t>
            </w:r>
          </w:p>
        </w:tc>
        <w:tc>
          <w:tcPr>
            <w:tcW w:w="6964" w:type="dxa"/>
            <w:tcMar>
              <w:left w:w="108" w:type="dxa"/>
            </w:tcMar>
          </w:tcPr>
          <w:p w:rsidR="00F271AC" w:rsidRPr="00AE5877" w:rsidRDefault="00F271AC" w:rsidP="00D73E98">
            <w:pPr>
              <w:spacing w:line="230" w:lineRule="exact"/>
              <w:rPr>
                <w:lang w:val="it-IT"/>
              </w:rPr>
            </w:pPr>
            <w:r w:rsidRPr="00FF2F91">
              <w:rPr>
                <w:lang w:val="it-IT"/>
              </w:rPr>
              <w:t xml:space="preserve">Con riferimento ai crediti, nella </w:t>
            </w:r>
            <w:r>
              <w:rPr>
                <w:lang w:val="it-IT"/>
              </w:rPr>
              <w:t>Nota Integrativa</w:t>
            </w:r>
            <w:r w:rsidRPr="00FF2F91">
              <w:rPr>
                <w:lang w:val="it-IT"/>
              </w:rPr>
              <w:t xml:space="preserve"> del bilancio in forma abbreviata sono fornite le seguenti informazioni richieste dall’art</w:t>
            </w:r>
            <w:r>
              <w:rPr>
                <w:lang w:val="it-IT"/>
              </w:rPr>
              <w:t>.</w:t>
            </w:r>
            <w:r w:rsidRPr="00FF2F91">
              <w:rPr>
                <w:lang w:val="it-IT"/>
              </w:rPr>
              <w:t xml:space="preserve"> 2427, c</w:t>
            </w:r>
            <w:r>
              <w:rPr>
                <w:lang w:val="it-IT"/>
              </w:rPr>
              <w:t>.</w:t>
            </w:r>
            <w:r w:rsidRPr="00FF2F91">
              <w:rPr>
                <w:lang w:val="it-IT"/>
              </w:rPr>
              <w:t xml:space="preserve">1 </w:t>
            </w:r>
            <w:r>
              <w:rPr>
                <w:lang w:val="it-IT"/>
              </w:rPr>
              <w:t>CC</w:t>
            </w:r>
            <w:r w:rsidRPr="00FF2F91">
              <w:rPr>
                <w:lang w:val="it-IT"/>
              </w:rPr>
              <w:t>:</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121A1C"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FF5488" w:rsidRDefault="00F271AC" w:rsidP="00D73E98">
            <w:pPr>
              <w:pStyle w:val="PrincCont"/>
              <w:jc w:val="left"/>
            </w:pPr>
            <w:r w:rsidRPr="00FF5488">
              <w:t>Art. 2427, c.1 CC</w:t>
            </w:r>
            <w:r>
              <w:t xml:space="preserve">             </w:t>
            </w:r>
            <w:r w:rsidRPr="00FF5488">
              <w:t>OIC 15.83</w:t>
            </w:r>
          </w:p>
        </w:tc>
        <w:tc>
          <w:tcPr>
            <w:tcW w:w="6964" w:type="dxa"/>
            <w:tcMar>
              <w:left w:w="108" w:type="dxa"/>
            </w:tcMar>
          </w:tcPr>
          <w:p w:rsidR="00F271AC" w:rsidRPr="005D7837" w:rsidRDefault="0066247A" w:rsidP="0066247A">
            <w:pPr>
              <w:pStyle w:val="Puntoelenco"/>
              <w:tabs>
                <w:tab w:val="clear" w:pos="704"/>
              </w:tabs>
              <w:spacing w:line="230" w:lineRule="exact"/>
              <w:ind w:left="473" w:hanging="284"/>
              <w:rPr>
                <w:i/>
              </w:rPr>
            </w:pPr>
            <w:r>
              <w:rPr>
                <w:i/>
              </w:rPr>
              <w:t>“</w:t>
            </w:r>
            <w:r w:rsidR="00F271AC" w:rsidRPr="005D7837">
              <w:rPr>
                <w:i/>
              </w:rPr>
              <w:t>i criteri applicati nella valutazione delle voci del bilancio, nelle rettifiche di valore e nella conversione dei valori non espressi all'origine in moneta avente corso legale nello Stato”;</w:t>
            </w:r>
          </w:p>
        </w:tc>
        <w:tc>
          <w:tcPr>
            <w:tcW w:w="582" w:type="dxa"/>
            <w:tcMar>
              <w:left w:w="85" w:type="dxa"/>
              <w:right w:w="85"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121A1C"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FF5488" w:rsidRDefault="00F271AC" w:rsidP="00D73E98">
            <w:pPr>
              <w:pStyle w:val="PrincCont"/>
              <w:jc w:val="left"/>
            </w:pPr>
            <w:r w:rsidRPr="00FF5488">
              <w:t>Art. 2427, c.1 CC</w:t>
            </w:r>
            <w:r>
              <w:t xml:space="preserve">             </w:t>
            </w:r>
            <w:r w:rsidRPr="00FF5488">
              <w:t>OIC 15.83</w:t>
            </w:r>
          </w:p>
        </w:tc>
        <w:tc>
          <w:tcPr>
            <w:tcW w:w="6964" w:type="dxa"/>
            <w:tcMar>
              <w:left w:w="108" w:type="dxa"/>
            </w:tcMar>
          </w:tcPr>
          <w:p w:rsidR="00F271AC" w:rsidRPr="005D7837" w:rsidRDefault="00F271AC" w:rsidP="0066247A">
            <w:pPr>
              <w:pStyle w:val="Puntoelenco"/>
              <w:tabs>
                <w:tab w:val="clear" w:pos="704"/>
              </w:tabs>
              <w:spacing w:line="230" w:lineRule="exact"/>
              <w:ind w:left="471" w:hanging="284"/>
              <w:rPr>
                <w:i/>
              </w:rPr>
            </w:pPr>
            <w:r w:rsidRPr="005D7837">
              <w:rPr>
                <w:i/>
              </w:rPr>
              <w:t>“i movimenti delle immobilizzazioni, specificando per ciascuna voce: il costo; le precedenti rivalutazioni, ammortamenti e svalutazioni; le acquisizioni, gli spostamenti da una ad altra voce, le alienazioni avvenuti nell’esercizio; le rivalutazioni, gli ammortamenti e le svalutazioni effettuati nell’esercizio; il totale delle rivalutazioni riguardanti le immobilizzazioni esistenti alla chiusura dell’esercizio (per quanto riguarda i crediti classificati tra le immobilizzazioni finanziarie)”?</w:t>
            </w:r>
          </w:p>
        </w:tc>
        <w:tc>
          <w:tcPr>
            <w:tcW w:w="582" w:type="dxa"/>
            <w:tcMar>
              <w:left w:w="85" w:type="dxa"/>
              <w:right w:w="85"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FD3A46" w:rsidRDefault="00F271AC" w:rsidP="00D73E98">
            <w:pPr>
              <w:pStyle w:val="PrincCont"/>
              <w:jc w:val="left"/>
              <w:rPr>
                <w:lang w:val="it-IT"/>
              </w:rPr>
            </w:pPr>
            <w:r>
              <w:rPr>
                <w:lang w:val="it-IT"/>
              </w:rPr>
              <w:t>OIC 15.84</w:t>
            </w:r>
          </w:p>
        </w:tc>
        <w:tc>
          <w:tcPr>
            <w:tcW w:w="6964" w:type="dxa"/>
            <w:tcMar>
              <w:left w:w="108" w:type="dxa"/>
            </w:tcMar>
          </w:tcPr>
          <w:p w:rsidR="00F271AC" w:rsidRPr="00FF2F91" w:rsidRDefault="00F271AC" w:rsidP="00D73E98">
            <w:pPr>
              <w:pStyle w:val="Commentiriquadro"/>
            </w:pPr>
            <w:r w:rsidRPr="00FF2F91">
              <w:t xml:space="preserve">La </w:t>
            </w:r>
            <w:r>
              <w:t>Nota Integrativa</w:t>
            </w:r>
            <w:r w:rsidRPr="00FF2F91">
              <w:t xml:space="preserve"> deve quindi indicare il criterio applicato nella valutazione dei crediti sia nel caso si adotti il costo ammortizzato che nel caso si eserciti la facoltà di non valutare i crediti con tale criterio.</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CC242B"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FD3A46" w:rsidRDefault="00F271AC" w:rsidP="00D73E98">
            <w:pPr>
              <w:pStyle w:val="PrincCont"/>
              <w:jc w:val="left"/>
              <w:rPr>
                <w:lang w:val="it-IT"/>
              </w:rPr>
            </w:pPr>
            <w:r>
              <w:rPr>
                <w:lang w:val="it-IT"/>
              </w:rPr>
              <w:t>OIC 15.85</w:t>
            </w:r>
          </w:p>
        </w:tc>
        <w:tc>
          <w:tcPr>
            <w:tcW w:w="6964" w:type="dxa"/>
            <w:tcMar>
              <w:left w:w="108" w:type="dxa"/>
            </w:tcMar>
          </w:tcPr>
          <w:p w:rsidR="00F271AC" w:rsidRPr="00FF2F91" w:rsidRDefault="00F271AC" w:rsidP="00104BFF">
            <w:pPr>
              <w:pStyle w:val="Commentiriquadro"/>
              <w:spacing w:line="190" w:lineRule="exact"/>
            </w:pPr>
            <w:r w:rsidRPr="00FF2F91">
              <w:t>L’art</w:t>
            </w:r>
            <w:r>
              <w:t>.</w:t>
            </w:r>
            <w:r w:rsidRPr="00FF2F91">
              <w:t xml:space="preserve"> 2423, c</w:t>
            </w:r>
            <w:r>
              <w:t>.</w:t>
            </w:r>
            <w:r w:rsidRPr="00FF2F91">
              <w:t>4</w:t>
            </w:r>
            <w:r>
              <w:t xml:space="preserve"> CC</w:t>
            </w:r>
            <w:r w:rsidRPr="00FF2F91">
              <w:t xml:space="preserve"> prevede che “</w:t>
            </w:r>
            <w:r w:rsidRPr="00FF2F91">
              <w:rPr>
                <w:i/>
              </w:rPr>
              <w:t xml:space="preserve">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w:t>
            </w:r>
            <w:r w:rsidR="00104BFF">
              <w:rPr>
                <w:i/>
              </w:rPr>
              <w:t>nota i</w:t>
            </w:r>
            <w:r>
              <w:rPr>
                <w:i/>
              </w:rPr>
              <w:t>ntegrativa</w:t>
            </w:r>
            <w:r w:rsidRPr="00FF2F91">
              <w:rPr>
                <w:i/>
              </w:rPr>
              <w:t xml:space="preserve"> i criteri con i quali hanno dato attuazione alla presente disposizione</w:t>
            </w:r>
            <w:r w:rsidRPr="00FF2F91">
              <w:t>.”</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121A1C"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FD3A46" w:rsidRDefault="00F271AC" w:rsidP="00D73E98">
            <w:pPr>
              <w:pStyle w:val="PrincCont"/>
              <w:jc w:val="left"/>
              <w:rPr>
                <w:lang w:val="it-IT"/>
              </w:rPr>
            </w:pPr>
          </w:p>
        </w:tc>
        <w:tc>
          <w:tcPr>
            <w:tcW w:w="6964" w:type="dxa"/>
            <w:tcMar>
              <w:left w:w="108" w:type="dxa"/>
            </w:tcMar>
          </w:tcPr>
          <w:p w:rsidR="00F271AC" w:rsidRPr="00AE5877" w:rsidRDefault="00F271AC" w:rsidP="00D73E98">
            <w:pPr>
              <w:pStyle w:val="Titolo2"/>
              <w:rPr>
                <w:lang w:val="it-IT"/>
              </w:rPr>
            </w:pPr>
            <w:r w:rsidRPr="00254E57">
              <w:rPr>
                <w:lang w:val="en-US"/>
              </w:rPr>
              <w:t>Disposizioni di prima applicazione</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CC242B"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FD3A46" w:rsidRDefault="00F271AC" w:rsidP="00D73E98">
            <w:pPr>
              <w:pStyle w:val="PrincCont"/>
              <w:jc w:val="left"/>
              <w:rPr>
                <w:lang w:val="it-IT"/>
              </w:rPr>
            </w:pPr>
            <w:r>
              <w:rPr>
                <w:lang w:val="it-IT"/>
              </w:rPr>
              <w:t>OIC 15.89</w:t>
            </w:r>
          </w:p>
        </w:tc>
        <w:tc>
          <w:tcPr>
            <w:tcW w:w="6964" w:type="dxa"/>
            <w:tcMar>
              <w:left w:w="108" w:type="dxa"/>
            </w:tcMar>
          </w:tcPr>
          <w:p w:rsidR="00F271AC" w:rsidRPr="00254E57" w:rsidRDefault="00F271AC" w:rsidP="00D73E98">
            <w:pPr>
              <w:pStyle w:val="Commentiriquadro"/>
            </w:pPr>
            <w:r w:rsidRPr="00254E57">
              <w:t>L’art</w:t>
            </w:r>
            <w:r>
              <w:t>.</w:t>
            </w:r>
            <w:r w:rsidRPr="00254E57">
              <w:t xml:space="preserve"> 12</w:t>
            </w:r>
            <w:r>
              <w:t>,</w:t>
            </w:r>
            <w:r w:rsidRPr="00254E57">
              <w:t xml:space="preserve"> c</w:t>
            </w:r>
            <w:r>
              <w:t>.</w:t>
            </w:r>
            <w:r w:rsidRPr="00254E57">
              <w:t>2 del D.lgs. 139/2015 prevede che le modificazioni previste all’art</w:t>
            </w:r>
            <w:r>
              <w:t>.</w:t>
            </w:r>
            <w:r w:rsidRPr="00254E57">
              <w:t xml:space="preserve"> 2426, c</w:t>
            </w:r>
            <w:r>
              <w:t>.</w:t>
            </w:r>
            <w:r w:rsidRPr="00254E57">
              <w:t>1, n</w:t>
            </w:r>
            <w:r>
              <w:t>.</w:t>
            </w:r>
            <w:r w:rsidRPr="00254E57">
              <w:t>8</w:t>
            </w:r>
            <w:r>
              <w:t xml:space="preserve"> CC</w:t>
            </w:r>
            <w:r w:rsidRPr="00254E57">
              <w:t xml:space="preserve"> (criterio del costo ammortizzato) “</w:t>
            </w:r>
            <w:r w:rsidRPr="00254E57">
              <w:rPr>
                <w:i/>
              </w:rPr>
              <w:t>possono non essere applicate alle componenti delle voci riferite ad operazioni che non hanno ancora esaurito i loro effetti in bilancio</w:t>
            </w:r>
            <w:r w:rsidRPr="00254E57">
              <w:t xml:space="preserve">”. Qualora si usufruisca di tale facoltà la società applica il costo ammortizzato esclusivamente ai crediti sorti successivamente all’esercizio avente inizio a partire dal 1° gennaio 2016 e dell’esercizio della facoltà occorre farne menzione in </w:t>
            </w:r>
            <w:r>
              <w:t>Nota Integrativa</w:t>
            </w:r>
            <w:r w:rsidRPr="00254E57">
              <w:t>.</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121A1C" w:rsidTr="00D73E98">
        <w:trPr>
          <w:cantSplit/>
          <w:trHeight w:val="20"/>
        </w:trPr>
        <w:tc>
          <w:tcPr>
            <w:tcW w:w="675" w:type="dxa"/>
          </w:tcPr>
          <w:p w:rsidR="00F271AC" w:rsidRPr="0013791A" w:rsidRDefault="00F271AC" w:rsidP="00D73E98">
            <w:pPr>
              <w:jc w:val="center"/>
              <w:rPr>
                <w:b/>
                <w:lang w:val="it-IT"/>
              </w:rPr>
            </w:pPr>
            <w:r w:rsidRPr="0013791A">
              <w:rPr>
                <w:b/>
                <w:lang w:val="it-IT"/>
              </w:rPr>
              <w:t>66)</w:t>
            </w:r>
          </w:p>
        </w:tc>
        <w:tc>
          <w:tcPr>
            <w:tcW w:w="843" w:type="dxa"/>
            <w:tcMar>
              <w:left w:w="108" w:type="dxa"/>
              <w:right w:w="0" w:type="dxa"/>
            </w:tcMar>
          </w:tcPr>
          <w:p w:rsidR="00F271AC" w:rsidRPr="00FD3A46" w:rsidRDefault="00F271AC" w:rsidP="00D73E98">
            <w:pPr>
              <w:pStyle w:val="PrincCont"/>
              <w:jc w:val="left"/>
              <w:rPr>
                <w:lang w:val="it-IT"/>
              </w:rPr>
            </w:pPr>
            <w:r>
              <w:rPr>
                <w:lang w:val="it-IT"/>
              </w:rPr>
              <w:t>OIC 15.90</w:t>
            </w:r>
          </w:p>
        </w:tc>
        <w:tc>
          <w:tcPr>
            <w:tcW w:w="6964" w:type="dxa"/>
            <w:tcMar>
              <w:left w:w="108" w:type="dxa"/>
            </w:tcMar>
          </w:tcPr>
          <w:p w:rsidR="00F271AC" w:rsidRPr="00AE5877" w:rsidRDefault="00F271AC" w:rsidP="00D73E98">
            <w:pPr>
              <w:spacing w:line="230" w:lineRule="exact"/>
              <w:rPr>
                <w:lang w:val="it-IT"/>
              </w:rPr>
            </w:pPr>
            <w:r w:rsidRPr="00254E57">
              <w:rPr>
                <w:lang w:val="it-IT"/>
              </w:rPr>
              <w:t xml:space="preserve">Nel caso in cui la società non </w:t>
            </w:r>
            <w:r>
              <w:rPr>
                <w:lang w:val="it-IT"/>
              </w:rPr>
              <w:t xml:space="preserve">si sia avvalsa </w:t>
            </w:r>
            <w:r w:rsidRPr="00254E57">
              <w:rPr>
                <w:lang w:val="it-IT"/>
              </w:rPr>
              <w:t xml:space="preserve">della facoltà di cui al paragrafo 89, il criterio del costo ammortizzato e l’attualizzazione dei crediti </w:t>
            </w:r>
            <w:r>
              <w:rPr>
                <w:lang w:val="it-IT"/>
              </w:rPr>
              <w:t xml:space="preserve">sono stati </w:t>
            </w:r>
            <w:r w:rsidRPr="00254E57">
              <w:rPr>
                <w:lang w:val="it-IT"/>
              </w:rPr>
              <w:t>applicati a t</w:t>
            </w:r>
            <w:r>
              <w:rPr>
                <w:lang w:val="it-IT"/>
              </w:rPr>
              <w:t>utti i crediti retroattivamente?</w:t>
            </w:r>
          </w:p>
        </w:tc>
        <w:tc>
          <w:tcPr>
            <w:tcW w:w="582" w:type="dxa"/>
            <w:tcMar>
              <w:left w:w="85" w:type="dxa"/>
              <w:right w:w="85"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121A1C" w:rsidTr="00D73E98">
        <w:trPr>
          <w:cantSplit/>
          <w:trHeight w:val="20"/>
        </w:trPr>
        <w:tc>
          <w:tcPr>
            <w:tcW w:w="675" w:type="dxa"/>
          </w:tcPr>
          <w:p w:rsidR="00F271AC" w:rsidRPr="0013791A" w:rsidRDefault="00F271AC" w:rsidP="00D73E98">
            <w:pPr>
              <w:jc w:val="center"/>
              <w:rPr>
                <w:b/>
                <w:lang w:val="it-IT"/>
              </w:rPr>
            </w:pPr>
            <w:r w:rsidRPr="0013791A">
              <w:rPr>
                <w:b/>
                <w:lang w:val="it-IT"/>
              </w:rPr>
              <w:t>67)</w:t>
            </w:r>
          </w:p>
        </w:tc>
        <w:tc>
          <w:tcPr>
            <w:tcW w:w="843" w:type="dxa"/>
            <w:tcMar>
              <w:left w:w="108" w:type="dxa"/>
              <w:right w:w="0" w:type="dxa"/>
            </w:tcMar>
          </w:tcPr>
          <w:p w:rsidR="00F271AC" w:rsidRPr="00FD3A46" w:rsidRDefault="00F271AC" w:rsidP="00D73E98">
            <w:pPr>
              <w:pStyle w:val="PrincCont"/>
              <w:jc w:val="left"/>
              <w:rPr>
                <w:lang w:val="it-IT"/>
              </w:rPr>
            </w:pPr>
            <w:r>
              <w:rPr>
                <w:lang w:val="it-IT"/>
              </w:rPr>
              <w:t>OIC 15.90</w:t>
            </w:r>
          </w:p>
        </w:tc>
        <w:tc>
          <w:tcPr>
            <w:tcW w:w="6964" w:type="dxa"/>
            <w:tcMar>
              <w:left w:w="108" w:type="dxa"/>
            </w:tcMar>
          </w:tcPr>
          <w:p w:rsidR="00F271AC" w:rsidRPr="00AE5877" w:rsidRDefault="00F271AC" w:rsidP="00D73E98">
            <w:pPr>
              <w:spacing w:line="230" w:lineRule="exact"/>
              <w:rPr>
                <w:lang w:val="it-IT"/>
              </w:rPr>
            </w:pPr>
            <w:r w:rsidRPr="00961AF3">
              <w:rPr>
                <w:lang w:val="it-IT"/>
              </w:rPr>
              <w:t xml:space="preserve">Gli effetti derivanti dalla differenza tra il valore del credito iscritto nel bilancio dell’esercizio precedente alla data del bilancio in cui si applica la nuova disciplina (nella normalità dei casi 31 dicembre 2015) e il valore del credito calcolato al costo ammortizzato (ed eventualmente attualizzato) all’inizio dell’esercizio di prima applicazione di questa disciplina (nella normalità dei casi il 1° gennaio 2016) sono imputati agli utili (perdite) portati a nuovo del patrimonio netto, al netto dell’effetto </w:t>
            </w:r>
            <w:r>
              <w:rPr>
                <w:lang w:val="it-IT"/>
              </w:rPr>
              <w:t>fiscale?</w:t>
            </w:r>
          </w:p>
        </w:tc>
        <w:tc>
          <w:tcPr>
            <w:tcW w:w="582" w:type="dxa"/>
            <w:tcMar>
              <w:left w:w="85" w:type="dxa"/>
              <w:right w:w="85"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121A1C" w:rsidTr="00D73E98">
        <w:trPr>
          <w:cantSplit/>
          <w:trHeight w:val="20"/>
        </w:trPr>
        <w:tc>
          <w:tcPr>
            <w:tcW w:w="675" w:type="dxa"/>
          </w:tcPr>
          <w:p w:rsidR="00F271AC" w:rsidRPr="00CA3CFB" w:rsidRDefault="00F271AC" w:rsidP="00D73E98">
            <w:pPr>
              <w:jc w:val="center"/>
              <w:rPr>
                <w:b/>
                <w:lang w:val="it-IT"/>
              </w:rPr>
            </w:pPr>
            <w:r w:rsidRPr="00CA3CFB">
              <w:rPr>
                <w:b/>
                <w:lang w:val="it-IT"/>
              </w:rPr>
              <w:t>68)</w:t>
            </w:r>
          </w:p>
        </w:tc>
        <w:tc>
          <w:tcPr>
            <w:tcW w:w="843" w:type="dxa"/>
            <w:tcMar>
              <w:left w:w="108" w:type="dxa"/>
              <w:right w:w="0" w:type="dxa"/>
            </w:tcMar>
          </w:tcPr>
          <w:p w:rsidR="00F271AC" w:rsidRPr="00FD3A46" w:rsidRDefault="00F271AC" w:rsidP="00D73E98">
            <w:pPr>
              <w:pStyle w:val="PrincCont"/>
              <w:jc w:val="left"/>
              <w:rPr>
                <w:lang w:val="it-IT"/>
              </w:rPr>
            </w:pPr>
            <w:r>
              <w:rPr>
                <w:lang w:val="it-IT"/>
              </w:rPr>
              <w:t>OIC 15.90</w:t>
            </w:r>
          </w:p>
        </w:tc>
        <w:tc>
          <w:tcPr>
            <w:tcW w:w="6964" w:type="dxa"/>
            <w:tcMar>
              <w:left w:w="108" w:type="dxa"/>
            </w:tcMar>
          </w:tcPr>
          <w:p w:rsidR="00F271AC" w:rsidRPr="00AE5877" w:rsidRDefault="00F271AC" w:rsidP="00D73E98">
            <w:pPr>
              <w:spacing w:line="230" w:lineRule="exact"/>
              <w:rPr>
                <w:lang w:val="it-IT"/>
              </w:rPr>
            </w:pPr>
            <w:r w:rsidRPr="00961AF3">
              <w:rPr>
                <w:lang w:val="it-IT"/>
              </w:rPr>
              <w:t>Gli effetti sorti nel corso dell’esercizio sono imputati al conto economico dell’esercizio in corso</w:t>
            </w:r>
            <w:r>
              <w:rPr>
                <w:lang w:val="it-IT"/>
              </w:rPr>
              <w:t>?</w:t>
            </w:r>
          </w:p>
        </w:tc>
        <w:tc>
          <w:tcPr>
            <w:tcW w:w="582" w:type="dxa"/>
            <w:tcMar>
              <w:left w:w="85" w:type="dxa"/>
              <w:right w:w="85"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CA3CFB" w:rsidRDefault="00F271AC" w:rsidP="00D73E98">
            <w:pPr>
              <w:jc w:val="center"/>
              <w:rPr>
                <w:b/>
                <w:lang w:val="it-IT"/>
              </w:rPr>
            </w:pPr>
            <w:r w:rsidRPr="00CA3CFB">
              <w:rPr>
                <w:b/>
                <w:lang w:val="it-IT"/>
              </w:rPr>
              <w:t>69)</w:t>
            </w:r>
          </w:p>
        </w:tc>
        <w:tc>
          <w:tcPr>
            <w:tcW w:w="843" w:type="dxa"/>
            <w:tcMar>
              <w:left w:w="108" w:type="dxa"/>
              <w:right w:w="0" w:type="dxa"/>
            </w:tcMar>
          </w:tcPr>
          <w:p w:rsidR="00F271AC" w:rsidRPr="00FD3A46" w:rsidRDefault="00F271AC" w:rsidP="00D73E98">
            <w:pPr>
              <w:pStyle w:val="PrincCont"/>
              <w:jc w:val="left"/>
              <w:rPr>
                <w:lang w:val="it-IT"/>
              </w:rPr>
            </w:pPr>
            <w:r>
              <w:rPr>
                <w:lang w:val="it-IT"/>
              </w:rPr>
              <w:t>OIC 15.90</w:t>
            </w:r>
          </w:p>
        </w:tc>
        <w:tc>
          <w:tcPr>
            <w:tcW w:w="6964" w:type="dxa"/>
            <w:tcMar>
              <w:left w:w="108" w:type="dxa"/>
            </w:tcMar>
          </w:tcPr>
          <w:p w:rsidR="00F271AC" w:rsidRPr="00AE5877" w:rsidRDefault="00F271AC" w:rsidP="00D73E98">
            <w:pPr>
              <w:spacing w:line="230" w:lineRule="exact"/>
              <w:rPr>
                <w:lang w:val="it-IT"/>
              </w:rPr>
            </w:pPr>
            <w:r>
              <w:rPr>
                <w:lang w:val="it-IT"/>
              </w:rPr>
              <w:t>A</w:t>
            </w:r>
            <w:r w:rsidRPr="00961AF3">
              <w:rPr>
                <w:lang w:val="it-IT"/>
              </w:rPr>
              <w:t xml:space="preserve">i soli fini comparativi, le voci dello stato patrimoniale e del conto economico dell’esercizio precedente a quello di prima applicazione sono presentate come se </w:t>
            </w:r>
            <w:r>
              <w:rPr>
                <w:lang w:val="it-IT"/>
              </w:rPr>
              <w:t xml:space="preserve">l’OIC 15 (2016) </w:t>
            </w:r>
            <w:r w:rsidRPr="00961AF3">
              <w:rPr>
                <w:lang w:val="it-IT"/>
              </w:rPr>
              <w:t>fosse stato da sempre applicato e la differenza che è rilevata negli utili (perdite) portati a nuovo del patrimonio netto nell’esercizio di prima applicazione di questa disciplina (nella normalità dei casi nell’esercizio che inizia il 1° gennaio 2016) è rappresentata nel comparativo evidenziando separatamente:</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121A1C"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FD3A46" w:rsidRDefault="00F271AC" w:rsidP="00D73E98">
            <w:pPr>
              <w:pStyle w:val="PrincCont"/>
              <w:jc w:val="left"/>
              <w:rPr>
                <w:lang w:val="it-IT"/>
              </w:rPr>
            </w:pPr>
            <w:r>
              <w:rPr>
                <w:lang w:val="it-IT"/>
              </w:rPr>
              <w:t>OIC 15.90</w:t>
            </w:r>
          </w:p>
        </w:tc>
        <w:tc>
          <w:tcPr>
            <w:tcW w:w="6964" w:type="dxa"/>
            <w:tcMar>
              <w:left w:w="108" w:type="dxa"/>
            </w:tcMar>
          </w:tcPr>
          <w:p w:rsidR="00F271AC" w:rsidRPr="00AE5877" w:rsidRDefault="00F271AC" w:rsidP="00032976">
            <w:pPr>
              <w:pStyle w:val="rientrotrattinook"/>
              <w:tabs>
                <w:tab w:val="clear" w:pos="704"/>
              </w:tabs>
              <w:ind w:left="473" w:hanging="284"/>
            </w:pPr>
            <w:r w:rsidRPr="00961AF3">
              <w:t>negli utili (perdite) portati a nuovo del patrimonio netto l’effetto cumulato derivante dal cambio di principio alla data di apertura dell’esercizio precedente (nella normalità dei casi 1° gennaio 2015);</w:t>
            </w:r>
          </w:p>
        </w:tc>
        <w:tc>
          <w:tcPr>
            <w:tcW w:w="582" w:type="dxa"/>
            <w:tcMar>
              <w:left w:w="85" w:type="dxa"/>
              <w:right w:w="85"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121A1C"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FD3A46" w:rsidRDefault="00F271AC" w:rsidP="00D73E98">
            <w:pPr>
              <w:pStyle w:val="PrincCont"/>
              <w:jc w:val="left"/>
              <w:rPr>
                <w:lang w:val="it-IT"/>
              </w:rPr>
            </w:pPr>
            <w:r>
              <w:rPr>
                <w:lang w:val="it-IT"/>
              </w:rPr>
              <w:t>OIC 15.90</w:t>
            </w:r>
          </w:p>
        </w:tc>
        <w:tc>
          <w:tcPr>
            <w:tcW w:w="6964" w:type="dxa"/>
            <w:tcMar>
              <w:left w:w="108" w:type="dxa"/>
            </w:tcMar>
          </w:tcPr>
          <w:p w:rsidR="00F271AC" w:rsidRPr="00AE5877" w:rsidRDefault="00F271AC" w:rsidP="00032976">
            <w:pPr>
              <w:pStyle w:val="rientrotrattinook"/>
              <w:tabs>
                <w:tab w:val="clear" w:pos="704"/>
              </w:tabs>
              <w:ind w:left="473" w:hanging="284"/>
            </w:pPr>
            <w:r w:rsidRPr="00961AF3">
              <w:t>nel risultato dell’esercizio precedente la quota relativa agli effetti sorti nel corso dell’esercizio precedente</w:t>
            </w:r>
            <w:r>
              <w:t>?</w:t>
            </w:r>
          </w:p>
        </w:tc>
        <w:tc>
          <w:tcPr>
            <w:tcW w:w="582" w:type="dxa"/>
            <w:tcMar>
              <w:left w:w="85" w:type="dxa"/>
              <w:right w:w="85"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FD3A46" w:rsidRDefault="00F271AC" w:rsidP="00D73E98">
            <w:pPr>
              <w:pStyle w:val="PrincCont"/>
              <w:jc w:val="left"/>
              <w:rPr>
                <w:lang w:val="it-IT"/>
              </w:rPr>
            </w:pPr>
            <w:r>
              <w:rPr>
                <w:lang w:val="it-IT"/>
              </w:rPr>
              <w:t>OIC 15.91</w:t>
            </w:r>
          </w:p>
        </w:tc>
        <w:tc>
          <w:tcPr>
            <w:tcW w:w="6964" w:type="dxa"/>
            <w:tcMar>
              <w:left w:w="108" w:type="dxa"/>
            </w:tcMar>
          </w:tcPr>
          <w:p w:rsidR="00F271AC" w:rsidRPr="00961AF3" w:rsidRDefault="00F271AC" w:rsidP="00D73E98">
            <w:pPr>
              <w:pStyle w:val="Commentiriquadro"/>
            </w:pPr>
            <w:r w:rsidRPr="00961AF3">
              <w:t>Nel caso in cui una società che redige il bilancio in forma abbreviata decida di optare per il criterio del costo ammortizzato, si applicano i paragrafi 89-90. Tali paragrafi si applicano anche nel caso in cui una società che redige il bilancio in forma abbreviata diventi una società che redige il bilancio in forma ordinaria.</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CC242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FD3A46" w:rsidRDefault="00F271AC" w:rsidP="00D73E98">
            <w:pPr>
              <w:pStyle w:val="PrincCont"/>
              <w:jc w:val="left"/>
              <w:rPr>
                <w:lang w:val="it-IT"/>
              </w:rPr>
            </w:pPr>
            <w:r>
              <w:rPr>
                <w:lang w:val="it-IT"/>
              </w:rPr>
              <w:t>OIC 15.92</w:t>
            </w:r>
          </w:p>
        </w:tc>
        <w:tc>
          <w:tcPr>
            <w:tcW w:w="6964" w:type="dxa"/>
            <w:tcMar>
              <w:left w:w="108" w:type="dxa"/>
            </w:tcMar>
          </w:tcPr>
          <w:p w:rsidR="00F271AC" w:rsidRDefault="00F271AC" w:rsidP="00D73E98">
            <w:pPr>
              <w:pStyle w:val="Commentiriquadro"/>
            </w:pPr>
            <w:r w:rsidRPr="00FC7074">
              <w:t>I seguenti casi costituiscono cambiamenti di principi contabili volontari e sono, pertanto, disciplinati dall’OIC 29:</w:t>
            </w:r>
          </w:p>
          <w:p w:rsidR="00F271AC" w:rsidRDefault="00F271AC" w:rsidP="00D73E98">
            <w:pPr>
              <w:pStyle w:val="Commentiriquadro"/>
              <w:ind w:left="176" w:hanging="119"/>
            </w:pPr>
            <w:r>
              <w:t xml:space="preserve">- </w:t>
            </w:r>
            <w:r w:rsidRPr="00FC7074">
              <w:t>una società che redige il bilancio in forma ordinaria che diventa una società che redige il bilancio in forma abbreviata e decide di non applicare più il criterio del costo ammortizzato e l’attualizzazione;</w:t>
            </w:r>
          </w:p>
          <w:p w:rsidR="00F271AC" w:rsidRPr="00FC7074" w:rsidRDefault="00F271AC" w:rsidP="00D73E98">
            <w:pPr>
              <w:pStyle w:val="Commentiriquadro"/>
              <w:ind w:left="176" w:hanging="119"/>
            </w:pPr>
            <w:r>
              <w:t xml:space="preserve">- </w:t>
            </w:r>
            <w:r w:rsidRPr="00FC7074">
              <w:t>una società che redige il bilancio in forma abbreviata (art. 2435-</w:t>
            </w:r>
            <w:r w:rsidRPr="00FF5488">
              <w:t>bis</w:t>
            </w:r>
            <w:r>
              <w:t xml:space="preserve"> CC</w:t>
            </w:r>
            <w:r w:rsidRPr="00FC7074">
              <w:t>)</w:t>
            </w:r>
            <w:r>
              <w:t xml:space="preserve"> </w:t>
            </w:r>
            <w:r w:rsidRPr="00FC7074">
              <w:t>che decide facoltativamente di non applicare più il criterio del costo ammortizzato e l’attualizzazione.</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121A1C" w:rsidTr="00D73E98">
        <w:trPr>
          <w:cantSplit/>
          <w:trHeight w:val="20"/>
        </w:trPr>
        <w:tc>
          <w:tcPr>
            <w:tcW w:w="675" w:type="dxa"/>
          </w:tcPr>
          <w:p w:rsidR="00F271AC" w:rsidRPr="00CA3CFB" w:rsidRDefault="00F271AC" w:rsidP="00D73E98">
            <w:pPr>
              <w:jc w:val="center"/>
              <w:rPr>
                <w:b/>
                <w:lang w:val="it-IT"/>
              </w:rPr>
            </w:pPr>
            <w:r w:rsidRPr="00CA3CFB">
              <w:rPr>
                <w:b/>
                <w:lang w:val="it-IT"/>
              </w:rPr>
              <w:t>70)</w:t>
            </w:r>
          </w:p>
        </w:tc>
        <w:tc>
          <w:tcPr>
            <w:tcW w:w="843" w:type="dxa"/>
            <w:tcMar>
              <w:left w:w="108" w:type="dxa"/>
              <w:right w:w="0" w:type="dxa"/>
            </w:tcMar>
          </w:tcPr>
          <w:p w:rsidR="00F271AC" w:rsidRPr="00FD3A46" w:rsidRDefault="00F271AC" w:rsidP="00D73E98">
            <w:pPr>
              <w:pStyle w:val="PrincCont"/>
              <w:jc w:val="left"/>
              <w:rPr>
                <w:lang w:val="it-IT"/>
              </w:rPr>
            </w:pPr>
            <w:r>
              <w:rPr>
                <w:lang w:val="it-IT"/>
              </w:rPr>
              <w:t>OIC 15.93</w:t>
            </w:r>
          </w:p>
        </w:tc>
        <w:tc>
          <w:tcPr>
            <w:tcW w:w="6964" w:type="dxa"/>
            <w:tcMar>
              <w:left w:w="108" w:type="dxa"/>
            </w:tcMar>
          </w:tcPr>
          <w:p w:rsidR="00F271AC" w:rsidRPr="00AE5877" w:rsidRDefault="00F271AC" w:rsidP="00D73E98">
            <w:pPr>
              <w:spacing w:line="230" w:lineRule="exact"/>
              <w:rPr>
                <w:lang w:val="it-IT"/>
              </w:rPr>
            </w:pPr>
            <w:r w:rsidRPr="00FC7074">
              <w:rPr>
                <w:lang w:val="it-IT"/>
              </w:rPr>
              <w:t>Le disposizioni relative alla determinazione del fondo svalutazione crediti contenute nei paragrafi 59-65</w:t>
            </w:r>
            <w:r>
              <w:rPr>
                <w:lang w:val="it-IT"/>
              </w:rPr>
              <w:t xml:space="preserve"> dell’OIC 15 (2016)</w:t>
            </w:r>
            <w:r w:rsidRPr="00FC7074">
              <w:rPr>
                <w:lang w:val="it-IT"/>
              </w:rPr>
              <w:t xml:space="preserve"> s</w:t>
            </w:r>
            <w:r>
              <w:rPr>
                <w:lang w:val="it-IT"/>
              </w:rPr>
              <w:t xml:space="preserve">ono state applicate </w:t>
            </w:r>
            <w:r w:rsidRPr="00FC7074">
              <w:rPr>
                <w:lang w:val="it-IT"/>
              </w:rPr>
              <w:t>a tutti i crediti esistenti nel primo bilancio in cui trovano app</w:t>
            </w:r>
            <w:r>
              <w:rPr>
                <w:lang w:val="it-IT"/>
              </w:rPr>
              <w:t>licazione le nuove disposizioni?</w:t>
            </w:r>
          </w:p>
        </w:tc>
        <w:tc>
          <w:tcPr>
            <w:tcW w:w="582" w:type="dxa"/>
            <w:tcMar>
              <w:left w:w="85" w:type="dxa"/>
              <w:right w:w="85"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71"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c>
          <w:tcPr>
            <w:tcW w:w="569"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CA1681">
              <w:fldChar w:fldCharType="separate"/>
            </w:r>
            <w:r w:rsidRPr="00E1008D">
              <w:fldChar w:fldCharType="end"/>
            </w:r>
          </w:p>
        </w:tc>
      </w:tr>
      <w:tr w:rsidR="00F271AC" w:rsidRPr="00CC242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FD3A46" w:rsidRDefault="00F271AC" w:rsidP="00D73E98">
            <w:pPr>
              <w:pStyle w:val="PrincCont"/>
              <w:jc w:val="left"/>
              <w:rPr>
                <w:lang w:val="it-IT"/>
              </w:rPr>
            </w:pPr>
            <w:r>
              <w:rPr>
                <w:lang w:val="it-IT"/>
              </w:rPr>
              <w:t>OIC 15.94</w:t>
            </w:r>
          </w:p>
        </w:tc>
        <w:tc>
          <w:tcPr>
            <w:tcW w:w="6964" w:type="dxa"/>
            <w:tcMar>
              <w:left w:w="108" w:type="dxa"/>
            </w:tcMar>
          </w:tcPr>
          <w:p w:rsidR="00F271AC" w:rsidRPr="00FC7074" w:rsidRDefault="00F271AC" w:rsidP="00D73E98">
            <w:pPr>
              <w:pStyle w:val="Commentiriquadro"/>
            </w:pPr>
            <w:r w:rsidRPr="00FC7074">
              <w:t>Eventuali effetti derivanti dall’applicazione delle altre modifiche apportate alla precedente versione dell’OIC 15 possono essere rilevati in bilancio prospetticamente ai sensi dell’OIC 29. Pertanto le componenti delle voci riferite ad operazioni che non hanno ancora esaurito i loro effetti in bilancio possono continuare ad essere contabilizzate in conformità al precedente principio.</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bl>
    <w:p w:rsidR="00F271AC" w:rsidRPr="00181FF6" w:rsidRDefault="00F271AC" w:rsidP="00F271AC">
      <w:pPr>
        <w:rPr>
          <w:lang w:val="it-IT"/>
        </w:rPr>
      </w:pPr>
    </w:p>
    <w:p w:rsidR="00142F6A" w:rsidRDefault="00142F6A" w:rsidP="00A43012">
      <w:pPr>
        <w:rPr>
          <w:lang w:val="it-IT"/>
        </w:rPr>
        <w:sectPr w:rsidR="00142F6A" w:rsidSect="008E5F3E">
          <w:headerReference w:type="default" r:id="rId39"/>
          <w:footerReference w:type="default" r:id="rId40"/>
          <w:pgSz w:w="11906" w:h="16838" w:code="9"/>
          <w:pgMar w:top="1134" w:right="851" w:bottom="851" w:left="851" w:header="709" w:footer="567" w:gutter="0"/>
          <w:cols w:space="708"/>
          <w:docGrid w:linePitch="360"/>
        </w:sectPr>
      </w:pPr>
    </w:p>
    <w:p w:rsidR="00142F6A" w:rsidRPr="00655A70" w:rsidRDefault="00142F6A" w:rsidP="00142F6A">
      <w:pPr>
        <w:rPr>
          <w:lang w:val="it-IT"/>
        </w:rPr>
      </w:pPr>
    </w:p>
    <w:p w:rsidR="00142F6A" w:rsidRPr="004A18FC" w:rsidRDefault="00142F6A" w:rsidP="00142F6A">
      <w:pPr>
        <w:tabs>
          <w:tab w:val="left" w:pos="1890"/>
        </w:tabs>
        <w:spacing w:line="260" w:lineRule="exact"/>
        <w:ind w:left="990" w:hanging="990"/>
        <w:jc w:val="left"/>
        <w:rPr>
          <w:b/>
          <w:color w:val="0070C0"/>
        </w:rPr>
      </w:pPr>
      <w:r w:rsidRPr="004A18FC">
        <w:rPr>
          <w:b/>
          <w:color w:val="0070C0"/>
          <w:sz w:val="28"/>
        </w:rPr>
        <w:t>R</w:t>
      </w:r>
      <w:r w:rsidRPr="004A18FC">
        <w:rPr>
          <w:b/>
          <w:color w:val="0070C0"/>
          <w:sz w:val="28"/>
          <w:szCs w:val="22"/>
          <w:lang w:val="it-IT"/>
        </w:rPr>
        <w:t>atei e risconti</w:t>
      </w:r>
    </w:p>
    <w:p w:rsidR="00142F6A" w:rsidRDefault="00142F6A" w:rsidP="00142F6A"/>
    <w:p w:rsidR="00142F6A" w:rsidRDefault="00142F6A" w:rsidP="00142F6A"/>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142F6A" w:rsidRPr="008A0F36" w:rsidTr="00D73E98">
        <w:trPr>
          <w:cantSplit/>
          <w:trHeight w:val="20"/>
          <w:tblHeader/>
        </w:trPr>
        <w:tc>
          <w:tcPr>
            <w:tcW w:w="680" w:type="dxa"/>
            <w:shd w:val="clear" w:color="auto" w:fill="F2F2F2" w:themeFill="background1" w:themeFillShade="F2"/>
          </w:tcPr>
          <w:p w:rsidR="00142F6A" w:rsidRPr="008A0F36" w:rsidRDefault="00142F6A" w:rsidP="00D73E98">
            <w:pPr>
              <w:jc w:val="center"/>
              <w:rPr>
                <w:lang w:val="it-IT"/>
              </w:rPr>
            </w:pPr>
          </w:p>
        </w:tc>
        <w:tc>
          <w:tcPr>
            <w:tcW w:w="851" w:type="dxa"/>
            <w:shd w:val="clear" w:color="auto" w:fill="F2F2F2" w:themeFill="background1" w:themeFillShade="F2"/>
            <w:tcMar>
              <w:left w:w="108" w:type="dxa"/>
              <w:right w:w="0" w:type="dxa"/>
            </w:tcMar>
          </w:tcPr>
          <w:p w:rsidR="00142F6A" w:rsidRPr="008A0F36" w:rsidRDefault="00142F6A" w:rsidP="00D73E98">
            <w:pPr>
              <w:jc w:val="left"/>
              <w:rPr>
                <w:b/>
                <w:lang w:val="it-IT"/>
              </w:rPr>
            </w:pPr>
          </w:p>
        </w:tc>
        <w:tc>
          <w:tcPr>
            <w:tcW w:w="7060" w:type="dxa"/>
            <w:shd w:val="clear" w:color="auto" w:fill="F2F2F2" w:themeFill="background1" w:themeFillShade="F2"/>
            <w:tcMar>
              <w:left w:w="108" w:type="dxa"/>
            </w:tcMar>
          </w:tcPr>
          <w:p w:rsidR="00142F6A" w:rsidRPr="008A0F36" w:rsidRDefault="00142F6A" w:rsidP="00D73E98">
            <w:pPr>
              <w:jc w:val="center"/>
              <w:rPr>
                <w:b/>
                <w:lang w:val="it-IT"/>
              </w:rPr>
            </w:pPr>
          </w:p>
        </w:tc>
        <w:tc>
          <w:tcPr>
            <w:tcW w:w="586" w:type="dxa"/>
            <w:shd w:val="clear" w:color="auto" w:fill="F2F2F2" w:themeFill="background1" w:themeFillShade="F2"/>
            <w:tcMar>
              <w:left w:w="85" w:type="dxa"/>
              <w:right w:w="85" w:type="dxa"/>
            </w:tcMar>
            <w:vAlign w:val="bottom"/>
          </w:tcPr>
          <w:p w:rsidR="00142F6A" w:rsidRPr="008A0F36" w:rsidRDefault="00142F6A" w:rsidP="00D73E98">
            <w:pPr>
              <w:jc w:val="center"/>
              <w:rPr>
                <w:b/>
                <w:lang w:val="it-IT"/>
              </w:rPr>
            </w:pPr>
            <w:r w:rsidRPr="008A0F36">
              <w:rPr>
                <w:b/>
                <w:lang w:val="it-IT"/>
              </w:rPr>
              <w:t>SI</w:t>
            </w:r>
          </w:p>
        </w:tc>
        <w:tc>
          <w:tcPr>
            <w:tcW w:w="573" w:type="dxa"/>
            <w:shd w:val="clear" w:color="auto" w:fill="F2F2F2" w:themeFill="background1" w:themeFillShade="F2"/>
            <w:tcMar>
              <w:left w:w="108" w:type="dxa"/>
            </w:tcMar>
            <w:vAlign w:val="bottom"/>
          </w:tcPr>
          <w:p w:rsidR="00142F6A" w:rsidRPr="008A0F36" w:rsidRDefault="00142F6A" w:rsidP="00D73E98">
            <w:pPr>
              <w:jc w:val="center"/>
              <w:rPr>
                <w:b/>
                <w:lang w:val="it-IT"/>
              </w:rPr>
            </w:pPr>
            <w:r w:rsidRPr="008A0F36">
              <w:rPr>
                <w:b/>
                <w:lang w:val="it-IT"/>
              </w:rPr>
              <w:t>NO</w:t>
            </w:r>
          </w:p>
        </w:tc>
        <w:tc>
          <w:tcPr>
            <w:tcW w:w="570" w:type="dxa"/>
            <w:shd w:val="clear" w:color="auto" w:fill="F2F2F2" w:themeFill="background1" w:themeFillShade="F2"/>
            <w:tcMar>
              <w:left w:w="108" w:type="dxa"/>
            </w:tcMar>
            <w:vAlign w:val="bottom"/>
          </w:tcPr>
          <w:p w:rsidR="00142F6A" w:rsidRPr="008A0F36" w:rsidRDefault="00142F6A" w:rsidP="00D73E98">
            <w:pPr>
              <w:jc w:val="center"/>
              <w:rPr>
                <w:b/>
                <w:lang w:val="it-IT"/>
              </w:rPr>
            </w:pPr>
            <w:r w:rsidRPr="008A0F36">
              <w:rPr>
                <w:b/>
                <w:lang w:val="it-IT"/>
              </w:rPr>
              <w:t>N/A</w:t>
            </w:r>
          </w:p>
        </w:tc>
      </w:tr>
      <w:tr w:rsidR="00142F6A" w:rsidRPr="008A0F36" w:rsidTr="00D73E98">
        <w:trPr>
          <w:cantSplit/>
          <w:trHeight w:val="20"/>
        </w:trPr>
        <w:tc>
          <w:tcPr>
            <w:tcW w:w="680" w:type="dxa"/>
            <w:vAlign w:val="center"/>
          </w:tcPr>
          <w:p w:rsidR="00142F6A" w:rsidRPr="008A0F36" w:rsidRDefault="00142F6A" w:rsidP="00D73E98">
            <w:pPr>
              <w:overflowPunct/>
              <w:autoSpaceDE/>
              <w:autoSpaceDN/>
              <w:adjustRightInd/>
              <w:spacing w:before="0" w:after="0" w:line="240" w:lineRule="auto"/>
              <w:jc w:val="left"/>
              <w:textAlignment w:val="auto"/>
              <w:rPr>
                <w:lang w:val="it-IT"/>
              </w:rPr>
            </w:pPr>
          </w:p>
        </w:tc>
        <w:tc>
          <w:tcPr>
            <w:tcW w:w="851" w:type="dxa"/>
            <w:tcMar>
              <w:left w:w="108" w:type="dxa"/>
              <w:right w:w="0" w:type="dxa"/>
            </w:tcMar>
            <w:vAlign w:val="center"/>
          </w:tcPr>
          <w:p w:rsidR="00142F6A" w:rsidRPr="008A0F36" w:rsidRDefault="00142F6A" w:rsidP="00D73E98">
            <w:pPr>
              <w:pStyle w:val="PrincCont"/>
              <w:jc w:val="left"/>
              <w:rPr>
                <w:lang w:val="it-IT"/>
              </w:rPr>
            </w:pPr>
          </w:p>
        </w:tc>
        <w:tc>
          <w:tcPr>
            <w:tcW w:w="7060" w:type="dxa"/>
            <w:tcMar>
              <w:left w:w="108" w:type="dxa"/>
            </w:tcMar>
            <w:vAlign w:val="center"/>
          </w:tcPr>
          <w:p w:rsidR="00142F6A" w:rsidRPr="008A0F36" w:rsidRDefault="00142F6A" w:rsidP="00D73E98">
            <w:pPr>
              <w:pStyle w:val="Titolo1"/>
            </w:pPr>
            <w:r w:rsidRPr="00D801FA">
              <w:t>RATEi e RISCONTI</w:t>
            </w:r>
          </w:p>
        </w:tc>
        <w:tc>
          <w:tcPr>
            <w:tcW w:w="586" w:type="dxa"/>
            <w:tcMar>
              <w:left w:w="85" w:type="dxa"/>
              <w:right w:w="85" w:type="dxa"/>
            </w:tcMar>
            <w:vAlign w:val="center"/>
          </w:tcPr>
          <w:p w:rsidR="00142F6A" w:rsidRPr="008A0F36" w:rsidRDefault="00142F6A" w:rsidP="00D73E98">
            <w:pPr>
              <w:jc w:val="left"/>
              <w:rPr>
                <w:lang w:val="it-IT"/>
              </w:rPr>
            </w:pPr>
          </w:p>
        </w:tc>
        <w:tc>
          <w:tcPr>
            <w:tcW w:w="573" w:type="dxa"/>
            <w:tcMar>
              <w:left w:w="108" w:type="dxa"/>
            </w:tcMar>
            <w:vAlign w:val="center"/>
          </w:tcPr>
          <w:p w:rsidR="00142F6A" w:rsidRPr="008A0F36" w:rsidRDefault="00142F6A" w:rsidP="00D73E98">
            <w:pPr>
              <w:jc w:val="left"/>
              <w:rPr>
                <w:lang w:val="it-IT"/>
              </w:rPr>
            </w:pPr>
          </w:p>
        </w:tc>
        <w:tc>
          <w:tcPr>
            <w:tcW w:w="570" w:type="dxa"/>
            <w:tcMar>
              <w:left w:w="108" w:type="dxa"/>
            </w:tcMar>
            <w:vAlign w:val="center"/>
          </w:tcPr>
          <w:p w:rsidR="00142F6A" w:rsidRPr="008A0F36" w:rsidRDefault="00142F6A" w:rsidP="00D73E98">
            <w:pPr>
              <w:jc w:val="left"/>
              <w:rPr>
                <w:lang w:val="it-IT"/>
              </w:rPr>
            </w:pPr>
          </w:p>
        </w:tc>
      </w:tr>
      <w:tr w:rsidR="00142F6A" w:rsidRPr="0067423C" w:rsidTr="00D73E98">
        <w:trPr>
          <w:cantSplit/>
          <w:trHeight w:val="340"/>
        </w:trPr>
        <w:tc>
          <w:tcPr>
            <w:tcW w:w="680" w:type="dxa"/>
          </w:tcPr>
          <w:p w:rsidR="00142F6A" w:rsidRPr="008A0F36"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p>
        </w:tc>
        <w:tc>
          <w:tcPr>
            <w:tcW w:w="7060" w:type="dxa"/>
            <w:tcMar>
              <w:left w:w="108" w:type="dxa"/>
            </w:tcMar>
            <w:vAlign w:val="center"/>
          </w:tcPr>
          <w:p w:rsidR="00142F6A" w:rsidRPr="00CF4DCD" w:rsidRDefault="00142F6A" w:rsidP="00D73E98">
            <w:pPr>
              <w:pStyle w:val="Titolo2"/>
              <w:rPr>
                <w:lang w:val="it-IT"/>
              </w:rPr>
            </w:pPr>
            <w:r>
              <w:rPr>
                <w:lang w:val="it-IT"/>
              </w:rPr>
              <w:t>Definizioni</w:t>
            </w:r>
          </w:p>
        </w:tc>
        <w:tc>
          <w:tcPr>
            <w:tcW w:w="586" w:type="dxa"/>
            <w:tcMar>
              <w:left w:w="85" w:type="dxa"/>
              <w:right w:w="85" w:type="dxa"/>
            </w:tcMar>
            <w:vAlign w:val="center"/>
          </w:tcPr>
          <w:p w:rsidR="00142F6A" w:rsidRPr="00FF19F7" w:rsidRDefault="00142F6A" w:rsidP="00D73E98">
            <w:pPr>
              <w:jc w:val="center"/>
              <w:rPr>
                <w:lang w:val="it-IT"/>
              </w:rPr>
            </w:pPr>
          </w:p>
        </w:tc>
        <w:tc>
          <w:tcPr>
            <w:tcW w:w="573" w:type="dxa"/>
            <w:tcMar>
              <w:left w:w="108" w:type="dxa"/>
            </w:tcMar>
            <w:vAlign w:val="center"/>
          </w:tcPr>
          <w:p w:rsidR="00142F6A" w:rsidRPr="00FF19F7" w:rsidRDefault="00142F6A" w:rsidP="00D73E98">
            <w:pPr>
              <w:jc w:val="center"/>
              <w:rPr>
                <w:lang w:val="it-IT"/>
              </w:rPr>
            </w:pPr>
          </w:p>
        </w:tc>
        <w:tc>
          <w:tcPr>
            <w:tcW w:w="570" w:type="dxa"/>
            <w:tcMar>
              <w:left w:w="108" w:type="dxa"/>
            </w:tcMar>
            <w:vAlign w:val="center"/>
          </w:tcPr>
          <w:p w:rsidR="00142F6A" w:rsidRPr="00FF19F7" w:rsidRDefault="00142F6A" w:rsidP="00D73E98">
            <w:pPr>
              <w:jc w:val="center"/>
              <w:rPr>
                <w:lang w:val="it-IT"/>
              </w:rPr>
            </w:pPr>
          </w:p>
        </w:tc>
      </w:tr>
      <w:tr w:rsidR="00142F6A" w:rsidRPr="00CC242B" w:rsidTr="00D73E98">
        <w:trPr>
          <w:cantSplit/>
          <w:trHeight w:val="340"/>
        </w:trPr>
        <w:tc>
          <w:tcPr>
            <w:tcW w:w="680" w:type="dxa"/>
          </w:tcPr>
          <w:p w:rsidR="00142F6A" w:rsidRPr="008A0F36"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r>
              <w:rPr>
                <w:lang w:val="it-IT"/>
              </w:rPr>
              <w:t>OIC 18.3</w:t>
            </w:r>
          </w:p>
        </w:tc>
        <w:tc>
          <w:tcPr>
            <w:tcW w:w="7060" w:type="dxa"/>
            <w:tcMar>
              <w:left w:w="108" w:type="dxa"/>
            </w:tcMar>
            <w:vAlign w:val="center"/>
          </w:tcPr>
          <w:p w:rsidR="00142F6A" w:rsidRDefault="00142F6A" w:rsidP="00D73E98">
            <w:pPr>
              <w:pStyle w:val="Commentiriquadro"/>
            </w:pPr>
            <w:r>
              <w:rPr>
                <w:i/>
                <w:iCs/>
                <w:lang w:eastAsia="it-IT"/>
              </w:rPr>
              <w:t xml:space="preserve">I ratei attivi </w:t>
            </w:r>
            <w:r>
              <w:rPr>
                <w:lang w:eastAsia="it-IT"/>
              </w:rPr>
              <w:t>rappresentano quote di proventi di competenza dell’esercizio cui si riferisce il bilancio, che avranno manifestazione finanziaria in esercizi successivi.</w:t>
            </w:r>
          </w:p>
        </w:tc>
        <w:tc>
          <w:tcPr>
            <w:tcW w:w="586" w:type="dxa"/>
            <w:tcMar>
              <w:left w:w="85" w:type="dxa"/>
              <w:right w:w="85" w:type="dxa"/>
            </w:tcMar>
            <w:vAlign w:val="center"/>
          </w:tcPr>
          <w:p w:rsidR="00142F6A" w:rsidRPr="00FF19F7" w:rsidRDefault="00142F6A" w:rsidP="00D73E98">
            <w:pPr>
              <w:jc w:val="center"/>
              <w:rPr>
                <w:lang w:val="it-IT"/>
              </w:rPr>
            </w:pPr>
          </w:p>
        </w:tc>
        <w:tc>
          <w:tcPr>
            <w:tcW w:w="573" w:type="dxa"/>
            <w:tcMar>
              <w:left w:w="108" w:type="dxa"/>
            </w:tcMar>
            <w:vAlign w:val="center"/>
          </w:tcPr>
          <w:p w:rsidR="00142F6A" w:rsidRPr="00FF19F7" w:rsidRDefault="00142F6A" w:rsidP="00D73E98">
            <w:pPr>
              <w:jc w:val="center"/>
              <w:rPr>
                <w:lang w:val="it-IT"/>
              </w:rPr>
            </w:pPr>
          </w:p>
        </w:tc>
        <w:tc>
          <w:tcPr>
            <w:tcW w:w="570" w:type="dxa"/>
            <w:tcMar>
              <w:left w:w="108" w:type="dxa"/>
            </w:tcMar>
            <w:vAlign w:val="center"/>
          </w:tcPr>
          <w:p w:rsidR="00142F6A" w:rsidRPr="00FF19F7" w:rsidRDefault="00142F6A" w:rsidP="00D73E98">
            <w:pPr>
              <w:jc w:val="center"/>
              <w:rPr>
                <w:lang w:val="it-IT"/>
              </w:rPr>
            </w:pPr>
          </w:p>
        </w:tc>
      </w:tr>
      <w:tr w:rsidR="00142F6A" w:rsidRPr="00CC242B" w:rsidTr="00D73E98">
        <w:trPr>
          <w:cantSplit/>
          <w:trHeight w:val="340"/>
        </w:trPr>
        <w:tc>
          <w:tcPr>
            <w:tcW w:w="680" w:type="dxa"/>
          </w:tcPr>
          <w:p w:rsidR="00142F6A" w:rsidRPr="008A0F36"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r>
              <w:rPr>
                <w:lang w:val="it-IT"/>
              </w:rPr>
              <w:t>OIC 18.4</w:t>
            </w:r>
          </w:p>
        </w:tc>
        <w:tc>
          <w:tcPr>
            <w:tcW w:w="7060" w:type="dxa"/>
            <w:tcMar>
              <w:left w:w="108" w:type="dxa"/>
            </w:tcMar>
            <w:vAlign w:val="center"/>
          </w:tcPr>
          <w:p w:rsidR="00142F6A" w:rsidRPr="00191AE6" w:rsidRDefault="00142F6A" w:rsidP="00D73E98">
            <w:pPr>
              <w:pStyle w:val="Commentiriquadro"/>
            </w:pPr>
            <w:r>
              <w:rPr>
                <w:lang w:eastAsia="it-IT"/>
              </w:rPr>
              <w:t xml:space="preserve">I </w:t>
            </w:r>
            <w:r>
              <w:rPr>
                <w:i/>
                <w:iCs/>
                <w:lang w:eastAsia="it-IT"/>
              </w:rPr>
              <w:t xml:space="preserve">ratei passivi </w:t>
            </w:r>
            <w:r>
              <w:rPr>
                <w:lang w:eastAsia="it-IT"/>
              </w:rPr>
              <w:t>rappresentano quote di costi di competenza dell’esercizio cui si riferisce il bilancio, che avranno manifestazione finanziaria in esercizi successivi.</w:t>
            </w:r>
          </w:p>
        </w:tc>
        <w:tc>
          <w:tcPr>
            <w:tcW w:w="586" w:type="dxa"/>
            <w:tcMar>
              <w:left w:w="85" w:type="dxa"/>
              <w:right w:w="85" w:type="dxa"/>
            </w:tcMar>
            <w:vAlign w:val="center"/>
          </w:tcPr>
          <w:p w:rsidR="00142F6A" w:rsidRPr="00FF19F7" w:rsidRDefault="00142F6A" w:rsidP="00D73E98">
            <w:pPr>
              <w:jc w:val="center"/>
              <w:rPr>
                <w:lang w:val="it-IT"/>
              </w:rPr>
            </w:pPr>
          </w:p>
        </w:tc>
        <w:tc>
          <w:tcPr>
            <w:tcW w:w="573" w:type="dxa"/>
            <w:tcMar>
              <w:left w:w="108" w:type="dxa"/>
            </w:tcMar>
            <w:vAlign w:val="center"/>
          </w:tcPr>
          <w:p w:rsidR="00142F6A" w:rsidRPr="00FF19F7" w:rsidRDefault="00142F6A" w:rsidP="00D73E98">
            <w:pPr>
              <w:jc w:val="center"/>
              <w:rPr>
                <w:lang w:val="it-IT"/>
              </w:rPr>
            </w:pPr>
          </w:p>
        </w:tc>
        <w:tc>
          <w:tcPr>
            <w:tcW w:w="570" w:type="dxa"/>
            <w:tcMar>
              <w:left w:w="108" w:type="dxa"/>
            </w:tcMar>
            <w:vAlign w:val="center"/>
          </w:tcPr>
          <w:p w:rsidR="00142F6A" w:rsidRPr="00FF19F7" w:rsidRDefault="00142F6A" w:rsidP="00D73E98">
            <w:pPr>
              <w:jc w:val="center"/>
              <w:rPr>
                <w:lang w:val="it-IT"/>
              </w:rPr>
            </w:pPr>
          </w:p>
        </w:tc>
      </w:tr>
      <w:tr w:rsidR="00142F6A" w:rsidRPr="00CC242B" w:rsidTr="00D73E98">
        <w:trPr>
          <w:cantSplit/>
          <w:trHeight w:val="340"/>
        </w:trPr>
        <w:tc>
          <w:tcPr>
            <w:tcW w:w="680" w:type="dxa"/>
          </w:tcPr>
          <w:p w:rsidR="00142F6A" w:rsidRPr="008A0F36"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r>
              <w:rPr>
                <w:lang w:val="it-IT"/>
              </w:rPr>
              <w:t>OIC 18.5</w:t>
            </w:r>
          </w:p>
        </w:tc>
        <w:tc>
          <w:tcPr>
            <w:tcW w:w="7060" w:type="dxa"/>
            <w:tcMar>
              <w:left w:w="108" w:type="dxa"/>
            </w:tcMar>
            <w:vAlign w:val="center"/>
          </w:tcPr>
          <w:p w:rsidR="00142F6A" w:rsidRDefault="00142F6A" w:rsidP="00D73E98">
            <w:pPr>
              <w:pStyle w:val="Commentiriquadro"/>
            </w:pPr>
            <w:r>
              <w:rPr>
                <w:lang w:eastAsia="it-IT"/>
              </w:rPr>
              <w:t xml:space="preserve">I </w:t>
            </w:r>
            <w:r>
              <w:rPr>
                <w:i/>
                <w:iCs/>
                <w:lang w:eastAsia="it-IT"/>
              </w:rPr>
              <w:t xml:space="preserve">risconti attivi </w:t>
            </w:r>
            <w:r>
              <w:rPr>
                <w:lang w:eastAsia="it-IT"/>
              </w:rPr>
              <w:t xml:space="preserve">rappresentano quote di costi che hanno avuto manifestazione finanziaria nel corso dell’esercizio in chiusura o in precedenti esercizi, ma sono di competenza di uno o più esercizi successivi. Essi rappresentano la quota parte dei costi rinviata ad uno o più esercizi successivi. </w:t>
            </w:r>
          </w:p>
        </w:tc>
        <w:tc>
          <w:tcPr>
            <w:tcW w:w="586" w:type="dxa"/>
            <w:tcMar>
              <w:left w:w="85" w:type="dxa"/>
              <w:right w:w="85" w:type="dxa"/>
            </w:tcMar>
            <w:vAlign w:val="center"/>
          </w:tcPr>
          <w:p w:rsidR="00142F6A" w:rsidRPr="00FF19F7" w:rsidRDefault="00142F6A" w:rsidP="00D73E98">
            <w:pPr>
              <w:jc w:val="center"/>
              <w:rPr>
                <w:lang w:val="it-IT"/>
              </w:rPr>
            </w:pPr>
          </w:p>
        </w:tc>
        <w:tc>
          <w:tcPr>
            <w:tcW w:w="573" w:type="dxa"/>
            <w:tcMar>
              <w:left w:w="108" w:type="dxa"/>
            </w:tcMar>
            <w:vAlign w:val="center"/>
          </w:tcPr>
          <w:p w:rsidR="00142F6A" w:rsidRPr="00FF19F7" w:rsidRDefault="00142F6A" w:rsidP="00D73E98">
            <w:pPr>
              <w:jc w:val="center"/>
              <w:rPr>
                <w:lang w:val="it-IT"/>
              </w:rPr>
            </w:pPr>
          </w:p>
        </w:tc>
        <w:tc>
          <w:tcPr>
            <w:tcW w:w="570" w:type="dxa"/>
            <w:tcMar>
              <w:left w:w="108" w:type="dxa"/>
            </w:tcMar>
            <w:vAlign w:val="center"/>
          </w:tcPr>
          <w:p w:rsidR="00142F6A" w:rsidRPr="00FF19F7" w:rsidRDefault="00142F6A" w:rsidP="00D73E98">
            <w:pPr>
              <w:jc w:val="center"/>
              <w:rPr>
                <w:lang w:val="it-IT"/>
              </w:rPr>
            </w:pPr>
          </w:p>
        </w:tc>
      </w:tr>
      <w:tr w:rsidR="00142F6A" w:rsidRPr="00CC242B" w:rsidTr="00D73E98">
        <w:trPr>
          <w:cantSplit/>
          <w:trHeight w:val="340"/>
        </w:trPr>
        <w:tc>
          <w:tcPr>
            <w:tcW w:w="680" w:type="dxa"/>
          </w:tcPr>
          <w:p w:rsidR="00142F6A" w:rsidRPr="008A0F36"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r>
              <w:rPr>
                <w:lang w:val="it-IT"/>
              </w:rPr>
              <w:t>OIC 18.6</w:t>
            </w:r>
          </w:p>
        </w:tc>
        <w:tc>
          <w:tcPr>
            <w:tcW w:w="7060" w:type="dxa"/>
            <w:tcMar>
              <w:left w:w="108" w:type="dxa"/>
            </w:tcMar>
            <w:vAlign w:val="center"/>
          </w:tcPr>
          <w:p w:rsidR="00142F6A" w:rsidRDefault="00142F6A" w:rsidP="00D73E98">
            <w:pPr>
              <w:pStyle w:val="Commentiriquadro"/>
              <w:rPr>
                <w:lang w:eastAsia="it-IT"/>
              </w:rPr>
            </w:pPr>
            <w:r>
              <w:rPr>
                <w:lang w:eastAsia="it-IT"/>
              </w:rPr>
              <w:t xml:space="preserve">I </w:t>
            </w:r>
            <w:r>
              <w:rPr>
                <w:i/>
                <w:iCs/>
                <w:lang w:eastAsia="it-IT"/>
              </w:rPr>
              <w:t xml:space="preserve">risconti passivi </w:t>
            </w:r>
            <w:r>
              <w:rPr>
                <w:lang w:eastAsia="it-IT"/>
              </w:rPr>
              <w:t xml:space="preserve">rappresentano quote di proventi che hanno avuto manifestazione finanziaria nel corso dell’esercizio in chiusura o in precedenti esercizi ma sono di competenza di uno o più esercizi </w:t>
            </w:r>
            <w:r w:rsidRPr="00191AE6">
              <w:rPr>
                <w:lang w:eastAsia="it-IT"/>
              </w:rPr>
              <w:t>successivi. Essi rappresentano la quota parte dei proventi rinviata ad uno o più esercizi successivi</w:t>
            </w:r>
            <w:r>
              <w:rPr>
                <w:lang w:eastAsia="it-IT"/>
              </w:rPr>
              <w:t>.</w:t>
            </w:r>
          </w:p>
        </w:tc>
        <w:tc>
          <w:tcPr>
            <w:tcW w:w="586" w:type="dxa"/>
            <w:tcMar>
              <w:left w:w="85" w:type="dxa"/>
              <w:right w:w="85" w:type="dxa"/>
            </w:tcMar>
            <w:vAlign w:val="center"/>
          </w:tcPr>
          <w:p w:rsidR="00142F6A" w:rsidRPr="00FF19F7" w:rsidRDefault="00142F6A" w:rsidP="00D73E98">
            <w:pPr>
              <w:jc w:val="center"/>
              <w:rPr>
                <w:lang w:val="it-IT"/>
              </w:rPr>
            </w:pPr>
          </w:p>
        </w:tc>
        <w:tc>
          <w:tcPr>
            <w:tcW w:w="573" w:type="dxa"/>
            <w:tcMar>
              <w:left w:w="108" w:type="dxa"/>
            </w:tcMar>
            <w:vAlign w:val="center"/>
          </w:tcPr>
          <w:p w:rsidR="00142F6A" w:rsidRPr="00FF19F7" w:rsidRDefault="00142F6A" w:rsidP="00D73E98">
            <w:pPr>
              <w:jc w:val="center"/>
              <w:rPr>
                <w:lang w:val="it-IT"/>
              </w:rPr>
            </w:pPr>
          </w:p>
        </w:tc>
        <w:tc>
          <w:tcPr>
            <w:tcW w:w="570" w:type="dxa"/>
            <w:tcMar>
              <w:left w:w="108" w:type="dxa"/>
            </w:tcMar>
            <w:vAlign w:val="center"/>
          </w:tcPr>
          <w:p w:rsidR="00142F6A" w:rsidRPr="00FF19F7" w:rsidRDefault="00142F6A" w:rsidP="00D73E98">
            <w:pPr>
              <w:jc w:val="center"/>
              <w:rPr>
                <w:lang w:val="it-IT"/>
              </w:rPr>
            </w:pPr>
          </w:p>
        </w:tc>
      </w:tr>
      <w:tr w:rsidR="00142F6A" w:rsidRPr="00CC242B" w:rsidTr="00D73E98">
        <w:trPr>
          <w:cantSplit/>
          <w:trHeight w:val="340"/>
        </w:trPr>
        <w:tc>
          <w:tcPr>
            <w:tcW w:w="680" w:type="dxa"/>
          </w:tcPr>
          <w:p w:rsidR="00142F6A" w:rsidRPr="008A0F36"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p>
        </w:tc>
        <w:tc>
          <w:tcPr>
            <w:tcW w:w="7060" w:type="dxa"/>
            <w:tcMar>
              <w:left w:w="108" w:type="dxa"/>
            </w:tcMar>
            <w:vAlign w:val="center"/>
          </w:tcPr>
          <w:p w:rsidR="00142F6A" w:rsidRPr="00142F6A" w:rsidRDefault="00142F6A" w:rsidP="00D73E98">
            <w:pPr>
              <w:pStyle w:val="Titolo2"/>
              <w:rPr>
                <w:lang w:val="it-IT"/>
              </w:rPr>
            </w:pPr>
            <w:r w:rsidRPr="00142F6A">
              <w:rPr>
                <w:lang w:val="it-IT"/>
              </w:rPr>
              <w:t>Classificazione e contenuto delle voci</w:t>
            </w:r>
          </w:p>
        </w:tc>
        <w:tc>
          <w:tcPr>
            <w:tcW w:w="586" w:type="dxa"/>
            <w:tcMar>
              <w:left w:w="85" w:type="dxa"/>
              <w:right w:w="85" w:type="dxa"/>
            </w:tcMar>
            <w:vAlign w:val="center"/>
          </w:tcPr>
          <w:p w:rsidR="00142F6A" w:rsidRPr="00FF19F7" w:rsidRDefault="00142F6A" w:rsidP="00D73E98">
            <w:pPr>
              <w:jc w:val="center"/>
              <w:rPr>
                <w:lang w:val="it-IT"/>
              </w:rPr>
            </w:pPr>
          </w:p>
        </w:tc>
        <w:tc>
          <w:tcPr>
            <w:tcW w:w="573" w:type="dxa"/>
            <w:tcMar>
              <w:left w:w="108" w:type="dxa"/>
            </w:tcMar>
            <w:vAlign w:val="center"/>
          </w:tcPr>
          <w:p w:rsidR="00142F6A" w:rsidRPr="00FF19F7" w:rsidRDefault="00142F6A" w:rsidP="00D73E98">
            <w:pPr>
              <w:jc w:val="center"/>
              <w:rPr>
                <w:lang w:val="it-IT"/>
              </w:rPr>
            </w:pPr>
          </w:p>
        </w:tc>
        <w:tc>
          <w:tcPr>
            <w:tcW w:w="570" w:type="dxa"/>
            <w:tcMar>
              <w:left w:w="108" w:type="dxa"/>
            </w:tcMar>
            <w:vAlign w:val="center"/>
          </w:tcPr>
          <w:p w:rsidR="00142F6A" w:rsidRPr="00FF19F7" w:rsidRDefault="00142F6A" w:rsidP="00D73E98">
            <w:pPr>
              <w:jc w:val="center"/>
              <w:rPr>
                <w:lang w:val="it-IT"/>
              </w:rPr>
            </w:pPr>
          </w:p>
        </w:tc>
      </w:tr>
      <w:tr w:rsidR="00142F6A" w:rsidRPr="00F7168D" w:rsidTr="00D73E98">
        <w:trPr>
          <w:cantSplit/>
          <w:trHeight w:val="20"/>
        </w:trPr>
        <w:tc>
          <w:tcPr>
            <w:tcW w:w="680" w:type="dxa"/>
          </w:tcPr>
          <w:p w:rsidR="00142F6A" w:rsidRPr="004A18FC" w:rsidRDefault="00142F6A" w:rsidP="00D73E98">
            <w:pPr>
              <w:jc w:val="center"/>
              <w:rPr>
                <w:b/>
                <w:lang w:val="it-IT"/>
              </w:rPr>
            </w:pPr>
            <w:r w:rsidRPr="004A18FC">
              <w:rPr>
                <w:b/>
                <w:lang w:val="it-IT"/>
              </w:rPr>
              <w:t>1)</w:t>
            </w:r>
          </w:p>
        </w:tc>
        <w:tc>
          <w:tcPr>
            <w:tcW w:w="851" w:type="dxa"/>
            <w:tcMar>
              <w:left w:w="108" w:type="dxa"/>
              <w:right w:w="0" w:type="dxa"/>
            </w:tcMar>
          </w:tcPr>
          <w:p w:rsidR="00142F6A" w:rsidRDefault="00142F6A" w:rsidP="00D73E98">
            <w:pPr>
              <w:pStyle w:val="PrincCont"/>
              <w:jc w:val="left"/>
              <w:rPr>
                <w:lang w:val="it-IT"/>
              </w:rPr>
            </w:pPr>
            <w:r>
              <w:rPr>
                <w:lang w:val="it-IT"/>
              </w:rPr>
              <w:t>Art. 2424 CC</w:t>
            </w:r>
          </w:p>
          <w:p w:rsidR="00142F6A" w:rsidRPr="008A0F36" w:rsidRDefault="00142F6A" w:rsidP="00D73E98">
            <w:pPr>
              <w:pStyle w:val="PrincCont"/>
              <w:jc w:val="left"/>
              <w:rPr>
                <w:lang w:val="it-IT"/>
              </w:rPr>
            </w:pPr>
            <w:r>
              <w:rPr>
                <w:lang w:val="it-IT"/>
              </w:rPr>
              <w:t>OIC 18.8</w:t>
            </w:r>
          </w:p>
        </w:tc>
        <w:tc>
          <w:tcPr>
            <w:tcW w:w="7060" w:type="dxa"/>
            <w:tcMar>
              <w:left w:w="108" w:type="dxa"/>
            </w:tcMar>
          </w:tcPr>
          <w:p w:rsidR="00142F6A" w:rsidRPr="00EB5CF9" w:rsidRDefault="00142F6A" w:rsidP="00D73E98">
            <w:pPr>
              <w:spacing w:line="230" w:lineRule="exact"/>
              <w:rPr>
                <w:lang w:val="it-IT"/>
              </w:rPr>
            </w:pPr>
            <w:r>
              <w:rPr>
                <w:lang w:val="it-IT"/>
              </w:rPr>
              <w:t>I ratei e i risconti attivi sono stati rilevati nell’attivo dello stato patrimoniale alla voce D “Ratei e risconti”?</w:t>
            </w:r>
          </w:p>
        </w:tc>
        <w:tc>
          <w:tcPr>
            <w:tcW w:w="586" w:type="dxa"/>
            <w:tcMar>
              <w:left w:w="85" w:type="dxa"/>
              <w:right w:w="85"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CA1681">
              <w:rPr>
                <w:lang w:val="it-IT"/>
              </w:rPr>
            </w:r>
            <w:r w:rsidR="00CA1681">
              <w:rPr>
                <w:lang w:val="it-IT"/>
              </w:rPr>
              <w:fldChar w:fldCharType="separate"/>
            </w:r>
            <w:r w:rsidRPr="00D75189">
              <w:rPr>
                <w:lang w:val="it-IT"/>
              </w:rPr>
              <w:fldChar w:fldCharType="end"/>
            </w:r>
          </w:p>
        </w:tc>
        <w:tc>
          <w:tcPr>
            <w:tcW w:w="573" w:type="dxa"/>
            <w:tcMar>
              <w:left w:w="108"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CA1681">
              <w:rPr>
                <w:lang w:val="it-IT"/>
              </w:rPr>
            </w:r>
            <w:r w:rsidR="00CA1681">
              <w:rPr>
                <w:lang w:val="it-IT"/>
              </w:rPr>
              <w:fldChar w:fldCharType="separate"/>
            </w:r>
            <w:r w:rsidRPr="00D75189">
              <w:rPr>
                <w:lang w:val="it-IT"/>
              </w:rPr>
              <w:fldChar w:fldCharType="end"/>
            </w:r>
          </w:p>
        </w:tc>
        <w:tc>
          <w:tcPr>
            <w:tcW w:w="570" w:type="dxa"/>
            <w:tcMar>
              <w:left w:w="108"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CA1681">
              <w:rPr>
                <w:lang w:val="it-IT"/>
              </w:rPr>
            </w:r>
            <w:r w:rsidR="00CA1681">
              <w:rPr>
                <w:lang w:val="it-IT"/>
              </w:rPr>
              <w:fldChar w:fldCharType="separate"/>
            </w:r>
            <w:r w:rsidRPr="00D75189">
              <w:rPr>
                <w:lang w:val="it-IT"/>
              </w:rPr>
              <w:fldChar w:fldCharType="end"/>
            </w:r>
          </w:p>
        </w:tc>
      </w:tr>
      <w:tr w:rsidR="00142F6A" w:rsidRPr="00BD07F7" w:rsidTr="00D73E98">
        <w:trPr>
          <w:cantSplit/>
          <w:trHeight w:val="20"/>
        </w:trPr>
        <w:tc>
          <w:tcPr>
            <w:tcW w:w="680" w:type="dxa"/>
          </w:tcPr>
          <w:p w:rsidR="00142F6A" w:rsidRPr="004A18FC" w:rsidRDefault="00142F6A" w:rsidP="00D73E98">
            <w:pPr>
              <w:jc w:val="center"/>
              <w:rPr>
                <w:b/>
                <w:lang w:val="it-IT"/>
              </w:rPr>
            </w:pPr>
            <w:r w:rsidRPr="004A18FC">
              <w:rPr>
                <w:b/>
                <w:lang w:val="it-IT"/>
              </w:rPr>
              <w:t>2)</w:t>
            </w:r>
          </w:p>
        </w:tc>
        <w:tc>
          <w:tcPr>
            <w:tcW w:w="851" w:type="dxa"/>
            <w:tcMar>
              <w:left w:w="108" w:type="dxa"/>
              <w:right w:w="0" w:type="dxa"/>
            </w:tcMar>
          </w:tcPr>
          <w:p w:rsidR="00142F6A" w:rsidRDefault="00142F6A" w:rsidP="00D73E98">
            <w:pPr>
              <w:pStyle w:val="PrincCont"/>
              <w:jc w:val="left"/>
              <w:rPr>
                <w:lang w:val="it-IT"/>
              </w:rPr>
            </w:pPr>
            <w:r>
              <w:rPr>
                <w:lang w:val="it-IT"/>
              </w:rPr>
              <w:t>Art. 2424 CC</w:t>
            </w:r>
          </w:p>
          <w:p w:rsidR="00142F6A" w:rsidRPr="008A0F36" w:rsidRDefault="00142F6A" w:rsidP="00D73E98">
            <w:pPr>
              <w:pStyle w:val="PrincCont"/>
              <w:jc w:val="left"/>
              <w:rPr>
                <w:lang w:val="it-IT"/>
              </w:rPr>
            </w:pPr>
            <w:r>
              <w:rPr>
                <w:lang w:val="it-IT"/>
              </w:rPr>
              <w:t>OIC 18.8</w:t>
            </w:r>
          </w:p>
        </w:tc>
        <w:tc>
          <w:tcPr>
            <w:tcW w:w="7060" w:type="dxa"/>
            <w:tcMar>
              <w:left w:w="108" w:type="dxa"/>
            </w:tcMar>
          </w:tcPr>
          <w:p w:rsidR="00142F6A" w:rsidRPr="004A750E" w:rsidRDefault="00142F6A" w:rsidP="00D73E98">
            <w:pPr>
              <w:pStyle w:val="Paragrafoelenco"/>
              <w:spacing w:line="230" w:lineRule="exact"/>
              <w:ind w:left="34" w:hanging="34"/>
              <w:rPr>
                <w:lang w:val="it-IT"/>
              </w:rPr>
            </w:pPr>
            <w:r>
              <w:rPr>
                <w:lang w:val="it-IT"/>
              </w:rPr>
              <w:t>I ratei e i risconti passivi sono stati rilevati nel passivo dello stato patrimoniale alla voce E “Ratei e risconti”?</w:t>
            </w:r>
          </w:p>
        </w:tc>
        <w:tc>
          <w:tcPr>
            <w:tcW w:w="586" w:type="dxa"/>
            <w:tcMar>
              <w:left w:w="85" w:type="dxa"/>
              <w:right w:w="85"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142F6A" w:rsidRPr="0067423C" w:rsidTr="00D73E98">
        <w:trPr>
          <w:cantSplit/>
          <w:trHeight w:val="20"/>
        </w:trPr>
        <w:tc>
          <w:tcPr>
            <w:tcW w:w="680" w:type="dxa"/>
          </w:tcPr>
          <w:p w:rsidR="00142F6A" w:rsidRPr="004A18FC" w:rsidRDefault="00142F6A" w:rsidP="00D73E98">
            <w:pPr>
              <w:jc w:val="center"/>
              <w:rPr>
                <w:b/>
                <w:lang w:val="it-IT"/>
              </w:rPr>
            </w:pPr>
            <w:r w:rsidRPr="004A18FC">
              <w:rPr>
                <w:b/>
                <w:lang w:val="it-IT"/>
              </w:rPr>
              <w:t>3)</w:t>
            </w:r>
          </w:p>
        </w:tc>
        <w:tc>
          <w:tcPr>
            <w:tcW w:w="851" w:type="dxa"/>
            <w:tcMar>
              <w:left w:w="108" w:type="dxa"/>
              <w:right w:w="0" w:type="dxa"/>
            </w:tcMar>
          </w:tcPr>
          <w:p w:rsidR="00142F6A" w:rsidRPr="00D61593" w:rsidRDefault="00142F6A" w:rsidP="00D73E98">
            <w:pPr>
              <w:pStyle w:val="PrincCont"/>
              <w:jc w:val="left"/>
            </w:pPr>
            <w:r>
              <w:rPr>
                <w:lang w:val="it-IT"/>
              </w:rPr>
              <w:t>OIC 18.9</w:t>
            </w:r>
          </w:p>
        </w:tc>
        <w:tc>
          <w:tcPr>
            <w:tcW w:w="7060" w:type="dxa"/>
            <w:tcMar>
              <w:left w:w="108" w:type="dxa"/>
            </w:tcMar>
          </w:tcPr>
          <w:p w:rsidR="00142F6A" w:rsidRPr="00D12CEC" w:rsidRDefault="00142F6A" w:rsidP="00D73E98">
            <w:pPr>
              <w:spacing w:line="230" w:lineRule="exact"/>
              <w:rPr>
                <w:lang w:val="it-IT" w:eastAsia="it-IT"/>
              </w:rPr>
            </w:pPr>
            <w:r>
              <w:rPr>
                <w:lang w:val="it-IT" w:eastAsia="it-IT"/>
              </w:rPr>
              <w:t>La contropartita nel conto economico dell’iscrizione di un rateo ha trovato collocazione fra i proventi e i costi secondo la natura del rapporto economico?</w:t>
            </w:r>
          </w:p>
        </w:tc>
        <w:tc>
          <w:tcPr>
            <w:tcW w:w="586" w:type="dxa"/>
            <w:tcMar>
              <w:left w:w="85" w:type="dxa"/>
              <w:right w:w="85"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142F6A" w:rsidRPr="0067423C" w:rsidTr="00D73E98">
        <w:trPr>
          <w:cantSplit/>
          <w:trHeight w:val="20"/>
        </w:trPr>
        <w:tc>
          <w:tcPr>
            <w:tcW w:w="680" w:type="dxa"/>
          </w:tcPr>
          <w:p w:rsidR="00142F6A" w:rsidRPr="004A18FC" w:rsidRDefault="00142F6A" w:rsidP="00D73E98">
            <w:pPr>
              <w:jc w:val="center"/>
              <w:rPr>
                <w:b/>
                <w:lang w:val="it-IT"/>
              </w:rPr>
            </w:pPr>
            <w:r w:rsidRPr="004A18FC">
              <w:rPr>
                <w:b/>
                <w:lang w:val="it-IT"/>
              </w:rPr>
              <w:t>4)</w:t>
            </w:r>
          </w:p>
        </w:tc>
        <w:tc>
          <w:tcPr>
            <w:tcW w:w="851" w:type="dxa"/>
            <w:tcMar>
              <w:left w:w="108" w:type="dxa"/>
              <w:right w:w="0" w:type="dxa"/>
            </w:tcMar>
          </w:tcPr>
          <w:p w:rsidR="00142F6A" w:rsidRPr="00D12CEC" w:rsidRDefault="00142F6A" w:rsidP="00D73E98">
            <w:pPr>
              <w:pStyle w:val="PrincCont"/>
              <w:jc w:val="left"/>
              <w:rPr>
                <w:lang w:val="it-IT"/>
              </w:rPr>
            </w:pPr>
            <w:r>
              <w:rPr>
                <w:lang w:val="it-IT"/>
              </w:rPr>
              <w:t>OIC 18.10</w:t>
            </w:r>
          </w:p>
        </w:tc>
        <w:tc>
          <w:tcPr>
            <w:tcW w:w="7060" w:type="dxa"/>
            <w:tcMar>
              <w:left w:w="108" w:type="dxa"/>
            </w:tcMar>
          </w:tcPr>
          <w:p w:rsidR="00142F6A" w:rsidRPr="00D12CEC" w:rsidRDefault="00142F6A" w:rsidP="00D73E98">
            <w:pPr>
              <w:spacing w:line="230" w:lineRule="exact"/>
              <w:rPr>
                <w:lang w:val="it-IT" w:eastAsia="it-IT"/>
              </w:rPr>
            </w:pPr>
            <w:r>
              <w:rPr>
                <w:lang w:val="it-IT" w:eastAsia="it-IT"/>
              </w:rPr>
              <w:t xml:space="preserve">La contropartita nel conto economico dell’iscrizione di un risconto trova collocazione a rettifica dei correlati proventi e costi già contabilizzati? </w:t>
            </w:r>
          </w:p>
        </w:tc>
        <w:tc>
          <w:tcPr>
            <w:tcW w:w="586" w:type="dxa"/>
            <w:tcMar>
              <w:left w:w="85" w:type="dxa"/>
              <w:right w:w="85"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142F6A" w:rsidRPr="00CC242B" w:rsidTr="00D73E98">
        <w:trPr>
          <w:cantSplit/>
          <w:trHeight w:val="20"/>
        </w:trPr>
        <w:tc>
          <w:tcPr>
            <w:tcW w:w="680" w:type="dxa"/>
          </w:tcPr>
          <w:p w:rsidR="00142F6A" w:rsidRPr="004A18FC" w:rsidRDefault="00142F6A" w:rsidP="00D73E98">
            <w:pPr>
              <w:jc w:val="center"/>
              <w:rPr>
                <w:b/>
                <w:lang w:val="it-IT"/>
              </w:rPr>
            </w:pPr>
          </w:p>
        </w:tc>
        <w:tc>
          <w:tcPr>
            <w:tcW w:w="851" w:type="dxa"/>
            <w:tcMar>
              <w:left w:w="108" w:type="dxa"/>
              <w:right w:w="0" w:type="dxa"/>
            </w:tcMar>
          </w:tcPr>
          <w:p w:rsidR="00142F6A" w:rsidRPr="00C84316" w:rsidRDefault="00142F6A" w:rsidP="00D73E98">
            <w:pPr>
              <w:pStyle w:val="PrincCont"/>
              <w:jc w:val="left"/>
            </w:pPr>
            <w:r w:rsidRPr="00D61593">
              <w:t xml:space="preserve">Art. 2425-bis, </w:t>
            </w:r>
            <w:r>
              <w:t>c.</w:t>
            </w:r>
            <w:r w:rsidRPr="00D61593">
              <w:t>2 CC</w:t>
            </w:r>
            <w:r>
              <w:t xml:space="preserve">        </w:t>
            </w:r>
            <w:r w:rsidRPr="00D61593">
              <w:t>OIC 18.</w:t>
            </w:r>
            <w:r>
              <w:t>11</w:t>
            </w:r>
            <w:r w:rsidRPr="00C84316">
              <w:t xml:space="preserve"> </w:t>
            </w:r>
          </w:p>
        </w:tc>
        <w:tc>
          <w:tcPr>
            <w:tcW w:w="7060" w:type="dxa"/>
            <w:tcMar>
              <w:left w:w="108" w:type="dxa"/>
            </w:tcMar>
          </w:tcPr>
          <w:p w:rsidR="00142F6A" w:rsidRPr="00492518" w:rsidRDefault="00142F6A" w:rsidP="00D73E98">
            <w:pPr>
              <w:pStyle w:val="Commentiriquadro"/>
              <w:rPr>
                <w:lang w:eastAsia="it-IT"/>
              </w:rPr>
            </w:pPr>
            <w:r>
              <w:rPr>
                <w:lang w:eastAsia="it-IT"/>
              </w:rPr>
              <w:t xml:space="preserve">Per le società che redigono il bilancio in forma abbreviata i ratei e risconti attivi e i ratei e risconti passivi possono essere ricompresi rispettivamente nella voce CII dell’attivo “Crediti” e nella voce D del passivo “Debiti”. </w:t>
            </w:r>
          </w:p>
        </w:tc>
        <w:tc>
          <w:tcPr>
            <w:tcW w:w="586" w:type="dxa"/>
            <w:tcMar>
              <w:left w:w="85" w:type="dxa"/>
              <w:right w:w="85" w:type="dxa"/>
            </w:tcMar>
            <w:vAlign w:val="center"/>
          </w:tcPr>
          <w:p w:rsidR="00142F6A" w:rsidRPr="00A32A16" w:rsidRDefault="00142F6A" w:rsidP="00D73E98">
            <w:pPr>
              <w:jc w:val="center"/>
              <w:rPr>
                <w:lang w:val="it-IT"/>
              </w:rPr>
            </w:pPr>
          </w:p>
        </w:tc>
        <w:tc>
          <w:tcPr>
            <w:tcW w:w="573" w:type="dxa"/>
            <w:tcMar>
              <w:left w:w="108" w:type="dxa"/>
            </w:tcMar>
            <w:vAlign w:val="center"/>
          </w:tcPr>
          <w:p w:rsidR="00142F6A" w:rsidRPr="00A32A16" w:rsidRDefault="00142F6A" w:rsidP="00D73E98">
            <w:pPr>
              <w:jc w:val="center"/>
              <w:rPr>
                <w:lang w:val="it-IT"/>
              </w:rPr>
            </w:pPr>
          </w:p>
        </w:tc>
        <w:tc>
          <w:tcPr>
            <w:tcW w:w="570" w:type="dxa"/>
            <w:tcMar>
              <w:left w:w="108" w:type="dxa"/>
            </w:tcMar>
            <w:vAlign w:val="center"/>
          </w:tcPr>
          <w:p w:rsidR="00142F6A" w:rsidRPr="00A32A16" w:rsidRDefault="00142F6A" w:rsidP="00D73E98">
            <w:pPr>
              <w:jc w:val="center"/>
              <w:rPr>
                <w:lang w:val="it-IT"/>
              </w:rPr>
            </w:pPr>
          </w:p>
        </w:tc>
      </w:tr>
      <w:tr w:rsidR="00142F6A" w:rsidRPr="00D12CEC" w:rsidTr="00D73E98">
        <w:trPr>
          <w:cantSplit/>
          <w:trHeight w:val="20"/>
        </w:trPr>
        <w:tc>
          <w:tcPr>
            <w:tcW w:w="680" w:type="dxa"/>
          </w:tcPr>
          <w:p w:rsidR="00142F6A" w:rsidRPr="004A18FC" w:rsidRDefault="00142F6A" w:rsidP="00D73E98">
            <w:pPr>
              <w:jc w:val="center"/>
              <w:rPr>
                <w:b/>
                <w:lang w:val="it-IT"/>
              </w:rPr>
            </w:pPr>
          </w:p>
        </w:tc>
        <w:tc>
          <w:tcPr>
            <w:tcW w:w="851" w:type="dxa"/>
            <w:tcMar>
              <w:left w:w="108" w:type="dxa"/>
              <w:right w:w="0" w:type="dxa"/>
            </w:tcMar>
          </w:tcPr>
          <w:p w:rsidR="00142F6A" w:rsidRPr="008A0F36" w:rsidRDefault="00142F6A" w:rsidP="00D73E98">
            <w:pPr>
              <w:pStyle w:val="PrincCont"/>
              <w:jc w:val="left"/>
              <w:rPr>
                <w:lang w:val="it-IT"/>
              </w:rPr>
            </w:pPr>
          </w:p>
        </w:tc>
        <w:tc>
          <w:tcPr>
            <w:tcW w:w="7060" w:type="dxa"/>
            <w:tcMar>
              <w:left w:w="108" w:type="dxa"/>
            </w:tcMar>
            <w:vAlign w:val="center"/>
          </w:tcPr>
          <w:p w:rsidR="00142F6A" w:rsidRPr="00EA42C0" w:rsidRDefault="00142F6A" w:rsidP="00D73E98">
            <w:pPr>
              <w:pStyle w:val="Titolo2"/>
            </w:pPr>
            <w:r w:rsidRPr="00EA42C0">
              <w:t>Rilevazione iniziale</w:t>
            </w:r>
          </w:p>
        </w:tc>
        <w:tc>
          <w:tcPr>
            <w:tcW w:w="586" w:type="dxa"/>
            <w:tcMar>
              <w:left w:w="85" w:type="dxa"/>
              <w:right w:w="85" w:type="dxa"/>
            </w:tcMar>
            <w:vAlign w:val="center"/>
          </w:tcPr>
          <w:p w:rsidR="00142F6A" w:rsidRPr="00A32A16" w:rsidRDefault="00142F6A" w:rsidP="00D73E98">
            <w:pPr>
              <w:jc w:val="center"/>
              <w:rPr>
                <w:lang w:val="it-IT"/>
              </w:rPr>
            </w:pPr>
          </w:p>
        </w:tc>
        <w:tc>
          <w:tcPr>
            <w:tcW w:w="573" w:type="dxa"/>
            <w:tcMar>
              <w:left w:w="108" w:type="dxa"/>
            </w:tcMar>
            <w:vAlign w:val="center"/>
          </w:tcPr>
          <w:p w:rsidR="00142F6A" w:rsidRPr="00A32A16" w:rsidRDefault="00142F6A" w:rsidP="00D73E98">
            <w:pPr>
              <w:jc w:val="center"/>
              <w:rPr>
                <w:lang w:val="it-IT"/>
              </w:rPr>
            </w:pPr>
          </w:p>
        </w:tc>
        <w:tc>
          <w:tcPr>
            <w:tcW w:w="570" w:type="dxa"/>
            <w:tcMar>
              <w:left w:w="108" w:type="dxa"/>
            </w:tcMar>
            <w:vAlign w:val="center"/>
          </w:tcPr>
          <w:p w:rsidR="00142F6A" w:rsidRPr="00A32A16" w:rsidRDefault="00142F6A" w:rsidP="00D73E98">
            <w:pPr>
              <w:jc w:val="center"/>
              <w:rPr>
                <w:lang w:val="it-IT"/>
              </w:rPr>
            </w:pPr>
          </w:p>
        </w:tc>
      </w:tr>
      <w:tr w:rsidR="00142F6A" w:rsidRPr="00F7168D" w:rsidTr="00D73E98">
        <w:trPr>
          <w:cantSplit/>
          <w:trHeight w:val="20"/>
        </w:trPr>
        <w:tc>
          <w:tcPr>
            <w:tcW w:w="680" w:type="dxa"/>
          </w:tcPr>
          <w:p w:rsidR="00142F6A" w:rsidRPr="004A18FC" w:rsidRDefault="00142F6A" w:rsidP="00D73E98">
            <w:pPr>
              <w:jc w:val="center"/>
              <w:rPr>
                <w:b/>
                <w:lang w:val="it-IT"/>
              </w:rPr>
            </w:pPr>
            <w:r w:rsidRPr="004A18FC">
              <w:rPr>
                <w:b/>
                <w:lang w:val="it-IT"/>
              </w:rPr>
              <w:t>5)</w:t>
            </w:r>
          </w:p>
        </w:tc>
        <w:tc>
          <w:tcPr>
            <w:tcW w:w="851" w:type="dxa"/>
            <w:tcMar>
              <w:left w:w="108" w:type="dxa"/>
              <w:right w:w="0" w:type="dxa"/>
            </w:tcMar>
          </w:tcPr>
          <w:p w:rsidR="00142F6A" w:rsidRPr="00C45514" w:rsidRDefault="00142F6A" w:rsidP="00D73E98">
            <w:pPr>
              <w:pStyle w:val="PrincCont"/>
              <w:jc w:val="left"/>
            </w:pPr>
            <w:r w:rsidRPr="00C45514">
              <w:t>Art. 2424-bis, c.6 CC</w:t>
            </w:r>
            <w:r>
              <w:t xml:space="preserve">       </w:t>
            </w:r>
            <w:r w:rsidRPr="00C45514">
              <w:t>OIC 18.12</w:t>
            </w:r>
          </w:p>
        </w:tc>
        <w:tc>
          <w:tcPr>
            <w:tcW w:w="7060" w:type="dxa"/>
            <w:tcMar>
              <w:left w:w="108" w:type="dxa"/>
            </w:tcMar>
          </w:tcPr>
          <w:p w:rsidR="00142F6A" w:rsidRPr="00DE38DC" w:rsidRDefault="00142F6A" w:rsidP="00D73E98">
            <w:pPr>
              <w:spacing w:line="230" w:lineRule="exact"/>
              <w:rPr>
                <w:lang w:val="it-IT"/>
              </w:rPr>
            </w:pPr>
            <w:r>
              <w:rPr>
                <w:lang w:val="it-IT"/>
              </w:rPr>
              <w:t>Nella voce ratei e risconti attivi sono stai iscritti i pro</w:t>
            </w:r>
            <w:r w:rsidRPr="00F9481B">
              <w:rPr>
                <w:lang w:val="it-IT"/>
              </w:rPr>
              <w:t>venti di competenza dell’esercizio esigibili in esercizi successivi, e i costi sostenuti entro la chiusura dell’esercizio ma di competenza di esercizi successivi?</w:t>
            </w:r>
          </w:p>
        </w:tc>
        <w:tc>
          <w:tcPr>
            <w:tcW w:w="586" w:type="dxa"/>
            <w:tcMar>
              <w:left w:w="85" w:type="dxa"/>
              <w:right w:w="85"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CA1681">
              <w:rPr>
                <w:lang w:val="it-IT"/>
              </w:rPr>
            </w:r>
            <w:r w:rsidR="00CA1681">
              <w:rPr>
                <w:lang w:val="it-IT"/>
              </w:rPr>
              <w:fldChar w:fldCharType="separate"/>
            </w:r>
            <w:r w:rsidRPr="00D75189">
              <w:rPr>
                <w:lang w:val="it-IT"/>
              </w:rPr>
              <w:fldChar w:fldCharType="end"/>
            </w:r>
          </w:p>
        </w:tc>
        <w:tc>
          <w:tcPr>
            <w:tcW w:w="573" w:type="dxa"/>
            <w:tcMar>
              <w:left w:w="108"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CA1681">
              <w:rPr>
                <w:lang w:val="it-IT"/>
              </w:rPr>
            </w:r>
            <w:r w:rsidR="00CA1681">
              <w:rPr>
                <w:lang w:val="it-IT"/>
              </w:rPr>
              <w:fldChar w:fldCharType="separate"/>
            </w:r>
            <w:r w:rsidRPr="00D75189">
              <w:rPr>
                <w:lang w:val="it-IT"/>
              </w:rPr>
              <w:fldChar w:fldCharType="end"/>
            </w:r>
          </w:p>
        </w:tc>
        <w:tc>
          <w:tcPr>
            <w:tcW w:w="570" w:type="dxa"/>
            <w:tcMar>
              <w:left w:w="108"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CA1681">
              <w:rPr>
                <w:lang w:val="it-IT"/>
              </w:rPr>
            </w:r>
            <w:r w:rsidR="00CA1681">
              <w:rPr>
                <w:lang w:val="it-IT"/>
              </w:rPr>
              <w:fldChar w:fldCharType="separate"/>
            </w:r>
            <w:r w:rsidRPr="00D75189">
              <w:rPr>
                <w:lang w:val="it-IT"/>
              </w:rPr>
              <w:fldChar w:fldCharType="end"/>
            </w:r>
          </w:p>
        </w:tc>
      </w:tr>
      <w:tr w:rsidR="00142F6A" w:rsidRPr="00F7168D" w:rsidTr="00D73E98">
        <w:trPr>
          <w:cantSplit/>
          <w:trHeight w:val="20"/>
        </w:trPr>
        <w:tc>
          <w:tcPr>
            <w:tcW w:w="680" w:type="dxa"/>
          </w:tcPr>
          <w:p w:rsidR="00142F6A" w:rsidRPr="004A18FC" w:rsidRDefault="00142F6A" w:rsidP="00D73E98">
            <w:pPr>
              <w:jc w:val="center"/>
              <w:rPr>
                <w:b/>
                <w:lang w:val="it-IT"/>
              </w:rPr>
            </w:pPr>
            <w:r w:rsidRPr="004A18FC">
              <w:rPr>
                <w:b/>
                <w:lang w:val="it-IT"/>
              </w:rPr>
              <w:t>6)</w:t>
            </w:r>
          </w:p>
        </w:tc>
        <w:tc>
          <w:tcPr>
            <w:tcW w:w="851" w:type="dxa"/>
            <w:tcMar>
              <w:left w:w="108" w:type="dxa"/>
              <w:right w:w="0" w:type="dxa"/>
            </w:tcMar>
          </w:tcPr>
          <w:p w:rsidR="00142F6A" w:rsidRPr="00C84316" w:rsidRDefault="00142F6A" w:rsidP="00D73E98">
            <w:pPr>
              <w:pStyle w:val="PrincCont"/>
              <w:jc w:val="left"/>
            </w:pPr>
            <w:r>
              <w:t>Art. 2424-bis, c.6 CC</w:t>
            </w:r>
            <w:r w:rsidRPr="00C84316">
              <w:t xml:space="preserve"> </w:t>
            </w:r>
            <w:r>
              <w:t xml:space="preserve">      </w:t>
            </w:r>
            <w:r w:rsidRPr="00C84316">
              <w:t>OIC 18.12</w:t>
            </w:r>
          </w:p>
        </w:tc>
        <w:tc>
          <w:tcPr>
            <w:tcW w:w="7060" w:type="dxa"/>
            <w:tcMar>
              <w:left w:w="108" w:type="dxa"/>
            </w:tcMar>
          </w:tcPr>
          <w:p w:rsidR="00142F6A" w:rsidRPr="00F9481B" w:rsidRDefault="00142F6A" w:rsidP="00D73E98">
            <w:pPr>
              <w:spacing w:line="230" w:lineRule="exact"/>
              <w:rPr>
                <w:lang w:val="it-IT"/>
              </w:rPr>
            </w:pPr>
            <w:r w:rsidRPr="00F9481B">
              <w:rPr>
                <w:lang w:val="it-IT"/>
              </w:rPr>
              <w:t>Nella voce ratei e risconti passivi sono stati iscritti i costi di competenza dell’esercizio esigibili in esercizi successivi e i proventi percepiti entro la chiusura dell’esercizio ma di competenza di esercizi successivi?</w:t>
            </w:r>
          </w:p>
        </w:tc>
        <w:tc>
          <w:tcPr>
            <w:tcW w:w="586" w:type="dxa"/>
            <w:tcMar>
              <w:left w:w="85" w:type="dxa"/>
              <w:right w:w="85"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CA1681">
              <w:rPr>
                <w:lang w:val="it-IT"/>
              </w:rPr>
            </w:r>
            <w:r w:rsidR="00CA1681">
              <w:rPr>
                <w:lang w:val="it-IT"/>
              </w:rPr>
              <w:fldChar w:fldCharType="separate"/>
            </w:r>
            <w:r w:rsidRPr="00D75189">
              <w:rPr>
                <w:lang w:val="it-IT"/>
              </w:rPr>
              <w:fldChar w:fldCharType="end"/>
            </w:r>
          </w:p>
        </w:tc>
        <w:tc>
          <w:tcPr>
            <w:tcW w:w="573" w:type="dxa"/>
            <w:tcMar>
              <w:left w:w="108"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CA1681">
              <w:rPr>
                <w:lang w:val="it-IT"/>
              </w:rPr>
            </w:r>
            <w:r w:rsidR="00CA1681">
              <w:rPr>
                <w:lang w:val="it-IT"/>
              </w:rPr>
              <w:fldChar w:fldCharType="separate"/>
            </w:r>
            <w:r w:rsidRPr="00D75189">
              <w:rPr>
                <w:lang w:val="it-IT"/>
              </w:rPr>
              <w:fldChar w:fldCharType="end"/>
            </w:r>
          </w:p>
        </w:tc>
        <w:tc>
          <w:tcPr>
            <w:tcW w:w="570" w:type="dxa"/>
            <w:tcMar>
              <w:left w:w="108"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CA1681">
              <w:rPr>
                <w:lang w:val="it-IT"/>
              </w:rPr>
            </w:r>
            <w:r w:rsidR="00CA1681">
              <w:rPr>
                <w:lang w:val="it-IT"/>
              </w:rPr>
              <w:fldChar w:fldCharType="separate"/>
            </w:r>
            <w:r w:rsidRPr="00D75189">
              <w:rPr>
                <w:lang w:val="it-IT"/>
              </w:rPr>
              <w:fldChar w:fldCharType="end"/>
            </w:r>
          </w:p>
        </w:tc>
      </w:tr>
      <w:tr w:rsidR="00142F6A" w:rsidRPr="00CC242B" w:rsidTr="00D73E98">
        <w:trPr>
          <w:cantSplit/>
          <w:trHeight w:val="20"/>
        </w:trPr>
        <w:tc>
          <w:tcPr>
            <w:tcW w:w="680" w:type="dxa"/>
          </w:tcPr>
          <w:p w:rsidR="00142F6A" w:rsidRPr="004A18FC" w:rsidRDefault="00142F6A" w:rsidP="00D73E98">
            <w:pPr>
              <w:jc w:val="center"/>
              <w:rPr>
                <w:b/>
                <w:lang w:val="it-IT"/>
              </w:rPr>
            </w:pPr>
            <w:r w:rsidRPr="004A18FC">
              <w:rPr>
                <w:b/>
                <w:lang w:val="it-IT"/>
              </w:rPr>
              <w:t>7)</w:t>
            </w:r>
          </w:p>
        </w:tc>
        <w:tc>
          <w:tcPr>
            <w:tcW w:w="851" w:type="dxa"/>
            <w:tcMar>
              <w:left w:w="108" w:type="dxa"/>
              <w:right w:w="0" w:type="dxa"/>
            </w:tcMar>
          </w:tcPr>
          <w:p w:rsidR="00142F6A" w:rsidRDefault="00142F6A" w:rsidP="00D73E98">
            <w:pPr>
              <w:pStyle w:val="PrincCont"/>
              <w:jc w:val="left"/>
              <w:rPr>
                <w:lang w:val="it-IT"/>
              </w:rPr>
            </w:pPr>
            <w:r>
              <w:rPr>
                <w:lang w:val="it-IT"/>
              </w:rPr>
              <w:t>OIC 18.13</w:t>
            </w:r>
          </w:p>
        </w:tc>
        <w:tc>
          <w:tcPr>
            <w:tcW w:w="7060" w:type="dxa"/>
            <w:tcMar>
              <w:left w:w="108" w:type="dxa"/>
            </w:tcMar>
          </w:tcPr>
          <w:p w:rsidR="00142F6A" w:rsidRPr="008045C6" w:rsidRDefault="00142F6A" w:rsidP="00D73E98">
            <w:pPr>
              <w:spacing w:line="230" w:lineRule="exact"/>
              <w:rPr>
                <w:lang w:val="it-IT"/>
              </w:rPr>
            </w:pPr>
            <w:r>
              <w:rPr>
                <w:lang w:val="it-IT"/>
              </w:rPr>
              <w:t>Per i ratei e i risconti rilevati sussistono le seguenti condizioni:</w:t>
            </w:r>
          </w:p>
        </w:tc>
        <w:tc>
          <w:tcPr>
            <w:tcW w:w="586" w:type="dxa"/>
            <w:tcMar>
              <w:left w:w="85" w:type="dxa"/>
              <w:right w:w="85" w:type="dxa"/>
            </w:tcMar>
            <w:vAlign w:val="center"/>
          </w:tcPr>
          <w:p w:rsidR="00142F6A" w:rsidRPr="00A32A16" w:rsidRDefault="00142F6A" w:rsidP="00D73E98">
            <w:pPr>
              <w:jc w:val="center"/>
              <w:rPr>
                <w:lang w:val="it-IT"/>
              </w:rPr>
            </w:pPr>
          </w:p>
        </w:tc>
        <w:tc>
          <w:tcPr>
            <w:tcW w:w="573" w:type="dxa"/>
            <w:tcMar>
              <w:left w:w="108" w:type="dxa"/>
            </w:tcMar>
            <w:vAlign w:val="center"/>
          </w:tcPr>
          <w:p w:rsidR="00142F6A" w:rsidRPr="00A32A16" w:rsidRDefault="00142F6A" w:rsidP="00D73E98">
            <w:pPr>
              <w:jc w:val="center"/>
              <w:rPr>
                <w:lang w:val="it-IT"/>
              </w:rPr>
            </w:pPr>
          </w:p>
        </w:tc>
        <w:tc>
          <w:tcPr>
            <w:tcW w:w="570" w:type="dxa"/>
            <w:tcMar>
              <w:left w:w="108" w:type="dxa"/>
            </w:tcMar>
            <w:vAlign w:val="center"/>
          </w:tcPr>
          <w:p w:rsidR="00142F6A" w:rsidRPr="00A32A16" w:rsidRDefault="00142F6A" w:rsidP="00D73E98">
            <w:pPr>
              <w:jc w:val="center"/>
              <w:rPr>
                <w:lang w:val="it-IT"/>
              </w:rPr>
            </w:pPr>
          </w:p>
        </w:tc>
      </w:tr>
      <w:tr w:rsidR="00142F6A" w:rsidRPr="002D0BB3" w:rsidTr="00D73E98">
        <w:trPr>
          <w:cantSplit/>
          <w:trHeight w:val="20"/>
        </w:trPr>
        <w:tc>
          <w:tcPr>
            <w:tcW w:w="680" w:type="dxa"/>
          </w:tcPr>
          <w:p w:rsidR="00142F6A"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p>
        </w:tc>
        <w:tc>
          <w:tcPr>
            <w:tcW w:w="7060" w:type="dxa"/>
            <w:tcMar>
              <w:left w:w="108" w:type="dxa"/>
            </w:tcMar>
          </w:tcPr>
          <w:p w:rsidR="00142F6A" w:rsidRDefault="00142F6A" w:rsidP="004E27C2">
            <w:pPr>
              <w:numPr>
                <w:ilvl w:val="0"/>
                <w:numId w:val="36"/>
              </w:numPr>
              <w:tabs>
                <w:tab w:val="clear" w:pos="720"/>
              </w:tabs>
              <w:spacing w:line="230" w:lineRule="exact"/>
              <w:ind w:left="318" w:hanging="283"/>
              <w:rPr>
                <w:lang w:val="it-IT"/>
              </w:rPr>
            </w:pPr>
            <w:r>
              <w:rPr>
                <w:lang w:val="it-IT"/>
              </w:rPr>
              <w:t>il contratto inizia in un esercizio e termina in uno successivo</w:t>
            </w:r>
          </w:p>
        </w:tc>
        <w:tc>
          <w:tcPr>
            <w:tcW w:w="586" w:type="dxa"/>
            <w:tcMar>
              <w:left w:w="85" w:type="dxa"/>
              <w:right w:w="85" w:type="dxa"/>
            </w:tcMar>
            <w:vAlign w:val="center"/>
          </w:tcPr>
          <w:p w:rsidR="00142F6A" w:rsidRPr="00D75189"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CA1681">
              <w:rPr>
                <w:lang w:val="it-IT"/>
              </w:rPr>
            </w:r>
            <w:r w:rsidR="00CA1681">
              <w:rPr>
                <w:lang w:val="it-IT"/>
              </w:rPr>
              <w:fldChar w:fldCharType="separate"/>
            </w:r>
            <w:r w:rsidRPr="00D75189">
              <w:rPr>
                <w:lang w:val="it-IT"/>
              </w:rPr>
              <w:fldChar w:fldCharType="end"/>
            </w:r>
          </w:p>
        </w:tc>
        <w:tc>
          <w:tcPr>
            <w:tcW w:w="573" w:type="dxa"/>
            <w:tcMar>
              <w:left w:w="108" w:type="dxa"/>
            </w:tcMar>
            <w:vAlign w:val="center"/>
          </w:tcPr>
          <w:p w:rsidR="00142F6A" w:rsidRPr="00D75189"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CA1681">
              <w:rPr>
                <w:lang w:val="it-IT"/>
              </w:rPr>
            </w:r>
            <w:r w:rsidR="00CA1681">
              <w:rPr>
                <w:lang w:val="it-IT"/>
              </w:rPr>
              <w:fldChar w:fldCharType="separate"/>
            </w:r>
            <w:r w:rsidRPr="00D75189">
              <w:rPr>
                <w:lang w:val="it-IT"/>
              </w:rPr>
              <w:fldChar w:fldCharType="end"/>
            </w:r>
          </w:p>
        </w:tc>
        <w:tc>
          <w:tcPr>
            <w:tcW w:w="570" w:type="dxa"/>
            <w:tcMar>
              <w:left w:w="108" w:type="dxa"/>
            </w:tcMar>
            <w:vAlign w:val="center"/>
          </w:tcPr>
          <w:p w:rsidR="00142F6A" w:rsidRPr="00D75189"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CA1681">
              <w:rPr>
                <w:lang w:val="it-IT"/>
              </w:rPr>
            </w:r>
            <w:r w:rsidR="00CA1681">
              <w:rPr>
                <w:lang w:val="it-IT"/>
              </w:rPr>
              <w:fldChar w:fldCharType="separate"/>
            </w:r>
            <w:r w:rsidRPr="00D75189">
              <w:rPr>
                <w:lang w:val="it-IT"/>
              </w:rPr>
              <w:fldChar w:fldCharType="end"/>
            </w:r>
          </w:p>
        </w:tc>
      </w:tr>
      <w:tr w:rsidR="00142F6A" w:rsidRPr="00F7168D" w:rsidTr="00D73E98">
        <w:trPr>
          <w:cantSplit/>
          <w:trHeight w:val="20"/>
        </w:trPr>
        <w:tc>
          <w:tcPr>
            <w:tcW w:w="680" w:type="dxa"/>
          </w:tcPr>
          <w:p w:rsidR="00142F6A"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p>
        </w:tc>
        <w:tc>
          <w:tcPr>
            <w:tcW w:w="7060" w:type="dxa"/>
            <w:tcMar>
              <w:left w:w="108" w:type="dxa"/>
            </w:tcMar>
          </w:tcPr>
          <w:p w:rsidR="00142F6A" w:rsidRPr="008045C6" w:rsidRDefault="00142F6A" w:rsidP="004E27C2">
            <w:pPr>
              <w:numPr>
                <w:ilvl w:val="0"/>
                <w:numId w:val="36"/>
              </w:numPr>
              <w:tabs>
                <w:tab w:val="clear" w:pos="720"/>
              </w:tabs>
              <w:spacing w:line="230" w:lineRule="exact"/>
              <w:ind w:left="318" w:hanging="284"/>
              <w:rPr>
                <w:lang w:val="it-IT"/>
              </w:rPr>
            </w:pPr>
            <w:r>
              <w:rPr>
                <w:lang w:val="it-IT"/>
              </w:rPr>
              <w:t>il corrispettivo delle prestazioni è contrattualmente dovuto in via anticipata o posticipata rispetto a prestazioni comuni a due o più esercizi consecutivi</w:t>
            </w:r>
          </w:p>
        </w:tc>
        <w:tc>
          <w:tcPr>
            <w:tcW w:w="586" w:type="dxa"/>
            <w:tcMar>
              <w:left w:w="85" w:type="dxa"/>
              <w:right w:w="85"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CA1681">
              <w:rPr>
                <w:lang w:val="it-IT"/>
              </w:rPr>
            </w:r>
            <w:r w:rsidR="00CA1681">
              <w:rPr>
                <w:lang w:val="it-IT"/>
              </w:rPr>
              <w:fldChar w:fldCharType="separate"/>
            </w:r>
            <w:r w:rsidRPr="00D75189">
              <w:rPr>
                <w:lang w:val="it-IT"/>
              </w:rPr>
              <w:fldChar w:fldCharType="end"/>
            </w:r>
          </w:p>
        </w:tc>
        <w:tc>
          <w:tcPr>
            <w:tcW w:w="573" w:type="dxa"/>
            <w:tcMar>
              <w:left w:w="108"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CA1681">
              <w:rPr>
                <w:lang w:val="it-IT"/>
              </w:rPr>
            </w:r>
            <w:r w:rsidR="00CA1681">
              <w:rPr>
                <w:lang w:val="it-IT"/>
              </w:rPr>
              <w:fldChar w:fldCharType="separate"/>
            </w:r>
            <w:r w:rsidRPr="00D75189">
              <w:rPr>
                <w:lang w:val="it-IT"/>
              </w:rPr>
              <w:fldChar w:fldCharType="end"/>
            </w:r>
          </w:p>
        </w:tc>
        <w:tc>
          <w:tcPr>
            <w:tcW w:w="570" w:type="dxa"/>
            <w:tcMar>
              <w:left w:w="108"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CA1681">
              <w:rPr>
                <w:lang w:val="it-IT"/>
              </w:rPr>
            </w:r>
            <w:r w:rsidR="00CA1681">
              <w:rPr>
                <w:lang w:val="it-IT"/>
              </w:rPr>
              <w:fldChar w:fldCharType="separate"/>
            </w:r>
            <w:r w:rsidRPr="00D75189">
              <w:rPr>
                <w:lang w:val="it-IT"/>
              </w:rPr>
              <w:fldChar w:fldCharType="end"/>
            </w:r>
          </w:p>
        </w:tc>
      </w:tr>
      <w:tr w:rsidR="00142F6A" w:rsidRPr="00F7168D" w:rsidTr="00D73E98">
        <w:trPr>
          <w:cantSplit/>
          <w:trHeight w:val="20"/>
        </w:trPr>
        <w:tc>
          <w:tcPr>
            <w:tcW w:w="680" w:type="dxa"/>
          </w:tcPr>
          <w:p w:rsidR="00142F6A"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p>
        </w:tc>
        <w:tc>
          <w:tcPr>
            <w:tcW w:w="7060" w:type="dxa"/>
            <w:tcMar>
              <w:left w:w="108" w:type="dxa"/>
            </w:tcMar>
          </w:tcPr>
          <w:p w:rsidR="00142F6A" w:rsidRPr="008045C6" w:rsidRDefault="00142F6A" w:rsidP="004E27C2">
            <w:pPr>
              <w:numPr>
                <w:ilvl w:val="0"/>
                <w:numId w:val="36"/>
              </w:numPr>
              <w:tabs>
                <w:tab w:val="clear" w:pos="720"/>
              </w:tabs>
              <w:spacing w:line="230" w:lineRule="exact"/>
              <w:ind w:left="318" w:hanging="283"/>
              <w:rPr>
                <w:lang w:val="it-IT"/>
              </w:rPr>
            </w:pPr>
            <w:r>
              <w:rPr>
                <w:lang w:val="it-IT"/>
              </w:rPr>
              <w:t>l’entità dei ratei e dei risconti varia con il trascorrere del tempo?</w:t>
            </w:r>
          </w:p>
        </w:tc>
        <w:tc>
          <w:tcPr>
            <w:tcW w:w="586" w:type="dxa"/>
            <w:tcMar>
              <w:left w:w="85" w:type="dxa"/>
              <w:right w:w="85"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CA1681">
              <w:rPr>
                <w:lang w:val="it-IT"/>
              </w:rPr>
            </w:r>
            <w:r w:rsidR="00CA1681">
              <w:rPr>
                <w:lang w:val="it-IT"/>
              </w:rPr>
              <w:fldChar w:fldCharType="separate"/>
            </w:r>
            <w:r w:rsidRPr="00D75189">
              <w:rPr>
                <w:lang w:val="it-IT"/>
              </w:rPr>
              <w:fldChar w:fldCharType="end"/>
            </w:r>
          </w:p>
        </w:tc>
        <w:tc>
          <w:tcPr>
            <w:tcW w:w="573" w:type="dxa"/>
            <w:tcMar>
              <w:left w:w="108"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CA1681">
              <w:rPr>
                <w:lang w:val="it-IT"/>
              </w:rPr>
            </w:r>
            <w:r w:rsidR="00CA1681">
              <w:rPr>
                <w:lang w:val="it-IT"/>
              </w:rPr>
              <w:fldChar w:fldCharType="separate"/>
            </w:r>
            <w:r w:rsidRPr="00D75189">
              <w:rPr>
                <w:lang w:val="it-IT"/>
              </w:rPr>
              <w:fldChar w:fldCharType="end"/>
            </w:r>
          </w:p>
        </w:tc>
        <w:tc>
          <w:tcPr>
            <w:tcW w:w="570" w:type="dxa"/>
            <w:tcMar>
              <w:left w:w="108"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CA1681">
              <w:rPr>
                <w:lang w:val="it-IT"/>
              </w:rPr>
            </w:r>
            <w:r w:rsidR="00CA1681">
              <w:rPr>
                <w:lang w:val="it-IT"/>
              </w:rPr>
              <w:fldChar w:fldCharType="separate"/>
            </w:r>
            <w:r w:rsidRPr="00D75189">
              <w:rPr>
                <w:lang w:val="it-IT"/>
              </w:rPr>
              <w:fldChar w:fldCharType="end"/>
            </w:r>
          </w:p>
        </w:tc>
      </w:tr>
      <w:tr w:rsidR="00142F6A" w:rsidRPr="00CC242B" w:rsidTr="00D73E98">
        <w:trPr>
          <w:cantSplit/>
          <w:trHeight w:val="20"/>
        </w:trPr>
        <w:tc>
          <w:tcPr>
            <w:tcW w:w="680" w:type="dxa"/>
          </w:tcPr>
          <w:p w:rsidR="00142F6A" w:rsidRDefault="00142F6A" w:rsidP="00D73E98">
            <w:pPr>
              <w:jc w:val="center"/>
              <w:rPr>
                <w:lang w:val="it-IT"/>
              </w:rPr>
            </w:pPr>
          </w:p>
        </w:tc>
        <w:tc>
          <w:tcPr>
            <w:tcW w:w="851" w:type="dxa"/>
            <w:tcMar>
              <w:left w:w="108" w:type="dxa"/>
              <w:right w:w="0" w:type="dxa"/>
            </w:tcMar>
          </w:tcPr>
          <w:p w:rsidR="00142F6A" w:rsidRPr="008A0F36" w:rsidRDefault="00142F6A" w:rsidP="00D73E98">
            <w:pPr>
              <w:pStyle w:val="PrincCont"/>
              <w:jc w:val="left"/>
              <w:rPr>
                <w:lang w:val="it-IT"/>
              </w:rPr>
            </w:pPr>
            <w:r>
              <w:rPr>
                <w:lang w:val="it-IT"/>
              </w:rPr>
              <w:t>OIC 18.14</w:t>
            </w:r>
          </w:p>
        </w:tc>
        <w:tc>
          <w:tcPr>
            <w:tcW w:w="7060" w:type="dxa"/>
            <w:tcMar>
              <w:left w:w="108" w:type="dxa"/>
            </w:tcMar>
          </w:tcPr>
          <w:p w:rsidR="00142F6A" w:rsidRPr="00DE38DC" w:rsidRDefault="00142F6A" w:rsidP="00D73E98">
            <w:pPr>
              <w:pStyle w:val="Commentiriquadro"/>
              <w:rPr>
                <w:lang w:eastAsia="it-IT"/>
              </w:rPr>
            </w:pPr>
            <w:r>
              <w:rPr>
                <w:lang w:eastAsia="it-IT"/>
              </w:rPr>
              <w:t>Non possono essere rilevati tra i ratei e i risconti, i proventi e gli oneri, la cui competenza è maturata per intero nell’esercizio in chiusura o in quelli successivi. A titolo di esempio: fatture da ricevere e fatture da emettere, interessi attivi e passivi maturati e non ancora accreditati, addebitati sul conto corrente, ecc).</w:t>
            </w:r>
          </w:p>
        </w:tc>
        <w:tc>
          <w:tcPr>
            <w:tcW w:w="586" w:type="dxa"/>
            <w:tcMar>
              <w:left w:w="85" w:type="dxa"/>
              <w:right w:w="85" w:type="dxa"/>
            </w:tcMar>
            <w:vAlign w:val="center"/>
          </w:tcPr>
          <w:p w:rsidR="00142F6A" w:rsidRPr="00DE38DC" w:rsidRDefault="00142F6A" w:rsidP="00D73E98">
            <w:pPr>
              <w:jc w:val="center"/>
              <w:rPr>
                <w:lang w:val="it-IT"/>
              </w:rPr>
            </w:pPr>
          </w:p>
        </w:tc>
        <w:tc>
          <w:tcPr>
            <w:tcW w:w="573" w:type="dxa"/>
            <w:tcMar>
              <w:left w:w="108" w:type="dxa"/>
            </w:tcMar>
            <w:vAlign w:val="center"/>
          </w:tcPr>
          <w:p w:rsidR="00142F6A" w:rsidRPr="00DE38DC" w:rsidRDefault="00142F6A" w:rsidP="00D73E98">
            <w:pPr>
              <w:jc w:val="center"/>
              <w:rPr>
                <w:lang w:val="it-IT"/>
              </w:rPr>
            </w:pPr>
          </w:p>
        </w:tc>
        <w:tc>
          <w:tcPr>
            <w:tcW w:w="570" w:type="dxa"/>
            <w:tcMar>
              <w:left w:w="108" w:type="dxa"/>
            </w:tcMar>
            <w:vAlign w:val="center"/>
          </w:tcPr>
          <w:p w:rsidR="00142F6A" w:rsidRPr="00DE38DC" w:rsidRDefault="00142F6A" w:rsidP="00D73E98">
            <w:pPr>
              <w:jc w:val="center"/>
              <w:rPr>
                <w:lang w:val="it-IT"/>
              </w:rPr>
            </w:pPr>
          </w:p>
        </w:tc>
      </w:tr>
      <w:tr w:rsidR="00142F6A" w:rsidRPr="00F0679B" w:rsidTr="00D73E98">
        <w:trPr>
          <w:cantSplit/>
          <w:trHeight w:val="20"/>
        </w:trPr>
        <w:tc>
          <w:tcPr>
            <w:tcW w:w="680" w:type="dxa"/>
          </w:tcPr>
          <w:p w:rsidR="00142F6A" w:rsidRPr="008A0F36" w:rsidRDefault="00142F6A" w:rsidP="00D73E98">
            <w:pPr>
              <w:jc w:val="center"/>
              <w:rPr>
                <w:lang w:val="it-IT"/>
              </w:rPr>
            </w:pPr>
          </w:p>
        </w:tc>
        <w:tc>
          <w:tcPr>
            <w:tcW w:w="851" w:type="dxa"/>
            <w:tcMar>
              <w:left w:w="108" w:type="dxa"/>
              <w:right w:w="0" w:type="dxa"/>
            </w:tcMar>
          </w:tcPr>
          <w:p w:rsidR="00142F6A" w:rsidRPr="008A0F36" w:rsidRDefault="00142F6A" w:rsidP="00D73E98">
            <w:pPr>
              <w:pStyle w:val="PrincCont"/>
              <w:jc w:val="left"/>
              <w:rPr>
                <w:lang w:val="it-IT"/>
              </w:rPr>
            </w:pPr>
          </w:p>
        </w:tc>
        <w:tc>
          <w:tcPr>
            <w:tcW w:w="7060" w:type="dxa"/>
            <w:tcMar>
              <w:left w:w="108" w:type="dxa"/>
            </w:tcMar>
            <w:vAlign w:val="center"/>
          </w:tcPr>
          <w:p w:rsidR="00142F6A" w:rsidRPr="00AD6E2D" w:rsidRDefault="00142F6A" w:rsidP="00D73E98">
            <w:pPr>
              <w:pStyle w:val="Titolo2"/>
            </w:pPr>
            <w:r>
              <w:t>Valutazione e rilevazione successiva</w:t>
            </w:r>
          </w:p>
        </w:tc>
        <w:tc>
          <w:tcPr>
            <w:tcW w:w="586" w:type="dxa"/>
            <w:tcMar>
              <w:left w:w="85" w:type="dxa"/>
              <w:right w:w="85" w:type="dxa"/>
            </w:tcMar>
            <w:vAlign w:val="center"/>
          </w:tcPr>
          <w:p w:rsidR="00142F6A" w:rsidRPr="00A32A16" w:rsidRDefault="00142F6A" w:rsidP="00D73E98">
            <w:pPr>
              <w:jc w:val="center"/>
              <w:rPr>
                <w:lang w:val="it-IT"/>
              </w:rPr>
            </w:pPr>
          </w:p>
        </w:tc>
        <w:tc>
          <w:tcPr>
            <w:tcW w:w="573" w:type="dxa"/>
            <w:tcMar>
              <w:left w:w="108" w:type="dxa"/>
            </w:tcMar>
            <w:vAlign w:val="center"/>
          </w:tcPr>
          <w:p w:rsidR="00142F6A" w:rsidRPr="00A32A16" w:rsidRDefault="00142F6A" w:rsidP="00D73E98">
            <w:pPr>
              <w:jc w:val="center"/>
              <w:rPr>
                <w:lang w:val="it-IT"/>
              </w:rPr>
            </w:pPr>
          </w:p>
        </w:tc>
        <w:tc>
          <w:tcPr>
            <w:tcW w:w="570" w:type="dxa"/>
            <w:tcMar>
              <w:left w:w="108" w:type="dxa"/>
            </w:tcMar>
            <w:vAlign w:val="center"/>
          </w:tcPr>
          <w:p w:rsidR="00142F6A" w:rsidRPr="00A32A16" w:rsidRDefault="00142F6A" w:rsidP="00D73E98">
            <w:pPr>
              <w:jc w:val="center"/>
              <w:rPr>
                <w:lang w:val="it-IT"/>
              </w:rPr>
            </w:pPr>
          </w:p>
        </w:tc>
      </w:tr>
      <w:tr w:rsidR="00142F6A" w:rsidRPr="00CC242B" w:rsidTr="00D73E98">
        <w:trPr>
          <w:cantSplit/>
          <w:trHeight w:val="20"/>
        </w:trPr>
        <w:tc>
          <w:tcPr>
            <w:tcW w:w="680" w:type="dxa"/>
          </w:tcPr>
          <w:p w:rsidR="00142F6A" w:rsidRPr="008A0F36" w:rsidRDefault="00142F6A" w:rsidP="00D73E98">
            <w:pPr>
              <w:jc w:val="center"/>
              <w:rPr>
                <w:lang w:val="it-IT"/>
              </w:rPr>
            </w:pPr>
          </w:p>
        </w:tc>
        <w:tc>
          <w:tcPr>
            <w:tcW w:w="851" w:type="dxa"/>
            <w:tcMar>
              <w:left w:w="108" w:type="dxa"/>
              <w:right w:w="0" w:type="dxa"/>
            </w:tcMar>
          </w:tcPr>
          <w:p w:rsidR="00142F6A" w:rsidRPr="008A0F36" w:rsidRDefault="00142F6A" w:rsidP="00D73E98">
            <w:pPr>
              <w:pStyle w:val="PrincCont"/>
              <w:jc w:val="left"/>
              <w:rPr>
                <w:lang w:val="it-IT"/>
              </w:rPr>
            </w:pPr>
          </w:p>
        </w:tc>
        <w:tc>
          <w:tcPr>
            <w:tcW w:w="7060" w:type="dxa"/>
            <w:tcMar>
              <w:left w:w="108" w:type="dxa"/>
            </w:tcMar>
          </w:tcPr>
          <w:p w:rsidR="00142F6A" w:rsidRPr="00F669B4" w:rsidRDefault="00142F6A" w:rsidP="00D73E98">
            <w:pPr>
              <w:pStyle w:val="Titolo3"/>
              <w:rPr>
                <w:lang w:val="it-IT"/>
              </w:rPr>
            </w:pPr>
            <w:r w:rsidRPr="00F669B4">
              <w:rPr>
                <w:lang w:val="it-IT"/>
              </w:rPr>
              <w:t>Determinazione della quota di competenza</w:t>
            </w:r>
          </w:p>
        </w:tc>
        <w:tc>
          <w:tcPr>
            <w:tcW w:w="586" w:type="dxa"/>
            <w:tcMar>
              <w:left w:w="85" w:type="dxa"/>
              <w:right w:w="85" w:type="dxa"/>
            </w:tcMar>
            <w:vAlign w:val="center"/>
          </w:tcPr>
          <w:p w:rsidR="00142F6A" w:rsidRPr="00F0679B" w:rsidRDefault="00142F6A" w:rsidP="00D73E98">
            <w:pPr>
              <w:jc w:val="center"/>
              <w:rPr>
                <w:lang w:val="it-IT"/>
              </w:rPr>
            </w:pPr>
          </w:p>
        </w:tc>
        <w:tc>
          <w:tcPr>
            <w:tcW w:w="573" w:type="dxa"/>
            <w:tcMar>
              <w:left w:w="108" w:type="dxa"/>
            </w:tcMar>
            <w:vAlign w:val="center"/>
          </w:tcPr>
          <w:p w:rsidR="00142F6A" w:rsidRPr="00F0679B" w:rsidRDefault="00142F6A" w:rsidP="00D73E98">
            <w:pPr>
              <w:jc w:val="center"/>
              <w:rPr>
                <w:lang w:val="it-IT"/>
              </w:rPr>
            </w:pPr>
          </w:p>
        </w:tc>
        <w:tc>
          <w:tcPr>
            <w:tcW w:w="570" w:type="dxa"/>
            <w:tcMar>
              <w:left w:w="108" w:type="dxa"/>
            </w:tcMar>
            <w:vAlign w:val="center"/>
          </w:tcPr>
          <w:p w:rsidR="00142F6A" w:rsidRPr="00F0679B" w:rsidRDefault="00142F6A" w:rsidP="00D73E98">
            <w:pPr>
              <w:jc w:val="center"/>
              <w:rPr>
                <w:lang w:val="it-IT"/>
              </w:rPr>
            </w:pPr>
          </w:p>
        </w:tc>
      </w:tr>
      <w:tr w:rsidR="00142F6A" w:rsidRPr="00F0679B" w:rsidTr="00D73E98">
        <w:trPr>
          <w:cantSplit/>
          <w:trHeight w:val="20"/>
        </w:trPr>
        <w:tc>
          <w:tcPr>
            <w:tcW w:w="680" w:type="dxa"/>
          </w:tcPr>
          <w:p w:rsidR="00142F6A" w:rsidRPr="004A18FC" w:rsidRDefault="00142F6A" w:rsidP="00D73E98">
            <w:pPr>
              <w:jc w:val="center"/>
              <w:rPr>
                <w:b/>
                <w:lang w:val="it-IT"/>
              </w:rPr>
            </w:pPr>
            <w:r w:rsidRPr="004A18FC">
              <w:rPr>
                <w:b/>
                <w:lang w:val="it-IT"/>
              </w:rPr>
              <w:t>8)</w:t>
            </w:r>
          </w:p>
        </w:tc>
        <w:tc>
          <w:tcPr>
            <w:tcW w:w="851" w:type="dxa"/>
            <w:tcMar>
              <w:left w:w="108" w:type="dxa"/>
              <w:right w:w="0" w:type="dxa"/>
            </w:tcMar>
          </w:tcPr>
          <w:p w:rsidR="00142F6A" w:rsidRPr="008A0F36" w:rsidRDefault="00142F6A" w:rsidP="00D73E98">
            <w:pPr>
              <w:pStyle w:val="PrincCont"/>
              <w:jc w:val="left"/>
              <w:rPr>
                <w:lang w:val="it-IT"/>
              </w:rPr>
            </w:pPr>
            <w:r>
              <w:rPr>
                <w:lang w:val="it-IT"/>
              </w:rPr>
              <w:t>OIC 18.15</w:t>
            </w:r>
          </w:p>
        </w:tc>
        <w:tc>
          <w:tcPr>
            <w:tcW w:w="7060" w:type="dxa"/>
            <w:tcMar>
              <w:left w:w="108" w:type="dxa"/>
            </w:tcMar>
          </w:tcPr>
          <w:p w:rsidR="00142F6A" w:rsidRPr="00AD6E2D" w:rsidRDefault="00142F6A" w:rsidP="00D73E98">
            <w:pPr>
              <w:spacing w:line="230" w:lineRule="exact"/>
              <w:rPr>
                <w:lang w:val="it-IT"/>
              </w:rPr>
            </w:pPr>
            <w:r>
              <w:rPr>
                <w:lang w:val="it-IT"/>
              </w:rPr>
              <w:t>L’importo dei ratei e dei risconti è stato determinato mediante ripartizione del ricavo o del costo, al fine di attribuire all’esercizio in corso solo la quota parte di competenza?</w:t>
            </w:r>
          </w:p>
        </w:tc>
        <w:tc>
          <w:tcPr>
            <w:tcW w:w="586" w:type="dxa"/>
            <w:tcMar>
              <w:left w:w="85" w:type="dxa"/>
              <w:right w:w="85" w:type="dxa"/>
            </w:tcMar>
            <w:vAlign w:val="center"/>
          </w:tcPr>
          <w:p w:rsidR="00142F6A" w:rsidRPr="00FF19F7" w:rsidRDefault="00142F6A" w:rsidP="00D73E98">
            <w:pPr>
              <w:jc w:val="center"/>
              <w:rPr>
                <w:lang w:val="it-IT"/>
              </w:rPr>
            </w:pPr>
            <w:r w:rsidRPr="00F13B3E">
              <w:rPr>
                <w:lang w:val="it-IT"/>
              </w:rPr>
              <w:fldChar w:fldCharType="begin">
                <w:ffData>
                  <w:name w:val="Check4"/>
                  <w:enabled/>
                  <w:calcOnExit w:val="0"/>
                  <w:checkBox>
                    <w:sizeAuto/>
                    <w:default w:val="0"/>
                  </w:checkBox>
                </w:ffData>
              </w:fldChar>
            </w:r>
            <w:r w:rsidRPr="00F13B3E">
              <w:rPr>
                <w:lang w:val="it-IT"/>
              </w:rPr>
              <w:instrText xml:space="preserve"> FORMCHECKBOX </w:instrText>
            </w:r>
            <w:r w:rsidR="00CA1681">
              <w:rPr>
                <w:lang w:val="it-IT"/>
              </w:rPr>
            </w:r>
            <w:r w:rsidR="00CA1681">
              <w:rPr>
                <w:lang w:val="it-IT"/>
              </w:rPr>
              <w:fldChar w:fldCharType="separate"/>
            </w:r>
            <w:r w:rsidRPr="00F13B3E">
              <w:rPr>
                <w:lang w:val="it-IT"/>
              </w:rPr>
              <w:fldChar w:fldCharType="end"/>
            </w:r>
          </w:p>
        </w:tc>
        <w:tc>
          <w:tcPr>
            <w:tcW w:w="573" w:type="dxa"/>
            <w:tcMar>
              <w:left w:w="108" w:type="dxa"/>
            </w:tcMar>
            <w:vAlign w:val="center"/>
          </w:tcPr>
          <w:p w:rsidR="00142F6A" w:rsidRPr="00F13B3E" w:rsidRDefault="00142F6A" w:rsidP="00D73E98">
            <w:pPr>
              <w:jc w:val="center"/>
              <w:rPr>
                <w:lang w:val="it-IT"/>
              </w:rPr>
            </w:pPr>
            <w:r w:rsidRPr="00F13B3E">
              <w:rPr>
                <w:lang w:val="it-IT"/>
              </w:rPr>
              <w:fldChar w:fldCharType="begin">
                <w:ffData>
                  <w:name w:val="Check4"/>
                  <w:enabled/>
                  <w:calcOnExit w:val="0"/>
                  <w:checkBox>
                    <w:sizeAuto/>
                    <w:default w:val="0"/>
                  </w:checkBox>
                </w:ffData>
              </w:fldChar>
            </w:r>
            <w:r w:rsidRPr="00F13B3E">
              <w:rPr>
                <w:lang w:val="it-IT"/>
              </w:rPr>
              <w:instrText xml:space="preserve"> FORMCHECKBOX </w:instrText>
            </w:r>
            <w:r w:rsidR="00CA1681">
              <w:rPr>
                <w:lang w:val="it-IT"/>
              </w:rPr>
            </w:r>
            <w:r w:rsidR="00CA1681">
              <w:rPr>
                <w:lang w:val="it-IT"/>
              </w:rPr>
              <w:fldChar w:fldCharType="separate"/>
            </w:r>
            <w:r w:rsidRPr="00F13B3E">
              <w:rPr>
                <w:lang w:val="it-IT"/>
              </w:rPr>
              <w:fldChar w:fldCharType="end"/>
            </w:r>
          </w:p>
        </w:tc>
        <w:tc>
          <w:tcPr>
            <w:tcW w:w="570" w:type="dxa"/>
            <w:tcMar>
              <w:left w:w="108" w:type="dxa"/>
            </w:tcMar>
            <w:vAlign w:val="center"/>
          </w:tcPr>
          <w:p w:rsidR="00142F6A" w:rsidRDefault="00142F6A" w:rsidP="00D73E98">
            <w:pPr>
              <w:jc w:val="center"/>
            </w:pPr>
            <w:r w:rsidRPr="00F13B3E">
              <w:rPr>
                <w:lang w:val="it-IT"/>
              </w:rPr>
              <w:fldChar w:fldCharType="begin">
                <w:ffData>
                  <w:name w:val="Check4"/>
                  <w:enabled/>
                  <w:calcOnExit w:val="0"/>
                  <w:checkBox>
                    <w:sizeAuto/>
                    <w:default w:val="0"/>
                  </w:checkBox>
                </w:ffData>
              </w:fldChar>
            </w:r>
            <w:r w:rsidRPr="00F13B3E">
              <w:rPr>
                <w:lang w:val="it-IT"/>
              </w:rPr>
              <w:instrText xml:space="preserve"> FORMCHECKBO</w:instrText>
            </w:r>
            <w:r w:rsidRPr="007477DE">
              <w:instrText xml:space="preserve">X </w:instrText>
            </w:r>
            <w:r w:rsidR="00CA1681">
              <w:rPr>
                <w:lang w:val="it-IT"/>
              </w:rPr>
            </w:r>
            <w:r w:rsidR="00CA1681">
              <w:rPr>
                <w:lang w:val="it-IT"/>
              </w:rPr>
              <w:fldChar w:fldCharType="separate"/>
            </w:r>
            <w:r w:rsidRPr="00F13B3E">
              <w:rPr>
                <w:lang w:val="it-IT"/>
              </w:rPr>
              <w:fldChar w:fldCharType="end"/>
            </w:r>
          </w:p>
        </w:tc>
      </w:tr>
      <w:tr w:rsidR="00142F6A" w:rsidRPr="005A5DDA" w:rsidTr="00D73E98">
        <w:trPr>
          <w:cantSplit/>
          <w:trHeight w:val="20"/>
        </w:trPr>
        <w:tc>
          <w:tcPr>
            <w:tcW w:w="680" w:type="dxa"/>
          </w:tcPr>
          <w:p w:rsidR="00142F6A" w:rsidRPr="004A18FC" w:rsidRDefault="00142F6A" w:rsidP="00D73E98">
            <w:pPr>
              <w:jc w:val="center"/>
              <w:rPr>
                <w:b/>
                <w:lang w:val="it-IT"/>
              </w:rPr>
            </w:pPr>
            <w:r w:rsidRPr="004A18FC">
              <w:rPr>
                <w:b/>
                <w:lang w:val="it-IT"/>
              </w:rPr>
              <w:t>9)</w:t>
            </w:r>
          </w:p>
        </w:tc>
        <w:tc>
          <w:tcPr>
            <w:tcW w:w="851" w:type="dxa"/>
            <w:tcMar>
              <w:left w:w="108" w:type="dxa"/>
              <w:right w:w="0" w:type="dxa"/>
            </w:tcMar>
          </w:tcPr>
          <w:p w:rsidR="00142F6A" w:rsidRPr="00F2606A" w:rsidRDefault="00142F6A" w:rsidP="00D73E98">
            <w:pPr>
              <w:pStyle w:val="PrincCont"/>
              <w:jc w:val="left"/>
            </w:pPr>
            <w:r w:rsidRPr="00F2606A">
              <w:t xml:space="preserve">OIC </w:t>
            </w:r>
            <w:r>
              <w:t>18</w:t>
            </w:r>
            <w:r w:rsidRPr="00F2606A">
              <w:t>.</w:t>
            </w:r>
            <w:r>
              <w:t>16</w:t>
            </w:r>
          </w:p>
        </w:tc>
        <w:tc>
          <w:tcPr>
            <w:tcW w:w="7060" w:type="dxa"/>
            <w:tcMar>
              <w:left w:w="108" w:type="dxa"/>
            </w:tcMar>
          </w:tcPr>
          <w:p w:rsidR="00142F6A" w:rsidRPr="00AD6E2D" w:rsidRDefault="00142F6A" w:rsidP="00D73E98">
            <w:pPr>
              <w:spacing w:line="230" w:lineRule="exact"/>
              <w:rPr>
                <w:lang w:val="it-IT"/>
              </w:rPr>
            </w:pPr>
            <w:r>
              <w:rPr>
                <w:lang w:val="it-IT"/>
              </w:rPr>
              <w:t>Se il rateo o il risconto si riferisce a prestazioni contrattuali rese o ricevute che hanno un contenuto economico costante nel tempo, la ripartizione del ricavo o del costo è stata effettuata in proporzione al tempo (cd. criterio del “tempo fisico”)?</w:t>
            </w:r>
          </w:p>
        </w:tc>
        <w:tc>
          <w:tcPr>
            <w:tcW w:w="586" w:type="dxa"/>
            <w:tcMar>
              <w:left w:w="85" w:type="dxa"/>
              <w:right w:w="85" w:type="dxa"/>
            </w:tcMar>
            <w:vAlign w:val="center"/>
          </w:tcPr>
          <w:p w:rsidR="00142F6A" w:rsidRPr="00FF19F7"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142F6A" w:rsidRPr="00CC242B" w:rsidTr="00D73E98">
        <w:trPr>
          <w:cantSplit/>
          <w:trHeight w:val="20"/>
        </w:trPr>
        <w:tc>
          <w:tcPr>
            <w:tcW w:w="680" w:type="dxa"/>
          </w:tcPr>
          <w:p w:rsidR="00142F6A" w:rsidRPr="008A0F36"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r>
              <w:rPr>
                <w:lang w:val="it-IT"/>
              </w:rPr>
              <w:t>OIC 18.17</w:t>
            </w:r>
          </w:p>
        </w:tc>
        <w:tc>
          <w:tcPr>
            <w:tcW w:w="7060" w:type="dxa"/>
            <w:tcMar>
              <w:left w:w="108" w:type="dxa"/>
            </w:tcMar>
          </w:tcPr>
          <w:p w:rsidR="00142F6A" w:rsidRPr="00AD6E2D" w:rsidRDefault="00142F6A" w:rsidP="00D73E98">
            <w:pPr>
              <w:pStyle w:val="Commentiriquadro"/>
              <w:rPr>
                <w:lang w:eastAsia="it-IT"/>
              </w:rPr>
            </w:pPr>
            <w:r>
              <w:rPr>
                <w:lang w:eastAsia="it-IT"/>
              </w:rPr>
              <w:t>Generalmente il criterio del “tempo fisico” è applicato per i canoni dei contratti di locazione, per i premi dei contratti assicurativi.</w:t>
            </w:r>
          </w:p>
        </w:tc>
        <w:tc>
          <w:tcPr>
            <w:tcW w:w="586" w:type="dxa"/>
            <w:tcMar>
              <w:left w:w="85" w:type="dxa"/>
              <w:right w:w="85" w:type="dxa"/>
            </w:tcMar>
            <w:vAlign w:val="center"/>
          </w:tcPr>
          <w:p w:rsidR="00142F6A" w:rsidRPr="00AD6E2D" w:rsidRDefault="00142F6A" w:rsidP="00D73E98">
            <w:pPr>
              <w:jc w:val="center"/>
              <w:rPr>
                <w:lang w:val="it-IT"/>
              </w:rPr>
            </w:pPr>
          </w:p>
        </w:tc>
        <w:tc>
          <w:tcPr>
            <w:tcW w:w="573" w:type="dxa"/>
            <w:tcMar>
              <w:left w:w="108" w:type="dxa"/>
            </w:tcMar>
            <w:vAlign w:val="center"/>
          </w:tcPr>
          <w:p w:rsidR="00142F6A" w:rsidRPr="00AD6E2D" w:rsidRDefault="00142F6A" w:rsidP="00D73E98">
            <w:pPr>
              <w:jc w:val="center"/>
              <w:rPr>
                <w:lang w:val="it-IT"/>
              </w:rPr>
            </w:pPr>
          </w:p>
        </w:tc>
        <w:tc>
          <w:tcPr>
            <w:tcW w:w="570" w:type="dxa"/>
            <w:tcMar>
              <w:left w:w="108" w:type="dxa"/>
            </w:tcMar>
            <w:vAlign w:val="center"/>
          </w:tcPr>
          <w:p w:rsidR="00142F6A" w:rsidRPr="00AD6E2D" w:rsidRDefault="00142F6A" w:rsidP="00D73E98">
            <w:pPr>
              <w:jc w:val="center"/>
              <w:rPr>
                <w:lang w:val="it-IT"/>
              </w:rPr>
            </w:pPr>
          </w:p>
        </w:tc>
      </w:tr>
      <w:tr w:rsidR="00142F6A" w:rsidRPr="005A5DDA" w:rsidTr="00D73E98">
        <w:trPr>
          <w:cantSplit/>
          <w:trHeight w:val="20"/>
        </w:trPr>
        <w:tc>
          <w:tcPr>
            <w:tcW w:w="680" w:type="dxa"/>
          </w:tcPr>
          <w:p w:rsidR="00142F6A" w:rsidRPr="00EA3CC5" w:rsidRDefault="00142F6A" w:rsidP="00D73E98">
            <w:pPr>
              <w:jc w:val="center"/>
              <w:rPr>
                <w:b/>
                <w:lang w:val="it-IT"/>
              </w:rPr>
            </w:pPr>
            <w:r w:rsidRPr="00EA3CC5">
              <w:rPr>
                <w:b/>
                <w:lang w:val="it-IT"/>
              </w:rPr>
              <w:t>10)</w:t>
            </w:r>
          </w:p>
        </w:tc>
        <w:tc>
          <w:tcPr>
            <w:tcW w:w="851" w:type="dxa"/>
            <w:tcMar>
              <w:left w:w="108" w:type="dxa"/>
              <w:right w:w="0" w:type="dxa"/>
            </w:tcMar>
          </w:tcPr>
          <w:p w:rsidR="00142F6A" w:rsidRDefault="00142F6A" w:rsidP="00D73E98">
            <w:pPr>
              <w:pStyle w:val="PrincCont"/>
              <w:jc w:val="left"/>
              <w:rPr>
                <w:lang w:val="it-IT"/>
              </w:rPr>
            </w:pPr>
            <w:r>
              <w:rPr>
                <w:lang w:val="it-IT"/>
              </w:rPr>
              <w:t>OIC 18.18</w:t>
            </w:r>
          </w:p>
        </w:tc>
        <w:tc>
          <w:tcPr>
            <w:tcW w:w="7060" w:type="dxa"/>
            <w:tcMar>
              <w:left w:w="108" w:type="dxa"/>
            </w:tcMar>
          </w:tcPr>
          <w:p w:rsidR="00142F6A" w:rsidRDefault="00142F6A" w:rsidP="00D73E98">
            <w:pPr>
              <w:spacing w:line="230" w:lineRule="exact"/>
              <w:rPr>
                <w:lang w:val="it-IT"/>
              </w:rPr>
            </w:pPr>
            <w:r>
              <w:rPr>
                <w:lang w:val="it-IT"/>
              </w:rPr>
              <w:t>Se il rateo o il risconto si riferisce a prestazioni contrattuali rese o ricevute che non hanno un contenuto economico costante nel tempo, la ripartizione del ricavo o del costo è stata effettuata in rapporto alle condizioni di svolgimento della gestione (cd. criterio del “tempo economico”)?</w:t>
            </w:r>
          </w:p>
        </w:tc>
        <w:tc>
          <w:tcPr>
            <w:tcW w:w="586" w:type="dxa"/>
            <w:tcMar>
              <w:left w:w="85" w:type="dxa"/>
              <w:right w:w="85" w:type="dxa"/>
            </w:tcMar>
            <w:vAlign w:val="center"/>
          </w:tcPr>
          <w:p w:rsidR="00142F6A" w:rsidRPr="00FF19F7"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142F6A" w:rsidRPr="00CC242B" w:rsidTr="00D73E98">
        <w:trPr>
          <w:cantSplit/>
          <w:trHeight w:val="20"/>
        </w:trPr>
        <w:tc>
          <w:tcPr>
            <w:tcW w:w="680" w:type="dxa"/>
          </w:tcPr>
          <w:p w:rsidR="00142F6A" w:rsidRPr="00EA3CC5" w:rsidRDefault="00142F6A" w:rsidP="00D73E98">
            <w:pPr>
              <w:jc w:val="center"/>
              <w:rPr>
                <w:b/>
                <w:lang w:val="it-IT"/>
              </w:rPr>
            </w:pPr>
          </w:p>
        </w:tc>
        <w:tc>
          <w:tcPr>
            <w:tcW w:w="851" w:type="dxa"/>
            <w:tcMar>
              <w:left w:w="108" w:type="dxa"/>
              <w:right w:w="0" w:type="dxa"/>
            </w:tcMar>
          </w:tcPr>
          <w:p w:rsidR="00142F6A" w:rsidRDefault="00142F6A" w:rsidP="00D73E98">
            <w:pPr>
              <w:pStyle w:val="PrincCont"/>
              <w:jc w:val="left"/>
              <w:rPr>
                <w:lang w:val="it-IT"/>
              </w:rPr>
            </w:pPr>
            <w:r>
              <w:rPr>
                <w:lang w:val="it-IT"/>
              </w:rPr>
              <w:t>OIC 18.19</w:t>
            </w:r>
          </w:p>
        </w:tc>
        <w:tc>
          <w:tcPr>
            <w:tcW w:w="7060" w:type="dxa"/>
            <w:tcMar>
              <w:left w:w="108" w:type="dxa"/>
            </w:tcMar>
          </w:tcPr>
          <w:p w:rsidR="00142F6A" w:rsidRPr="00AD6E2D" w:rsidRDefault="00142F6A" w:rsidP="00D73E98">
            <w:pPr>
              <w:pStyle w:val="Commentiriquadro"/>
              <w:rPr>
                <w:lang w:eastAsia="it-IT"/>
              </w:rPr>
            </w:pPr>
            <w:r>
              <w:rPr>
                <w:lang w:eastAsia="it-IT"/>
              </w:rPr>
              <w:t>Il criterio del “tempo economico” è applicato, ad esempio, nel caso di un contratto di locazione di un immobile che viene utilizzato solo per una parte dell’anno (come nell’ipotesi di una attività alberghiera stagionale) ma il pagamento del canone copre un periodo annuale a cavallo di due esercizi. In questi casi, il calcolo dei ratei e risconti è effettuato non in proporzione al tempo, ma correlando, in termini economici, la prestazione e la controprestazione derivanti dall’operazione in base al principio di correlazione tra costi e ricavi.</w:t>
            </w:r>
          </w:p>
        </w:tc>
        <w:tc>
          <w:tcPr>
            <w:tcW w:w="586" w:type="dxa"/>
            <w:tcMar>
              <w:left w:w="85" w:type="dxa"/>
              <w:right w:w="85" w:type="dxa"/>
            </w:tcMar>
            <w:vAlign w:val="center"/>
          </w:tcPr>
          <w:p w:rsidR="00142F6A" w:rsidRPr="00DE38DC" w:rsidRDefault="00142F6A" w:rsidP="00D73E98">
            <w:pPr>
              <w:jc w:val="center"/>
              <w:rPr>
                <w:lang w:val="it-IT"/>
              </w:rPr>
            </w:pPr>
          </w:p>
        </w:tc>
        <w:tc>
          <w:tcPr>
            <w:tcW w:w="573" w:type="dxa"/>
            <w:tcMar>
              <w:left w:w="108" w:type="dxa"/>
            </w:tcMar>
            <w:vAlign w:val="center"/>
          </w:tcPr>
          <w:p w:rsidR="00142F6A" w:rsidRPr="00DE38DC" w:rsidRDefault="00142F6A" w:rsidP="00D73E98">
            <w:pPr>
              <w:jc w:val="center"/>
              <w:rPr>
                <w:lang w:val="it-IT"/>
              </w:rPr>
            </w:pPr>
          </w:p>
        </w:tc>
        <w:tc>
          <w:tcPr>
            <w:tcW w:w="570" w:type="dxa"/>
            <w:tcMar>
              <w:left w:w="108" w:type="dxa"/>
            </w:tcMar>
            <w:vAlign w:val="center"/>
          </w:tcPr>
          <w:p w:rsidR="00142F6A" w:rsidRPr="00DE38DC" w:rsidRDefault="00142F6A" w:rsidP="00D73E98">
            <w:pPr>
              <w:jc w:val="center"/>
              <w:rPr>
                <w:lang w:val="it-IT"/>
              </w:rPr>
            </w:pPr>
          </w:p>
        </w:tc>
      </w:tr>
      <w:tr w:rsidR="00142F6A" w:rsidRPr="00F0679B" w:rsidTr="00D73E98">
        <w:trPr>
          <w:cantSplit/>
          <w:trHeight w:val="20"/>
        </w:trPr>
        <w:tc>
          <w:tcPr>
            <w:tcW w:w="680" w:type="dxa"/>
          </w:tcPr>
          <w:p w:rsidR="00142F6A" w:rsidRPr="00EA3CC5" w:rsidRDefault="00142F6A" w:rsidP="00D73E98">
            <w:pPr>
              <w:jc w:val="center"/>
              <w:rPr>
                <w:b/>
                <w:lang w:val="it-IT"/>
              </w:rPr>
            </w:pPr>
          </w:p>
        </w:tc>
        <w:tc>
          <w:tcPr>
            <w:tcW w:w="851" w:type="dxa"/>
            <w:tcMar>
              <w:left w:w="108" w:type="dxa"/>
              <w:right w:w="0" w:type="dxa"/>
            </w:tcMar>
          </w:tcPr>
          <w:p w:rsidR="00142F6A" w:rsidRDefault="00142F6A" w:rsidP="00D73E98">
            <w:pPr>
              <w:pStyle w:val="PrincCont"/>
              <w:jc w:val="left"/>
              <w:rPr>
                <w:lang w:val="it-IT"/>
              </w:rPr>
            </w:pPr>
          </w:p>
        </w:tc>
        <w:tc>
          <w:tcPr>
            <w:tcW w:w="7060" w:type="dxa"/>
            <w:tcMar>
              <w:left w:w="108" w:type="dxa"/>
            </w:tcMar>
          </w:tcPr>
          <w:p w:rsidR="00142F6A" w:rsidRPr="00EA42C0" w:rsidRDefault="00142F6A" w:rsidP="00D73E98">
            <w:pPr>
              <w:pStyle w:val="Titolo3"/>
            </w:pPr>
            <w:r w:rsidRPr="00EA42C0">
              <w:t>Recuperabilità del valore</w:t>
            </w:r>
          </w:p>
        </w:tc>
        <w:tc>
          <w:tcPr>
            <w:tcW w:w="586" w:type="dxa"/>
            <w:tcMar>
              <w:left w:w="85" w:type="dxa"/>
              <w:right w:w="85" w:type="dxa"/>
            </w:tcMar>
            <w:vAlign w:val="center"/>
          </w:tcPr>
          <w:p w:rsidR="00142F6A" w:rsidRPr="00AD6E2D" w:rsidRDefault="00142F6A" w:rsidP="00D73E98">
            <w:pPr>
              <w:jc w:val="center"/>
              <w:rPr>
                <w:lang w:val="it-IT"/>
              </w:rPr>
            </w:pPr>
          </w:p>
        </w:tc>
        <w:tc>
          <w:tcPr>
            <w:tcW w:w="573" w:type="dxa"/>
            <w:tcMar>
              <w:left w:w="108" w:type="dxa"/>
            </w:tcMar>
            <w:vAlign w:val="center"/>
          </w:tcPr>
          <w:p w:rsidR="00142F6A" w:rsidRPr="00AD6E2D" w:rsidRDefault="00142F6A" w:rsidP="00D73E98">
            <w:pPr>
              <w:jc w:val="center"/>
              <w:rPr>
                <w:lang w:val="it-IT"/>
              </w:rPr>
            </w:pPr>
          </w:p>
        </w:tc>
        <w:tc>
          <w:tcPr>
            <w:tcW w:w="570" w:type="dxa"/>
            <w:tcMar>
              <w:left w:w="108" w:type="dxa"/>
            </w:tcMar>
            <w:vAlign w:val="center"/>
          </w:tcPr>
          <w:p w:rsidR="00142F6A" w:rsidRPr="00AD6E2D" w:rsidRDefault="00142F6A" w:rsidP="00D73E98">
            <w:pPr>
              <w:jc w:val="center"/>
              <w:rPr>
                <w:lang w:val="it-IT"/>
              </w:rPr>
            </w:pPr>
          </w:p>
        </w:tc>
      </w:tr>
      <w:tr w:rsidR="00142F6A" w:rsidRPr="00F7168D" w:rsidTr="00D73E98">
        <w:trPr>
          <w:cantSplit/>
          <w:trHeight w:val="20"/>
        </w:trPr>
        <w:tc>
          <w:tcPr>
            <w:tcW w:w="680" w:type="dxa"/>
          </w:tcPr>
          <w:p w:rsidR="00142F6A" w:rsidRPr="00EA3CC5" w:rsidRDefault="00142F6A" w:rsidP="00D73E98">
            <w:pPr>
              <w:jc w:val="center"/>
              <w:rPr>
                <w:b/>
                <w:lang w:val="it-IT"/>
              </w:rPr>
            </w:pPr>
            <w:r w:rsidRPr="00EA3CC5">
              <w:rPr>
                <w:b/>
                <w:lang w:val="it-IT"/>
              </w:rPr>
              <w:t>11)</w:t>
            </w:r>
          </w:p>
        </w:tc>
        <w:tc>
          <w:tcPr>
            <w:tcW w:w="851" w:type="dxa"/>
            <w:tcMar>
              <w:left w:w="108" w:type="dxa"/>
              <w:right w:w="0" w:type="dxa"/>
            </w:tcMar>
          </w:tcPr>
          <w:p w:rsidR="00142F6A" w:rsidRDefault="00142F6A" w:rsidP="00D73E98">
            <w:pPr>
              <w:pStyle w:val="PrincCont"/>
              <w:jc w:val="left"/>
              <w:rPr>
                <w:lang w:val="it-IT"/>
              </w:rPr>
            </w:pPr>
            <w:r>
              <w:rPr>
                <w:lang w:val="it-IT"/>
              </w:rPr>
              <w:t>OIC 18.20</w:t>
            </w:r>
          </w:p>
        </w:tc>
        <w:tc>
          <w:tcPr>
            <w:tcW w:w="7060" w:type="dxa"/>
            <w:tcMar>
              <w:left w:w="108" w:type="dxa"/>
            </w:tcMar>
          </w:tcPr>
          <w:p w:rsidR="00142F6A" w:rsidRPr="00F62F9C" w:rsidRDefault="00142F6A" w:rsidP="00D73E98">
            <w:pPr>
              <w:spacing w:line="230" w:lineRule="exact"/>
              <w:rPr>
                <w:lang w:val="it-IT"/>
              </w:rPr>
            </w:pPr>
            <w:r>
              <w:rPr>
                <w:lang w:val="it-IT"/>
              </w:rPr>
              <w:t>Alla fine di ciascun esercizio la società ha effettuato una nuova valutazione verificando che le condizioni di iscrizione del rateo o del risconto siano ancora va</w:t>
            </w:r>
            <w:r w:rsidRPr="00F62F9C">
              <w:rPr>
                <w:lang w:val="it-IT"/>
              </w:rPr>
              <w:t>I</w:t>
            </w:r>
            <w:r>
              <w:rPr>
                <w:lang w:val="it-IT"/>
              </w:rPr>
              <w:t>ide, sia con riferimento al trascorrere del tempo sia con riferimento all’eventuale recuperabilità dell’importo iscritto in bilancio?</w:t>
            </w:r>
            <w:r w:rsidRPr="00F62F9C">
              <w:rPr>
                <w:lang w:val="it-IT"/>
              </w:rPr>
              <w:t xml:space="preserve"> </w:t>
            </w:r>
          </w:p>
        </w:tc>
        <w:tc>
          <w:tcPr>
            <w:tcW w:w="586" w:type="dxa"/>
            <w:tcMar>
              <w:left w:w="85" w:type="dxa"/>
              <w:right w:w="85" w:type="dxa"/>
            </w:tcMar>
            <w:vAlign w:val="center"/>
          </w:tcPr>
          <w:p w:rsidR="00142F6A" w:rsidRPr="00FF19F7"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142F6A" w:rsidRPr="00F7168D" w:rsidTr="00D73E98">
        <w:trPr>
          <w:cantSplit/>
          <w:trHeight w:val="20"/>
        </w:trPr>
        <w:tc>
          <w:tcPr>
            <w:tcW w:w="680" w:type="dxa"/>
          </w:tcPr>
          <w:p w:rsidR="00142F6A" w:rsidRPr="00EA3CC5" w:rsidRDefault="00142F6A" w:rsidP="00D73E98">
            <w:pPr>
              <w:jc w:val="center"/>
              <w:rPr>
                <w:b/>
                <w:lang w:val="it-IT"/>
              </w:rPr>
            </w:pPr>
            <w:r w:rsidRPr="00EA3CC5">
              <w:rPr>
                <w:b/>
                <w:lang w:val="it-IT"/>
              </w:rPr>
              <w:t>12)</w:t>
            </w:r>
          </w:p>
        </w:tc>
        <w:tc>
          <w:tcPr>
            <w:tcW w:w="851" w:type="dxa"/>
            <w:tcMar>
              <w:left w:w="108" w:type="dxa"/>
              <w:right w:w="0" w:type="dxa"/>
            </w:tcMar>
          </w:tcPr>
          <w:p w:rsidR="00142F6A" w:rsidRDefault="00142F6A" w:rsidP="00D73E98">
            <w:pPr>
              <w:pStyle w:val="PrincCont"/>
              <w:jc w:val="left"/>
              <w:rPr>
                <w:lang w:val="it-IT"/>
              </w:rPr>
            </w:pPr>
            <w:r>
              <w:rPr>
                <w:lang w:val="it-IT"/>
              </w:rPr>
              <w:t>OIC 18.20</w:t>
            </w:r>
          </w:p>
        </w:tc>
        <w:tc>
          <w:tcPr>
            <w:tcW w:w="7060" w:type="dxa"/>
            <w:tcMar>
              <w:left w:w="108" w:type="dxa"/>
            </w:tcMar>
          </w:tcPr>
          <w:p w:rsidR="00142F6A" w:rsidRDefault="00142F6A" w:rsidP="00D73E98">
            <w:pPr>
              <w:spacing w:line="230" w:lineRule="exact"/>
              <w:rPr>
                <w:lang w:val="it-IT"/>
              </w:rPr>
            </w:pPr>
            <w:r>
              <w:rPr>
                <w:lang w:val="it-IT"/>
              </w:rPr>
              <w:t>Se necessario sono state apportate le necessarie rettifiche di valore?</w:t>
            </w:r>
          </w:p>
        </w:tc>
        <w:tc>
          <w:tcPr>
            <w:tcW w:w="586" w:type="dxa"/>
            <w:tcMar>
              <w:left w:w="85" w:type="dxa"/>
              <w:right w:w="85" w:type="dxa"/>
            </w:tcMar>
            <w:vAlign w:val="center"/>
          </w:tcPr>
          <w:p w:rsidR="00142F6A" w:rsidRPr="00FF19F7"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142F6A" w:rsidRPr="00F7168D" w:rsidTr="00D73E98">
        <w:trPr>
          <w:cantSplit/>
          <w:trHeight w:val="20"/>
        </w:trPr>
        <w:tc>
          <w:tcPr>
            <w:tcW w:w="680" w:type="dxa"/>
          </w:tcPr>
          <w:p w:rsidR="00142F6A" w:rsidRPr="00EA3CC5" w:rsidRDefault="00142F6A" w:rsidP="00D73E98">
            <w:pPr>
              <w:jc w:val="center"/>
              <w:rPr>
                <w:b/>
                <w:lang w:val="it-IT"/>
              </w:rPr>
            </w:pPr>
            <w:r w:rsidRPr="00EA3CC5">
              <w:rPr>
                <w:b/>
                <w:lang w:val="it-IT"/>
              </w:rPr>
              <w:t>13)</w:t>
            </w:r>
          </w:p>
        </w:tc>
        <w:tc>
          <w:tcPr>
            <w:tcW w:w="851" w:type="dxa"/>
            <w:tcMar>
              <w:left w:w="108" w:type="dxa"/>
              <w:right w:w="0" w:type="dxa"/>
            </w:tcMar>
          </w:tcPr>
          <w:p w:rsidR="00142F6A" w:rsidRDefault="00142F6A" w:rsidP="00D73E98">
            <w:pPr>
              <w:pStyle w:val="PrincCont"/>
              <w:jc w:val="left"/>
              <w:rPr>
                <w:lang w:val="it-IT"/>
              </w:rPr>
            </w:pPr>
            <w:r>
              <w:rPr>
                <w:lang w:val="it-IT"/>
              </w:rPr>
              <w:t>OIC 18.21</w:t>
            </w:r>
          </w:p>
        </w:tc>
        <w:tc>
          <w:tcPr>
            <w:tcW w:w="7060" w:type="dxa"/>
            <w:tcMar>
              <w:left w:w="108" w:type="dxa"/>
            </w:tcMar>
          </w:tcPr>
          <w:p w:rsidR="00142F6A" w:rsidRDefault="00142F6A" w:rsidP="00D73E98">
            <w:pPr>
              <w:spacing w:line="230" w:lineRule="exact"/>
              <w:rPr>
                <w:lang w:val="it-IT"/>
              </w:rPr>
            </w:pPr>
            <w:r>
              <w:rPr>
                <w:lang w:val="it-IT"/>
              </w:rPr>
              <w:t>I ratei attivi sono stati valutati per tener conto del  relativo valore di presumibile realizzazione?</w:t>
            </w:r>
          </w:p>
        </w:tc>
        <w:tc>
          <w:tcPr>
            <w:tcW w:w="586" w:type="dxa"/>
            <w:tcMar>
              <w:left w:w="85" w:type="dxa"/>
              <w:right w:w="85" w:type="dxa"/>
            </w:tcMar>
            <w:vAlign w:val="center"/>
          </w:tcPr>
          <w:p w:rsidR="00142F6A" w:rsidRPr="00FF19F7"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142F6A" w:rsidRPr="00CC242B" w:rsidTr="00D73E98">
        <w:trPr>
          <w:cantSplit/>
          <w:trHeight w:val="20"/>
        </w:trPr>
        <w:tc>
          <w:tcPr>
            <w:tcW w:w="680" w:type="dxa"/>
          </w:tcPr>
          <w:p w:rsidR="00142F6A" w:rsidRPr="00EA3CC5" w:rsidRDefault="00142F6A" w:rsidP="00D73E98">
            <w:pPr>
              <w:jc w:val="center"/>
              <w:rPr>
                <w:b/>
                <w:lang w:val="it-IT"/>
              </w:rPr>
            </w:pPr>
            <w:r w:rsidRPr="00EA3CC5">
              <w:rPr>
                <w:b/>
                <w:lang w:val="it-IT"/>
              </w:rPr>
              <w:t>14)</w:t>
            </w:r>
          </w:p>
        </w:tc>
        <w:tc>
          <w:tcPr>
            <w:tcW w:w="851" w:type="dxa"/>
            <w:tcMar>
              <w:left w:w="108" w:type="dxa"/>
              <w:right w:w="0" w:type="dxa"/>
            </w:tcMar>
          </w:tcPr>
          <w:p w:rsidR="00142F6A" w:rsidRDefault="00142F6A" w:rsidP="00D73E98">
            <w:pPr>
              <w:pStyle w:val="PrincCont"/>
              <w:jc w:val="left"/>
              <w:rPr>
                <w:lang w:val="it-IT"/>
              </w:rPr>
            </w:pPr>
            <w:r>
              <w:rPr>
                <w:lang w:val="it-IT"/>
              </w:rPr>
              <w:t>OIC 18.21</w:t>
            </w:r>
          </w:p>
        </w:tc>
        <w:tc>
          <w:tcPr>
            <w:tcW w:w="7060" w:type="dxa"/>
            <w:tcMar>
              <w:left w:w="108" w:type="dxa"/>
            </w:tcMar>
          </w:tcPr>
          <w:p w:rsidR="00142F6A" w:rsidRPr="00E652B9" w:rsidRDefault="00142F6A" w:rsidP="00D73E98">
            <w:pPr>
              <w:spacing w:line="230" w:lineRule="exact"/>
              <w:rPr>
                <w:lang w:val="it-IT"/>
              </w:rPr>
            </w:pPr>
            <w:r>
              <w:rPr>
                <w:lang w:val="it-IT"/>
              </w:rPr>
              <w:t>Se il valore presumibile di realizzazione risulta inferiore al valore contabile, è stata rilevata una svalutazione nel conto economico:</w:t>
            </w:r>
          </w:p>
        </w:tc>
        <w:tc>
          <w:tcPr>
            <w:tcW w:w="586" w:type="dxa"/>
            <w:tcMar>
              <w:left w:w="85" w:type="dxa"/>
              <w:right w:w="85" w:type="dxa"/>
            </w:tcMar>
            <w:vAlign w:val="center"/>
          </w:tcPr>
          <w:p w:rsidR="00142F6A" w:rsidRPr="00FF19F7" w:rsidRDefault="00142F6A" w:rsidP="00D73E98">
            <w:pPr>
              <w:jc w:val="center"/>
              <w:rPr>
                <w:lang w:val="it-IT"/>
              </w:rPr>
            </w:pPr>
          </w:p>
        </w:tc>
        <w:tc>
          <w:tcPr>
            <w:tcW w:w="573" w:type="dxa"/>
            <w:tcMar>
              <w:left w:w="108" w:type="dxa"/>
            </w:tcMar>
            <w:vAlign w:val="center"/>
          </w:tcPr>
          <w:p w:rsidR="00142F6A" w:rsidRPr="00DE38DC" w:rsidRDefault="00142F6A" w:rsidP="00D73E98">
            <w:pPr>
              <w:jc w:val="center"/>
              <w:rPr>
                <w:lang w:val="it-IT"/>
              </w:rPr>
            </w:pPr>
          </w:p>
        </w:tc>
        <w:tc>
          <w:tcPr>
            <w:tcW w:w="570" w:type="dxa"/>
            <w:tcMar>
              <w:left w:w="108" w:type="dxa"/>
            </w:tcMar>
            <w:vAlign w:val="center"/>
          </w:tcPr>
          <w:p w:rsidR="00142F6A" w:rsidRPr="00DE38DC" w:rsidRDefault="00142F6A" w:rsidP="00D73E98">
            <w:pPr>
              <w:jc w:val="center"/>
              <w:rPr>
                <w:lang w:val="it-IT"/>
              </w:rPr>
            </w:pPr>
          </w:p>
        </w:tc>
      </w:tr>
      <w:tr w:rsidR="00142F6A" w:rsidRPr="00E652B9" w:rsidTr="00D73E98">
        <w:trPr>
          <w:cantSplit/>
          <w:trHeight w:val="20"/>
        </w:trPr>
        <w:tc>
          <w:tcPr>
            <w:tcW w:w="680" w:type="dxa"/>
          </w:tcPr>
          <w:p w:rsidR="00142F6A" w:rsidRPr="00EA3CC5" w:rsidRDefault="00142F6A" w:rsidP="00D73E98">
            <w:pPr>
              <w:jc w:val="center"/>
              <w:rPr>
                <w:b/>
                <w:lang w:val="it-IT"/>
              </w:rPr>
            </w:pPr>
          </w:p>
        </w:tc>
        <w:tc>
          <w:tcPr>
            <w:tcW w:w="851" w:type="dxa"/>
            <w:tcMar>
              <w:left w:w="108" w:type="dxa"/>
              <w:right w:w="0" w:type="dxa"/>
            </w:tcMar>
          </w:tcPr>
          <w:p w:rsidR="00142F6A" w:rsidRDefault="00142F6A" w:rsidP="00D73E98">
            <w:pPr>
              <w:pStyle w:val="PrincCont"/>
              <w:jc w:val="left"/>
              <w:rPr>
                <w:lang w:val="it-IT"/>
              </w:rPr>
            </w:pPr>
          </w:p>
        </w:tc>
        <w:tc>
          <w:tcPr>
            <w:tcW w:w="7060" w:type="dxa"/>
            <w:tcMar>
              <w:left w:w="108" w:type="dxa"/>
            </w:tcMar>
          </w:tcPr>
          <w:p w:rsidR="00142F6A" w:rsidRPr="00E652B9" w:rsidRDefault="00142F6A" w:rsidP="004E27C2">
            <w:pPr>
              <w:pStyle w:val="Paragrafoelenco"/>
              <w:numPr>
                <w:ilvl w:val="0"/>
                <w:numId w:val="37"/>
              </w:numPr>
              <w:spacing w:line="230" w:lineRule="exact"/>
              <w:ind w:left="318" w:hanging="284"/>
              <w:rPr>
                <w:lang w:val="it-IT"/>
              </w:rPr>
            </w:pPr>
            <w:r w:rsidRPr="00E652B9">
              <w:rPr>
                <w:lang w:val="it-IT"/>
              </w:rPr>
              <w:t>nella voce B10d) “svalutazioni dei crediti compresi nell’attivo circolante e delle disponibilità liquide”, se le svalutazioni sono riferite a ratei e ris</w:t>
            </w:r>
            <w:r>
              <w:rPr>
                <w:lang w:val="it-IT"/>
              </w:rPr>
              <w:t>conti di natura non finanziaria (ad esempio contratti di affitto)</w:t>
            </w:r>
          </w:p>
        </w:tc>
        <w:tc>
          <w:tcPr>
            <w:tcW w:w="586" w:type="dxa"/>
            <w:tcMar>
              <w:left w:w="85" w:type="dxa"/>
              <w:right w:w="85" w:type="dxa"/>
            </w:tcMar>
            <w:vAlign w:val="center"/>
          </w:tcPr>
          <w:p w:rsidR="00142F6A" w:rsidRPr="00FF19F7"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142F6A" w:rsidRPr="00F7168D" w:rsidTr="00D73E98">
        <w:trPr>
          <w:cantSplit/>
          <w:trHeight w:val="20"/>
        </w:trPr>
        <w:tc>
          <w:tcPr>
            <w:tcW w:w="680" w:type="dxa"/>
          </w:tcPr>
          <w:p w:rsidR="00142F6A" w:rsidRPr="00EA3CC5" w:rsidRDefault="00142F6A" w:rsidP="00D73E98">
            <w:pPr>
              <w:jc w:val="center"/>
              <w:rPr>
                <w:b/>
                <w:lang w:val="it-IT"/>
              </w:rPr>
            </w:pPr>
          </w:p>
        </w:tc>
        <w:tc>
          <w:tcPr>
            <w:tcW w:w="851" w:type="dxa"/>
            <w:tcMar>
              <w:left w:w="108" w:type="dxa"/>
              <w:right w:w="0" w:type="dxa"/>
            </w:tcMar>
          </w:tcPr>
          <w:p w:rsidR="00142F6A" w:rsidRDefault="00142F6A" w:rsidP="00D73E98">
            <w:pPr>
              <w:pStyle w:val="PrincCont"/>
              <w:jc w:val="left"/>
              <w:rPr>
                <w:lang w:val="it-IT"/>
              </w:rPr>
            </w:pPr>
          </w:p>
        </w:tc>
        <w:tc>
          <w:tcPr>
            <w:tcW w:w="7060" w:type="dxa"/>
            <w:tcMar>
              <w:left w:w="108" w:type="dxa"/>
            </w:tcMar>
          </w:tcPr>
          <w:p w:rsidR="00142F6A" w:rsidRPr="00096070" w:rsidRDefault="00142F6A" w:rsidP="004E27C2">
            <w:pPr>
              <w:pStyle w:val="Paragrafoelenco"/>
              <w:numPr>
                <w:ilvl w:val="0"/>
                <w:numId w:val="37"/>
              </w:numPr>
              <w:spacing w:line="230" w:lineRule="exact"/>
              <w:ind w:left="318" w:hanging="284"/>
              <w:rPr>
                <w:lang w:val="it-IT"/>
              </w:rPr>
            </w:pPr>
            <w:r w:rsidRPr="00096070">
              <w:rPr>
                <w:lang w:val="it-IT"/>
              </w:rPr>
              <w:t>nella voce C “Proventi e oneri finanziari” o nella voce D “Rettifiche di valore di attività</w:t>
            </w:r>
            <w:r>
              <w:rPr>
                <w:lang w:val="it-IT"/>
              </w:rPr>
              <w:t xml:space="preserve">  </w:t>
            </w:r>
            <w:r w:rsidRPr="00096070">
              <w:rPr>
                <w:lang w:val="it-IT"/>
              </w:rPr>
              <w:t>finanziarie” se le svalutazioni sono riferite a ratei e risconti di natura finanziaria?</w:t>
            </w:r>
          </w:p>
        </w:tc>
        <w:tc>
          <w:tcPr>
            <w:tcW w:w="586" w:type="dxa"/>
            <w:tcMar>
              <w:left w:w="85" w:type="dxa"/>
              <w:right w:w="85" w:type="dxa"/>
            </w:tcMar>
            <w:vAlign w:val="center"/>
          </w:tcPr>
          <w:p w:rsidR="00142F6A" w:rsidRPr="00FF19F7"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142F6A" w:rsidRPr="00F7168D" w:rsidTr="00D73E98">
        <w:trPr>
          <w:cantSplit/>
          <w:trHeight w:val="20"/>
        </w:trPr>
        <w:tc>
          <w:tcPr>
            <w:tcW w:w="680" w:type="dxa"/>
          </w:tcPr>
          <w:p w:rsidR="00142F6A" w:rsidRPr="00EA3CC5" w:rsidRDefault="00142F6A" w:rsidP="00D73E98">
            <w:pPr>
              <w:jc w:val="center"/>
              <w:rPr>
                <w:b/>
                <w:lang w:val="it-IT"/>
              </w:rPr>
            </w:pPr>
            <w:r w:rsidRPr="00EA3CC5">
              <w:rPr>
                <w:b/>
                <w:lang w:val="it-IT"/>
              </w:rPr>
              <w:t>15)</w:t>
            </w:r>
          </w:p>
        </w:tc>
        <w:tc>
          <w:tcPr>
            <w:tcW w:w="851" w:type="dxa"/>
            <w:tcMar>
              <w:left w:w="108" w:type="dxa"/>
              <w:right w:w="0" w:type="dxa"/>
            </w:tcMar>
          </w:tcPr>
          <w:p w:rsidR="00142F6A" w:rsidRDefault="00142F6A" w:rsidP="00D73E98">
            <w:pPr>
              <w:pStyle w:val="PrincCont"/>
              <w:jc w:val="left"/>
              <w:rPr>
                <w:lang w:val="it-IT"/>
              </w:rPr>
            </w:pPr>
            <w:r>
              <w:rPr>
                <w:lang w:val="it-IT"/>
              </w:rPr>
              <w:t>OIC 18.22</w:t>
            </w:r>
          </w:p>
        </w:tc>
        <w:tc>
          <w:tcPr>
            <w:tcW w:w="7060" w:type="dxa"/>
            <w:tcMar>
              <w:left w:w="108" w:type="dxa"/>
            </w:tcMar>
          </w:tcPr>
          <w:p w:rsidR="00142F6A" w:rsidRDefault="00142F6A" w:rsidP="00D73E98">
            <w:pPr>
              <w:spacing w:line="230" w:lineRule="exact"/>
              <w:rPr>
                <w:lang w:val="it-IT"/>
              </w:rPr>
            </w:pPr>
            <w:r>
              <w:rPr>
                <w:lang w:val="it-IT"/>
              </w:rPr>
              <w:t>I ratei passivi sono stati rilevati al valore nominale?</w:t>
            </w:r>
          </w:p>
        </w:tc>
        <w:tc>
          <w:tcPr>
            <w:tcW w:w="586" w:type="dxa"/>
            <w:tcMar>
              <w:left w:w="85" w:type="dxa"/>
              <w:right w:w="85" w:type="dxa"/>
            </w:tcMar>
            <w:vAlign w:val="center"/>
          </w:tcPr>
          <w:p w:rsidR="00142F6A" w:rsidRPr="00FF19F7"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142F6A" w:rsidRPr="008A0F36" w:rsidTr="00D73E98">
        <w:trPr>
          <w:cantSplit/>
          <w:trHeight w:val="20"/>
        </w:trPr>
        <w:tc>
          <w:tcPr>
            <w:tcW w:w="680" w:type="dxa"/>
          </w:tcPr>
          <w:p w:rsidR="00142F6A" w:rsidRPr="00EA3CC5" w:rsidRDefault="00142F6A" w:rsidP="00D73E98">
            <w:pPr>
              <w:jc w:val="center"/>
              <w:rPr>
                <w:b/>
                <w:lang w:val="it-IT"/>
              </w:rPr>
            </w:pPr>
            <w:r w:rsidRPr="00EA3CC5">
              <w:rPr>
                <w:b/>
                <w:lang w:val="it-IT"/>
              </w:rPr>
              <w:t>16)</w:t>
            </w:r>
          </w:p>
        </w:tc>
        <w:tc>
          <w:tcPr>
            <w:tcW w:w="851" w:type="dxa"/>
            <w:tcMar>
              <w:left w:w="108" w:type="dxa"/>
              <w:right w:w="0" w:type="dxa"/>
            </w:tcMar>
          </w:tcPr>
          <w:p w:rsidR="00142F6A" w:rsidRPr="008A0F36" w:rsidRDefault="00142F6A" w:rsidP="00D73E98">
            <w:pPr>
              <w:pStyle w:val="PrincCont"/>
              <w:jc w:val="left"/>
              <w:rPr>
                <w:lang w:val="it-IT"/>
              </w:rPr>
            </w:pPr>
            <w:r>
              <w:rPr>
                <w:lang w:val="it-IT"/>
              </w:rPr>
              <w:t>OIC 18.23</w:t>
            </w:r>
          </w:p>
        </w:tc>
        <w:tc>
          <w:tcPr>
            <w:tcW w:w="7060" w:type="dxa"/>
            <w:tcMar>
              <w:left w:w="108" w:type="dxa"/>
            </w:tcMar>
          </w:tcPr>
          <w:p w:rsidR="00142F6A" w:rsidRPr="006F5755" w:rsidRDefault="00142F6A" w:rsidP="00D73E98">
            <w:pPr>
              <w:spacing w:line="230" w:lineRule="exact"/>
              <w:rPr>
                <w:lang w:val="it-IT"/>
              </w:rPr>
            </w:pPr>
            <w:r w:rsidRPr="006F5755">
              <w:rPr>
                <w:lang w:val="it-IT"/>
              </w:rPr>
              <w:t xml:space="preserve">I </w:t>
            </w:r>
            <w:r>
              <w:rPr>
                <w:lang w:val="it-IT"/>
              </w:rPr>
              <w:t>risconti attivi sono stai valutati considerando il futuro beneficio economico correlato a costi differiti</w:t>
            </w:r>
            <w:r w:rsidRPr="006F5755">
              <w:rPr>
                <w:lang w:val="it-IT"/>
              </w:rPr>
              <w:t>?</w:t>
            </w:r>
            <w:r>
              <w:rPr>
                <w:lang w:val="it-IT"/>
              </w:rPr>
              <w:t xml:space="preserve"> </w:t>
            </w:r>
          </w:p>
        </w:tc>
        <w:tc>
          <w:tcPr>
            <w:tcW w:w="586" w:type="dxa"/>
            <w:tcMar>
              <w:left w:w="85" w:type="dxa"/>
              <w:right w:w="85"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142F6A" w:rsidRPr="00F7168D" w:rsidTr="00D73E98">
        <w:trPr>
          <w:cantSplit/>
          <w:trHeight w:val="20"/>
        </w:trPr>
        <w:tc>
          <w:tcPr>
            <w:tcW w:w="680" w:type="dxa"/>
          </w:tcPr>
          <w:p w:rsidR="00142F6A" w:rsidRPr="00EA3CC5" w:rsidRDefault="00142F6A" w:rsidP="00D73E98">
            <w:pPr>
              <w:jc w:val="center"/>
              <w:rPr>
                <w:b/>
                <w:lang w:val="it-IT"/>
              </w:rPr>
            </w:pPr>
            <w:r w:rsidRPr="00EA3CC5">
              <w:rPr>
                <w:b/>
                <w:lang w:val="it-IT"/>
              </w:rPr>
              <w:t>17)</w:t>
            </w:r>
          </w:p>
        </w:tc>
        <w:tc>
          <w:tcPr>
            <w:tcW w:w="851" w:type="dxa"/>
            <w:tcMar>
              <w:left w:w="108" w:type="dxa"/>
              <w:right w:w="0" w:type="dxa"/>
            </w:tcMar>
          </w:tcPr>
          <w:p w:rsidR="00142F6A" w:rsidRPr="008A0F36" w:rsidRDefault="00142F6A" w:rsidP="00D73E98">
            <w:pPr>
              <w:pStyle w:val="PrincCont"/>
              <w:jc w:val="left"/>
              <w:rPr>
                <w:lang w:val="it-IT"/>
              </w:rPr>
            </w:pPr>
            <w:r>
              <w:rPr>
                <w:lang w:val="it-IT"/>
              </w:rPr>
              <w:t>OIC 18.23</w:t>
            </w:r>
          </w:p>
        </w:tc>
        <w:tc>
          <w:tcPr>
            <w:tcW w:w="7060" w:type="dxa"/>
            <w:tcMar>
              <w:left w:w="108" w:type="dxa"/>
            </w:tcMar>
          </w:tcPr>
          <w:p w:rsidR="00142F6A" w:rsidRPr="006F5755" w:rsidRDefault="00142F6A" w:rsidP="00D73E98">
            <w:pPr>
              <w:spacing w:line="230" w:lineRule="exact"/>
              <w:rPr>
                <w:lang w:val="it-IT"/>
              </w:rPr>
            </w:pPr>
            <w:r>
              <w:rPr>
                <w:lang w:val="it-IT"/>
              </w:rPr>
              <w:t>Se il beneficio risultasse inferiore (in tutto o in parte) rispetto alla quota riscontata, è stata rilevata una opportuna rettifica di valore?</w:t>
            </w:r>
          </w:p>
        </w:tc>
        <w:tc>
          <w:tcPr>
            <w:tcW w:w="586" w:type="dxa"/>
            <w:tcMar>
              <w:left w:w="85" w:type="dxa"/>
              <w:right w:w="85"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142F6A" w:rsidRPr="00F7168D" w:rsidTr="00D73E98">
        <w:trPr>
          <w:cantSplit/>
          <w:trHeight w:val="20"/>
        </w:trPr>
        <w:tc>
          <w:tcPr>
            <w:tcW w:w="680" w:type="dxa"/>
          </w:tcPr>
          <w:p w:rsidR="00142F6A" w:rsidRPr="00EA3CC5" w:rsidRDefault="00142F6A" w:rsidP="00D73E98">
            <w:pPr>
              <w:jc w:val="center"/>
              <w:rPr>
                <w:b/>
                <w:lang w:val="it-IT"/>
              </w:rPr>
            </w:pPr>
            <w:r w:rsidRPr="00EA3CC5">
              <w:rPr>
                <w:b/>
                <w:lang w:val="it-IT"/>
              </w:rPr>
              <w:t>18)</w:t>
            </w:r>
          </w:p>
        </w:tc>
        <w:tc>
          <w:tcPr>
            <w:tcW w:w="851" w:type="dxa"/>
            <w:tcMar>
              <w:left w:w="108" w:type="dxa"/>
              <w:right w:w="0" w:type="dxa"/>
            </w:tcMar>
          </w:tcPr>
          <w:p w:rsidR="00142F6A" w:rsidRPr="008A0F36" w:rsidRDefault="00142F6A" w:rsidP="00D73E98">
            <w:pPr>
              <w:pStyle w:val="PrincCont"/>
              <w:jc w:val="left"/>
              <w:rPr>
                <w:lang w:val="it-IT"/>
              </w:rPr>
            </w:pPr>
            <w:r>
              <w:rPr>
                <w:lang w:val="it-IT"/>
              </w:rPr>
              <w:t>OIC 18.23</w:t>
            </w:r>
          </w:p>
        </w:tc>
        <w:tc>
          <w:tcPr>
            <w:tcW w:w="7060" w:type="dxa"/>
            <w:tcMar>
              <w:left w:w="108" w:type="dxa"/>
            </w:tcMar>
          </w:tcPr>
          <w:p w:rsidR="00142F6A" w:rsidRPr="006F5755" w:rsidRDefault="00142F6A" w:rsidP="00D73E98">
            <w:pPr>
              <w:spacing w:line="230" w:lineRule="exact"/>
              <w:rPr>
                <w:lang w:val="it-IT"/>
              </w:rPr>
            </w:pPr>
            <w:r>
              <w:rPr>
                <w:lang w:val="it-IT"/>
              </w:rPr>
              <w:t>Tale rettifica di valore è stata rilevata nella voce B10d) ““svalutazioni dei crediti compresi nell’attivo circolante e delle disponibilità liquide” del conto economico in contropartita della riduzione del risconto attivo?</w:t>
            </w:r>
          </w:p>
        </w:tc>
        <w:tc>
          <w:tcPr>
            <w:tcW w:w="586" w:type="dxa"/>
            <w:tcMar>
              <w:left w:w="85" w:type="dxa"/>
              <w:right w:w="85"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142F6A" w:rsidRPr="00B94B6C" w:rsidTr="00D73E98">
        <w:trPr>
          <w:cantSplit/>
          <w:trHeight w:val="20"/>
        </w:trPr>
        <w:tc>
          <w:tcPr>
            <w:tcW w:w="680" w:type="dxa"/>
          </w:tcPr>
          <w:p w:rsidR="00142F6A" w:rsidRPr="008A0F36"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p>
        </w:tc>
        <w:tc>
          <w:tcPr>
            <w:tcW w:w="7060" w:type="dxa"/>
            <w:tcMar>
              <w:left w:w="108" w:type="dxa"/>
            </w:tcMar>
            <w:vAlign w:val="center"/>
          </w:tcPr>
          <w:p w:rsidR="00142F6A" w:rsidRPr="00EA42C0" w:rsidRDefault="00142F6A" w:rsidP="00D73E98">
            <w:pPr>
              <w:pStyle w:val="Titolo2"/>
            </w:pPr>
            <w:r w:rsidRPr="00EA42C0">
              <w:t>Nota Integrativa</w:t>
            </w:r>
          </w:p>
        </w:tc>
        <w:tc>
          <w:tcPr>
            <w:tcW w:w="586" w:type="dxa"/>
            <w:tcMar>
              <w:left w:w="85" w:type="dxa"/>
              <w:right w:w="85" w:type="dxa"/>
            </w:tcMar>
            <w:vAlign w:val="center"/>
          </w:tcPr>
          <w:p w:rsidR="00142F6A" w:rsidRPr="00B94B6C" w:rsidRDefault="00142F6A" w:rsidP="00D73E98">
            <w:pPr>
              <w:jc w:val="center"/>
              <w:rPr>
                <w:lang w:val="it-IT"/>
              </w:rPr>
            </w:pPr>
          </w:p>
        </w:tc>
        <w:tc>
          <w:tcPr>
            <w:tcW w:w="573" w:type="dxa"/>
            <w:tcMar>
              <w:left w:w="108" w:type="dxa"/>
            </w:tcMar>
            <w:vAlign w:val="center"/>
          </w:tcPr>
          <w:p w:rsidR="00142F6A" w:rsidRPr="00B94B6C" w:rsidRDefault="00142F6A" w:rsidP="00D73E98">
            <w:pPr>
              <w:jc w:val="center"/>
              <w:rPr>
                <w:lang w:val="it-IT"/>
              </w:rPr>
            </w:pPr>
          </w:p>
        </w:tc>
        <w:tc>
          <w:tcPr>
            <w:tcW w:w="570" w:type="dxa"/>
            <w:tcMar>
              <w:left w:w="108" w:type="dxa"/>
            </w:tcMar>
            <w:vAlign w:val="center"/>
          </w:tcPr>
          <w:p w:rsidR="00142F6A" w:rsidRPr="00B94B6C" w:rsidRDefault="00142F6A" w:rsidP="00D73E98">
            <w:pPr>
              <w:jc w:val="center"/>
              <w:rPr>
                <w:lang w:val="it-IT"/>
              </w:rPr>
            </w:pPr>
          </w:p>
        </w:tc>
      </w:tr>
      <w:tr w:rsidR="00142F6A" w:rsidRPr="00CC242B" w:rsidTr="00D73E98">
        <w:trPr>
          <w:cantSplit/>
          <w:trHeight w:val="20"/>
        </w:trPr>
        <w:tc>
          <w:tcPr>
            <w:tcW w:w="680" w:type="dxa"/>
          </w:tcPr>
          <w:p w:rsidR="00142F6A" w:rsidRPr="008A0F36"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p>
        </w:tc>
        <w:tc>
          <w:tcPr>
            <w:tcW w:w="7060" w:type="dxa"/>
            <w:tcMar>
              <w:left w:w="108" w:type="dxa"/>
            </w:tcMar>
            <w:vAlign w:val="center"/>
          </w:tcPr>
          <w:p w:rsidR="00142F6A" w:rsidRPr="00142F6A" w:rsidRDefault="00142F6A" w:rsidP="00D73E98">
            <w:pPr>
              <w:pStyle w:val="Titolo3"/>
              <w:rPr>
                <w:lang w:val="it-IT"/>
              </w:rPr>
            </w:pPr>
            <w:r w:rsidRPr="00142F6A">
              <w:rPr>
                <w:lang w:val="it-IT"/>
              </w:rPr>
              <w:t>Informazioni relative alle società che redigono il bilancio in forma ordinaria</w:t>
            </w:r>
          </w:p>
        </w:tc>
        <w:tc>
          <w:tcPr>
            <w:tcW w:w="586" w:type="dxa"/>
            <w:tcMar>
              <w:left w:w="85" w:type="dxa"/>
              <w:right w:w="85" w:type="dxa"/>
            </w:tcMar>
            <w:vAlign w:val="center"/>
          </w:tcPr>
          <w:p w:rsidR="00142F6A" w:rsidRPr="00B94B6C" w:rsidRDefault="00142F6A" w:rsidP="00D73E98">
            <w:pPr>
              <w:jc w:val="center"/>
              <w:rPr>
                <w:lang w:val="it-IT"/>
              </w:rPr>
            </w:pPr>
          </w:p>
        </w:tc>
        <w:tc>
          <w:tcPr>
            <w:tcW w:w="573" w:type="dxa"/>
            <w:tcMar>
              <w:left w:w="108" w:type="dxa"/>
            </w:tcMar>
            <w:vAlign w:val="center"/>
          </w:tcPr>
          <w:p w:rsidR="00142F6A" w:rsidRPr="00B94B6C" w:rsidRDefault="00142F6A" w:rsidP="00D73E98">
            <w:pPr>
              <w:jc w:val="center"/>
              <w:rPr>
                <w:lang w:val="it-IT"/>
              </w:rPr>
            </w:pPr>
          </w:p>
        </w:tc>
        <w:tc>
          <w:tcPr>
            <w:tcW w:w="570" w:type="dxa"/>
            <w:tcMar>
              <w:left w:w="108" w:type="dxa"/>
            </w:tcMar>
            <w:vAlign w:val="center"/>
          </w:tcPr>
          <w:p w:rsidR="00142F6A" w:rsidRPr="00B94B6C" w:rsidRDefault="00142F6A" w:rsidP="00D73E98">
            <w:pPr>
              <w:jc w:val="center"/>
              <w:rPr>
                <w:lang w:val="it-IT"/>
              </w:rPr>
            </w:pPr>
          </w:p>
        </w:tc>
      </w:tr>
      <w:tr w:rsidR="00142F6A" w:rsidRPr="00CC242B" w:rsidTr="00D73E98">
        <w:trPr>
          <w:cantSplit/>
          <w:trHeight w:val="20"/>
        </w:trPr>
        <w:tc>
          <w:tcPr>
            <w:tcW w:w="680" w:type="dxa"/>
          </w:tcPr>
          <w:p w:rsidR="00142F6A" w:rsidRPr="00EA3CC5" w:rsidRDefault="00142F6A" w:rsidP="00D73E98">
            <w:pPr>
              <w:jc w:val="center"/>
              <w:rPr>
                <w:b/>
                <w:lang w:val="it-IT"/>
              </w:rPr>
            </w:pPr>
            <w:r w:rsidRPr="00EA3CC5">
              <w:rPr>
                <w:b/>
                <w:lang w:val="it-IT"/>
              </w:rPr>
              <w:t>19)</w:t>
            </w:r>
          </w:p>
        </w:tc>
        <w:tc>
          <w:tcPr>
            <w:tcW w:w="851" w:type="dxa"/>
            <w:tcMar>
              <w:left w:w="108" w:type="dxa"/>
              <w:right w:w="0" w:type="dxa"/>
            </w:tcMar>
          </w:tcPr>
          <w:p w:rsidR="00142F6A" w:rsidRPr="008A0F36" w:rsidRDefault="00142F6A" w:rsidP="00D73E98">
            <w:pPr>
              <w:pStyle w:val="PrincCont"/>
              <w:jc w:val="left"/>
              <w:rPr>
                <w:lang w:val="it-IT"/>
              </w:rPr>
            </w:pPr>
            <w:r>
              <w:rPr>
                <w:lang w:val="it-IT"/>
              </w:rPr>
              <w:t>Art.2427</w:t>
            </w:r>
            <w:r w:rsidRPr="008516E9">
              <w:rPr>
                <w:i/>
                <w:lang w:val="it-IT"/>
              </w:rPr>
              <w:t xml:space="preserve"> </w:t>
            </w:r>
            <w:r>
              <w:rPr>
                <w:lang w:val="it-IT"/>
              </w:rPr>
              <w:t>CC  OIC 18.25</w:t>
            </w:r>
          </w:p>
        </w:tc>
        <w:tc>
          <w:tcPr>
            <w:tcW w:w="7060" w:type="dxa"/>
            <w:tcMar>
              <w:left w:w="108" w:type="dxa"/>
            </w:tcMar>
          </w:tcPr>
          <w:p w:rsidR="00142F6A" w:rsidRPr="00B94B6C" w:rsidRDefault="00142F6A" w:rsidP="00D73E98">
            <w:pPr>
              <w:spacing w:line="230" w:lineRule="exact"/>
              <w:rPr>
                <w:rFonts w:ascii="Times New Roman" w:hAnsi="Times New Roman"/>
                <w:sz w:val="22"/>
                <w:szCs w:val="22"/>
                <w:lang w:val="it-IT" w:eastAsia="it-IT"/>
              </w:rPr>
            </w:pPr>
            <w:r w:rsidRPr="008516E9">
              <w:rPr>
                <w:lang w:val="it-IT"/>
              </w:rPr>
              <w:t xml:space="preserve">Con riguardo ai </w:t>
            </w:r>
            <w:r>
              <w:rPr>
                <w:lang w:val="it-IT"/>
              </w:rPr>
              <w:t>ratei e risconti</w:t>
            </w:r>
            <w:r w:rsidRPr="008516E9">
              <w:rPr>
                <w:lang w:val="it-IT"/>
              </w:rPr>
              <w:t xml:space="preserve">, nella </w:t>
            </w:r>
            <w:r w:rsidR="00104BFF">
              <w:rPr>
                <w:lang w:val="it-IT"/>
              </w:rPr>
              <w:t>Nota Integrativa</w:t>
            </w:r>
            <w:r w:rsidRPr="008516E9">
              <w:rPr>
                <w:lang w:val="it-IT"/>
              </w:rPr>
              <w:t xml:space="preserve"> sono state fornite le seguenti informazioni</w:t>
            </w:r>
            <w:r>
              <w:rPr>
                <w:lang w:val="it-IT"/>
              </w:rPr>
              <w:t>:</w:t>
            </w:r>
            <w:r w:rsidRPr="008516E9">
              <w:rPr>
                <w:lang w:val="it-IT"/>
              </w:rPr>
              <w:t xml:space="preserve"> </w:t>
            </w:r>
          </w:p>
        </w:tc>
        <w:tc>
          <w:tcPr>
            <w:tcW w:w="586" w:type="dxa"/>
            <w:tcMar>
              <w:left w:w="85" w:type="dxa"/>
              <w:right w:w="85" w:type="dxa"/>
            </w:tcMar>
            <w:vAlign w:val="center"/>
          </w:tcPr>
          <w:p w:rsidR="00142F6A" w:rsidRPr="00FF19F7" w:rsidRDefault="00142F6A" w:rsidP="00D73E98">
            <w:pPr>
              <w:jc w:val="center"/>
              <w:rPr>
                <w:lang w:val="it-IT"/>
              </w:rPr>
            </w:pPr>
          </w:p>
        </w:tc>
        <w:tc>
          <w:tcPr>
            <w:tcW w:w="573" w:type="dxa"/>
            <w:tcMar>
              <w:left w:w="108" w:type="dxa"/>
            </w:tcMar>
            <w:vAlign w:val="center"/>
          </w:tcPr>
          <w:p w:rsidR="00142F6A" w:rsidRPr="00FF19F7" w:rsidRDefault="00142F6A" w:rsidP="00D73E98">
            <w:pPr>
              <w:jc w:val="center"/>
              <w:rPr>
                <w:lang w:val="it-IT"/>
              </w:rPr>
            </w:pPr>
          </w:p>
        </w:tc>
        <w:tc>
          <w:tcPr>
            <w:tcW w:w="570" w:type="dxa"/>
            <w:tcMar>
              <w:left w:w="108" w:type="dxa"/>
            </w:tcMar>
            <w:vAlign w:val="center"/>
          </w:tcPr>
          <w:p w:rsidR="00142F6A" w:rsidRPr="00FF19F7" w:rsidRDefault="00142F6A" w:rsidP="00D73E98">
            <w:pPr>
              <w:jc w:val="center"/>
              <w:rPr>
                <w:lang w:val="it-IT"/>
              </w:rPr>
            </w:pPr>
          </w:p>
        </w:tc>
      </w:tr>
      <w:tr w:rsidR="00142F6A" w:rsidRPr="00EA46CB" w:rsidTr="00D73E98">
        <w:trPr>
          <w:cantSplit/>
          <w:trHeight w:val="20"/>
        </w:trPr>
        <w:tc>
          <w:tcPr>
            <w:tcW w:w="680" w:type="dxa"/>
          </w:tcPr>
          <w:p w:rsidR="00142F6A" w:rsidRPr="00EA3CC5" w:rsidRDefault="00142F6A" w:rsidP="00D73E98">
            <w:pPr>
              <w:jc w:val="center"/>
              <w:rPr>
                <w:b/>
                <w:lang w:val="it-IT"/>
              </w:rPr>
            </w:pPr>
          </w:p>
        </w:tc>
        <w:tc>
          <w:tcPr>
            <w:tcW w:w="851" w:type="dxa"/>
            <w:tcMar>
              <w:left w:w="108" w:type="dxa"/>
              <w:right w:w="0" w:type="dxa"/>
            </w:tcMar>
          </w:tcPr>
          <w:p w:rsidR="00142F6A" w:rsidRPr="00C45514" w:rsidRDefault="00142F6A" w:rsidP="00D73E98">
            <w:pPr>
              <w:pStyle w:val="PrincCont"/>
              <w:jc w:val="left"/>
            </w:pPr>
            <w:r w:rsidRPr="00C45514">
              <w:t>Art.2427, c.1, n.1</w:t>
            </w:r>
            <w:r w:rsidRPr="00C45514">
              <w:rPr>
                <w:i/>
              </w:rPr>
              <w:t xml:space="preserve"> </w:t>
            </w:r>
            <w:r w:rsidRPr="00C45514">
              <w:t>CC</w:t>
            </w:r>
            <w:r>
              <w:t xml:space="preserve">       </w:t>
            </w:r>
            <w:r w:rsidRPr="00C45514">
              <w:t>OIC 18.25</w:t>
            </w:r>
          </w:p>
        </w:tc>
        <w:tc>
          <w:tcPr>
            <w:tcW w:w="7060" w:type="dxa"/>
            <w:tcMar>
              <w:left w:w="108" w:type="dxa"/>
            </w:tcMar>
          </w:tcPr>
          <w:p w:rsidR="00142F6A" w:rsidRPr="008516E9" w:rsidRDefault="00142F6A" w:rsidP="00032976">
            <w:pPr>
              <w:pStyle w:val="rientrotrattinook"/>
              <w:tabs>
                <w:tab w:val="clear" w:pos="704"/>
              </w:tabs>
              <w:ind w:left="460" w:hanging="284"/>
            </w:pPr>
            <w:r w:rsidRPr="008516E9">
              <w:t xml:space="preserve">il criterio applicato nella valutazione, nelle rettifiche di valore e nella conversione dei valori non espressi all'origine in moneta </w:t>
            </w:r>
            <w:r>
              <w:t>avente corso legale nello Stato</w:t>
            </w:r>
          </w:p>
        </w:tc>
        <w:tc>
          <w:tcPr>
            <w:tcW w:w="586" w:type="dxa"/>
            <w:tcMar>
              <w:left w:w="85" w:type="dxa"/>
              <w:right w:w="85"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142F6A" w:rsidRPr="00EA46CB" w:rsidTr="00D73E98">
        <w:trPr>
          <w:cantSplit/>
          <w:trHeight w:val="20"/>
        </w:trPr>
        <w:tc>
          <w:tcPr>
            <w:tcW w:w="680" w:type="dxa"/>
          </w:tcPr>
          <w:p w:rsidR="00142F6A" w:rsidRPr="00EA3CC5" w:rsidRDefault="00142F6A" w:rsidP="00D73E98">
            <w:pPr>
              <w:jc w:val="center"/>
              <w:rPr>
                <w:b/>
                <w:lang w:val="it-IT"/>
              </w:rPr>
            </w:pPr>
          </w:p>
        </w:tc>
        <w:tc>
          <w:tcPr>
            <w:tcW w:w="851" w:type="dxa"/>
            <w:tcMar>
              <w:left w:w="108" w:type="dxa"/>
              <w:right w:w="0" w:type="dxa"/>
            </w:tcMar>
          </w:tcPr>
          <w:p w:rsidR="00142F6A" w:rsidRPr="00C45514" w:rsidRDefault="00142F6A" w:rsidP="00D73E98">
            <w:pPr>
              <w:pStyle w:val="PrincCont"/>
              <w:jc w:val="left"/>
            </w:pPr>
            <w:r w:rsidRPr="00C45514">
              <w:t>Art.2427, c.1, n.4</w:t>
            </w:r>
            <w:r w:rsidRPr="00C45514">
              <w:rPr>
                <w:i/>
              </w:rPr>
              <w:t xml:space="preserve"> </w:t>
            </w:r>
            <w:r w:rsidRPr="00C45514">
              <w:t>CC</w:t>
            </w:r>
            <w:r>
              <w:t xml:space="preserve">       </w:t>
            </w:r>
            <w:r w:rsidRPr="00C45514">
              <w:t>OIC 18.25</w:t>
            </w:r>
          </w:p>
        </w:tc>
        <w:tc>
          <w:tcPr>
            <w:tcW w:w="7060" w:type="dxa"/>
            <w:tcMar>
              <w:left w:w="108" w:type="dxa"/>
            </w:tcMar>
          </w:tcPr>
          <w:p w:rsidR="00142F6A" w:rsidRPr="008516E9" w:rsidRDefault="00142F6A" w:rsidP="00032976">
            <w:pPr>
              <w:pStyle w:val="Puntoelenco"/>
              <w:tabs>
                <w:tab w:val="clear" w:pos="704"/>
              </w:tabs>
              <w:spacing w:line="230" w:lineRule="exact"/>
              <w:ind w:left="460" w:hanging="284"/>
            </w:pPr>
            <w:r>
              <w:t>le variazioni intervenute</w:t>
            </w:r>
            <w:r w:rsidRPr="008516E9">
              <w:t xml:space="preserve"> </w:t>
            </w:r>
            <w:r>
              <w:t>nella consistenza delle voci dell’attivo e del passivo</w:t>
            </w:r>
          </w:p>
        </w:tc>
        <w:tc>
          <w:tcPr>
            <w:tcW w:w="586" w:type="dxa"/>
            <w:tcMar>
              <w:left w:w="85" w:type="dxa"/>
              <w:right w:w="85" w:type="dxa"/>
            </w:tcMar>
            <w:vAlign w:val="center"/>
          </w:tcPr>
          <w:p w:rsidR="00142F6A" w:rsidRDefault="00142F6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142F6A" w:rsidRDefault="00142F6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142F6A" w:rsidRDefault="00142F6A"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142F6A" w:rsidRPr="00EA46CB" w:rsidTr="00D73E98">
        <w:trPr>
          <w:cantSplit/>
          <w:trHeight w:val="20"/>
        </w:trPr>
        <w:tc>
          <w:tcPr>
            <w:tcW w:w="680" w:type="dxa"/>
          </w:tcPr>
          <w:p w:rsidR="00142F6A" w:rsidRPr="00EA3CC5" w:rsidRDefault="00142F6A" w:rsidP="00D73E98">
            <w:pPr>
              <w:jc w:val="center"/>
              <w:rPr>
                <w:b/>
                <w:lang w:val="it-IT"/>
              </w:rPr>
            </w:pPr>
          </w:p>
        </w:tc>
        <w:tc>
          <w:tcPr>
            <w:tcW w:w="851" w:type="dxa"/>
            <w:tcMar>
              <w:left w:w="108" w:type="dxa"/>
              <w:right w:w="0" w:type="dxa"/>
            </w:tcMar>
          </w:tcPr>
          <w:p w:rsidR="00142F6A" w:rsidRPr="00C45514" w:rsidRDefault="00142F6A" w:rsidP="00D73E98">
            <w:pPr>
              <w:pStyle w:val="PrincCont"/>
              <w:jc w:val="left"/>
            </w:pPr>
            <w:r w:rsidRPr="00C45514">
              <w:t>Art.2427, c.1, n.7</w:t>
            </w:r>
            <w:r w:rsidRPr="00C45514">
              <w:rPr>
                <w:i/>
              </w:rPr>
              <w:t xml:space="preserve"> </w:t>
            </w:r>
            <w:r w:rsidRPr="00C45514">
              <w:t>CC</w:t>
            </w:r>
            <w:r>
              <w:t xml:space="preserve">       </w:t>
            </w:r>
            <w:r w:rsidRPr="00C45514">
              <w:t>OIC 18.25</w:t>
            </w:r>
          </w:p>
        </w:tc>
        <w:tc>
          <w:tcPr>
            <w:tcW w:w="7060" w:type="dxa"/>
            <w:tcMar>
              <w:left w:w="108" w:type="dxa"/>
            </w:tcMar>
          </w:tcPr>
          <w:p w:rsidR="00142F6A" w:rsidRPr="008516E9" w:rsidRDefault="00142F6A" w:rsidP="00032976">
            <w:pPr>
              <w:pStyle w:val="rientrotrattinook"/>
              <w:tabs>
                <w:tab w:val="clear" w:pos="704"/>
              </w:tabs>
              <w:ind w:left="460" w:hanging="284"/>
              <w:rPr>
                <w:rFonts w:ascii="Times New Roman" w:hAnsi="Times New Roman"/>
                <w:sz w:val="22"/>
                <w:szCs w:val="22"/>
                <w:lang w:eastAsia="it-IT"/>
              </w:rPr>
            </w:pPr>
            <w:r w:rsidRPr="008516E9">
              <w:t>la composizione delle voci: “</w:t>
            </w:r>
            <w:r>
              <w:t>ratei e risconti attivi</w:t>
            </w:r>
            <w:r w:rsidRPr="008516E9">
              <w:t>” e “</w:t>
            </w:r>
            <w:r>
              <w:t>ratei e risconti passivi</w:t>
            </w:r>
            <w:r w:rsidRPr="008516E9">
              <w:t>”</w:t>
            </w:r>
            <w:r>
              <w:t>?</w:t>
            </w:r>
          </w:p>
        </w:tc>
        <w:tc>
          <w:tcPr>
            <w:tcW w:w="586" w:type="dxa"/>
            <w:tcMar>
              <w:left w:w="85" w:type="dxa"/>
              <w:right w:w="85"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142F6A" w:rsidRPr="00EA46CB" w:rsidTr="00D73E98">
        <w:trPr>
          <w:cantSplit/>
          <w:trHeight w:val="20"/>
        </w:trPr>
        <w:tc>
          <w:tcPr>
            <w:tcW w:w="680" w:type="dxa"/>
          </w:tcPr>
          <w:p w:rsidR="00142F6A" w:rsidRPr="00EA3CC5" w:rsidRDefault="00142F6A" w:rsidP="00D73E98">
            <w:pPr>
              <w:jc w:val="center"/>
              <w:rPr>
                <w:b/>
                <w:lang w:val="it-IT"/>
              </w:rPr>
            </w:pPr>
            <w:r w:rsidRPr="00EA3CC5">
              <w:rPr>
                <w:b/>
                <w:lang w:val="it-IT"/>
              </w:rPr>
              <w:t>20)</w:t>
            </w:r>
          </w:p>
        </w:tc>
        <w:tc>
          <w:tcPr>
            <w:tcW w:w="851" w:type="dxa"/>
            <w:tcMar>
              <w:left w:w="108" w:type="dxa"/>
              <w:right w:w="0" w:type="dxa"/>
            </w:tcMar>
          </w:tcPr>
          <w:p w:rsidR="00142F6A" w:rsidRDefault="00142F6A" w:rsidP="00D73E98">
            <w:pPr>
              <w:pStyle w:val="PrincCont"/>
              <w:jc w:val="left"/>
              <w:rPr>
                <w:lang w:val="it-IT"/>
              </w:rPr>
            </w:pPr>
            <w:r>
              <w:rPr>
                <w:lang w:val="it-IT"/>
              </w:rPr>
              <w:t>OIC 18.25</w:t>
            </w:r>
          </w:p>
        </w:tc>
        <w:tc>
          <w:tcPr>
            <w:tcW w:w="7060" w:type="dxa"/>
            <w:tcMar>
              <w:left w:w="108" w:type="dxa"/>
            </w:tcMar>
          </w:tcPr>
          <w:p w:rsidR="00142F6A" w:rsidRPr="008516E9" w:rsidRDefault="00142F6A" w:rsidP="00032976">
            <w:pPr>
              <w:pStyle w:val="Paragrafoelenco"/>
              <w:overflowPunct/>
              <w:spacing w:before="0" w:after="0" w:line="230" w:lineRule="exact"/>
              <w:ind w:left="34"/>
              <w:textAlignment w:val="auto"/>
              <w:rPr>
                <w:lang w:val="it-IT" w:eastAsia="it-IT"/>
              </w:rPr>
            </w:pPr>
            <w:r>
              <w:rPr>
                <w:lang w:val="it-IT" w:eastAsia="it-IT"/>
              </w:rPr>
              <w:t xml:space="preserve">La </w:t>
            </w:r>
            <w:r w:rsidR="00104BFF">
              <w:rPr>
                <w:lang w:val="it-IT" w:eastAsia="it-IT"/>
              </w:rPr>
              <w:t>Nota Integrativa</w:t>
            </w:r>
            <w:r>
              <w:rPr>
                <w:lang w:val="it-IT" w:eastAsia="it-IT"/>
              </w:rPr>
              <w:t>, nell’illustrare i criteri applicati nella valutazione, fornisce evidenza dell’utilizzo del metodo del “tempo economico” per la rilevazione dei ratei e dei risconti e la motivazione della scelta effettuata?</w:t>
            </w:r>
          </w:p>
        </w:tc>
        <w:tc>
          <w:tcPr>
            <w:tcW w:w="586" w:type="dxa"/>
            <w:tcMar>
              <w:left w:w="85" w:type="dxa"/>
              <w:right w:w="85" w:type="dxa"/>
            </w:tcMar>
            <w:vAlign w:val="center"/>
          </w:tcPr>
          <w:p w:rsidR="00142F6A" w:rsidRPr="00A32A16" w:rsidRDefault="00142F6A" w:rsidP="00D73E98">
            <w:pPr>
              <w:jc w:val="center"/>
              <w:rPr>
                <w:lang w:val="it-IT"/>
              </w:rPr>
            </w:pPr>
            <w:r w:rsidRPr="0022758A">
              <w:rPr>
                <w:lang w:val="it-IT"/>
              </w:rPr>
              <w:fldChar w:fldCharType="begin">
                <w:ffData>
                  <w:name w:val="Check4"/>
                  <w:enabled/>
                  <w:calcOnExit w:val="0"/>
                  <w:checkBox>
                    <w:sizeAuto/>
                    <w:default w:val="0"/>
                  </w:checkBox>
                </w:ffData>
              </w:fldChar>
            </w:r>
            <w:r w:rsidRPr="0022758A">
              <w:rPr>
                <w:lang w:val="it-IT"/>
              </w:rPr>
              <w:instrText xml:space="preserve"> FORMCHECKBOX </w:instrText>
            </w:r>
            <w:r w:rsidR="00CA1681">
              <w:rPr>
                <w:lang w:val="it-IT"/>
              </w:rPr>
            </w:r>
            <w:r w:rsidR="00CA1681">
              <w:rPr>
                <w:lang w:val="it-IT"/>
              </w:rPr>
              <w:fldChar w:fldCharType="separate"/>
            </w:r>
            <w:r w:rsidRPr="0022758A">
              <w:rPr>
                <w:lang w:val="it-IT"/>
              </w:rPr>
              <w:fldChar w:fldCharType="end"/>
            </w:r>
          </w:p>
        </w:tc>
        <w:tc>
          <w:tcPr>
            <w:tcW w:w="573"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142F6A" w:rsidRPr="007B0D99" w:rsidTr="00D73E98">
        <w:trPr>
          <w:cantSplit/>
          <w:trHeight w:val="20"/>
        </w:trPr>
        <w:tc>
          <w:tcPr>
            <w:tcW w:w="680" w:type="dxa"/>
          </w:tcPr>
          <w:p w:rsidR="00142F6A" w:rsidRPr="00EA3CC5" w:rsidRDefault="00142F6A" w:rsidP="00D73E98">
            <w:pPr>
              <w:jc w:val="center"/>
              <w:rPr>
                <w:b/>
                <w:lang w:val="it-IT"/>
              </w:rPr>
            </w:pPr>
            <w:r w:rsidRPr="00EA3CC5">
              <w:rPr>
                <w:b/>
                <w:lang w:val="it-IT"/>
              </w:rPr>
              <w:t>21)</w:t>
            </w:r>
          </w:p>
        </w:tc>
        <w:tc>
          <w:tcPr>
            <w:tcW w:w="851" w:type="dxa"/>
            <w:tcMar>
              <w:left w:w="108" w:type="dxa"/>
              <w:right w:w="0" w:type="dxa"/>
            </w:tcMar>
          </w:tcPr>
          <w:p w:rsidR="00142F6A" w:rsidRPr="00D801FA" w:rsidRDefault="00142F6A" w:rsidP="00D73E98">
            <w:pPr>
              <w:pStyle w:val="PrincCont"/>
              <w:jc w:val="left"/>
              <w:rPr>
                <w:lang w:val="it-IT"/>
              </w:rPr>
            </w:pPr>
            <w:r w:rsidRPr="00D801FA">
              <w:rPr>
                <w:lang w:val="it-IT"/>
              </w:rPr>
              <w:t>OIC 18.2</w:t>
            </w:r>
            <w:r>
              <w:rPr>
                <w:lang w:val="it-IT"/>
              </w:rPr>
              <w:t>5</w:t>
            </w:r>
            <w:r w:rsidRPr="00D801FA">
              <w:rPr>
                <w:lang w:val="it-IT"/>
              </w:rPr>
              <w:t xml:space="preserve"> </w:t>
            </w:r>
          </w:p>
        </w:tc>
        <w:tc>
          <w:tcPr>
            <w:tcW w:w="7060" w:type="dxa"/>
            <w:tcMar>
              <w:left w:w="108" w:type="dxa"/>
            </w:tcMar>
          </w:tcPr>
          <w:p w:rsidR="00142F6A" w:rsidRPr="00D801FA" w:rsidRDefault="00142F6A" w:rsidP="00032976">
            <w:pPr>
              <w:pStyle w:val="Paragrafoelenco"/>
              <w:overflowPunct/>
              <w:spacing w:before="0" w:after="0" w:line="230" w:lineRule="exact"/>
              <w:ind w:left="34"/>
              <w:textAlignment w:val="auto"/>
              <w:rPr>
                <w:lang w:val="it-IT" w:eastAsia="it-IT"/>
              </w:rPr>
            </w:pPr>
            <w:r>
              <w:rPr>
                <w:lang w:val="it-IT" w:eastAsia="it-IT"/>
              </w:rPr>
              <w:t xml:space="preserve">Ove rilevante, la </w:t>
            </w:r>
            <w:r w:rsidR="00104BFF">
              <w:rPr>
                <w:lang w:val="it-IT" w:eastAsia="it-IT"/>
              </w:rPr>
              <w:t>Nota Integrativa</w:t>
            </w:r>
            <w:r>
              <w:rPr>
                <w:lang w:val="it-IT" w:eastAsia="it-IT"/>
              </w:rPr>
              <w:t xml:space="preserve"> indica</w:t>
            </w:r>
            <w:r w:rsidRPr="00D801FA">
              <w:rPr>
                <w:lang w:val="it-IT" w:eastAsia="it-IT"/>
              </w:rPr>
              <w:t xml:space="preserve"> la ripartizione dei ratei e dei risconti con durata entro e oltre l’esercizio successivo nonché dei ratei e dei risconti con durata oltre i cinque anni?</w:t>
            </w:r>
          </w:p>
        </w:tc>
        <w:tc>
          <w:tcPr>
            <w:tcW w:w="586" w:type="dxa"/>
            <w:tcMar>
              <w:left w:w="85" w:type="dxa"/>
              <w:right w:w="85" w:type="dxa"/>
            </w:tcMar>
            <w:vAlign w:val="center"/>
          </w:tcPr>
          <w:p w:rsidR="00142F6A" w:rsidRPr="00D801FA" w:rsidRDefault="00142F6A" w:rsidP="00D73E98">
            <w:pPr>
              <w:jc w:val="center"/>
              <w:rPr>
                <w:lang w:val="it-IT"/>
              </w:rPr>
            </w:pPr>
            <w:r w:rsidRPr="00D801FA">
              <w:rPr>
                <w:lang w:val="it-IT"/>
              </w:rPr>
              <w:fldChar w:fldCharType="begin">
                <w:ffData>
                  <w:name w:val="Check4"/>
                  <w:enabled/>
                  <w:calcOnExit w:val="0"/>
                  <w:checkBox>
                    <w:sizeAuto/>
                    <w:default w:val="0"/>
                  </w:checkBox>
                </w:ffData>
              </w:fldChar>
            </w:r>
            <w:r w:rsidRPr="00D801FA">
              <w:rPr>
                <w:lang w:val="it-IT"/>
              </w:rPr>
              <w:instrText xml:space="preserve"> FORMCHECKBOX </w:instrText>
            </w:r>
            <w:r w:rsidR="00CA1681">
              <w:rPr>
                <w:lang w:val="it-IT"/>
              </w:rPr>
            </w:r>
            <w:r w:rsidR="00CA1681">
              <w:rPr>
                <w:lang w:val="it-IT"/>
              </w:rPr>
              <w:fldChar w:fldCharType="separate"/>
            </w:r>
            <w:r w:rsidRPr="00D801FA">
              <w:rPr>
                <w:lang w:val="it-IT"/>
              </w:rPr>
              <w:fldChar w:fldCharType="end"/>
            </w:r>
          </w:p>
        </w:tc>
        <w:tc>
          <w:tcPr>
            <w:tcW w:w="573" w:type="dxa"/>
            <w:tcMar>
              <w:left w:w="108" w:type="dxa"/>
            </w:tcMar>
            <w:vAlign w:val="center"/>
          </w:tcPr>
          <w:p w:rsidR="00142F6A" w:rsidRPr="00D801FA" w:rsidRDefault="00142F6A" w:rsidP="00D73E98">
            <w:pPr>
              <w:jc w:val="center"/>
              <w:rPr>
                <w:lang w:val="it-IT"/>
              </w:rPr>
            </w:pPr>
            <w:r w:rsidRPr="00D801FA">
              <w:fldChar w:fldCharType="begin">
                <w:ffData>
                  <w:name w:val="Check4"/>
                  <w:enabled/>
                  <w:calcOnExit w:val="0"/>
                  <w:checkBox>
                    <w:sizeAuto/>
                    <w:default w:val="0"/>
                  </w:checkBox>
                </w:ffData>
              </w:fldChar>
            </w:r>
            <w:r w:rsidRPr="00D801FA">
              <w:instrText xml:space="preserve"> FORMCHECKBOX </w:instrText>
            </w:r>
            <w:r w:rsidR="00CA1681">
              <w:fldChar w:fldCharType="separate"/>
            </w:r>
            <w:r w:rsidRPr="00D801FA">
              <w:fldChar w:fldCharType="end"/>
            </w:r>
          </w:p>
        </w:tc>
        <w:tc>
          <w:tcPr>
            <w:tcW w:w="570" w:type="dxa"/>
            <w:tcMar>
              <w:left w:w="108" w:type="dxa"/>
            </w:tcMar>
            <w:vAlign w:val="center"/>
          </w:tcPr>
          <w:p w:rsidR="00142F6A" w:rsidRPr="00A32A16" w:rsidRDefault="00142F6A" w:rsidP="00D73E98">
            <w:pPr>
              <w:jc w:val="center"/>
              <w:rPr>
                <w:lang w:val="it-IT"/>
              </w:rPr>
            </w:pPr>
            <w:r w:rsidRPr="00D801FA">
              <w:fldChar w:fldCharType="begin">
                <w:ffData>
                  <w:name w:val="Check4"/>
                  <w:enabled/>
                  <w:calcOnExit w:val="0"/>
                  <w:checkBox>
                    <w:sizeAuto/>
                    <w:default w:val="0"/>
                  </w:checkBox>
                </w:ffData>
              </w:fldChar>
            </w:r>
            <w:r w:rsidRPr="00D801FA">
              <w:instrText xml:space="preserve"> FORMCHECKBOX </w:instrText>
            </w:r>
            <w:r w:rsidR="00CA1681">
              <w:fldChar w:fldCharType="separate"/>
            </w:r>
            <w:r w:rsidRPr="00D801FA">
              <w:fldChar w:fldCharType="end"/>
            </w:r>
          </w:p>
        </w:tc>
      </w:tr>
      <w:tr w:rsidR="00142F6A" w:rsidRPr="00CC242B" w:rsidTr="00D73E98">
        <w:trPr>
          <w:cantSplit/>
          <w:trHeight w:val="20"/>
        </w:trPr>
        <w:tc>
          <w:tcPr>
            <w:tcW w:w="680" w:type="dxa"/>
          </w:tcPr>
          <w:p w:rsidR="00142F6A"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p>
        </w:tc>
        <w:tc>
          <w:tcPr>
            <w:tcW w:w="7060" w:type="dxa"/>
            <w:tcMar>
              <w:left w:w="108" w:type="dxa"/>
            </w:tcMar>
          </w:tcPr>
          <w:p w:rsidR="00142F6A" w:rsidRPr="00142F6A" w:rsidRDefault="00142F6A" w:rsidP="00D73E98">
            <w:pPr>
              <w:pStyle w:val="Titolo3"/>
              <w:rPr>
                <w:lang w:val="it-IT" w:eastAsia="it-IT"/>
              </w:rPr>
            </w:pPr>
            <w:r w:rsidRPr="00142F6A">
              <w:rPr>
                <w:lang w:val="it-IT"/>
              </w:rPr>
              <w:t>Informazioni relative alle società che redigono il bilancio in forma abbreviata</w:t>
            </w:r>
          </w:p>
        </w:tc>
        <w:tc>
          <w:tcPr>
            <w:tcW w:w="586" w:type="dxa"/>
            <w:tcMar>
              <w:left w:w="85" w:type="dxa"/>
              <w:right w:w="85" w:type="dxa"/>
            </w:tcMar>
            <w:vAlign w:val="center"/>
          </w:tcPr>
          <w:p w:rsidR="00142F6A" w:rsidRPr="00AB1B8F" w:rsidRDefault="00142F6A" w:rsidP="00D73E98">
            <w:pPr>
              <w:jc w:val="center"/>
              <w:rPr>
                <w:lang w:val="it-IT"/>
              </w:rPr>
            </w:pPr>
          </w:p>
        </w:tc>
        <w:tc>
          <w:tcPr>
            <w:tcW w:w="573" w:type="dxa"/>
            <w:tcMar>
              <w:left w:w="108" w:type="dxa"/>
            </w:tcMar>
            <w:vAlign w:val="center"/>
          </w:tcPr>
          <w:p w:rsidR="00142F6A" w:rsidRPr="00AB1B8F" w:rsidRDefault="00142F6A" w:rsidP="00D73E98">
            <w:pPr>
              <w:jc w:val="center"/>
              <w:rPr>
                <w:lang w:val="it-IT"/>
              </w:rPr>
            </w:pPr>
          </w:p>
        </w:tc>
        <w:tc>
          <w:tcPr>
            <w:tcW w:w="570" w:type="dxa"/>
            <w:tcMar>
              <w:left w:w="108" w:type="dxa"/>
            </w:tcMar>
            <w:vAlign w:val="center"/>
          </w:tcPr>
          <w:p w:rsidR="00142F6A" w:rsidRPr="00AB1B8F" w:rsidRDefault="00142F6A" w:rsidP="00D73E98">
            <w:pPr>
              <w:jc w:val="center"/>
              <w:rPr>
                <w:lang w:val="it-IT"/>
              </w:rPr>
            </w:pPr>
          </w:p>
        </w:tc>
      </w:tr>
      <w:tr w:rsidR="00142F6A" w:rsidRPr="0054599B" w:rsidTr="00D73E98">
        <w:trPr>
          <w:cantSplit/>
          <w:trHeight w:val="20"/>
        </w:trPr>
        <w:tc>
          <w:tcPr>
            <w:tcW w:w="680" w:type="dxa"/>
          </w:tcPr>
          <w:p w:rsidR="00142F6A" w:rsidRPr="00F85E21" w:rsidRDefault="00142F6A" w:rsidP="00D73E98">
            <w:pPr>
              <w:jc w:val="center"/>
              <w:rPr>
                <w:b/>
                <w:lang w:val="it-IT"/>
              </w:rPr>
            </w:pPr>
            <w:r w:rsidRPr="00F85E21">
              <w:rPr>
                <w:b/>
                <w:lang w:val="it-IT"/>
              </w:rPr>
              <w:t>22)</w:t>
            </w:r>
          </w:p>
        </w:tc>
        <w:tc>
          <w:tcPr>
            <w:tcW w:w="851" w:type="dxa"/>
            <w:tcMar>
              <w:left w:w="108" w:type="dxa"/>
              <w:right w:w="0" w:type="dxa"/>
            </w:tcMar>
          </w:tcPr>
          <w:p w:rsidR="00142F6A" w:rsidRDefault="00142F6A" w:rsidP="00D73E98">
            <w:pPr>
              <w:pStyle w:val="PrincCont"/>
              <w:jc w:val="left"/>
              <w:rPr>
                <w:lang w:val="it-IT"/>
              </w:rPr>
            </w:pPr>
            <w:r>
              <w:rPr>
                <w:lang w:val="it-IT"/>
              </w:rPr>
              <w:t>OIC 18.27</w:t>
            </w:r>
          </w:p>
        </w:tc>
        <w:tc>
          <w:tcPr>
            <w:tcW w:w="7060" w:type="dxa"/>
            <w:tcMar>
              <w:left w:w="108" w:type="dxa"/>
            </w:tcMar>
          </w:tcPr>
          <w:p w:rsidR="00142F6A" w:rsidRPr="008516E9" w:rsidRDefault="00142F6A" w:rsidP="00D73E98">
            <w:pPr>
              <w:pStyle w:val="Puntoelenco"/>
              <w:numPr>
                <w:ilvl w:val="0"/>
                <w:numId w:val="0"/>
              </w:numPr>
              <w:spacing w:line="230" w:lineRule="exact"/>
            </w:pPr>
            <w:r>
              <w:rPr>
                <w:lang w:eastAsia="it-IT"/>
              </w:rPr>
              <w:t>Per le società che redigono il bilancio in forma abbreviata sono state fornite le informazioni di cui all’art. 2427, comma 1, numero 1, CC?</w:t>
            </w:r>
          </w:p>
        </w:tc>
        <w:tc>
          <w:tcPr>
            <w:tcW w:w="586" w:type="dxa"/>
            <w:tcMar>
              <w:left w:w="85" w:type="dxa"/>
              <w:right w:w="85" w:type="dxa"/>
            </w:tcMar>
            <w:vAlign w:val="center"/>
          </w:tcPr>
          <w:p w:rsidR="00142F6A" w:rsidRPr="0054599B"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142F6A" w:rsidRPr="0054599B"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142F6A" w:rsidRPr="0054599B"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bl>
    <w:p w:rsidR="00142F6A" w:rsidRPr="00181FF6" w:rsidRDefault="00142F6A" w:rsidP="00142F6A">
      <w:pPr>
        <w:rPr>
          <w:lang w:val="it-IT"/>
        </w:rPr>
      </w:pPr>
    </w:p>
    <w:p w:rsidR="00142F6A" w:rsidRDefault="00142F6A" w:rsidP="00A43012">
      <w:pPr>
        <w:rPr>
          <w:lang w:val="it-IT"/>
        </w:rPr>
        <w:sectPr w:rsidR="00142F6A" w:rsidSect="008E5F3E">
          <w:headerReference w:type="default" r:id="rId41"/>
          <w:footerReference w:type="default" r:id="rId42"/>
          <w:pgSz w:w="11906" w:h="16838" w:code="9"/>
          <w:pgMar w:top="1134" w:right="851" w:bottom="851" w:left="851" w:header="709" w:footer="567" w:gutter="0"/>
          <w:cols w:space="708"/>
          <w:docGrid w:linePitch="360"/>
        </w:sectPr>
      </w:pPr>
    </w:p>
    <w:p w:rsidR="00C406E6" w:rsidRDefault="00C406E6" w:rsidP="00C406E6"/>
    <w:p w:rsidR="00C406E6" w:rsidRPr="00A542EC" w:rsidRDefault="00C406E6" w:rsidP="00C406E6">
      <w:pPr>
        <w:tabs>
          <w:tab w:val="left" w:pos="1890"/>
        </w:tabs>
        <w:spacing w:line="260" w:lineRule="exact"/>
        <w:ind w:left="990" w:hanging="990"/>
        <w:jc w:val="left"/>
        <w:rPr>
          <w:b/>
          <w:color w:val="0070C0"/>
        </w:rPr>
      </w:pPr>
      <w:r w:rsidRPr="00A542EC">
        <w:rPr>
          <w:b/>
          <w:color w:val="0070C0"/>
          <w:sz w:val="28"/>
        </w:rPr>
        <w:t>Disponibilità liquide</w:t>
      </w:r>
    </w:p>
    <w:p w:rsidR="00C406E6" w:rsidRDefault="00C406E6" w:rsidP="00C406E6"/>
    <w:p w:rsidR="00C406E6" w:rsidRDefault="00C406E6" w:rsidP="00C406E6"/>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C406E6" w:rsidRPr="008A0F36" w:rsidTr="00D73E98">
        <w:trPr>
          <w:cantSplit/>
          <w:trHeight w:val="20"/>
          <w:tblHeader/>
        </w:trPr>
        <w:tc>
          <w:tcPr>
            <w:tcW w:w="680" w:type="dxa"/>
            <w:shd w:val="clear" w:color="auto" w:fill="F2F2F2" w:themeFill="background1" w:themeFillShade="F2"/>
          </w:tcPr>
          <w:p w:rsidR="00C406E6" w:rsidRPr="008A0F36" w:rsidRDefault="00C406E6" w:rsidP="00D73E98">
            <w:pPr>
              <w:jc w:val="center"/>
              <w:rPr>
                <w:lang w:val="it-IT"/>
              </w:rPr>
            </w:pPr>
          </w:p>
        </w:tc>
        <w:tc>
          <w:tcPr>
            <w:tcW w:w="851" w:type="dxa"/>
            <w:shd w:val="clear" w:color="auto" w:fill="F2F2F2" w:themeFill="background1" w:themeFillShade="F2"/>
            <w:tcMar>
              <w:left w:w="108" w:type="dxa"/>
              <w:right w:w="0" w:type="dxa"/>
            </w:tcMar>
          </w:tcPr>
          <w:p w:rsidR="00C406E6" w:rsidRPr="008A0F36" w:rsidRDefault="00C406E6" w:rsidP="00D73E98">
            <w:pPr>
              <w:jc w:val="left"/>
              <w:rPr>
                <w:b/>
                <w:lang w:val="it-IT"/>
              </w:rPr>
            </w:pPr>
          </w:p>
        </w:tc>
        <w:tc>
          <w:tcPr>
            <w:tcW w:w="7060" w:type="dxa"/>
            <w:shd w:val="clear" w:color="auto" w:fill="F2F2F2" w:themeFill="background1" w:themeFillShade="F2"/>
            <w:tcMar>
              <w:left w:w="108" w:type="dxa"/>
            </w:tcMar>
          </w:tcPr>
          <w:p w:rsidR="00C406E6" w:rsidRPr="008A0F36" w:rsidRDefault="00C406E6" w:rsidP="00D73E98">
            <w:pPr>
              <w:jc w:val="center"/>
              <w:rPr>
                <w:b/>
                <w:lang w:val="it-IT"/>
              </w:rPr>
            </w:pPr>
          </w:p>
        </w:tc>
        <w:tc>
          <w:tcPr>
            <w:tcW w:w="586" w:type="dxa"/>
            <w:shd w:val="clear" w:color="auto" w:fill="F2F2F2" w:themeFill="background1" w:themeFillShade="F2"/>
            <w:tcMar>
              <w:left w:w="85" w:type="dxa"/>
              <w:right w:w="85" w:type="dxa"/>
            </w:tcMar>
            <w:vAlign w:val="bottom"/>
          </w:tcPr>
          <w:p w:rsidR="00C406E6" w:rsidRPr="008A0F36" w:rsidRDefault="00C406E6" w:rsidP="00D73E98">
            <w:pPr>
              <w:jc w:val="center"/>
              <w:rPr>
                <w:b/>
                <w:lang w:val="it-IT"/>
              </w:rPr>
            </w:pPr>
            <w:r w:rsidRPr="008A0F36">
              <w:rPr>
                <w:b/>
                <w:lang w:val="it-IT"/>
              </w:rPr>
              <w:t>SI</w:t>
            </w:r>
          </w:p>
        </w:tc>
        <w:tc>
          <w:tcPr>
            <w:tcW w:w="573" w:type="dxa"/>
            <w:shd w:val="clear" w:color="auto" w:fill="F2F2F2" w:themeFill="background1" w:themeFillShade="F2"/>
            <w:tcMar>
              <w:left w:w="108" w:type="dxa"/>
            </w:tcMar>
            <w:vAlign w:val="bottom"/>
          </w:tcPr>
          <w:p w:rsidR="00C406E6" w:rsidRPr="008A0F36" w:rsidRDefault="00C406E6" w:rsidP="00D73E98">
            <w:pPr>
              <w:jc w:val="center"/>
              <w:rPr>
                <w:b/>
                <w:lang w:val="it-IT"/>
              </w:rPr>
            </w:pPr>
            <w:r w:rsidRPr="008A0F36">
              <w:rPr>
                <w:b/>
                <w:lang w:val="it-IT"/>
              </w:rPr>
              <w:t>NO</w:t>
            </w:r>
          </w:p>
        </w:tc>
        <w:tc>
          <w:tcPr>
            <w:tcW w:w="570" w:type="dxa"/>
            <w:shd w:val="clear" w:color="auto" w:fill="F2F2F2" w:themeFill="background1" w:themeFillShade="F2"/>
            <w:tcMar>
              <w:left w:w="108" w:type="dxa"/>
            </w:tcMar>
            <w:vAlign w:val="bottom"/>
          </w:tcPr>
          <w:p w:rsidR="00C406E6" w:rsidRPr="008A0F36" w:rsidRDefault="00C406E6" w:rsidP="00D73E98">
            <w:pPr>
              <w:jc w:val="center"/>
              <w:rPr>
                <w:b/>
                <w:lang w:val="it-IT"/>
              </w:rPr>
            </w:pPr>
            <w:r w:rsidRPr="008A0F36">
              <w:rPr>
                <w:b/>
                <w:lang w:val="it-IT"/>
              </w:rPr>
              <w:t>N/A</w:t>
            </w:r>
          </w:p>
        </w:tc>
      </w:tr>
      <w:tr w:rsidR="00C406E6" w:rsidRPr="008A0F36" w:rsidTr="00D73E98">
        <w:trPr>
          <w:cantSplit/>
          <w:trHeight w:val="20"/>
        </w:trPr>
        <w:tc>
          <w:tcPr>
            <w:tcW w:w="680" w:type="dxa"/>
            <w:vAlign w:val="center"/>
          </w:tcPr>
          <w:p w:rsidR="00C406E6" w:rsidRPr="008A0F36" w:rsidRDefault="00C406E6" w:rsidP="00D73E98">
            <w:pPr>
              <w:overflowPunct/>
              <w:autoSpaceDE/>
              <w:autoSpaceDN/>
              <w:adjustRightInd/>
              <w:spacing w:before="0" w:after="0" w:line="240" w:lineRule="auto"/>
              <w:jc w:val="left"/>
              <w:textAlignment w:val="auto"/>
              <w:rPr>
                <w:lang w:val="it-IT"/>
              </w:rPr>
            </w:pPr>
          </w:p>
        </w:tc>
        <w:tc>
          <w:tcPr>
            <w:tcW w:w="851" w:type="dxa"/>
            <w:tcMar>
              <w:left w:w="108" w:type="dxa"/>
              <w:right w:w="0" w:type="dxa"/>
            </w:tcMar>
            <w:vAlign w:val="center"/>
          </w:tcPr>
          <w:p w:rsidR="00C406E6" w:rsidRPr="008A0F36" w:rsidRDefault="00C406E6" w:rsidP="00D73E98">
            <w:pPr>
              <w:pStyle w:val="PrincCont"/>
              <w:jc w:val="left"/>
              <w:rPr>
                <w:lang w:val="it-IT"/>
              </w:rPr>
            </w:pPr>
          </w:p>
        </w:tc>
        <w:tc>
          <w:tcPr>
            <w:tcW w:w="7060" w:type="dxa"/>
            <w:tcMar>
              <w:left w:w="108" w:type="dxa"/>
            </w:tcMar>
            <w:vAlign w:val="center"/>
          </w:tcPr>
          <w:p w:rsidR="00C406E6" w:rsidRPr="008A0F36" w:rsidRDefault="00C406E6" w:rsidP="00D73E98">
            <w:pPr>
              <w:pStyle w:val="Titolo1"/>
            </w:pPr>
            <w:r>
              <w:t>DISPONIBILITà LIQUIDE</w:t>
            </w:r>
          </w:p>
        </w:tc>
        <w:tc>
          <w:tcPr>
            <w:tcW w:w="586" w:type="dxa"/>
            <w:tcMar>
              <w:left w:w="85" w:type="dxa"/>
              <w:right w:w="85" w:type="dxa"/>
            </w:tcMar>
            <w:vAlign w:val="center"/>
          </w:tcPr>
          <w:p w:rsidR="00C406E6" w:rsidRPr="008A0F36" w:rsidRDefault="00C406E6" w:rsidP="00D73E98">
            <w:pPr>
              <w:jc w:val="left"/>
              <w:rPr>
                <w:lang w:val="it-IT"/>
              </w:rPr>
            </w:pPr>
          </w:p>
        </w:tc>
        <w:tc>
          <w:tcPr>
            <w:tcW w:w="573" w:type="dxa"/>
            <w:tcMar>
              <w:left w:w="108" w:type="dxa"/>
            </w:tcMar>
            <w:vAlign w:val="center"/>
          </w:tcPr>
          <w:p w:rsidR="00C406E6" w:rsidRPr="008A0F36" w:rsidRDefault="00C406E6" w:rsidP="00D73E98">
            <w:pPr>
              <w:jc w:val="left"/>
              <w:rPr>
                <w:lang w:val="it-IT"/>
              </w:rPr>
            </w:pPr>
          </w:p>
        </w:tc>
        <w:tc>
          <w:tcPr>
            <w:tcW w:w="570" w:type="dxa"/>
            <w:tcMar>
              <w:left w:w="108" w:type="dxa"/>
            </w:tcMar>
            <w:vAlign w:val="center"/>
          </w:tcPr>
          <w:p w:rsidR="00C406E6" w:rsidRPr="008A0F36" w:rsidRDefault="00C406E6" w:rsidP="00D73E98">
            <w:pPr>
              <w:jc w:val="left"/>
              <w:rPr>
                <w:lang w:val="it-IT"/>
              </w:rPr>
            </w:pPr>
          </w:p>
        </w:tc>
      </w:tr>
      <w:tr w:rsidR="00C406E6" w:rsidRPr="00CC242B" w:rsidTr="00D73E98">
        <w:trPr>
          <w:cantSplit/>
          <w:trHeight w:val="340"/>
        </w:trPr>
        <w:tc>
          <w:tcPr>
            <w:tcW w:w="680" w:type="dxa"/>
          </w:tcPr>
          <w:p w:rsidR="00C406E6" w:rsidRPr="008A0F36" w:rsidRDefault="00C406E6" w:rsidP="00D73E98">
            <w:pPr>
              <w:jc w:val="center"/>
              <w:rPr>
                <w:lang w:val="it-IT"/>
              </w:rPr>
            </w:pPr>
          </w:p>
        </w:tc>
        <w:tc>
          <w:tcPr>
            <w:tcW w:w="851" w:type="dxa"/>
            <w:tcMar>
              <w:left w:w="108" w:type="dxa"/>
              <w:right w:w="0" w:type="dxa"/>
            </w:tcMar>
          </w:tcPr>
          <w:p w:rsidR="00C406E6" w:rsidRPr="008A0F36" w:rsidRDefault="00C406E6" w:rsidP="00D73E98">
            <w:pPr>
              <w:pStyle w:val="PrincCont"/>
              <w:jc w:val="left"/>
              <w:rPr>
                <w:lang w:val="it-IT"/>
              </w:rPr>
            </w:pPr>
            <w:r>
              <w:rPr>
                <w:lang w:val="it-IT"/>
              </w:rPr>
              <w:t>OIC 14.4</w:t>
            </w:r>
          </w:p>
        </w:tc>
        <w:tc>
          <w:tcPr>
            <w:tcW w:w="7060" w:type="dxa"/>
            <w:tcMar>
              <w:left w:w="108" w:type="dxa"/>
            </w:tcMar>
          </w:tcPr>
          <w:p w:rsidR="00C406E6" w:rsidRPr="00492518" w:rsidRDefault="00C406E6" w:rsidP="00D73E98">
            <w:pPr>
              <w:pStyle w:val="Commentiriquadro"/>
              <w:rPr>
                <w:lang w:eastAsia="it-IT"/>
              </w:rPr>
            </w:pPr>
            <w:r>
              <w:rPr>
                <w:lang w:eastAsia="it-IT"/>
              </w:rPr>
              <w:t>Le disponibilità liquide sono rappresentate da depositi bancari e postali, assegni, denaro e valori in cassa e possono comprendere moneta, assegni e depositi bancari e postali espressi in valuta.</w:t>
            </w:r>
          </w:p>
        </w:tc>
        <w:tc>
          <w:tcPr>
            <w:tcW w:w="586" w:type="dxa"/>
            <w:tcMar>
              <w:left w:w="85" w:type="dxa"/>
              <w:right w:w="85" w:type="dxa"/>
            </w:tcMar>
            <w:vAlign w:val="center"/>
          </w:tcPr>
          <w:p w:rsidR="00C406E6" w:rsidRPr="00FF19F7" w:rsidRDefault="00C406E6" w:rsidP="00D73E98">
            <w:pPr>
              <w:jc w:val="center"/>
              <w:rPr>
                <w:lang w:val="it-IT"/>
              </w:rPr>
            </w:pPr>
          </w:p>
        </w:tc>
        <w:tc>
          <w:tcPr>
            <w:tcW w:w="573" w:type="dxa"/>
            <w:tcMar>
              <w:left w:w="108" w:type="dxa"/>
            </w:tcMar>
            <w:vAlign w:val="center"/>
          </w:tcPr>
          <w:p w:rsidR="00C406E6" w:rsidRPr="00FF19F7" w:rsidRDefault="00C406E6" w:rsidP="00D73E98">
            <w:pPr>
              <w:jc w:val="center"/>
              <w:rPr>
                <w:lang w:val="it-IT"/>
              </w:rPr>
            </w:pPr>
          </w:p>
        </w:tc>
        <w:tc>
          <w:tcPr>
            <w:tcW w:w="570" w:type="dxa"/>
            <w:tcMar>
              <w:left w:w="108" w:type="dxa"/>
            </w:tcMar>
            <w:vAlign w:val="center"/>
          </w:tcPr>
          <w:p w:rsidR="00C406E6" w:rsidRPr="00FF19F7" w:rsidRDefault="00C406E6" w:rsidP="00D73E98">
            <w:pPr>
              <w:jc w:val="center"/>
              <w:rPr>
                <w:lang w:val="it-IT"/>
              </w:rPr>
            </w:pPr>
          </w:p>
        </w:tc>
      </w:tr>
      <w:tr w:rsidR="00C406E6" w:rsidRPr="00CC242B" w:rsidTr="00D73E98">
        <w:trPr>
          <w:cantSplit/>
          <w:trHeight w:val="340"/>
        </w:trPr>
        <w:tc>
          <w:tcPr>
            <w:tcW w:w="680" w:type="dxa"/>
          </w:tcPr>
          <w:p w:rsidR="00C406E6" w:rsidRPr="008A0F36" w:rsidRDefault="00C406E6" w:rsidP="00D73E98">
            <w:pPr>
              <w:jc w:val="center"/>
              <w:rPr>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vAlign w:val="center"/>
          </w:tcPr>
          <w:p w:rsidR="00C406E6" w:rsidRPr="00BD1D5C" w:rsidRDefault="00C406E6" w:rsidP="00D73E98">
            <w:pPr>
              <w:pStyle w:val="Titolo2"/>
              <w:rPr>
                <w:lang w:val="it-IT"/>
              </w:rPr>
            </w:pPr>
            <w:r w:rsidRPr="00BD1D5C">
              <w:rPr>
                <w:lang w:val="it-IT"/>
              </w:rPr>
              <w:t>Classificazione e contenuto delle voci</w:t>
            </w:r>
          </w:p>
        </w:tc>
        <w:tc>
          <w:tcPr>
            <w:tcW w:w="586" w:type="dxa"/>
            <w:tcMar>
              <w:left w:w="85" w:type="dxa"/>
              <w:right w:w="85" w:type="dxa"/>
            </w:tcMar>
            <w:vAlign w:val="center"/>
          </w:tcPr>
          <w:p w:rsidR="00C406E6" w:rsidRPr="00FF19F7" w:rsidRDefault="00C406E6" w:rsidP="00D73E98">
            <w:pPr>
              <w:jc w:val="center"/>
              <w:rPr>
                <w:lang w:val="it-IT"/>
              </w:rPr>
            </w:pPr>
          </w:p>
        </w:tc>
        <w:tc>
          <w:tcPr>
            <w:tcW w:w="573" w:type="dxa"/>
            <w:tcMar>
              <w:left w:w="108" w:type="dxa"/>
            </w:tcMar>
            <w:vAlign w:val="center"/>
          </w:tcPr>
          <w:p w:rsidR="00C406E6" w:rsidRPr="00FF19F7" w:rsidRDefault="00C406E6" w:rsidP="00D73E98">
            <w:pPr>
              <w:jc w:val="center"/>
              <w:rPr>
                <w:lang w:val="it-IT"/>
              </w:rPr>
            </w:pPr>
          </w:p>
        </w:tc>
        <w:tc>
          <w:tcPr>
            <w:tcW w:w="570" w:type="dxa"/>
            <w:tcMar>
              <w:left w:w="108" w:type="dxa"/>
            </w:tcMar>
            <w:vAlign w:val="center"/>
          </w:tcPr>
          <w:p w:rsidR="00C406E6" w:rsidRPr="00FF19F7" w:rsidRDefault="00C406E6" w:rsidP="00D73E98">
            <w:pPr>
              <w:jc w:val="center"/>
              <w:rPr>
                <w:lang w:val="it-IT"/>
              </w:rPr>
            </w:pPr>
          </w:p>
        </w:tc>
      </w:tr>
      <w:tr w:rsidR="00C406E6" w:rsidRPr="0065332E" w:rsidTr="00D73E98">
        <w:trPr>
          <w:cantSplit/>
          <w:trHeight w:val="299"/>
        </w:trPr>
        <w:tc>
          <w:tcPr>
            <w:tcW w:w="680" w:type="dxa"/>
          </w:tcPr>
          <w:p w:rsidR="00C406E6" w:rsidRPr="008A0F36" w:rsidRDefault="00C406E6" w:rsidP="00D73E98">
            <w:pPr>
              <w:jc w:val="center"/>
              <w:rPr>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vAlign w:val="center"/>
          </w:tcPr>
          <w:p w:rsidR="00C406E6" w:rsidRPr="002A7AA3" w:rsidRDefault="00C406E6" w:rsidP="00D73E98">
            <w:pPr>
              <w:pStyle w:val="Titolo3"/>
              <w:jc w:val="left"/>
              <w:rPr>
                <w:highlight w:val="yellow"/>
                <w:lang w:val="it-IT"/>
              </w:rPr>
            </w:pPr>
            <w:r w:rsidRPr="002A7AA3">
              <w:rPr>
                <w:lang w:val="it-IT"/>
              </w:rPr>
              <w:t>Stato patrimoniale</w:t>
            </w:r>
          </w:p>
        </w:tc>
        <w:tc>
          <w:tcPr>
            <w:tcW w:w="586" w:type="dxa"/>
            <w:tcMar>
              <w:left w:w="85" w:type="dxa"/>
              <w:right w:w="85" w:type="dxa"/>
            </w:tcMar>
            <w:vAlign w:val="center"/>
          </w:tcPr>
          <w:p w:rsidR="00C406E6" w:rsidRPr="00FF19F7" w:rsidRDefault="00C406E6" w:rsidP="00D73E98">
            <w:pPr>
              <w:jc w:val="center"/>
              <w:rPr>
                <w:lang w:val="it-IT"/>
              </w:rPr>
            </w:pPr>
          </w:p>
        </w:tc>
        <w:tc>
          <w:tcPr>
            <w:tcW w:w="573" w:type="dxa"/>
            <w:tcMar>
              <w:left w:w="108" w:type="dxa"/>
            </w:tcMar>
            <w:vAlign w:val="center"/>
          </w:tcPr>
          <w:p w:rsidR="00C406E6" w:rsidRPr="00FF19F7" w:rsidRDefault="00C406E6" w:rsidP="00D73E98">
            <w:pPr>
              <w:jc w:val="center"/>
              <w:rPr>
                <w:lang w:val="it-IT"/>
              </w:rPr>
            </w:pPr>
          </w:p>
        </w:tc>
        <w:tc>
          <w:tcPr>
            <w:tcW w:w="570" w:type="dxa"/>
            <w:tcMar>
              <w:left w:w="108" w:type="dxa"/>
            </w:tcMar>
            <w:vAlign w:val="center"/>
          </w:tcPr>
          <w:p w:rsidR="00C406E6" w:rsidRPr="00FF19F7" w:rsidRDefault="00C406E6" w:rsidP="00D73E98">
            <w:pPr>
              <w:jc w:val="center"/>
              <w:rPr>
                <w:lang w:val="it-IT"/>
              </w:rPr>
            </w:pPr>
          </w:p>
        </w:tc>
      </w:tr>
      <w:tr w:rsidR="00C406E6" w:rsidRPr="00CC242B" w:rsidTr="00D73E98">
        <w:trPr>
          <w:cantSplit/>
          <w:trHeight w:val="20"/>
        </w:trPr>
        <w:tc>
          <w:tcPr>
            <w:tcW w:w="680" w:type="dxa"/>
          </w:tcPr>
          <w:p w:rsidR="00C406E6" w:rsidRPr="00A542EC" w:rsidRDefault="00C406E6" w:rsidP="00D73E98">
            <w:pPr>
              <w:jc w:val="center"/>
              <w:rPr>
                <w:b/>
                <w:lang w:val="it-IT"/>
              </w:rPr>
            </w:pPr>
            <w:r w:rsidRPr="00A542EC">
              <w:rPr>
                <w:b/>
                <w:lang w:val="it-IT"/>
              </w:rPr>
              <w:t>1)</w:t>
            </w:r>
          </w:p>
        </w:tc>
        <w:tc>
          <w:tcPr>
            <w:tcW w:w="851" w:type="dxa"/>
            <w:tcMar>
              <w:left w:w="108" w:type="dxa"/>
              <w:right w:w="0" w:type="dxa"/>
            </w:tcMar>
          </w:tcPr>
          <w:p w:rsidR="00C406E6" w:rsidRPr="008A0F36" w:rsidRDefault="00C406E6" w:rsidP="00D73E98">
            <w:pPr>
              <w:pStyle w:val="PrincCont"/>
              <w:jc w:val="left"/>
              <w:rPr>
                <w:lang w:val="it-IT"/>
              </w:rPr>
            </w:pPr>
            <w:r>
              <w:rPr>
                <w:lang w:val="it-IT"/>
              </w:rPr>
              <w:t>Art. 2424 CC OIC 14.8</w:t>
            </w:r>
          </w:p>
        </w:tc>
        <w:tc>
          <w:tcPr>
            <w:tcW w:w="7060" w:type="dxa"/>
            <w:tcMar>
              <w:left w:w="108" w:type="dxa"/>
            </w:tcMar>
          </w:tcPr>
          <w:p w:rsidR="00C406E6" w:rsidRPr="002A7AA3" w:rsidRDefault="00C406E6" w:rsidP="00D73E98">
            <w:pPr>
              <w:spacing w:line="230" w:lineRule="exact"/>
              <w:rPr>
                <w:lang w:val="it-IT"/>
              </w:rPr>
            </w:pPr>
            <w:r w:rsidRPr="002A7AA3">
              <w:rPr>
                <w:lang w:val="it-IT"/>
              </w:rPr>
              <w:t>Le disponibilità liquide sono iscritte nell’attivo circolante e sono state classificate nelle seguenti voci: C IV – Disponibilità liquide:</w:t>
            </w:r>
          </w:p>
        </w:tc>
        <w:tc>
          <w:tcPr>
            <w:tcW w:w="586" w:type="dxa"/>
            <w:tcMar>
              <w:left w:w="85" w:type="dxa"/>
              <w:right w:w="85" w:type="dxa"/>
            </w:tcMar>
            <w:vAlign w:val="center"/>
          </w:tcPr>
          <w:p w:rsidR="00C406E6" w:rsidRPr="00A32A16" w:rsidRDefault="00C406E6" w:rsidP="00D73E98">
            <w:pPr>
              <w:jc w:val="center"/>
              <w:rPr>
                <w:lang w:val="it-IT"/>
              </w:rPr>
            </w:pPr>
          </w:p>
        </w:tc>
        <w:tc>
          <w:tcPr>
            <w:tcW w:w="573" w:type="dxa"/>
            <w:tcMar>
              <w:left w:w="108" w:type="dxa"/>
            </w:tcMar>
            <w:vAlign w:val="center"/>
          </w:tcPr>
          <w:p w:rsidR="00C406E6" w:rsidRPr="00A32A16" w:rsidRDefault="00C406E6" w:rsidP="00D73E98">
            <w:pPr>
              <w:jc w:val="center"/>
              <w:rPr>
                <w:lang w:val="it-IT"/>
              </w:rPr>
            </w:pPr>
          </w:p>
        </w:tc>
        <w:tc>
          <w:tcPr>
            <w:tcW w:w="570" w:type="dxa"/>
            <w:tcMar>
              <w:left w:w="108" w:type="dxa"/>
            </w:tcMar>
            <w:vAlign w:val="center"/>
          </w:tcPr>
          <w:p w:rsidR="00C406E6" w:rsidRPr="00A32A16" w:rsidRDefault="00C406E6" w:rsidP="00D73E98">
            <w:pPr>
              <w:jc w:val="center"/>
              <w:rPr>
                <w:lang w:val="it-IT"/>
              </w:rPr>
            </w:pPr>
          </w:p>
        </w:tc>
      </w:tr>
      <w:tr w:rsidR="00C406E6" w:rsidRPr="00BD07F7" w:rsidTr="00D73E98">
        <w:trPr>
          <w:cantSplit/>
          <w:trHeight w:val="20"/>
        </w:trPr>
        <w:tc>
          <w:tcPr>
            <w:tcW w:w="680" w:type="dxa"/>
          </w:tcPr>
          <w:p w:rsidR="00C406E6" w:rsidRPr="00A542EC" w:rsidRDefault="00C406E6" w:rsidP="00D73E98">
            <w:pPr>
              <w:jc w:val="center"/>
              <w:rPr>
                <w:b/>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tcPr>
          <w:p w:rsidR="00C406E6" w:rsidRPr="00C061D6" w:rsidRDefault="00C406E6" w:rsidP="004E27C2">
            <w:pPr>
              <w:pStyle w:val="Paragrafoelenco"/>
              <w:numPr>
                <w:ilvl w:val="0"/>
                <w:numId w:val="38"/>
              </w:numPr>
              <w:spacing w:line="230" w:lineRule="exact"/>
              <w:ind w:left="318" w:hanging="284"/>
            </w:pPr>
            <w:r w:rsidRPr="00C061D6">
              <w:t>depositi bancari e postali</w:t>
            </w:r>
            <w:r>
              <w:t>?</w:t>
            </w:r>
          </w:p>
        </w:tc>
        <w:tc>
          <w:tcPr>
            <w:tcW w:w="586" w:type="dxa"/>
            <w:tcMar>
              <w:left w:w="85" w:type="dxa"/>
              <w:right w:w="85"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406E6" w:rsidRPr="00BD07F7" w:rsidTr="00D73E98">
        <w:trPr>
          <w:cantSplit/>
          <w:trHeight w:val="20"/>
        </w:trPr>
        <w:tc>
          <w:tcPr>
            <w:tcW w:w="680" w:type="dxa"/>
          </w:tcPr>
          <w:p w:rsidR="00C406E6" w:rsidRPr="00A542EC" w:rsidRDefault="00C406E6" w:rsidP="00D73E98">
            <w:pPr>
              <w:jc w:val="center"/>
              <w:rPr>
                <w:b/>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tcPr>
          <w:p w:rsidR="00C406E6" w:rsidRPr="00C061D6" w:rsidRDefault="00C406E6" w:rsidP="004E27C2">
            <w:pPr>
              <w:pStyle w:val="Paragrafoelenco"/>
              <w:numPr>
                <w:ilvl w:val="0"/>
                <w:numId w:val="38"/>
              </w:numPr>
              <w:spacing w:line="230" w:lineRule="exact"/>
              <w:ind w:left="318" w:hanging="284"/>
            </w:pPr>
            <w:r w:rsidRPr="00C061D6">
              <w:t>assegni</w:t>
            </w:r>
            <w:r>
              <w:t>?</w:t>
            </w:r>
          </w:p>
        </w:tc>
        <w:tc>
          <w:tcPr>
            <w:tcW w:w="586" w:type="dxa"/>
            <w:tcMar>
              <w:left w:w="85" w:type="dxa"/>
              <w:right w:w="85"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406E6" w:rsidRPr="00BD07F7" w:rsidTr="00D73E98">
        <w:trPr>
          <w:cantSplit/>
          <w:trHeight w:val="20"/>
        </w:trPr>
        <w:tc>
          <w:tcPr>
            <w:tcW w:w="680" w:type="dxa"/>
          </w:tcPr>
          <w:p w:rsidR="00C406E6" w:rsidRPr="00A542EC" w:rsidRDefault="00C406E6" w:rsidP="00D73E98">
            <w:pPr>
              <w:jc w:val="center"/>
              <w:rPr>
                <w:b/>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tcPr>
          <w:p w:rsidR="00C406E6" w:rsidRPr="00C061D6" w:rsidRDefault="00C406E6" w:rsidP="004E27C2">
            <w:pPr>
              <w:pStyle w:val="Paragrafoelenco"/>
              <w:numPr>
                <w:ilvl w:val="0"/>
                <w:numId w:val="38"/>
              </w:numPr>
              <w:spacing w:line="230" w:lineRule="exact"/>
              <w:ind w:left="318" w:hanging="284"/>
              <w:rPr>
                <w:lang w:val="it-IT"/>
              </w:rPr>
            </w:pPr>
            <w:r w:rsidRPr="00C061D6">
              <w:rPr>
                <w:lang w:val="it-IT"/>
              </w:rPr>
              <w:t>denaro e valori in cassa?</w:t>
            </w:r>
          </w:p>
        </w:tc>
        <w:tc>
          <w:tcPr>
            <w:tcW w:w="586" w:type="dxa"/>
            <w:tcMar>
              <w:left w:w="85" w:type="dxa"/>
              <w:right w:w="85"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406E6" w:rsidRPr="00492518" w:rsidTr="00D73E98">
        <w:trPr>
          <w:cantSplit/>
          <w:trHeight w:val="20"/>
        </w:trPr>
        <w:tc>
          <w:tcPr>
            <w:tcW w:w="680" w:type="dxa"/>
          </w:tcPr>
          <w:p w:rsidR="00C406E6" w:rsidRPr="00A542EC" w:rsidRDefault="00C406E6" w:rsidP="00D73E98">
            <w:pPr>
              <w:jc w:val="center"/>
              <w:rPr>
                <w:b/>
                <w:lang w:val="it-IT"/>
              </w:rPr>
            </w:pPr>
            <w:r w:rsidRPr="00A542EC">
              <w:rPr>
                <w:b/>
                <w:lang w:val="it-IT"/>
              </w:rPr>
              <w:t>2)</w:t>
            </w:r>
          </w:p>
        </w:tc>
        <w:tc>
          <w:tcPr>
            <w:tcW w:w="851" w:type="dxa"/>
            <w:tcMar>
              <w:left w:w="108" w:type="dxa"/>
              <w:right w:w="0" w:type="dxa"/>
            </w:tcMar>
          </w:tcPr>
          <w:p w:rsidR="00C406E6" w:rsidRDefault="00C406E6" w:rsidP="00D73E98">
            <w:pPr>
              <w:pStyle w:val="PrincCont"/>
              <w:jc w:val="left"/>
              <w:rPr>
                <w:lang w:val="it-IT"/>
              </w:rPr>
            </w:pPr>
            <w:r>
              <w:rPr>
                <w:lang w:val="it-IT"/>
              </w:rPr>
              <w:t>OIC 14.5</w:t>
            </w:r>
          </w:p>
        </w:tc>
        <w:tc>
          <w:tcPr>
            <w:tcW w:w="7060" w:type="dxa"/>
            <w:tcMar>
              <w:left w:w="108" w:type="dxa"/>
            </w:tcMar>
          </w:tcPr>
          <w:p w:rsidR="00C406E6" w:rsidRDefault="00C406E6" w:rsidP="00D73E98">
            <w:pPr>
              <w:spacing w:line="230" w:lineRule="exact"/>
              <w:rPr>
                <w:lang w:val="it-IT"/>
              </w:rPr>
            </w:pPr>
            <w:r>
              <w:rPr>
                <w:lang w:val="it-IT"/>
              </w:rPr>
              <w:t>I depositi bancari e postali sono disponibilità presso il sistema bancario o l’amministrazione postale e possiedono il requisito di poter essere incassati a pronti?</w:t>
            </w:r>
          </w:p>
        </w:tc>
        <w:tc>
          <w:tcPr>
            <w:tcW w:w="586" w:type="dxa"/>
            <w:tcMar>
              <w:left w:w="85" w:type="dxa"/>
              <w:right w:w="85" w:type="dxa"/>
            </w:tcMar>
            <w:vAlign w:val="center"/>
          </w:tcPr>
          <w:p w:rsidR="00C406E6" w:rsidRPr="00A32A16"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3"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406E6" w:rsidRPr="00343BAE" w:rsidTr="00D73E98">
        <w:trPr>
          <w:cantSplit/>
          <w:trHeight w:val="432"/>
        </w:trPr>
        <w:tc>
          <w:tcPr>
            <w:tcW w:w="680" w:type="dxa"/>
          </w:tcPr>
          <w:p w:rsidR="00C406E6" w:rsidRPr="00A542EC" w:rsidRDefault="00C406E6" w:rsidP="00D73E98">
            <w:pPr>
              <w:jc w:val="center"/>
              <w:rPr>
                <w:b/>
                <w:lang w:val="it-IT"/>
              </w:rPr>
            </w:pPr>
            <w:r w:rsidRPr="00A542EC">
              <w:rPr>
                <w:b/>
                <w:lang w:val="it-IT"/>
              </w:rPr>
              <w:t>3)</w:t>
            </w:r>
          </w:p>
        </w:tc>
        <w:tc>
          <w:tcPr>
            <w:tcW w:w="851" w:type="dxa"/>
            <w:tcMar>
              <w:left w:w="108" w:type="dxa"/>
              <w:right w:w="0" w:type="dxa"/>
            </w:tcMar>
          </w:tcPr>
          <w:p w:rsidR="00C406E6" w:rsidRDefault="00C406E6" w:rsidP="00D73E98">
            <w:pPr>
              <w:pStyle w:val="PrincCont"/>
              <w:jc w:val="left"/>
              <w:rPr>
                <w:lang w:val="it-IT"/>
              </w:rPr>
            </w:pPr>
            <w:r>
              <w:rPr>
                <w:lang w:val="it-IT"/>
              </w:rPr>
              <w:t>OIC 14.6</w:t>
            </w:r>
          </w:p>
        </w:tc>
        <w:tc>
          <w:tcPr>
            <w:tcW w:w="7060" w:type="dxa"/>
            <w:tcMar>
              <w:left w:w="108" w:type="dxa"/>
            </w:tcMar>
          </w:tcPr>
          <w:p w:rsidR="00C406E6" w:rsidRDefault="00C406E6" w:rsidP="00D73E98">
            <w:pPr>
              <w:spacing w:line="230" w:lineRule="exact"/>
              <w:rPr>
                <w:lang w:val="it-IT"/>
              </w:rPr>
            </w:pPr>
            <w:r>
              <w:rPr>
                <w:lang w:val="it-IT"/>
              </w:rPr>
              <w:t>Gli assegni sono titoli di credito bancari (di conto corrente, circolari e simili) esigibili a vista, nazionali ed esteri?</w:t>
            </w:r>
          </w:p>
        </w:tc>
        <w:tc>
          <w:tcPr>
            <w:tcW w:w="586" w:type="dxa"/>
            <w:tcMar>
              <w:left w:w="85" w:type="dxa"/>
              <w:right w:w="85" w:type="dxa"/>
            </w:tcMar>
            <w:vAlign w:val="center"/>
          </w:tcPr>
          <w:p w:rsidR="00C406E6" w:rsidRPr="00A32A16"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3" w:type="dxa"/>
            <w:tcMar>
              <w:left w:w="108" w:type="dxa"/>
            </w:tcMar>
            <w:vAlign w:val="center"/>
          </w:tcPr>
          <w:p w:rsidR="00C406E6" w:rsidRPr="00A32A16"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0"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406E6" w:rsidRPr="00343BAE" w:rsidTr="00D73E98">
        <w:trPr>
          <w:cantSplit/>
          <w:trHeight w:val="20"/>
        </w:trPr>
        <w:tc>
          <w:tcPr>
            <w:tcW w:w="680" w:type="dxa"/>
          </w:tcPr>
          <w:p w:rsidR="00C406E6" w:rsidRPr="00A542EC" w:rsidRDefault="00C406E6" w:rsidP="00D73E98">
            <w:pPr>
              <w:jc w:val="center"/>
              <w:rPr>
                <w:b/>
                <w:lang w:val="it-IT"/>
              </w:rPr>
            </w:pPr>
            <w:r w:rsidRPr="00A542EC">
              <w:rPr>
                <w:b/>
                <w:lang w:val="it-IT"/>
              </w:rPr>
              <w:t>4)</w:t>
            </w:r>
          </w:p>
        </w:tc>
        <w:tc>
          <w:tcPr>
            <w:tcW w:w="851" w:type="dxa"/>
            <w:tcMar>
              <w:left w:w="108" w:type="dxa"/>
              <w:right w:w="0" w:type="dxa"/>
            </w:tcMar>
          </w:tcPr>
          <w:p w:rsidR="00C406E6" w:rsidRDefault="00C406E6" w:rsidP="00D73E98">
            <w:pPr>
              <w:pStyle w:val="PrincCont"/>
              <w:jc w:val="left"/>
              <w:rPr>
                <w:lang w:val="it-IT"/>
              </w:rPr>
            </w:pPr>
            <w:r>
              <w:rPr>
                <w:lang w:val="it-IT"/>
              </w:rPr>
              <w:t>OIC 14.7</w:t>
            </w:r>
          </w:p>
        </w:tc>
        <w:tc>
          <w:tcPr>
            <w:tcW w:w="7060" w:type="dxa"/>
            <w:tcMar>
              <w:left w:w="108" w:type="dxa"/>
            </w:tcMar>
          </w:tcPr>
          <w:p w:rsidR="00C406E6" w:rsidRDefault="00C406E6" w:rsidP="00D73E98">
            <w:pPr>
              <w:spacing w:line="230" w:lineRule="exact"/>
              <w:rPr>
                <w:lang w:val="it-IT"/>
              </w:rPr>
            </w:pPr>
            <w:r>
              <w:rPr>
                <w:lang w:val="it-IT"/>
              </w:rPr>
              <w:t>Il denaro e i valori in cassa sono costituiti da moneta e valori bollati (per es. francobolli, marche d bollo, carte bollate, ecc.)?</w:t>
            </w:r>
          </w:p>
        </w:tc>
        <w:tc>
          <w:tcPr>
            <w:tcW w:w="586" w:type="dxa"/>
            <w:tcMar>
              <w:left w:w="85" w:type="dxa"/>
              <w:right w:w="85" w:type="dxa"/>
            </w:tcMar>
            <w:vAlign w:val="center"/>
          </w:tcPr>
          <w:p w:rsidR="00C406E6" w:rsidRPr="00A32A16"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3" w:type="dxa"/>
            <w:tcMar>
              <w:left w:w="108" w:type="dxa"/>
            </w:tcMar>
            <w:vAlign w:val="center"/>
          </w:tcPr>
          <w:p w:rsidR="00C406E6" w:rsidRPr="00A32A16"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0"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406E6" w:rsidRPr="00343BAE" w:rsidTr="00D73E98">
        <w:trPr>
          <w:cantSplit/>
          <w:trHeight w:val="20"/>
        </w:trPr>
        <w:tc>
          <w:tcPr>
            <w:tcW w:w="680" w:type="dxa"/>
          </w:tcPr>
          <w:p w:rsidR="00C406E6" w:rsidRPr="00A542EC" w:rsidRDefault="00C406E6" w:rsidP="00D73E98">
            <w:pPr>
              <w:jc w:val="center"/>
              <w:rPr>
                <w:b/>
                <w:lang w:val="it-IT"/>
              </w:rPr>
            </w:pPr>
            <w:r w:rsidRPr="00A542EC">
              <w:rPr>
                <w:b/>
                <w:lang w:val="it-IT"/>
              </w:rPr>
              <w:t>5)</w:t>
            </w:r>
          </w:p>
        </w:tc>
        <w:tc>
          <w:tcPr>
            <w:tcW w:w="851" w:type="dxa"/>
            <w:tcMar>
              <w:left w:w="108" w:type="dxa"/>
              <w:right w:w="0" w:type="dxa"/>
            </w:tcMar>
          </w:tcPr>
          <w:p w:rsidR="00C406E6" w:rsidRDefault="00C406E6" w:rsidP="00D73E98">
            <w:pPr>
              <w:pStyle w:val="PrincCont"/>
              <w:jc w:val="left"/>
              <w:rPr>
                <w:lang w:val="it-IT"/>
              </w:rPr>
            </w:pPr>
            <w:r>
              <w:rPr>
                <w:lang w:val="it-IT"/>
              </w:rPr>
              <w:t>OIC 14.9</w:t>
            </w:r>
          </w:p>
        </w:tc>
        <w:tc>
          <w:tcPr>
            <w:tcW w:w="7060" w:type="dxa"/>
            <w:tcMar>
              <w:left w:w="108" w:type="dxa"/>
            </w:tcMar>
          </w:tcPr>
          <w:p w:rsidR="00C406E6" w:rsidRDefault="00C406E6" w:rsidP="00D73E98">
            <w:pPr>
              <w:spacing w:line="230" w:lineRule="exact"/>
              <w:rPr>
                <w:lang w:val="it-IT"/>
              </w:rPr>
            </w:pPr>
            <w:r>
              <w:rPr>
                <w:lang w:val="it-IT"/>
              </w:rPr>
              <w:t>Le disponibilità liquide vincolate sono state classificate nell’attivo circolante o nell’attivo immobilizzato, a seconda delle caratteristiche del vincolo?</w:t>
            </w:r>
          </w:p>
        </w:tc>
        <w:tc>
          <w:tcPr>
            <w:tcW w:w="586" w:type="dxa"/>
            <w:tcMar>
              <w:left w:w="85" w:type="dxa"/>
              <w:right w:w="85" w:type="dxa"/>
            </w:tcMar>
            <w:vAlign w:val="center"/>
          </w:tcPr>
          <w:p w:rsidR="00C406E6" w:rsidRPr="00A32A16"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3" w:type="dxa"/>
            <w:tcMar>
              <w:left w:w="108" w:type="dxa"/>
            </w:tcMar>
            <w:vAlign w:val="center"/>
          </w:tcPr>
          <w:p w:rsidR="00C406E6" w:rsidRPr="00A32A16"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0"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406E6" w:rsidRPr="00343BAE" w:rsidTr="00D73E98">
        <w:trPr>
          <w:cantSplit/>
          <w:trHeight w:val="20"/>
        </w:trPr>
        <w:tc>
          <w:tcPr>
            <w:tcW w:w="680" w:type="dxa"/>
          </w:tcPr>
          <w:p w:rsidR="00C406E6" w:rsidRDefault="00C406E6" w:rsidP="00D73E98">
            <w:pPr>
              <w:jc w:val="center"/>
              <w:rPr>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tcPr>
          <w:p w:rsidR="00C406E6" w:rsidRPr="002A7AA3" w:rsidRDefault="00C406E6" w:rsidP="00D73E98">
            <w:pPr>
              <w:pStyle w:val="Titolo3"/>
              <w:rPr>
                <w:lang w:val="it-IT"/>
              </w:rPr>
            </w:pPr>
            <w:r>
              <w:t>Tesoreria accentrata</w:t>
            </w:r>
          </w:p>
        </w:tc>
        <w:tc>
          <w:tcPr>
            <w:tcW w:w="586" w:type="dxa"/>
            <w:tcMar>
              <w:left w:w="85" w:type="dxa"/>
              <w:right w:w="85" w:type="dxa"/>
            </w:tcMar>
            <w:vAlign w:val="center"/>
          </w:tcPr>
          <w:p w:rsidR="00C406E6" w:rsidRPr="00AB30DE" w:rsidRDefault="00C406E6" w:rsidP="00D73E98">
            <w:pPr>
              <w:jc w:val="center"/>
              <w:rPr>
                <w:lang w:val="it-IT"/>
              </w:rPr>
            </w:pPr>
          </w:p>
        </w:tc>
        <w:tc>
          <w:tcPr>
            <w:tcW w:w="573" w:type="dxa"/>
            <w:tcMar>
              <w:left w:w="108" w:type="dxa"/>
            </w:tcMar>
            <w:vAlign w:val="center"/>
          </w:tcPr>
          <w:p w:rsidR="00C406E6" w:rsidRPr="00AB30DE" w:rsidRDefault="00C406E6" w:rsidP="00D73E98">
            <w:pPr>
              <w:jc w:val="center"/>
              <w:rPr>
                <w:lang w:val="it-IT"/>
              </w:rPr>
            </w:pPr>
          </w:p>
        </w:tc>
        <w:tc>
          <w:tcPr>
            <w:tcW w:w="570" w:type="dxa"/>
            <w:tcMar>
              <w:left w:w="108" w:type="dxa"/>
            </w:tcMar>
            <w:vAlign w:val="center"/>
          </w:tcPr>
          <w:p w:rsidR="00C406E6" w:rsidRDefault="00C406E6" w:rsidP="00D73E98">
            <w:pPr>
              <w:jc w:val="center"/>
            </w:pPr>
          </w:p>
        </w:tc>
      </w:tr>
      <w:tr w:rsidR="00C406E6" w:rsidRPr="00CC242B" w:rsidTr="00D73E98">
        <w:trPr>
          <w:cantSplit/>
          <w:trHeight w:val="895"/>
        </w:trPr>
        <w:tc>
          <w:tcPr>
            <w:tcW w:w="680" w:type="dxa"/>
          </w:tcPr>
          <w:p w:rsidR="00C406E6" w:rsidRDefault="00C406E6" w:rsidP="00D73E98">
            <w:pPr>
              <w:jc w:val="center"/>
              <w:rPr>
                <w:lang w:val="it-IT"/>
              </w:rPr>
            </w:pPr>
          </w:p>
        </w:tc>
        <w:tc>
          <w:tcPr>
            <w:tcW w:w="851" w:type="dxa"/>
            <w:tcMar>
              <w:left w:w="108" w:type="dxa"/>
              <w:right w:w="0" w:type="dxa"/>
            </w:tcMar>
          </w:tcPr>
          <w:p w:rsidR="00C406E6" w:rsidRDefault="00C406E6" w:rsidP="00D73E98">
            <w:pPr>
              <w:pStyle w:val="PrincCont"/>
              <w:jc w:val="left"/>
              <w:rPr>
                <w:lang w:val="it-IT"/>
              </w:rPr>
            </w:pPr>
            <w:r>
              <w:rPr>
                <w:lang w:val="it-IT"/>
              </w:rPr>
              <w:t>OIC 14.10</w:t>
            </w:r>
          </w:p>
        </w:tc>
        <w:tc>
          <w:tcPr>
            <w:tcW w:w="7060" w:type="dxa"/>
            <w:tcMar>
              <w:left w:w="108" w:type="dxa"/>
            </w:tcMar>
          </w:tcPr>
          <w:p w:rsidR="00C406E6" w:rsidRPr="00196924" w:rsidRDefault="00C406E6" w:rsidP="00D73E98">
            <w:pPr>
              <w:pStyle w:val="Commentiriquadro"/>
            </w:pPr>
            <w:r w:rsidRPr="00516708">
              <w:t>Nel caso di appartenenza ad un grupp</w:t>
            </w:r>
            <w:r>
              <w:t xml:space="preserve">o, la gestione della tesoreria può essere </w:t>
            </w:r>
            <w:r w:rsidRPr="00516708">
              <w:t xml:space="preserve">accentrata per ottimizzare l’uso delle risorse finanziarie (si pensi ai contratti di </w:t>
            </w:r>
            <w:r w:rsidRPr="00516708">
              <w:rPr>
                <w:i/>
              </w:rPr>
              <w:t>cash pooling</w:t>
            </w:r>
            <w:r>
              <w:t xml:space="preserve">). </w:t>
            </w:r>
            <w:r w:rsidRPr="00196924">
              <w:t>In tali</w:t>
            </w:r>
            <w:r>
              <w:t xml:space="preserve"> circostanze, un unico soggetto giu</w:t>
            </w:r>
            <w:r w:rsidRPr="00196924">
              <w:t>ridico (in genere la società capogruppo o una società fina</w:t>
            </w:r>
            <w:r>
              <w:t xml:space="preserve">nziaria del gruppo) gestisce la </w:t>
            </w:r>
            <w:r w:rsidRPr="00196924">
              <w:t>liquidità per conto delle altre società del gruppo.</w:t>
            </w:r>
          </w:p>
        </w:tc>
        <w:tc>
          <w:tcPr>
            <w:tcW w:w="586" w:type="dxa"/>
            <w:tcMar>
              <w:left w:w="85" w:type="dxa"/>
              <w:right w:w="85" w:type="dxa"/>
            </w:tcMar>
            <w:vAlign w:val="center"/>
          </w:tcPr>
          <w:p w:rsidR="00C406E6" w:rsidRPr="00AB30DE" w:rsidRDefault="00C406E6" w:rsidP="00D73E98">
            <w:pPr>
              <w:jc w:val="center"/>
              <w:rPr>
                <w:lang w:val="it-IT"/>
              </w:rPr>
            </w:pPr>
          </w:p>
        </w:tc>
        <w:tc>
          <w:tcPr>
            <w:tcW w:w="573" w:type="dxa"/>
            <w:tcMar>
              <w:left w:w="108" w:type="dxa"/>
            </w:tcMar>
            <w:vAlign w:val="center"/>
          </w:tcPr>
          <w:p w:rsidR="00C406E6" w:rsidRPr="00AB30DE" w:rsidRDefault="00C406E6" w:rsidP="00D73E98">
            <w:pPr>
              <w:jc w:val="center"/>
              <w:rPr>
                <w:lang w:val="it-IT"/>
              </w:rPr>
            </w:pPr>
          </w:p>
        </w:tc>
        <w:tc>
          <w:tcPr>
            <w:tcW w:w="570" w:type="dxa"/>
            <w:tcMar>
              <w:left w:w="108" w:type="dxa"/>
            </w:tcMar>
            <w:vAlign w:val="center"/>
          </w:tcPr>
          <w:p w:rsidR="00C406E6" w:rsidRPr="006001E4" w:rsidRDefault="00C406E6" w:rsidP="00D73E98">
            <w:pPr>
              <w:jc w:val="center"/>
              <w:rPr>
                <w:lang w:val="it-IT"/>
              </w:rPr>
            </w:pPr>
          </w:p>
        </w:tc>
      </w:tr>
      <w:tr w:rsidR="00C406E6" w:rsidRPr="006001E4" w:rsidTr="00D73E98">
        <w:trPr>
          <w:cantSplit/>
          <w:trHeight w:val="20"/>
        </w:trPr>
        <w:tc>
          <w:tcPr>
            <w:tcW w:w="680" w:type="dxa"/>
          </w:tcPr>
          <w:p w:rsidR="00C406E6" w:rsidRPr="00A542EC" w:rsidRDefault="00C406E6" w:rsidP="00D73E98">
            <w:pPr>
              <w:jc w:val="center"/>
              <w:rPr>
                <w:b/>
                <w:lang w:val="it-IT"/>
              </w:rPr>
            </w:pPr>
            <w:r w:rsidRPr="00A542EC">
              <w:rPr>
                <w:b/>
                <w:lang w:val="it-IT"/>
              </w:rPr>
              <w:t>6)</w:t>
            </w:r>
          </w:p>
        </w:tc>
        <w:tc>
          <w:tcPr>
            <w:tcW w:w="851" w:type="dxa"/>
            <w:tcMar>
              <w:left w:w="108" w:type="dxa"/>
              <w:right w:w="0" w:type="dxa"/>
            </w:tcMar>
          </w:tcPr>
          <w:p w:rsidR="00C406E6" w:rsidRDefault="00C406E6" w:rsidP="00D73E98">
            <w:pPr>
              <w:pStyle w:val="PrincCont"/>
              <w:jc w:val="left"/>
              <w:rPr>
                <w:lang w:val="it-IT"/>
              </w:rPr>
            </w:pPr>
            <w:r>
              <w:rPr>
                <w:lang w:val="it-IT"/>
              </w:rPr>
              <w:t>OIC 14.11</w:t>
            </w:r>
          </w:p>
        </w:tc>
        <w:tc>
          <w:tcPr>
            <w:tcW w:w="7060" w:type="dxa"/>
            <w:tcMar>
              <w:left w:w="108" w:type="dxa"/>
            </w:tcMar>
          </w:tcPr>
          <w:p w:rsidR="00C406E6" w:rsidRPr="006001E4" w:rsidRDefault="00C406E6" w:rsidP="00D73E98">
            <w:pPr>
              <w:spacing w:line="230" w:lineRule="exact"/>
              <w:rPr>
                <w:lang w:val="it-IT"/>
              </w:rPr>
            </w:pPr>
            <w:r>
              <w:rPr>
                <w:lang w:val="it-IT"/>
              </w:rPr>
              <w:t>Nel bilancio delle singole società partecipanti ad una gestione di tesoreria accentrata, i crediti che si sono generati, se i termini di esigibilità lo consentono, sono stati rilevati in un’apposita voce, ai sensi dell’art. 2423</w:t>
            </w:r>
            <w:r w:rsidRPr="00297DBF">
              <w:rPr>
                <w:lang w:val="it-IT"/>
              </w:rPr>
              <w:t>-</w:t>
            </w:r>
            <w:r w:rsidRPr="00612EBE">
              <w:rPr>
                <w:lang w:val="it-IT"/>
              </w:rPr>
              <w:t>ter</w:t>
            </w:r>
            <w:r w:rsidRPr="00297DBF">
              <w:rPr>
                <w:lang w:val="it-IT"/>
              </w:rPr>
              <w:t>,</w:t>
            </w:r>
            <w:r>
              <w:rPr>
                <w:lang w:val="it-IT"/>
              </w:rPr>
              <w:t xml:space="preserve"> comma 3 del codice civile, tra le “</w:t>
            </w:r>
            <w:r w:rsidRPr="006001E4">
              <w:rPr>
                <w:i/>
                <w:lang w:val="it-IT"/>
              </w:rPr>
              <w:t>Attività finanziarie che non costituiscono immobilizzazioni</w:t>
            </w:r>
            <w:r>
              <w:rPr>
                <w:i/>
                <w:lang w:val="it-IT"/>
              </w:rPr>
              <w:t>”</w:t>
            </w:r>
            <w:r>
              <w:rPr>
                <w:lang w:val="it-IT"/>
              </w:rPr>
              <w:t>, denominata “</w:t>
            </w:r>
            <w:r w:rsidRPr="006001E4">
              <w:rPr>
                <w:i/>
                <w:lang w:val="it-IT"/>
              </w:rPr>
              <w:t>Attività finanziarie per la gestione accentrata della tesoreria</w:t>
            </w:r>
            <w:r>
              <w:rPr>
                <w:i/>
                <w:lang w:val="it-IT"/>
              </w:rPr>
              <w:t xml:space="preserve">” </w:t>
            </w:r>
            <w:r>
              <w:rPr>
                <w:lang w:val="it-IT"/>
              </w:rPr>
              <w:t>(con indicazione della controparte, ad esempio controllante, controllata)?</w:t>
            </w:r>
          </w:p>
        </w:tc>
        <w:tc>
          <w:tcPr>
            <w:tcW w:w="586" w:type="dxa"/>
            <w:tcMar>
              <w:left w:w="85" w:type="dxa"/>
              <w:right w:w="85"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3" w:type="dxa"/>
            <w:tcMar>
              <w:left w:w="108"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0" w:type="dxa"/>
            <w:tcMar>
              <w:left w:w="108" w:type="dxa"/>
            </w:tcMar>
            <w:vAlign w:val="center"/>
          </w:tcPr>
          <w:p w:rsidR="00C406E6" w:rsidRPr="006001E4"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406E6" w:rsidRPr="00196924" w:rsidTr="00D73E98">
        <w:trPr>
          <w:cantSplit/>
          <w:trHeight w:val="20"/>
        </w:trPr>
        <w:tc>
          <w:tcPr>
            <w:tcW w:w="680" w:type="dxa"/>
          </w:tcPr>
          <w:p w:rsidR="00C406E6" w:rsidRPr="00A542EC" w:rsidRDefault="00C406E6" w:rsidP="00D73E98">
            <w:pPr>
              <w:jc w:val="center"/>
              <w:rPr>
                <w:b/>
                <w:lang w:val="it-IT"/>
              </w:rPr>
            </w:pPr>
            <w:r w:rsidRPr="00A542EC">
              <w:rPr>
                <w:b/>
                <w:lang w:val="it-IT"/>
              </w:rPr>
              <w:t>7)</w:t>
            </w:r>
          </w:p>
        </w:tc>
        <w:tc>
          <w:tcPr>
            <w:tcW w:w="851" w:type="dxa"/>
            <w:tcMar>
              <w:left w:w="108" w:type="dxa"/>
              <w:right w:w="0" w:type="dxa"/>
            </w:tcMar>
          </w:tcPr>
          <w:p w:rsidR="00C406E6" w:rsidRDefault="00C406E6" w:rsidP="00D73E98">
            <w:pPr>
              <w:pStyle w:val="PrincCont"/>
              <w:jc w:val="left"/>
              <w:rPr>
                <w:lang w:val="it-IT"/>
              </w:rPr>
            </w:pPr>
            <w:r>
              <w:rPr>
                <w:lang w:val="it-IT"/>
              </w:rPr>
              <w:t>OIC 14.11</w:t>
            </w:r>
          </w:p>
        </w:tc>
        <w:tc>
          <w:tcPr>
            <w:tcW w:w="7060" w:type="dxa"/>
            <w:tcMar>
              <w:left w:w="108" w:type="dxa"/>
            </w:tcMar>
          </w:tcPr>
          <w:p w:rsidR="00C406E6" w:rsidRDefault="00C406E6" w:rsidP="00D73E98">
            <w:pPr>
              <w:spacing w:line="230" w:lineRule="exact"/>
              <w:rPr>
                <w:lang w:val="it-IT"/>
              </w:rPr>
            </w:pPr>
            <w:r w:rsidRPr="00196924">
              <w:rPr>
                <w:lang w:val="it-IT"/>
              </w:rPr>
              <w:t>Se i termini di esigibilità a bre</w:t>
            </w:r>
            <w:r>
              <w:rPr>
                <w:lang w:val="it-IT"/>
              </w:rPr>
              <w:t>ve termine non sono soddisfatti, i</w:t>
            </w:r>
            <w:r w:rsidRPr="00196924">
              <w:rPr>
                <w:lang w:val="it-IT"/>
              </w:rPr>
              <w:t xml:space="preserve"> crediti </w:t>
            </w:r>
            <w:r>
              <w:rPr>
                <w:lang w:val="it-IT"/>
              </w:rPr>
              <w:t xml:space="preserve">che si sono generati dalla partecipazione alla gestione di tesoreria accentrata sono rilevati nelle </w:t>
            </w:r>
            <w:r w:rsidRPr="00196924">
              <w:rPr>
                <w:lang w:val="it-IT"/>
              </w:rPr>
              <w:t>Immobilizzazioni</w:t>
            </w:r>
            <w:r>
              <w:rPr>
                <w:lang w:val="it-IT"/>
              </w:rPr>
              <w:t xml:space="preserve"> finanziarie?</w:t>
            </w:r>
          </w:p>
        </w:tc>
        <w:tc>
          <w:tcPr>
            <w:tcW w:w="586" w:type="dxa"/>
            <w:tcMar>
              <w:left w:w="85" w:type="dxa"/>
              <w:right w:w="85"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3" w:type="dxa"/>
            <w:tcMar>
              <w:left w:w="108"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0" w:type="dxa"/>
            <w:tcMar>
              <w:left w:w="108" w:type="dxa"/>
            </w:tcMar>
            <w:vAlign w:val="center"/>
          </w:tcPr>
          <w:p w:rsidR="00C406E6" w:rsidRPr="00196924"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406E6" w:rsidRPr="006001E4" w:rsidTr="00D73E98">
        <w:trPr>
          <w:cantSplit/>
          <w:trHeight w:val="20"/>
        </w:trPr>
        <w:tc>
          <w:tcPr>
            <w:tcW w:w="680" w:type="dxa"/>
          </w:tcPr>
          <w:p w:rsidR="00C406E6" w:rsidRPr="00A542EC" w:rsidRDefault="00C406E6" w:rsidP="00D73E98">
            <w:pPr>
              <w:jc w:val="center"/>
              <w:rPr>
                <w:b/>
                <w:lang w:val="it-IT"/>
              </w:rPr>
            </w:pPr>
            <w:r>
              <w:rPr>
                <w:b/>
                <w:lang w:val="it-IT"/>
              </w:rPr>
              <w:t>8)</w:t>
            </w:r>
          </w:p>
        </w:tc>
        <w:tc>
          <w:tcPr>
            <w:tcW w:w="851" w:type="dxa"/>
            <w:tcMar>
              <w:left w:w="108" w:type="dxa"/>
              <w:right w:w="0" w:type="dxa"/>
            </w:tcMar>
          </w:tcPr>
          <w:p w:rsidR="00C406E6" w:rsidRDefault="00C406E6" w:rsidP="00D73E98">
            <w:pPr>
              <w:pStyle w:val="PrincCont"/>
              <w:jc w:val="left"/>
              <w:rPr>
                <w:lang w:val="it-IT"/>
              </w:rPr>
            </w:pPr>
            <w:r>
              <w:rPr>
                <w:lang w:val="it-IT"/>
              </w:rPr>
              <w:t>OIC 14.11</w:t>
            </w:r>
          </w:p>
        </w:tc>
        <w:tc>
          <w:tcPr>
            <w:tcW w:w="7060" w:type="dxa"/>
            <w:tcMar>
              <w:left w:w="108" w:type="dxa"/>
            </w:tcMar>
          </w:tcPr>
          <w:p w:rsidR="00C406E6" w:rsidRDefault="00C406E6" w:rsidP="00D73E98">
            <w:pPr>
              <w:spacing w:line="230" w:lineRule="exact"/>
              <w:rPr>
                <w:lang w:val="it-IT"/>
              </w:rPr>
            </w:pPr>
            <w:r w:rsidRPr="009F10BA">
              <w:rPr>
                <w:lang w:val="it-IT"/>
              </w:rPr>
              <w:t>Le eventuali svalutazioni e rivalutazioni di tali crediti sono iscritte in voci specifiche della sezione D) del conto economico, denominate rispettivamente “</w:t>
            </w:r>
            <w:r w:rsidRPr="009F10BA">
              <w:rPr>
                <w:i/>
                <w:lang w:val="it-IT"/>
              </w:rPr>
              <w:t>svalutazioni di attività finanziarie per la gestione accentrata della tesoreria</w:t>
            </w:r>
            <w:r w:rsidRPr="009F10BA">
              <w:rPr>
                <w:lang w:val="it-IT"/>
              </w:rPr>
              <w:t>” e “</w:t>
            </w:r>
            <w:r w:rsidRPr="009F10BA">
              <w:rPr>
                <w:i/>
                <w:lang w:val="it-IT"/>
              </w:rPr>
              <w:t>rivalutazioni di attività finanziarie per la gestione accentrata della tesoreria</w:t>
            </w:r>
            <w:r w:rsidRPr="009F10BA">
              <w:rPr>
                <w:lang w:val="it-IT"/>
              </w:rPr>
              <w:t>” con indicazione della controparte (ad esempio controllante, controllata)?</w:t>
            </w:r>
          </w:p>
        </w:tc>
        <w:tc>
          <w:tcPr>
            <w:tcW w:w="586" w:type="dxa"/>
            <w:tcMar>
              <w:left w:w="85" w:type="dxa"/>
              <w:right w:w="85"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3" w:type="dxa"/>
            <w:tcMar>
              <w:left w:w="108"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0" w:type="dxa"/>
            <w:tcMar>
              <w:left w:w="108" w:type="dxa"/>
            </w:tcMar>
            <w:vAlign w:val="center"/>
          </w:tcPr>
          <w:p w:rsidR="00C406E6" w:rsidRDefault="00C406E6"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406E6" w:rsidRPr="006001E4" w:rsidTr="00D73E98">
        <w:trPr>
          <w:cantSplit/>
          <w:trHeight w:val="20"/>
        </w:trPr>
        <w:tc>
          <w:tcPr>
            <w:tcW w:w="680" w:type="dxa"/>
          </w:tcPr>
          <w:p w:rsidR="00C406E6" w:rsidRPr="00A542EC" w:rsidRDefault="00C406E6" w:rsidP="00D73E98">
            <w:pPr>
              <w:jc w:val="center"/>
              <w:rPr>
                <w:b/>
                <w:lang w:val="it-IT"/>
              </w:rPr>
            </w:pPr>
            <w:r>
              <w:rPr>
                <w:b/>
                <w:lang w:val="it-IT"/>
              </w:rPr>
              <w:t>9</w:t>
            </w:r>
            <w:r w:rsidRPr="00A542EC">
              <w:rPr>
                <w:b/>
                <w:lang w:val="it-IT"/>
              </w:rPr>
              <w:t>)</w:t>
            </w:r>
          </w:p>
        </w:tc>
        <w:tc>
          <w:tcPr>
            <w:tcW w:w="851" w:type="dxa"/>
            <w:tcMar>
              <w:left w:w="108" w:type="dxa"/>
              <w:right w:w="0" w:type="dxa"/>
            </w:tcMar>
          </w:tcPr>
          <w:p w:rsidR="00C406E6" w:rsidRDefault="00C406E6" w:rsidP="00D73E98">
            <w:pPr>
              <w:pStyle w:val="PrincCont"/>
              <w:jc w:val="left"/>
              <w:rPr>
                <w:lang w:val="it-IT"/>
              </w:rPr>
            </w:pPr>
            <w:r>
              <w:rPr>
                <w:lang w:val="it-IT"/>
              </w:rPr>
              <w:t>OIC 14.11</w:t>
            </w:r>
          </w:p>
        </w:tc>
        <w:tc>
          <w:tcPr>
            <w:tcW w:w="7060" w:type="dxa"/>
            <w:tcMar>
              <w:left w:w="108" w:type="dxa"/>
            </w:tcMar>
          </w:tcPr>
          <w:p w:rsidR="00C406E6" w:rsidRDefault="00C406E6" w:rsidP="00D73E98">
            <w:pPr>
              <w:spacing w:line="230" w:lineRule="exact"/>
              <w:rPr>
                <w:lang w:val="it-IT"/>
              </w:rPr>
            </w:pPr>
            <w:r>
              <w:rPr>
                <w:lang w:val="it-IT"/>
              </w:rPr>
              <w:t>Nel bilancio delle singole società partecipanti ad una gestione di tesoreria accentrata, i debiti che si generano sono classificati secondo quanto previsto dall’OIC 19 “Debiti”?</w:t>
            </w:r>
          </w:p>
        </w:tc>
        <w:tc>
          <w:tcPr>
            <w:tcW w:w="586" w:type="dxa"/>
            <w:tcMar>
              <w:left w:w="85" w:type="dxa"/>
              <w:right w:w="85"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3" w:type="dxa"/>
            <w:tcMar>
              <w:left w:w="108"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0" w:type="dxa"/>
            <w:tcMar>
              <w:left w:w="108" w:type="dxa"/>
            </w:tcMar>
            <w:vAlign w:val="center"/>
          </w:tcPr>
          <w:p w:rsidR="00C406E6" w:rsidRPr="003F5832"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406E6" w:rsidRPr="00AA3D70" w:rsidTr="00D73E98">
        <w:trPr>
          <w:cantSplit/>
          <w:trHeight w:val="20"/>
        </w:trPr>
        <w:tc>
          <w:tcPr>
            <w:tcW w:w="680" w:type="dxa"/>
          </w:tcPr>
          <w:p w:rsidR="00C406E6" w:rsidRPr="00A542EC" w:rsidRDefault="00C406E6" w:rsidP="00D73E98">
            <w:pPr>
              <w:jc w:val="center"/>
              <w:rPr>
                <w:b/>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tcPr>
          <w:p w:rsidR="00C406E6" w:rsidRPr="00863143" w:rsidRDefault="00C406E6" w:rsidP="00D73E98">
            <w:pPr>
              <w:pStyle w:val="Titolo3"/>
              <w:rPr>
                <w:highlight w:val="yellow"/>
                <w:lang w:val="it-IT"/>
              </w:rPr>
            </w:pPr>
            <w:r>
              <w:rPr>
                <w:lang w:val="it-IT"/>
              </w:rPr>
              <w:t>Bilancio in forma abbreviata</w:t>
            </w:r>
            <w:r w:rsidRPr="009F10BA">
              <w:rPr>
                <w:lang w:val="it-IT"/>
              </w:rPr>
              <w:t xml:space="preserve"> </w:t>
            </w:r>
          </w:p>
        </w:tc>
        <w:tc>
          <w:tcPr>
            <w:tcW w:w="586" w:type="dxa"/>
            <w:tcMar>
              <w:left w:w="85" w:type="dxa"/>
              <w:right w:w="85" w:type="dxa"/>
            </w:tcMar>
            <w:vAlign w:val="center"/>
          </w:tcPr>
          <w:p w:rsidR="00C406E6" w:rsidRPr="00AB30DE" w:rsidRDefault="00C406E6" w:rsidP="00D73E98">
            <w:pPr>
              <w:jc w:val="center"/>
              <w:rPr>
                <w:lang w:val="it-IT"/>
              </w:rPr>
            </w:pPr>
          </w:p>
        </w:tc>
        <w:tc>
          <w:tcPr>
            <w:tcW w:w="573" w:type="dxa"/>
            <w:tcMar>
              <w:left w:w="108" w:type="dxa"/>
            </w:tcMar>
            <w:vAlign w:val="center"/>
          </w:tcPr>
          <w:p w:rsidR="00C406E6" w:rsidRPr="00AB30DE" w:rsidRDefault="00C406E6" w:rsidP="00D73E98">
            <w:pPr>
              <w:jc w:val="center"/>
              <w:rPr>
                <w:lang w:val="it-IT"/>
              </w:rPr>
            </w:pPr>
          </w:p>
        </w:tc>
        <w:tc>
          <w:tcPr>
            <w:tcW w:w="570" w:type="dxa"/>
            <w:tcMar>
              <w:left w:w="108" w:type="dxa"/>
            </w:tcMar>
            <w:vAlign w:val="center"/>
          </w:tcPr>
          <w:p w:rsidR="00C406E6" w:rsidRPr="00863143" w:rsidRDefault="00C406E6" w:rsidP="00D73E98">
            <w:pPr>
              <w:jc w:val="center"/>
              <w:rPr>
                <w:lang w:val="it-IT"/>
              </w:rPr>
            </w:pPr>
          </w:p>
        </w:tc>
      </w:tr>
      <w:tr w:rsidR="00C406E6" w:rsidRPr="007B316E" w:rsidTr="00D73E98">
        <w:trPr>
          <w:cantSplit/>
          <w:trHeight w:val="20"/>
        </w:trPr>
        <w:tc>
          <w:tcPr>
            <w:tcW w:w="680" w:type="dxa"/>
          </w:tcPr>
          <w:p w:rsidR="00C406E6" w:rsidRPr="00A542EC" w:rsidRDefault="00C406E6" w:rsidP="00D73E98">
            <w:pPr>
              <w:jc w:val="center"/>
              <w:rPr>
                <w:b/>
                <w:highlight w:val="yellow"/>
                <w:lang w:val="it-IT"/>
              </w:rPr>
            </w:pPr>
            <w:r>
              <w:rPr>
                <w:b/>
                <w:lang w:val="it-IT"/>
              </w:rPr>
              <w:t>10</w:t>
            </w:r>
            <w:r w:rsidRPr="00A542EC">
              <w:rPr>
                <w:b/>
                <w:lang w:val="it-IT"/>
              </w:rPr>
              <w:t>)</w:t>
            </w:r>
          </w:p>
        </w:tc>
        <w:tc>
          <w:tcPr>
            <w:tcW w:w="851" w:type="dxa"/>
            <w:tcMar>
              <w:left w:w="108" w:type="dxa"/>
              <w:right w:w="0" w:type="dxa"/>
            </w:tcMar>
          </w:tcPr>
          <w:p w:rsidR="00C406E6" w:rsidRDefault="00C406E6" w:rsidP="00D73E98">
            <w:pPr>
              <w:pStyle w:val="PrincCont"/>
              <w:jc w:val="left"/>
            </w:pPr>
            <w:r w:rsidRPr="00C2111F">
              <w:t>Art 2435</w:t>
            </w:r>
            <w:r w:rsidRPr="00297DBF">
              <w:t>-</w:t>
            </w:r>
            <w:r w:rsidRPr="00612EBE">
              <w:t>bis</w:t>
            </w:r>
            <w:r>
              <w:t xml:space="preserve">, </w:t>
            </w:r>
            <w:r w:rsidRPr="00C2111F">
              <w:t xml:space="preserve">c.2 CC </w:t>
            </w:r>
          </w:p>
          <w:p w:rsidR="00C406E6" w:rsidRPr="00C2111F" w:rsidRDefault="00C406E6" w:rsidP="00D73E98">
            <w:pPr>
              <w:pStyle w:val="PrincCont"/>
              <w:jc w:val="left"/>
              <w:rPr>
                <w:highlight w:val="yellow"/>
              </w:rPr>
            </w:pPr>
            <w:r w:rsidRPr="00C2111F">
              <w:t>OIC 14.12</w:t>
            </w:r>
          </w:p>
        </w:tc>
        <w:tc>
          <w:tcPr>
            <w:tcW w:w="7060" w:type="dxa"/>
            <w:tcMar>
              <w:left w:w="108" w:type="dxa"/>
            </w:tcMar>
          </w:tcPr>
          <w:p w:rsidR="00C406E6" w:rsidRPr="007B316E" w:rsidRDefault="00C406E6" w:rsidP="00D73E98">
            <w:pPr>
              <w:spacing w:line="230" w:lineRule="exact"/>
              <w:rPr>
                <w:highlight w:val="yellow"/>
                <w:lang w:val="it-IT"/>
              </w:rPr>
            </w:pPr>
            <w:r w:rsidRPr="00C2111F">
              <w:rPr>
                <w:lang w:val="it-IT"/>
              </w:rPr>
              <w:t>N</w:t>
            </w:r>
            <w:r w:rsidRPr="009F10BA">
              <w:rPr>
                <w:lang w:val="it-IT"/>
              </w:rPr>
              <w:t xml:space="preserve">el bilancio in forma abbreviata </w:t>
            </w:r>
            <w:r>
              <w:rPr>
                <w:lang w:val="it-IT"/>
              </w:rPr>
              <w:t xml:space="preserve">lo schema di stato patrimoiale </w:t>
            </w:r>
            <w:r w:rsidRPr="009F10BA">
              <w:rPr>
                <w:lang w:val="it-IT"/>
              </w:rPr>
              <w:t>comprende solo le voci contrassegnate, nell’articolo 2424</w:t>
            </w:r>
            <w:r>
              <w:rPr>
                <w:lang w:val="it-IT"/>
              </w:rPr>
              <w:t xml:space="preserve"> del codice civile</w:t>
            </w:r>
            <w:r w:rsidRPr="009F10BA">
              <w:rPr>
                <w:lang w:val="it-IT"/>
              </w:rPr>
              <w:t>, con lettere maiuscole e con numeri arabi?</w:t>
            </w:r>
          </w:p>
        </w:tc>
        <w:tc>
          <w:tcPr>
            <w:tcW w:w="586" w:type="dxa"/>
            <w:tcMar>
              <w:left w:w="85" w:type="dxa"/>
              <w:right w:w="85"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3" w:type="dxa"/>
            <w:tcMar>
              <w:left w:w="108"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0" w:type="dxa"/>
            <w:tcMar>
              <w:left w:w="108" w:type="dxa"/>
            </w:tcMar>
            <w:vAlign w:val="center"/>
          </w:tcPr>
          <w:p w:rsidR="00C406E6" w:rsidRPr="003F5832"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406E6" w:rsidRPr="007B316E" w:rsidTr="00D73E98">
        <w:trPr>
          <w:cantSplit/>
          <w:trHeight w:val="20"/>
        </w:trPr>
        <w:tc>
          <w:tcPr>
            <w:tcW w:w="680" w:type="dxa"/>
          </w:tcPr>
          <w:p w:rsidR="00C406E6" w:rsidRPr="00A542EC" w:rsidRDefault="00C406E6" w:rsidP="00D73E98">
            <w:pPr>
              <w:jc w:val="center"/>
              <w:rPr>
                <w:b/>
                <w:lang w:val="it-IT"/>
              </w:rPr>
            </w:pPr>
            <w:r w:rsidRPr="00A542EC">
              <w:rPr>
                <w:b/>
                <w:lang w:val="it-IT"/>
              </w:rPr>
              <w:t>1</w:t>
            </w:r>
            <w:r>
              <w:rPr>
                <w:b/>
                <w:lang w:val="it-IT"/>
              </w:rPr>
              <w:t>1</w:t>
            </w:r>
            <w:r w:rsidRPr="00A542EC">
              <w:rPr>
                <w:b/>
                <w:lang w:val="it-IT"/>
              </w:rPr>
              <w:t>)</w:t>
            </w:r>
          </w:p>
        </w:tc>
        <w:tc>
          <w:tcPr>
            <w:tcW w:w="851" w:type="dxa"/>
            <w:tcMar>
              <w:left w:w="108" w:type="dxa"/>
              <w:right w:w="0" w:type="dxa"/>
            </w:tcMar>
          </w:tcPr>
          <w:p w:rsidR="00C406E6" w:rsidRPr="009F10BA" w:rsidRDefault="00C406E6" w:rsidP="00D73E98">
            <w:pPr>
              <w:pStyle w:val="PrincCont"/>
              <w:jc w:val="left"/>
              <w:rPr>
                <w:lang w:val="it-IT"/>
              </w:rPr>
            </w:pPr>
            <w:r w:rsidRPr="009F10BA">
              <w:rPr>
                <w:lang w:val="it-IT"/>
              </w:rPr>
              <w:t>OIC 14.12</w:t>
            </w:r>
          </w:p>
        </w:tc>
        <w:tc>
          <w:tcPr>
            <w:tcW w:w="7060" w:type="dxa"/>
            <w:tcMar>
              <w:left w:w="108" w:type="dxa"/>
            </w:tcMar>
          </w:tcPr>
          <w:p w:rsidR="00C406E6" w:rsidRPr="009F10BA" w:rsidRDefault="00C406E6" w:rsidP="00D73E98">
            <w:pPr>
              <w:spacing w:line="230" w:lineRule="exact"/>
              <w:rPr>
                <w:lang w:val="it-IT"/>
              </w:rPr>
            </w:pPr>
            <w:r w:rsidRPr="009F10BA">
              <w:rPr>
                <w:lang w:val="it-IT"/>
              </w:rPr>
              <w:t>Nel bilancio di una società che redige il bilancio in forma abbreviata e che partecipa ad una gestione di tesoreria accentrata, se i termini di esigibilità lo consentono i crediti che si generano vengono rilevati nella voce CIII) “</w:t>
            </w:r>
            <w:r w:rsidRPr="009F10BA">
              <w:rPr>
                <w:i/>
                <w:lang w:val="it-IT"/>
              </w:rPr>
              <w:t>Attività finanziarie che non costituiscono immobilizzazioni</w:t>
            </w:r>
            <w:r w:rsidRPr="009F10BA">
              <w:rPr>
                <w:lang w:val="it-IT"/>
              </w:rPr>
              <w:t xml:space="preserve">”? </w:t>
            </w:r>
          </w:p>
        </w:tc>
        <w:tc>
          <w:tcPr>
            <w:tcW w:w="586" w:type="dxa"/>
            <w:tcMar>
              <w:left w:w="85" w:type="dxa"/>
              <w:right w:w="85"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3" w:type="dxa"/>
            <w:tcMar>
              <w:left w:w="108"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0" w:type="dxa"/>
            <w:tcMar>
              <w:left w:w="108" w:type="dxa"/>
            </w:tcMar>
            <w:vAlign w:val="center"/>
          </w:tcPr>
          <w:p w:rsidR="00C406E6" w:rsidRPr="003F5832"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406E6" w:rsidRPr="007B316E" w:rsidTr="00D73E98">
        <w:trPr>
          <w:cantSplit/>
          <w:trHeight w:val="20"/>
        </w:trPr>
        <w:tc>
          <w:tcPr>
            <w:tcW w:w="680" w:type="dxa"/>
          </w:tcPr>
          <w:p w:rsidR="00C406E6" w:rsidRPr="00A542EC" w:rsidRDefault="00C406E6" w:rsidP="00D73E98">
            <w:pPr>
              <w:jc w:val="center"/>
              <w:rPr>
                <w:b/>
                <w:lang w:val="it-IT"/>
              </w:rPr>
            </w:pPr>
            <w:r w:rsidRPr="00A542EC">
              <w:rPr>
                <w:b/>
                <w:lang w:val="it-IT"/>
              </w:rPr>
              <w:t>1</w:t>
            </w:r>
            <w:r>
              <w:rPr>
                <w:b/>
                <w:lang w:val="it-IT"/>
              </w:rPr>
              <w:t>2</w:t>
            </w:r>
            <w:r w:rsidRPr="00A542EC">
              <w:rPr>
                <w:b/>
                <w:lang w:val="it-IT"/>
              </w:rPr>
              <w:t>)</w:t>
            </w:r>
          </w:p>
        </w:tc>
        <w:tc>
          <w:tcPr>
            <w:tcW w:w="851" w:type="dxa"/>
            <w:tcMar>
              <w:left w:w="108" w:type="dxa"/>
              <w:right w:w="0" w:type="dxa"/>
            </w:tcMar>
          </w:tcPr>
          <w:p w:rsidR="00C406E6" w:rsidRPr="009F10BA" w:rsidRDefault="00C406E6" w:rsidP="00D73E98">
            <w:pPr>
              <w:pStyle w:val="PrincCont"/>
              <w:jc w:val="left"/>
              <w:rPr>
                <w:lang w:val="it-IT"/>
              </w:rPr>
            </w:pPr>
            <w:r w:rsidRPr="009F10BA">
              <w:rPr>
                <w:lang w:val="it-IT"/>
              </w:rPr>
              <w:t>OIC 14.12</w:t>
            </w:r>
          </w:p>
        </w:tc>
        <w:tc>
          <w:tcPr>
            <w:tcW w:w="7060" w:type="dxa"/>
            <w:tcMar>
              <w:left w:w="108" w:type="dxa"/>
            </w:tcMar>
          </w:tcPr>
          <w:p w:rsidR="00C406E6" w:rsidRPr="009F10BA" w:rsidRDefault="00C406E6" w:rsidP="00D73E98">
            <w:pPr>
              <w:spacing w:line="230" w:lineRule="exact"/>
              <w:rPr>
                <w:lang w:val="it-IT"/>
              </w:rPr>
            </w:pPr>
            <w:r w:rsidRPr="009F10BA">
              <w:rPr>
                <w:lang w:val="it-IT"/>
              </w:rPr>
              <w:t>Se i termini di esigibilità a breve termine non sono soddisfatti i crediti sono rilevati nelle Immobilizzazioni finanziarie?</w:t>
            </w:r>
          </w:p>
        </w:tc>
        <w:tc>
          <w:tcPr>
            <w:tcW w:w="586" w:type="dxa"/>
            <w:tcMar>
              <w:left w:w="85" w:type="dxa"/>
              <w:right w:w="85"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3" w:type="dxa"/>
            <w:tcMar>
              <w:left w:w="108"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0" w:type="dxa"/>
            <w:tcMar>
              <w:left w:w="108" w:type="dxa"/>
            </w:tcMar>
            <w:vAlign w:val="center"/>
          </w:tcPr>
          <w:p w:rsidR="00C406E6" w:rsidRPr="003F5832"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406E6" w:rsidRPr="007B316E" w:rsidTr="00D73E98">
        <w:trPr>
          <w:cantSplit/>
          <w:trHeight w:val="20"/>
        </w:trPr>
        <w:tc>
          <w:tcPr>
            <w:tcW w:w="680" w:type="dxa"/>
          </w:tcPr>
          <w:p w:rsidR="00C406E6" w:rsidRPr="00A542EC" w:rsidRDefault="00C406E6" w:rsidP="00D73E98">
            <w:pPr>
              <w:jc w:val="center"/>
              <w:rPr>
                <w:b/>
                <w:lang w:val="it-IT"/>
              </w:rPr>
            </w:pPr>
            <w:r w:rsidRPr="00A542EC">
              <w:rPr>
                <w:b/>
                <w:lang w:val="it-IT"/>
              </w:rPr>
              <w:t>1</w:t>
            </w:r>
            <w:r>
              <w:rPr>
                <w:b/>
                <w:lang w:val="it-IT"/>
              </w:rPr>
              <w:t>3</w:t>
            </w:r>
            <w:r w:rsidRPr="00A542EC">
              <w:rPr>
                <w:b/>
                <w:lang w:val="it-IT"/>
              </w:rPr>
              <w:t>)</w:t>
            </w:r>
          </w:p>
        </w:tc>
        <w:tc>
          <w:tcPr>
            <w:tcW w:w="851" w:type="dxa"/>
            <w:tcMar>
              <w:left w:w="108" w:type="dxa"/>
              <w:right w:w="0" w:type="dxa"/>
            </w:tcMar>
          </w:tcPr>
          <w:p w:rsidR="00C406E6" w:rsidRPr="009F10BA" w:rsidRDefault="00C406E6" w:rsidP="00D73E98">
            <w:pPr>
              <w:pStyle w:val="PrincCont"/>
              <w:jc w:val="left"/>
              <w:rPr>
                <w:lang w:val="it-IT"/>
              </w:rPr>
            </w:pPr>
            <w:r w:rsidRPr="009F10BA">
              <w:rPr>
                <w:lang w:val="it-IT"/>
              </w:rPr>
              <w:t>OIC 14.12</w:t>
            </w:r>
          </w:p>
        </w:tc>
        <w:tc>
          <w:tcPr>
            <w:tcW w:w="7060" w:type="dxa"/>
            <w:tcMar>
              <w:left w:w="108" w:type="dxa"/>
            </w:tcMar>
          </w:tcPr>
          <w:p w:rsidR="00C406E6" w:rsidRPr="009F10BA" w:rsidRDefault="00C406E6" w:rsidP="00D73E98">
            <w:pPr>
              <w:spacing w:line="230" w:lineRule="exact"/>
              <w:rPr>
                <w:lang w:val="it-IT"/>
              </w:rPr>
            </w:pPr>
            <w:r w:rsidRPr="009F10BA">
              <w:rPr>
                <w:lang w:val="it-IT"/>
              </w:rPr>
              <w:t>Le eventuali svalutazioni e rivalutazioni di tali crediti sono iscritte in voci specifiche della sezione D) del conto economico, denominate rispettivamente “</w:t>
            </w:r>
            <w:r w:rsidRPr="009F10BA">
              <w:rPr>
                <w:i/>
                <w:lang w:val="it-IT"/>
              </w:rPr>
              <w:t>svalutazioni di attività finanziarie per la gestione accentrata della tesoreria</w:t>
            </w:r>
            <w:r w:rsidRPr="009F10BA">
              <w:rPr>
                <w:lang w:val="it-IT"/>
              </w:rPr>
              <w:t>” e “</w:t>
            </w:r>
            <w:r w:rsidRPr="009F10BA">
              <w:rPr>
                <w:i/>
                <w:lang w:val="it-IT"/>
              </w:rPr>
              <w:t>rivalutazioni di attività finanziarie per la gestione accentrata della tesoreria</w:t>
            </w:r>
            <w:r w:rsidRPr="009F10BA">
              <w:rPr>
                <w:lang w:val="it-IT"/>
              </w:rPr>
              <w:t>” con indicazione della controparte (ad esempio controllante, controllata)?</w:t>
            </w:r>
          </w:p>
        </w:tc>
        <w:tc>
          <w:tcPr>
            <w:tcW w:w="586" w:type="dxa"/>
            <w:tcMar>
              <w:left w:w="85" w:type="dxa"/>
              <w:right w:w="85"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3" w:type="dxa"/>
            <w:tcMar>
              <w:left w:w="108"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0" w:type="dxa"/>
            <w:tcMar>
              <w:left w:w="108" w:type="dxa"/>
            </w:tcMar>
            <w:vAlign w:val="center"/>
          </w:tcPr>
          <w:p w:rsidR="00C406E6" w:rsidRPr="003F5832"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406E6" w:rsidRPr="007B316E" w:rsidTr="00D73E98">
        <w:trPr>
          <w:cantSplit/>
          <w:trHeight w:val="20"/>
        </w:trPr>
        <w:tc>
          <w:tcPr>
            <w:tcW w:w="680" w:type="dxa"/>
          </w:tcPr>
          <w:p w:rsidR="00C406E6" w:rsidRPr="00A542EC" w:rsidRDefault="00C406E6" w:rsidP="00D73E98">
            <w:pPr>
              <w:jc w:val="center"/>
              <w:rPr>
                <w:b/>
                <w:lang w:val="it-IT"/>
              </w:rPr>
            </w:pPr>
            <w:r w:rsidRPr="00A542EC">
              <w:rPr>
                <w:b/>
                <w:lang w:val="it-IT"/>
              </w:rPr>
              <w:t>1</w:t>
            </w:r>
            <w:r>
              <w:rPr>
                <w:b/>
                <w:lang w:val="it-IT"/>
              </w:rPr>
              <w:t>4</w:t>
            </w:r>
            <w:r w:rsidRPr="00A542EC">
              <w:rPr>
                <w:b/>
                <w:lang w:val="it-IT"/>
              </w:rPr>
              <w:t>)</w:t>
            </w:r>
          </w:p>
        </w:tc>
        <w:tc>
          <w:tcPr>
            <w:tcW w:w="851" w:type="dxa"/>
            <w:tcMar>
              <w:left w:w="108" w:type="dxa"/>
              <w:right w:w="0" w:type="dxa"/>
            </w:tcMar>
          </w:tcPr>
          <w:p w:rsidR="00C406E6" w:rsidRPr="009F10BA" w:rsidRDefault="00C406E6" w:rsidP="00D73E98">
            <w:pPr>
              <w:pStyle w:val="PrincCont"/>
              <w:jc w:val="left"/>
              <w:rPr>
                <w:lang w:val="it-IT"/>
              </w:rPr>
            </w:pPr>
            <w:r w:rsidRPr="009F10BA">
              <w:rPr>
                <w:lang w:val="it-IT"/>
              </w:rPr>
              <w:t>OIC 14.12</w:t>
            </w:r>
          </w:p>
        </w:tc>
        <w:tc>
          <w:tcPr>
            <w:tcW w:w="7060" w:type="dxa"/>
            <w:tcMar>
              <w:left w:w="108" w:type="dxa"/>
            </w:tcMar>
          </w:tcPr>
          <w:p w:rsidR="00C406E6" w:rsidRPr="009F10BA" w:rsidRDefault="00C406E6" w:rsidP="00D73E98">
            <w:pPr>
              <w:spacing w:line="230" w:lineRule="exact"/>
              <w:rPr>
                <w:lang w:val="it-IT"/>
              </w:rPr>
            </w:pPr>
            <w:r w:rsidRPr="009F10BA">
              <w:rPr>
                <w:lang w:val="it-IT"/>
              </w:rPr>
              <w:t>Nel bilancio delle singole società partecipanti ad una gestione di tesoreria accentrata, i debiti che si generano sono classificati secondo quanto previsto dall’OIC 19 “Debiti”?</w:t>
            </w:r>
          </w:p>
        </w:tc>
        <w:tc>
          <w:tcPr>
            <w:tcW w:w="586" w:type="dxa"/>
            <w:tcMar>
              <w:left w:w="85" w:type="dxa"/>
              <w:right w:w="85"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3" w:type="dxa"/>
            <w:tcMar>
              <w:left w:w="108"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0" w:type="dxa"/>
            <w:tcMar>
              <w:left w:w="108" w:type="dxa"/>
            </w:tcMar>
            <w:vAlign w:val="center"/>
          </w:tcPr>
          <w:p w:rsidR="00C406E6" w:rsidRPr="003F5832"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406E6" w:rsidRPr="00CC242B" w:rsidTr="00D73E98">
        <w:trPr>
          <w:cantSplit/>
          <w:trHeight w:val="20"/>
        </w:trPr>
        <w:tc>
          <w:tcPr>
            <w:tcW w:w="680" w:type="dxa"/>
          </w:tcPr>
          <w:p w:rsidR="00C406E6" w:rsidRPr="008A0F36" w:rsidRDefault="00C406E6" w:rsidP="00D73E98">
            <w:pPr>
              <w:jc w:val="center"/>
              <w:rPr>
                <w:lang w:val="it-IT"/>
              </w:rPr>
            </w:pPr>
          </w:p>
        </w:tc>
        <w:tc>
          <w:tcPr>
            <w:tcW w:w="851" w:type="dxa"/>
            <w:tcMar>
              <w:left w:w="108" w:type="dxa"/>
              <w:right w:w="0" w:type="dxa"/>
            </w:tcMar>
          </w:tcPr>
          <w:p w:rsidR="00C406E6" w:rsidRPr="008A0F36" w:rsidRDefault="00C406E6" w:rsidP="00D73E98">
            <w:pPr>
              <w:pStyle w:val="PrincCont"/>
              <w:jc w:val="left"/>
              <w:rPr>
                <w:lang w:val="it-IT"/>
              </w:rPr>
            </w:pPr>
          </w:p>
        </w:tc>
        <w:tc>
          <w:tcPr>
            <w:tcW w:w="7060" w:type="dxa"/>
            <w:tcMar>
              <w:left w:w="108" w:type="dxa"/>
            </w:tcMar>
          </w:tcPr>
          <w:p w:rsidR="00C406E6" w:rsidRPr="007B316E" w:rsidRDefault="00C406E6" w:rsidP="00D73E98">
            <w:pPr>
              <w:pStyle w:val="Titolo2"/>
              <w:rPr>
                <w:lang w:val="it-IT"/>
              </w:rPr>
            </w:pPr>
            <w:r w:rsidRPr="007B316E">
              <w:rPr>
                <w:lang w:val="it-IT"/>
              </w:rPr>
              <w:t>Rilevazione iniziale</w:t>
            </w:r>
            <w:r>
              <w:rPr>
                <w:lang w:val="it-IT"/>
              </w:rPr>
              <w:t xml:space="preserve"> e valutazioni successive</w:t>
            </w:r>
          </w:p>
        </w:tc>
        <w:tc>
          <w:tcPr>
            <w:tcW w:w="586" w:type="dxa"/>
            <w:tcMar>
              <w:left w:w="85" w:type="dxa"/>
              <w:right w:w="85" w:type="dxa"/>
            </w:tcMar>
            <w:vAlign w:val="center"/>
          </w:tcPr>
          <w:p w:rsidR="00C406E6" w:rsidRPr="00A32A16" w:rsidRDefault="00C406E6" w:rsidP="00D73E98">
            <w:pPr>
              <w:jc w:val="center"/>
              <w:rPr>
                <w:lang w:val="it-IT"/>
              </w:rPr>
            </w:pPr>
          </w:p>
        </w:tc>
        <w:tc>
          <w:tcPr>
            <w:tcW w:w="573" w:type="dxa"/>
            <w:tcMar>
              <w:left w:w="108" w:type="dxa"/>
            </w:tcMar>
            <w:vAlign w:val="center"/>
          </w:tcPr>
          <w:p w:rsidR="00C406E6" w:rsidRPr="00A32A16" w:rsidRDefault="00C406E6" w:rsidP="00D73E98">
            <w:pPr>
              <w:jc w:val="center"/>
              <w:rPr>
                <w:lang w:val="it-IT"/>
              </w:rPr>
            </w:pPr>
          </w:p>
        </w:tc>
        <w:tc>
          <w:tcPr>
            <w:tcW w:w="570" w:type="dxa"/>
            <w:tcMar>
              <w:left w:w="108" w:type="dxa"/>
            </w:tcMar>
            <w:vAlign w:val="center"/>
          </w:tcPr>
          <w:p w:rsidR="00C406E6" w:rsidRPr="00A32A16" w:rsidRDefault="00C406E6" w:rsidP="00D73E98">
            <w:pPr>
              <w:jc w:val="center"/>
              <w:rPr>
                <w:lang w:val="it-IT"/>
              </w:rPr>
            </w:pPr>
          </w:p>
        </w:tc>
      </w:tr>
      <w:tr w:rsidR="00C406E6" w:rsidRPr="007B316E" w:rsidTr="00D73E98">
        <w:trPr>
          <w:cantSplit/>
          <w:trHeight w:val="20"/>
        </w:trPr>
        <w:tc>
          <w:tcPr>
            <w:tcW w:w="680" w:type="dxa"/>
          </w:tcPr>
          <w:p w:rsidR="00C406E6" w:rsidRPr="00A542EC" w:rsidRDefault="00C406E6" w:rsidP="00D73E98">
            <w:pPr>
              <w:jc w:val="center"/>
              <w:rPr>
                <w:b/>
                <w:lang w:val="it-IT"/>
              </w:rPr>
            </w:pPr>
            <w:r w:rsidRPr="00A542EC">
              <w:rPr>
                <w:b/>
                <w:lang w:val="it-IT"/>
              </w:rPr>
              <w:t>1</w:t>
            </w:r>
            <w:r>
              <w:rPr>
                <w:b/>
                <w:lang w:val="it-IT"/>
              </w:rPr>
              <w:t>5</w:t>
            </w:r>
            <w:r w:rsidRPr="00A542EC">
              <w:rPr>
                <w:b/>
                <w:lang w:val="it-IT"/>
              </w:rPr>
              <w:t>)</w:t>
            </w:r>
          </w:p>
        </w:tc>
        <w:tc>
          <w:tcPr>
            <w:tcW w:w="851" w:type="dxa"/>
            <w:tcMar>
              <w:left w:w="108" w:type="dxa"/>
              <w:right w:w="0" w:type="dxa"/>
            </w:tcMar>
          </w:tcPr>
          <w:p w:rsidR="00C406E6" w:rsidRPr="008A0F36" w:rsidRDefault="00C406E6" w:rsidP="00D73E98">
            <w:pPr>
              <w:pStyle w:val="PrincCont"/>
              <w:jc w:val="left"/>
              <w:rPr>
                <w:lang w:val="it-IT"/>
              </w:rPr>
            </w:pPr>
            <w:r>
              <w:rPr>
                <w:lang w:val="it-IT"/>
              </w:rPr>
              <w:t xml:space="preserve">OIC 14.14 </w:t>
            </w:r>
          </w:p>
        </w:tc>
        <w:tc>
          <w:tcPr>
            <w:tcW w:w="7060" w:type="dxa"/>
            <w:tcMar>
              <w:left w:w="108" w:type="dxa"/>
            </w:tcMar>
          </w:tcPr>
          <w:p w:rsidR="00C406E6" w:rsidRPr="007B316E" w:rsidRDefault="00C406E6" w:rsidP="00D73E98">
            <w:pPr>
              <w:spacing w:line="230" w:lineRule="exact"/>
              <w:rPr>
                <w:lang w:val="it-IT"/>
              </w:rPr>
            </w:pPr>
            <w:r>
              <w:rPr>
                <w:lang w:val="it-IT"/>
              </w:rPr>
              <w:t>Nei conti accesi alle disponibilità liquide sono rilevati tutti i movimenti in entrata ed in uscita avvenuti entro la data del bilancio?</w:t>
            </w:r>
          </w:p>
        </w:tc>
        <w:tc>
          <w:tcPr>
            <w:tcW w:w="586" w:type="dxa"/>
            <w:tcMar>
              <w:left w:w="85" w:type="dxa"/>
              <w:right w:w="85"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3" w:type="dxa"/>
            <w:tcMar>
              <w:left w:w="108"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0" w:type="dxa"/>
            <w:tcMar>
              <w:left w:w="108" w:type="dxa"/>
            </w:tcMar>
            <w:vAlign w:val="center"/>
          </w:tcPr>
          <w:p w:rsidR="00C406E6" w:rsidRPr="003F5832"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406E6" w:rsidRPr="00343BAE" w:rsidTr="00D73E98">
        <w:trPr>
          <w:cantSplit/>
          <w:trHeight w:val="20"/>
        </w:trPr>
        <w:tc>
          <w:tcPr>
            <w:tcW w:w="680" w:type="dxa"/>
          </w:tcPr>
          <w:p w:rsidR="00C406E6" w:rsidRPr="00A542EC" w:rsidRDefault="00C406E6" w:rsidP="00D73E98">
            <w:pPr>
              <w:jc w:val="center"/>
              <w:rPr>
                <w:b/>
                <w:lang w:val="it-IT"/>
              </w:rPr>
            </w:pPr>
            <w:r w:rsidRPr="00A542EC">
              <w:rPr>
                <w:b/>
                <w:lang w:val="it-IT"/>
              </w:rPr>
              <w:t>1</w:t>
            </w:r>
            <w:r>
              <w:rPr>
                <w:b/>
                <w:lang w:val="it-IT"/>
              </w:rPr>
              <w:t>6</w:t>
            </w:r>
            <w:r w:rsidRPr="00A542EC">
              <w:rPr>
                <w:b/>
                <w:lang w:val="it-IT"/>
              </w:rPr>
              <w:t>)</w:t>
            </w:r>
          </w:p>
        </w:tc>
        <w:tc>
          <w:tcPr>
            <w:tcW w:w="851" w:type="dxa"/>
            <w:tcMar>
              <w:left w:w="108" w:type="dxa"/>
              <w:right w:w="0" w:type="dxa"/>
            </w:tcMar>
          </w:tcPr>
          <w:p w:rsidR="00C406E6" w:rsidRPr="00C909F7" w:rsidRDefault="00C406E6" w:rsidP="00D73E98">
            <w:pPr>
              <w:pStyle w:val="PrincCont"/>
              <w:jc w:val="left"/>
              <w:rPr>
                <w:lang w:val="it-IT"/>
              </w:rPr>
            </w:pPr>
            <w:r>
              <w:rPr>
                <w:lang w:val="it-IT"/>
              </w:rPr>
              <w:t>OIC 14.15</w:t>
            </w:r>
          </w:p>
        </w:tc>
        <w:tc>
          <w:tcPr>
            <w:tcW w:w="7060" w:type="dxa"/>
            <w:tcMar>
              <w:left w:w="108" w:type="dxa"/>
            </w:tcMar>
          </w:tcPr>
          <w:p w:rsidR="00C406E6" w:rsidRPr="00BD1D5C" w:rsidRDefault="00C406E6" w:rsidP="00D73E98">
            <w:pPr>
              <w:pStyle w:val="Titolo2"/>
              <w:spacing w:line="230" w:lineRule="exact"/>
              <w:jc w:val="both"/>
              <w:rPr>
                <w:b w:val="0"/>
                <w:i/>
                <w:sz w:val="20"/>
                <w:lang w:val="it-IT"/>
              </w:rPr>
            </w:pPr>
            <w:r w:rsidRPr="00BD1D5C">
              <w:rPr>
                <w:b w:val="0"/>
                <w:sz w:val="20"/>
                <w:lang w:val="it-IT"/>
              </w:rPr>
              <w:t>I saldi dei conti bancari tengono conto di tutti gli assegni emessi e dei bonifici disposti entro la data di chiusura dell’esercizio e degli incassi effettuati dalle banche od altre istituzioni creditizie ed accreditati nei conti prima della chiusura dell’esercizio, anche se la relativa documentazione bancaria è pervenuta nell’esercizio successivo?</w:t>
            </w:r>
          </w:p>
        </w:tc>
        <w:tc>
          <w:tcPr>
            <w:tcW w:w="586" w:type="dxa"/>
            <w:tcMar>
              <w:left w:w="85" w:type="dxa"/>
              <w:right w:w="85" w:type="dxa"/>
            </w:tcMar>
            <w:vAlign w:val="center"/>
          </w:tcPr>
          <w:p w:rsidR="00C406E6" w:rsidRPr="00A32A16"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3"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406E6" w:rsidRPr="00343BAE" w:rsidTr="00D73E98">
        <w:trPr>
          <w:cantSplit/>
          <w:trHeight w:val="20"/>
        </w:trPr>
        <w:tc>
          <w:tcPr>
            <w:tcW w:w="680" w:type="dxa"/>
          </w:tcPr>
          <w:p w:rsidR="00C406E6" w:rsidRPr="00A542EC" w:rsidRDefault="00C406E6" w:rsidP="00D73E98">
            <w:pPr>
              <w:jc w:val="center"/>
              <w:rPr>
                <w:b/>
                <w:lang w:val="it-IT"/>
              </w:rPr>
            </w:pPr>
            <w:r w:rsidRPr="00A542EC">
              <w:rPr>
                <w:b/>
                <w:lang w:val="it-IT"/>
              </w:rPr>
              <w:t>1</w:t>
            </w:r>
            <w:r>
              <w:rPr>
                <w:b/>
                <w:lang w:val="it-IT"/>
              </w:rPr>
              <w:t>7</w:t>
            </w:r>
            <w:r w:rsidRPr="00A542EC">
              <w:rPr>
                <w:b/>
                <w:lang w:val="it-IT"/>
              </w:rPr>
              <w:t>)</w:t>
            </w:r>
          </w:p>
        </w:tc>
        <w:tc>
          <w:tcPr>
            <w:tcW w:w="851" w:type="dxa"/>
            <w:tcMar>
              <w:left w:w="108" w:type="dxa"/>
              <w:right w:w="0" w:type="dxa"/>
            </w:tcMar>
          </w:tcPr>
          <w:p w:rsidR="00C406E6" w:rsidRPr="008A0F36" w:rsidRDefault="00C406E6" w:rsidP="00D73E98">
            <w:pPr>
              <w:pStyle w:val="PrincCont"/>
              <w:jc w:val="left"/>
              <w:rPr>
                <w:lang w:val="it-IT"/>
              </w:rPr>
            </w:pPr>
            <w:r>
              <w:rPr>
                <w:lang w:val="it-IT"/>
              </w:rPr>
              <w:t>OIC 14.16</w:t>
            </w:r>
          </w:p>
        </w:tc>
        <w:tc>
          <w:tcPr>
            <w:tcW w:w="7060" w:type="dxa"/>
            <w:tcMar>
              <w:left w:w="108" w:type="dxa"/>
            </w:tcMar>
          </w:tcPr>
          <w:p w:rsidR="00C406E6" w:rsidRPr="00DE38DC" w:rsidRDefault="00C406E6" w:rsidP="00D73E98">
            <w:pPr>
              <w:spacing w:line="230" w:lineRule="exact"/>
              <w:rPr>
                <w:lang w:val="it-IT"/>
              </w:rPr>
            </w:pPr>
            <w:r>
              <w:rPr>
                <w:lang w:val="it-IT"/>
              </w:rPr>
              <w:t>Le rimesse di numerario ricevute in cassa o in banca in data posteriore a quella di chiusura dell’esercizio, sono state rilevate come disponibilità liquide nell’esercizio successivo, anche se il loro giorno di valuta o la disposizione di pagamento da parte del debitore è anteriore alla data di bilancio?</w:t>
            </w:r>
          </w:p>
        </w:tc>
        <w:tc>
          <w:tcPr>
            <w:tcW w:w="586" w:type="dxa"/>
            <w:tcMar>
              <w:left w:w="85" w:type="dxa"/>
              <w:right w:w="85" w:type="dxa"/>
            </w:tcMar>
            <w:vAlign w:val="center"/>
          </w:tcPr>
          <w:p w:rsidR="00C406E6" w:rsidRPr="00A32A16"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3"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406E6" w:rsidRPr="00343BAE" w:rsidTr="00D73E98">
        <w:trPr>
          <w:cantSplit/>
          <w:trHeight w:val="20"/>
        </w:trPr>
        <w:tc>
          <w:tcPr>
            <w:tcW w:w="680" w:type="dxa"/>
          </w:tcPr>
          <w:p w:rsidR="00C406E6" w:rsidRPr="00A542EC" w:rsidRDefault="00C406E6" w:rsidP="00D73E98">
            <w:pPr>
              <w:jc w:val="center"/>
              <w:rPr>
                <w:b/>
                <w:lang w:val="it-IT"/>
              </w:rPr>
            </w:pPr>
            <w:r w:rsidRPr="00A542EC">
              <w:rPr>
                <w:b/>
                <w:lang w:val="it-IT"/>
              </w:rPr>
              <w:t>1</w:t>
            </w:r>
            <w:r>
              <w:rPr>
                <w:b/>
                <w:lang w:val="it-IT"/>
              </w:rPr>
              <w:t>8</w:t>
            </w:r>
            <w:r w:rsidRPr="00A542EC">
              <w:rPr>
                <w:b/>
                <w:lang w:val="it-IT"/>
              </w:rPr>
              <w:t>)</w:t>
            </w:r>
          </w:p>
        </w:tc>
        <w:tc>
          <w:tcPr>
            <w:tcW w:w="851" w:type="dxa"/>
            <w:tcMar>
              <w:left w:w="108" w:type="dxa"/>
              <w:right w:w="0" w:type="dxa"/>
            </w:tcMar>
          </w:tcPr>
          <w:p w:rsidR="00C406E6" w:rsidRDefault="00C406E6" w:rsidP="00D73E98">
            <w:pPr>
              <w:pStyle w:val="PrincCont"/>
              <w:jc w:val="left"/>
              <w:rPr>
                <w:lang w:val="it-IT"/>
              </w:rPr>
            </w:pPr>
            <w:r>
              <w:rPr>
                <w:lang w:val="it-IT"/>
              </w:rPr>
              <w:t>OIC 14.17</w:t>
            </w:r>
          </w:p>
        </w:tc>
        <w:tc>
          <w:tcPr>
            <w:tcW w:w="7060" w:type="dxa"/>
            <w:tcMar>
              <w:left w:w="108" w:type="dxa"/>
            </w:tcMar>
          </w:tcPr>
          <w:p w:rsidR="00C406E6" w:rsidRDefault="00C406E6" w:rsidP="00D73E98">
            <w:pPr>
              <w:spacing w:line="230" w:lineRule="exact"/>
              <w:rPr>
                <w:lang w:val="it-IT"/>
              </w:rPr>
            </w:pPr>
            <w:r>
              <w:rPr>
                <w:lang w:val="it-IT"/>
              </w:rPr>
              <w:t>La riduzione delle disponibilità liquide e la corrispondente riduzione dei debiti relativa a rimesse di numerario uscite dalla cassa o disposte con assegni o bonifici bancari in data posteriore a quella di bilancio sono state rilevate nell’esercizio successivo?</w:t>
            </w:r>
          </w:p>
        </w:tc>
        <w:tc>
          <w:tcPr>
            <w:tcW w:w="586" w:type="dxa"/>
            <w:tcMar>
              <w:left w:w="85" w:type="dxa"/>
              <w:right w:w="85" w:type="dxa"/>
            </w:tcMar>
            <w:vAlign w:val="center"/>
          </w:tcPr>
          <w:p w:rsidR="00C406E6" w:rsidRPr="00A32A16"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3"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406E6" w:rsidRPr="00343BAE" w:rsidTr="00D73E98">
        <w:trPr>
          <w:cantSplit/>
          <w:trHeight w:val="20"/>
        </w:trPr>
        <w:tc>
          <w:tcPr>
            <w:tcW w:w="680" w:type="dxa"/>
          </w:tcPr>
          <w:p w:rsidR="00C406E6" w:rsidRPr="00A542EC" w:rsidRDefault="00C406E6" w:rsidP="00D73E98">
            <w:pPr>
              <w:jc w:val="center"/>
              <w:rPr>
                <w:b/>
                <w:lang w:val="it-IT"/>
              </w:rPr>
            </w:pPr>
            <w:r w:rsidRPr="00A542EC">
              <w:rPr>
                <w:b/>
                <w:lang w:val="it-IT"/>
              </w:rPr>
              <w:t>1</w:t>
            </w:r>
            <w:r>
              <w:rPr>
                <w:b/>
                <w:lang w:val="it-IT"/>
              </w:rPr>
              <w:t>9</w:t>
            </w:r>
            <w:r w:rsidRPr="00A542EC">
              <w:rPr>
                <w:b/>
                <w:lang w:val="it-IT"/>
              </w:rPr>
              <w:t>)</w:t>
            </w:r>
          </w:p>
        </w:tc>
        <w:tc>
          <w:tcPr>
            <w:tcW w:w="851" w:type="dxa"/>
            <w:tcMar>
              <w:left w:w="108" w:type="dxa"/>
              <w:right w:w="0" w:type="dxa"/>
            </w:tcMar>
          </w:tcPr>
          <w:p w:rsidR="00C406E6" w:rsidRPr="00BD1D5C" w:rsidRDefault="00C406E6" w:rsidP="00D73E98">
            <w:pPr>
              <w:pStyle w:val="PrincCont"/>
              <w:jc w:val="left"/>
            </w:pPr>
            <w:r>
              <w:t>Art. 2423-ter, c.6 CC       OIC 14.18</w:t>
            </w:r>
          </w:p>
        </w:tc>
        <w:tc>
          <w:tcPr>
            <w:tcW w:w="7060" w:type="dxa"/>
            <w:tcMar>
              <w:left w:w="108" w:type="dxa"/>
            </w:tcMar>
          </w:tcPr>
          <w:p w:rsidR="00C406E6" w:rsidRDefault="00C406E6" w:rsidP="00D73E98">
            <w:pPr>
              <w:spacing w:line="230" w:lineRule="exact"/>
              <w:rPr>
                <w:lang w:val="it-IT"/>
              </w:rPr>
            </w:pPr>
            <w:r>
              <w:rPr>
                <w:lang w:val="it-IT"/>
              </w:rPr>
              <w:t>E’ stato rispettato il divieto di compensazione tra conti correnti attivi e passivi anche se della stessa natura e tenuti presso la stessa banca?</w:t>
            </w:r>
          </w:p>
        </w:tc>
        <w:tc>
          <w:tcPr>
            <w:tcW w:w="586" w:type="dxa"/>
            <w:tcMar>
              <w:left w:w="85" w:type="dxa"/>
              <w:right w:w="85" w:type="dxa"/>
            </w:tcMar>
            <w:vAlign w:val="center"/>
          </w:tcPr>
          <w:p w:rsidR="00C406E6" w:rsidRPr="00A32A16"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CA1681">
              <w:rPr>
                <w:lang w:val="it-IT"/>
              </w:rPr>
            </w:r>
            <w:r w:rsidR="00CA1681">
              <w:rPr>
                <w:lang w:val="it-IT"/>
              </w:rPr>
              <w:fldChar w:fldCharType="separate"/>
            </w:r>
            <w:r w:rsidRPr="00AB30DE">
              <w:rPr>
                <w:lang w:val="it-IT"/>
              </w:rPr>
              <w:fldChar w:fldCharType="end"/>
            </w:r>
          </w:p>
        </w:tc>
        <w:tc>
          <w:tcPr>
            <w:tcW w:w="573"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406E6" w:rsidRPr="00CC242B" w:rsidTr="00D73E98">
        <w:trPr>
          <w:cantSplit/>
          <w:trHeight w:val="20"/>
        </w:trPr>
        <w:tc>
          <w:tcPr>
            <w:tcW w:w="680" w:type="dxa"/>
          </w:tcPr>
          <w:p w:rsidR="00C406E6" w:rsidRPr="00A542EC" w:rsidRDefault="00C406E6" w:rsidP="00D73E98">
            <w:pPr>
              <w:jc w:val="center"/>
              <w:rPr>
                <w:b/>
                <w:lang w:val="it-IT"/>
              </w:rPr>
            </w:pPr>
            <w:r>
              <w:rPr>
                <w:b/>
                <w:lang w:val="it-IT"/>
              </w:rPr>
              <w:t>20</w:t>
            </w:r>
            <w:r w:rsidRPr="00A542EC">
              <w:rPr>
                <w:b/>
                <w:lang w:val="it-IT"/>
              </w:rPr>
              <w:t>)</w:t>
            </w:r>
          </w:p>
        </w:tc>
        <w:tc>
          <w:tcPr>
            <w:tcW w:w="851" w:type="dxa"/>
            <w:tcMar>
              <w:left w:w="108" w:type="dxa"/>
              <w:right w:w="0" w:type="dxa"/>
            </w:tcMar>
          </w:tcPr>
          <w:p w:rsidR="00C406E6" w:rsidRPr="008A0F36" w:rsidRDefault="00C406E6" w:rsidP="00D73E98">
            <w:pPr>
              <w:pStyle w:val="PrincCont"/>
              <w:jc w:val="left"/>
              <w:rPr>
                <w:lang w:val="it-IT"/>
              </w:rPr>
            </w:pPr>
            <w:r>
              <w:rPr>
                <w:lang w:val="it-IT"/>
              </w:rPr>
              <w:t>OIC 14.19</w:t>
            </w:r>
          </w:p>
        </w:tc>
        <w:tc>
          <w:tcPr>
            <w:tcW w:w="7060" w:type="dxa"/>
            <w:tcMar>
              <w:left w:w="108" w:type="dxa"/>
            </w:tcMar>
          </w:tcPr>
          <w:p w:rsidR="00C406E6" w:rsidRPr="00AD6E2D" w:rsidRDefault="00C406E6" w:rsidP="00D73E98">
            <w:pPr>
              <w:spacing w:line="230" w:lineRule="exact"/>
              <w:rPr>
                <w:lang w:val="it-IT"/>
              </w:rPr>
            </w:pPr>
            <w:r>
              <w:rPr>
                <w:lang w:val="it-IT"/>
              </w:rPr>
              <w:t>Le disponibilità liquide sono state valutate secondo i seguenti criteri:</w:t>
            </w:r>
          </w:p>
        </w:tc>
        <w:tc>
          <w:tcPr>
            <w:tcW w:w="586" w:type="dxa"/>
            <w:tcMar>
              <w:left w:w="85" w:type="dxa"/>
              <w:right w:w="85" w:type="dxa"/>
            </w:tcMar>
            <w:vAlign w:val="center"/>
          </w:tcPr>
          <w:p w:rsidR="00C406E6" w:rsidRPr="00FF19F7" w:rsidRDefault="00C406E6" w:rsidP="00D73E98">
            <w:pPr>
              <w:jc w:val="center"/>
              <w:rPr>
                <w:lang w:val="it-IT"/>
              </w:rPr>
            </w:pPr>
          </w:p>
        </w:tc>
        <w:tc>
          <w:tcPr>
            <w:tcW w:w="573" w:type="dxa"/>
            <w:tcMar>
              <w:left w:w="108" w:type="dxa"/>
            </w:tcMar>
            <w:vAlign w:val="center"/>
          </w:tcPr>
          <w:p w:rsidR="00C406E6" w:rsidRPr="00BD1D5C" w:rsidRDefault="00C406E6" w:rsidP="00D73E98">
            <w:pPr>
              <w:jc w:val="center"/>
              <w:rPr>
                <w:lang w:val="it-IT"/>
              </w:rPr>
            </w:pPr>
          </w:p>
        </w:tc>
        <w:tc>
          <w:tcPr>
            <w:tcW w:w="570" w:type="dxa"/>
            <w:tcMar>
              <w:left w:w="108" w:type="dxa"/>
            </w:tcMar>
            <w:vAlign w:val="center"/>
          </w:tcPr>
          <w:p w:rsidR="00C406E6" w:rsidRPr="00BD1D5C" w:rsidRDefault="00C406E6" w:rsidP="00D73E98">
            <w:pPr>
              <w:jc w:val="center"/>
              <w:rPr>
                <w:lang w:val="it-IT"/>
              </w:rPr>
            </w:pPr>
          </w:p>
        </w:tc>
      </w:tr>
      <w:tr w:rsidR="00C406E6" w:rsidRPr="004B1048" w:rsidTr="00D73E98">
        <w:trPr>
          <w:cantSplit/>
          <w:trHeight w:val="20"/>
        </w:trPr>
        <w:tc>
          <w:tcPr>
            <w:tcW w:w="680" w:type="dxa"/>
          </w:tcPr>
          <w:p w:rsidR="00C406E6" w:rsidRPr="00A542EC" w:rsidRDefault="00C406E6" w:rsidP="00D73E98">
            <w:pPr>
              <w:jc w:val="center"/>
              <w:rPr>
                <w:b/>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tcPr>
          <w:p w:rsidR="00C406E6" w:rsidRPr="004B1048" w:rsidRDefault="00C406E6" w:rsidP="00032976">
            <w:pPr>
              <w:pStyle w:val="rientrotrattinook"/>
              <w:numPr>
                <w:ilvl w:val="0"/>
                <w:numId w:val="39"/>
              </w:numPr>
              <w:ind w:left="460" w:hanging="284"/>
            </w:pPr>
            <w:r>
              <w:t>depositi bancari, postali e gli assegni (di conto corrente, circolari e assimilati): al presumibile valore di realizzo?</w:t>
            </w:r>
          </w:p>
        </w:tc>
        <w:tc>
          <w:tcPr>
            <w:tcW w:w="586" w:type="dxa"/>
            <w:tcMar>
              <w:left w:w="85" w:type="dxa"/>
              <w:right w:w="85" w:type="dxa"/>
            </w:tcMar>
            <w:vAlign w:val="center"/>
          </w:tcPr>
          <w:p w:rsidR="00C406E6" w:rsidRPr="00FF19F7"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406E6" w:rsidRDefault="00C406E6"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C406E6" w:rsidRDefault="00C406E6"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C406E6" w:rsidRPr="00CC242B" w:rsidTr="00D73E98">
        <w:trPr>
          <w:cantSplit/>
          <w:trHeight w:val="20"/>
        </w:trPr>
        <w:tc>
          <w:tcPr>
            <w:tcW w:w="680" w:type="dxa"/>
          </w:tcPr>
          <w:p w:rsidR="00C406E6" w:rsidRDefault="00C406E6" w:rsidP="00D73E98">
            <w:pPr>
              <w:jc w:val="center"/>
              <w:rPr>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tcPr>
          <w:p w:rsidR="00C406E6" w:rsidRPr="00492518" w:rsidRDefault="00C406E6" w:rsidP="00D73E98">
            <w:pPr>
              <w:pStyle w:val="Commentiriquadro"/>
              <w:rPr>
                <w:lang w:eastAsia="it-IT"/>
              </w:rPr>
            </w:pPr>
            <w:r>
              <w:rPr>
                <w:lang w:eastAsia="it-IT"/>
              </w:rPr>
              <w:t>Il presumibile valore di realizzo, normalmente, coincide col valore nominale, mentre nelle situazioni di difficile esigibilità è esposto lo stimato valore netto di realizzo.</w:t>
            </w:r>
          </w:p>
        </w:tc>
        <w:tc>
          <w:tcPr>
            <w:tcW w:w="586" w:type="dxa"/>
            <w:tcMar>
              <w:left w:w="85" w:type="dxa"/>
              <w:right w:w="85" w:type="dxa"/>
            </w:tcMar>
            <w:vAlign w:val="center"/>
          </w:tcPr>
          <w:p w:rsidR="00C406E6" w:rsidRPr="008A74BA" w:rsidRDefault="00C406E6" w:rsidP="00D73E98">
            <w:pPr>
              <w:jc w:val="center"/>
              <w:rPr>
                <w:lang w:val="it-IT"/>
              </w:rPr>
            </w:pPr>
          </w:p>
        </w:tc>
        <w:tc>
          <w:tcPr>
            <w:tcW w:w="573" w:type="dxa"/>
            <w:tcMar>
              <w:left w:w="108" w:type="dxa"/>
            </w:tcMar>
            <w:vAlign w:val="center"/>
          </w:tcPr>
          <w:p w:rsidR="00C406E6" w:rsidRPr="008A74BA" w:rsidRDefault="00C406E6" w:rsidP="00D73E98">
            <w:pPr>
              <w:jc w:val="center"/>
              <w:rPr>
                <w:lang w:val="it-IT"/>
              </w:rPr>
            </w:pPr>
          </w:p>
        </w:tc>
        <w:tc>
          <w:tcPr>
            <w:tcW w:w="570" w:type="dxa"/>
            <w:tcMar>
              <w:left w:w="108" w:type="dxa"/>
            </w:tcMar>
            <w:vAlign w:val="center"/>
          </w:tcPr>
          <w:p w:rsidR="00C406E6" w:rsidRPr="008A74BA" w:rsidRDefault="00C406E6" w:rsidP="00D73E98">
            <w:pPr>
              <w:jc w:val="center"/>
              <w:rPr>
                <w:lang w:val="it-IT"/>
              </w:rPr>
            </w:pPr>
          </w:p>
        </w:tc>
      </w:tr>
      <w:tr w:rsidR="00C406E6" w:rsidRPr="00987B51" w:rsidTr="00D73E98">
        <w:trPr>
          <w:cantSplit/>
          <w:trHeight w:val="20"/>
        </w:trPr>
        <w:tc>
          <w:tcPr>
            <w:tcW w:w="680" w:type="dxa"/>
          </w:tcPr>
          <w:p w:rsidR="00C406E6" w:rsidRDefault="00C406E6" w:rsidP="00D73E98">
            <w:pPr>
              <w:jc w:val="center"/>
              <w:rPr>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tcPr>
          <w:p w:rsidR="00C406E6" w:rsidRPr="004B1048" w:rsidRDefault="00C406E6" w:rsidP="00032976">
            <w:pPr>
              <w:pStyle w:val="rientrotrattinook"/>
              <w:numPr>
                <w:ilvl w:val="0"/>
                <w:numId w:val="39"/>
              </w:numPr>
              <w:ind w:left="460" w:hanging="284"/>
            </w:pPr>
            <w:r>
              <w:t>denaro e valori bollati in cassa: al valore nominale?</w:t>
            </w:r>
          </w:p>
        </w:tc>
        <w:tc>
          <w:tcPr>
            <w:tcW w:w="586" w:type="dxa"/>
            <w:tcMar>
              <w:left w:w="85" w:type="dxa"/>
              <w:right w:w="85" w:type="dxa"/>
            </w:tcMar>
            <w:vAlign w:val="center"/>
          </w:tcPr>
          <w:p w:rsidR="00C406E6" w:rsidRPr="00FF19F7"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406E6" w:rsidRDefault="00C406E6"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C406E6" w:rsidRDefault="00C406E6"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C406E6" w:rsidRPr="00987B51" w:rsidTr="00D73E98">
        <w:trPr>
          <w:cantSplit/>
          <w:trHeight w:val="20"/>
        </w:trPr>
        <w:tc>
          <w:tcPr>
            <w:tcW w:w="680" w:type="dxa"/>
          </w:tcPr>
          <w:p w:rsidR="00C406E6" w:rsidRDefault="00C406E6" w:rsidP="00D73E98">
            <w:pPr>
              <w:jc w:val="center"/>
              <w:rPr>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tcPr>
          <w:p w:rsidR="00C406E6" w:rsidRPr="004B1048" w:rsidRDefault="00C406E6" w:rsidP="00032976">
            <w:pPr>
              <w:pStyle w:val="rientrotrattinook"/>
              <w:numPr>
                <w:ilvl w:val="0"/>
                <w:numId w:val="39"/>
              </w:numPr>
              <w:ind w:left="460" w:hanging="284"/>
            </w:pPr>
            <w:r>
              <w:t>disponibilità in valuta estera: al cambio in vigore alla data di chiusura dell’esercizio?</w:t>
            </w:r>
          </w:p>
        </w:tc>
        <w:tc>
          <w:tcPr>
            <w:tcW w:w="586" w:type="dxa"/>
            <w:tcMar>
              <w:left w:w="85" w:type="dxa"/>
              <w:right w:w="85" w:type="dxa"/>
            </w:tcMar>
            <w:vAlign w:val="center"/>
          </w:tcPr>
          <w:p w:rsidR="00C406E6" w:rsidRPr="00FF19F7"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406E6" w:rsidRDefault="00C406E6"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C406E6" w:rsidRDefault="00C406E6"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C406E6" w:rsidRPr="00B94B6C" w:rsidTr="00D73E98">
        <w:trPr>
          <w:cantSplit/>
          <w:trHeight w:val="20"/>
        </w:trPr>
        <w:tc>
          <w:tcPr>
            <w:tcW w:w="680" w:type="dxa"/>
          </w:tcPr>
          <w:p w:rsidR="00C406E6" w:rsidRPr="008A0F36" w:rsidRDefault="00C406E6" w:rsidP="00D73E98">
            <w:pPr>
              <w:jc w:val="center"/>
              <w:rPr>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tcPr>
          <w:p w:rsidR="00C406E6" w:rsidRPr="00B94B6C" w:rsidRDefault="00C406E6" w:rsidP="00D73E98">
            <w:pPr>
              <w:pStyle w:val="Titolo2"/>
            </w:pPr>
            <w:r>
              <w:t>Nota Integrativa</w:t>
            </w:r>
          </w:p>
        </w:tc>
        <w:tc>
          <w:tcPr>
            <w:tcW w:w="586" w:type="dxa"/>
            <w:tcMar>
              <w:left w:w="85" w:type="dxa"/>
              <w:right w:w="85" w:type="dxa"/>
            </w:tcMar>
            <w:vAlign w:val="center"/>
          </w:tcPr>
          <w:p w:rsidR="00C406E6" w:rsidRPr="00B94B6C" w:rsidRDefault="00C406E6" w:rsidP="00D73E98">
            <w:pPr>
              <w:jc w:val="center"/>
              <w:rPr>
                <w:lang w:val="it-IT"/>
              </w:rPr>
            </w:pPr>
          </w:p>
        </w:tc>
        <w:tc>
          <w:tcPr>
            <w:tcW w:w="573" w:type="dxa"/>
            <w:tcMar>
              <w:left w:w="108" w:type="dxa"/>
            </w:tcMar>
            <w:vAlign w:val="center"/>
          </w:tcPr>
          <w:p w:rsidR="00C406E6" w:rsidRPr="00B94B6C" w:rsidRDefault="00C406E6" w:rsidP="00D73E98">
            <w:pPr>
              <w:jc w:val="center"/>
              <w:rPr>
                <w:lang w:val="it-IT"/>
              </w:rPr>
            </w:pPr>
          </w:p>
        </w:tc>
        <w:tc>
          <w:tcPr>
            <w:tcW w:w="570" w:type="dxa"/>
            <w:tcMar>
              <w:left w:w="108" w:type="dxa"/>
            </w:tcMar>
            <w:vAlign w:val="center"/>
          </w:tcPr>
          <w:p w:rsidR="00C406E6" w:rsidRPr="00B94B6C" w:rsidRDefault="00C406E6" w:rsidP="00D73E98">
            <w:pPr>
              <w:jc w:val="center"/>
              <w:rPr>
                <w:lang w:val="it-IT"/>
              </w:rPr>
            </w:pPr>
          </w:p>
        </w:tc>
      </w:tr>
      <w:tr w:rsidR="00C406E6" w:rsidRPr="00CC242B" w:rsidTr="00D73E98">
        <w:trPr>
          <w:cantSplit/>
          <w:trHeight w:val="20"/>
        </w:trPr>
        <w:tc>
          <w:tcPr>
            <w:tcW w:w="680" w:type="dxa"/>
          </w:tcPr>
          <w:p w:rsidR="00C406E6" w:rsidRPr="008A0F36" w:rsidRDefault="00C406E6" w:rsidP="00D73E98">
            <w:pPr>
              <w:jc w:val="center"/>
              <w:rPr>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tcPr>
          <w:p w:rsidR="00C406E6" w:rsidRPr="00863143" w:rsidRDefault="00C406E6" w:rsidP="00D73E98">
            <w:pPr>
              <w:pStyle w:val="Titolo2"/>
              <w:rPr>
                <w:i/>
                <w:sz w:val="20"/>
                <w:lang w:val="it-IT"/>
              </w:rPr>
            </w:pPr>
            <w:r w:rsidRPr="00863143">
              <w:rPr>
                <w:i/>
                <w:sz w:val="20"/>
                <w:lang w:val="it-IT"/>
              </w:rPr>
              <w:t>Informazioni relative alle società che redigono il bilancio in forma ordinaria</w:t>
            </w:r>
          </w:p>
        </w:tc>
        <w:tc>
          <w:tcPr>
            <w:tcW w:w="586" w:type="dxa"/>
            <w:tcMar>
              <w:left w:w="85" w:type="dxa"/>
              <w:right w:w="85" w:type="dxa"/>
            </w:tcMar>
            <w:vAlign w:val="center"/>
          </w:tcPr>
          <w:p w:rsidR="00C406E6" w:rsidRPr="00B94B6C" w:rsidRDefault="00C406E6" w:rsidP="00D73E98">
            <w:pPr>
              <w:jc w:val="center"/>
              <w:rPr>
                <w:lang w:val="it-IT"/>
              </w:rPr>
            </w:pPr>
          </w:p>
        </w:tc>
        <w:tc>
          <w:tcPr>
            <w:tcW w:w="573" w:type="dxa"/>
            <w:tcMar>
              <w:left w:w="108" w:type="dxa"/>
            </w:tcMar>
            <w:vAlign w:val="center"/>
          </w:tcPr>
          <w:p w:rsidR="00C406E6" w:rsidRPr="00B94B6C" w:rsidRDefault="00C406E6" w:rsidP="00D73E98">
            <w:pPr>
              <w:jc w:val="center"/>
              <w:rPr>
                <w:lang w:val="it-IT"/>
              </w:rPr>
            </w:pPr>
          </w:p>
        </w:tc>
        <w:tc>
          <w:tcPr>
            <w:tcW w:w="570" w:type="dxa"/>
            <w:tcMar>
              <w:left w:w="108" w:type="dxa"/>
            </w:tcMar>
            <w:vAlign w:val="center"/>
          </w:tcPr>
          <w:p w:rsidR="00C406E6" w:rsidRPr="00B94B6C" w:rsidRDefault="00C406E6" w:rsidP="00D73E98">
            <w:pPr>
              <w:jc w:val="center"/>
              <w:rPr>
                <w:lang w:val="it-IT"/>
              </w:rPr>
            </w:pPr>
          </w:p>
        </w:tc>
      </w:tr>
      <w:tr w:rsidR="00C406E6" w:rsidRPr="00CC242B" w:rsidTr="00D73E98">
        <w:trPr>
          <w:cantSplit/>
          <w:trHeight w:val="389"/>
        </w:trPr>
        <w:tc>
          <w:tcPr>
            <w:tcW w:w="680" w:type="dxa"/>
          </w:tcPr>
          <w:p w:rsidR="00C406E6" w:rsidRPr="00C802FA" w:rsidRDefault="00C406E6" w:rsidP="00D73E98">
            <w:pPr>
              <w:jc w:val="center"/>
              <w:rPr>
                <w:b/>
                <w:lang w:val="it-IT"/>
              </w:rPr>
            </w:pPr>
            <w:r w:rsidRPr="00C802FA">
              <w:rPr>
                <w:b/>
                <w:lang w:val="it-IT"/>
              </w:rPr>
              <w:t>2</w:t>
            </w:r>
            <w:r>
              <w:rPr>
                <w:b/>
                <w:lang w:val="it-IT"/>
              </w:rPr>
              <w:t>1</w:t>
            </w:r>
            <w:r w:rsidRPr="00C802FA">
              <w:rPr>
                <w:b/>
                <w:lang w:val="it-IT"/>
              </w:rPr>
              <w:t>)</w:t>
            </w:r>
          </w:p>
        </w:tc>
        <w:tc>
          <w:tcPr>
            <w:tcW w:w="851" w:type="dxa"/>
            <w:tcMar>
              <w:left w:w="108" w:type="dxa"/>
              <w:right w:w="0" w:type="dxa"/>
            </w:tcMar>
          </w:tcPr>
          <w:p w:rsidR="00C406E6" w:rsidRPr="00054AC5" w:rsidRDefault="00C406E6" w:rsidP="00D73E98">
            <w:pPr>
              <w:pStyle w:val="PrincCont"/>
              <w:jc w:val="left"/>
              <w:rPr>
                <w:lang w:val="it-IT"/>
              </w:rPr>
            </w:pPr>
            <w:r>
              <w:rPr>
                <w:lang w:val="it-IT"/>
              </w:rPr>
              <w:t>Art 2427, c.1 CC             OIC 14.20</w:t>
            </w:r>
          </w:p>
        </w:tc>
        <w:tc>
          <w:tcPr>
            <w:tcW w:w="7060" w:type="dxa"/>
            <w:tcMar>
              <w:left w:w="108" w:type="dxa"/>
            </w:tcMar>
          </w:tcPr>
          <w:p w:rsidR="00C406E6" w:rsidRPr="0039154C" w:rsidRDefault="00C406E6" w:rsidP="00D73E98">
            <w:pPr>
              <w:pStyle w:val="Puntoelenco"/>
              <w:numPr>
                <w:ilvl w:val="0"/>
                <w:numId w:val="0"/>
              </w:numPr>
              <w:spacing w:line="230" w:lineRule="exact"/>
              <w:ind w:left="34"/>
              <w:contextualSpacing w:val="0"/>
            </w:pPr>
            <w:r w:rsidRPr="0039154C">
              <w:t>Con riferime</w:t>
            </w:r>
            <w:r>
              <w:t xml:space="preserve">nto alle disponibilità liquide, sono state indicate </w:t>
            </w:r>
            <w:r w:rsidRPr="0039154C">
              <w:t>le seguenti</w:t>
            </w:r>
            <w:r>
              <w:rPr>
                <w:sz w:val="16"/>
                <w:szCs w:val="16"/>
              </w:rPr>
              <w:t xml:space="preserve"> </w:t>
            </w:r>
            <w:r w:rsidRPr="0039154C">
              <w:t xml:space="preserve">informazioni nella </w:t>
            </w:r>
            <w:r>
              <w:t>Nota Integrativa</w:t>
            </w:r>
            <w:r w:rsidRPr="0039154C">
              <w:t>:</w:t>
            </w:r>
            <w:r>
              <w:t xml:space="preserve"> </w:t>
            </w:r>
          </w:p>
        </w:tc>
        <w:tc>
          <w:tcPr>
            <w:tcW w:w="586" w:type="dxa"/>
            <w:tcMar>
              <w:left w:w="85" w:type="dxa"/>
              <w:right w:w="85" w:type="dxa"/>
            </w:tcMar>
            <w:vAlign w:val="center"/>
          </w:tcPr>
          <w:p w:rsidR="00C406E6" w:rsidRPr="00FF19F7" w:rsidRDefault="00C406E6" w:rsidP="00D73E98">
            <w:pPr>
              <w:jc w:val="center"/>
              <w:rPr>
                <w:lang w:val="it-IT"/>
              </w:rPr>
            </w:pPr>
          </w:p>
        </w:tc>
        <w:tc>
          <w:tcPr>
            <w:tcW w:w="573" w:type="dxa"/>
            <w:tcMar>
              <w:left w:w="108" w:type="dxa"/>
            </w:tcMar>
            <w:vAlign w:val="center"/>
          </w:tcPr>
          <w:p w:rsidR="00C406E6" w:rsidRPr="00DE38DC" w:rsidRDefault="00C406E6" w:rsidP="00D73E98">
            <w:pPr>
              <w:jc w:val="center"/>
              <w:rPr>
                <w:lang w:val="it-IT"/>
              </w:rPr>
            </w:pPr>
          </w:p>
        </w:tc>
        <w:tc>
          <w:tcPr>
            <w:tcW w:w="570" w:type="dxa"/>
            <w:tcMar>
              <w:left w:w="108" w:type="dxa"/>
            </w:tcMar>
            <w:vAlign w:val="center"/>
          </w:tcPr>
          <w:p w:rsidR="00C406E6" w:rsidRPr="00DE38DC" w:rsidRDefault="00C406E6" w:rsidP="00D73E98">
            <w:pPr>
              <w:jc w:val="center"/>
              <w:rPr>
                <w:lang w:val="it-IT"/>
              </w:rPr>
            </w:pPr>
          </w:p>
        </w:tc>
      </w:tr>
      <w:tr w:rsidR="00C406E6" w:rsidRPr="00ED28C3" w:rsidTr="00D73E98">
        <w:trPr>
          <w:cantSplit/>
          <w:trHeight w:val="314"/>
        </w:trPr>
        <w:tc>
          <w:tcPr>
            <w:tcW w:w="680" w:type="dxa"/>
          </w:tcPr>
          <w:p w:rsidR="00C406E6" w:rsidRPr="00C802FA" w:rsidRDefault="00C406E6" w:rsidP="00D73E98">
            <w:pPr>
              <w:jc w:val="center"/>
              <w:rPr>
                <w:b/>
                <w:lang w:val="it-IT"/>
              </w:rPr>
            </w:pPr>
          </w:p>
        </w:tc>
        <w:tc>
          <w:tcPr>
            <w:tcW w:w="851" w:type="dxa"/>
            <w:tcMar>
              <w:left w:w="108" w:type="dxa"/>
              <w:right w:w="0" w:type="dxa"/>
            </w:tcMar>
          </w:tcPr>
          <w:p w:rsidR="00C406E6" w:rsidRPr="00196924" w:rsidRDefault="00C406E6" w:rsidP="00D73E98">
            <w:pPr>
              <w:pStyle w:val="PrincCont"/>
              <w:jc w:val="left"/>
            </w:pPr>
            <w:r w:rsidRPr="00196924">
              <w:t>Art. 2427, c.1, n.1 CC</w:t>
            </w:r>
            <w:r>
              <w:t xml:space="preserve">       </w:t>
            </w:r>
            <w:r w:rsidRPr="00196924">
              <w:t>OIC 14.20</w:t>
            </w:r>
          </w:p>
        </w:tc>
        <w:tc>
          <w:tcPr>
            <w:tcW w:w="7060" w:type="dxa"/>
            <w:shd w:val="clear" w:color="auto" w:fill="auto"/>
            <w:tcMar>
              <w:left w:w="108" w:type="dxa"/>
            </w:tcMar>
          </w:tcPr>
          <w:p w:rsidR="00C406E6" w:rsidRPr="00364363" w:rsidRDefault="00032976" w:rsidP="00032976">
            <w:pPr>
              <w:pStyle w:val="rientrotrattinook"/>
              <w:numPr>
                <w:ilvl w:val="0"/>
                <w:numId w:val="0"/>
              </w:numPr>
              <w:ind w:left="460" w:hanging="284"/>
            </w:pPr>
            <w:r>
              <w:t>-</w:t>
            </w:r>
            <w:r>
              <w:tab/>
            </w:r>
            <w:r w:rsidR="00C406E6">
              <w:t>i</w:t>
            </w:r>
            <w:r w:rsidR="00C406E6" w:rsidRPr="00BA6C01">
              <w:t xml:space="preserve"> </w:t>
            </w:r>
            <w:r w:rsidR="00C406E6" w:rsidRPr="00364363">
              <w:t>criteri applicati nelle valutazioni, nelle rettifiche di valore, nella conversione dei valori non espressi all’origine in moneta avente corso legale nello Stato?</w:t>
            </w:r>
          </w:p>
        </w:tc>
        <w:tc>
          <w:tcPr>
            <w:tcW w:w="586" w:type="dxa"/>
            <w:tcMar>
              <w:left w:w="85" w:type="dxa"/>
              <w:right w:w="85" w:type="dxa"/>
            </w:tcMar>
            <w:vAlign w:val="center"/>
          </w:tcPr>
          <w:p w:rsidR="00C406E6" w:rsidRPr="00FF19F7"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C406E6" w:rsidRPr="007603AC" w:rsidTr="00D73E98">
        <w:trPr>
          <w:cantSplit/>
          <w:trHeight w:val="314"/>
        </w:trPr>
        <w:tc>
          <w:tcPr>
            <w:tcW w:w="680" w:type="dxa"/>
          </w:tcPr>
          <w:p w:rsidR="00C406E6" w:rsidRPr="00C802FA" w:rsidRDefault="00C406E6" w:rsidP="00D73E98">
            <w:pPr>
              <w:jc w:val="center"/>
              <w:rPr>
                <w:b/>
                <w:lang w:val="it-IT"/>
              </w:rPr>
            </w:pPr>
          </w:p>
        </w:tc>
        <w:tc>
          <w:tcPr>
            <w:tcW w:w="851" w:type="dxa"/>
            <w:tcMar>
              <w:left w:w="108" w:type="dxa"/>
              <w:right w:w="0" w:type="dxa"/>
            </w:tcMar>
          </w:tcPr>
          <w:p w:rsidR="00C406E6" w:rsidRPr="00196924" w:rsidRDefault="00C406E6" w:rsidP="00D73E98">
            <w:pPr>
              <w:pStyle w:val="PrincCont"/>
              <w:jc w:val="left"/>
            </w:pPr>
            <w:r w:rsidRPr="00196924">
              <w:t>Art. 2427, c.1, n.4 CC</w:t>
            </w:r>
            <w:r>
              <w:t xml:space="preserve">       </w:t>
            </w:r>
            <w:r w:rsidRPr="00196924">
              <w:t>OIC 14.20</w:t>
            </w:r>
          </w:p>
        </w:tc>
        <w:tc>
          <w:tcPr>
            <w:tcW w:w="7060" w:type="dxa"/>
            <w:shd w:val="clear" w:color="auto" w:fill="auto"/>
            <w:tcMar>
              <w:left w:w="108" w:type="dxa"/>
            </w:tcMar>
          </w:tcPr>
          <w:p w:rsidR="00C406E6" w:rsidRPr="00364363" w:rsidRDefault="00032976" w:rsidP="00032976">
            <w:pPr>
              <w:pStyle w:val="Puntoelenco"/>
              <w:numPr>
                <w:ilvl w:val="0"/>
                <w:numId w:val="0"/>
              </w:numPr>
              <w:spacing w:line="230" w:lineRule="exact"/>
              <w:ind w:left="460" w:hanging="284"/>
              <w:contextualSpacing w:val="0"/>
            </w:pPr>
            <w:r>
              <w:t>-</w:t>
            </w:r>
            <w:r>
              <w:tab/>
            </w:r>
            <w:r w:rsidR="00C406E6">
              <w:t>l</w:t>
            </w:r>
            <w:r w:rsidR="00C406E6" w:rsidRPr="00364363">
              <w:t>e variazioni intervenute nella consistenza delle altre voci dell’attivo e del passivo; in particolare per le voci del patrimonio netto, per i fondi e per il trattamento di fine rapporto,</w:t>
            </w:r>
            <w:r w:rsidR="00C406E6">
              <w:t xml:space="preserve"> </w:t>
            </w:r>
            <w:r w:rsidR="00C406E6" w:rsidRPr="00364363">
              <w:t>la formazione e le utilizzazioni?</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C406E6" w:rsidRPr="0080456E" w:rsidTr="00D73E98">
        <w:trPr>
          <w:cantSplit/>
          <w:trHeight w:val="314"/>
        </w:trPr>
        <w:tc>
          <w:tcPr>
            <w:tcW w:w="680" w:type="dxa"/>
          </w:tcPr>
          <w:p w:rsidR="00C406E6" w:rsidRPr="00C802FA" w:rsidRDefault="00C406E6" w:rsidP="00D73E98">
            <w:pPr>
              <w:jc w:val="center"/>
              <w:rPr>
                <w:b/>
                <w:lang w:val="it-IT"/>
              </w:rPr>
            </w:pPr>
          </w:p>
        </w:tc>
        <w:tc>
          <w:tcPr>
            <w:tcW w:w="851" w:type="dxa"/>
            <w:tcMar>
              <w:left w:w="108" w:type="dxa"/>
              <w:right w:w="0" w:type="dxa"/>
            </w:tcMar>
          </w:tcPr>
          <w:p w:rsidR="00C406E6" w:rsidRPr="00196924" w:rsidRDefault="00C406E6" w:rsidP="00D73E98">
            <w:pPr>
              <w:pStyle w:val="PrincCont"/>
              <w:jc w:val="left"/>
            </w:pPr>
            <w:r w:rsidRPr="00196924">
              <w:t>Art. 2427, c.1, n.9 CC</w:t>
            </w:r>
            <w:r>
              <w:t xml:space="preserve">       </w:t>
            </w:r>
            <w:r w:rsidRPr="00196924">
              <w:t>OIC 14.20</w:t>
            </w:r>
          </w:p>
        </w:tc>
        <w:tc>
          <w:tcPr>
            <w:tcW w:w="7060" w:type="dxa"/>
            <w:shd w:val="clear" w:color="auto" w:fill="auto"/>
            <w:tcMar>
              <w:left w:w="108" w:type="dxa"/>
            </w:tcMar>
          </w:tcPr>
          <w:p w:rsidR="00C406E6" w:rsidRPr="00364363" w:rsidRDefault="00032976" w:rsidP="00032976">
            <w:pPr>
              <w:pStyle w:val="Puntoelenco"/>
              <w:numPr>
                <w:ilvl w:val="0"/>
                <w:numId w:val="0"/>
              </w:numPr>
              <w:spacing w:line="230" w:lineRule="exact"/>
              <w:ind w:left="460" w:hanging="284"/>
              <w:contextualSpacing w:val="0"/>
            </w:pPr>
            <w:r>
              <w:t>-</w:t>
            </w:r>
            <w:r>
              <w:tab/>
            </w:r>
            <w:r w:rsidR="00C406E6">
              <w:t>l</w:t>
            </w:r>
            <w:r w:rsidR="00C406E6" w:rsidRPr="00364363">
              <w:t xml:space="preserve">’importo complessivo degli </w:t>
            </w:r>
            <w:r w:rsidR="00C406E6" w:rsidRPr="00364363">
              <w:rPr>
                <w:i/>
              </w:rPr>
              <w:t>impegni</w:t>
            </w:r>
            <w:r w:rsidR="00C406E6" w:rsidRPr="00364363">
              <w:t>, delle garanzie e delle passività potenziali non risultanti dallo stato patrimoniale, con indicazione della natura delle garanzie reali prestate; gli impegni esistenti in materia di trattamento di quiescenza e simili, nonché gli impegni assunti nei confronti di imprese controllate, collegate, nonché controllanti e imprese sottoposte al controllo di queste ultime sono distintamente indicati?</w:t>
            </w:r>
          </w:p>
        </w:tc>
        <w:tc>
          <w:tcPr>
            <w:tcW w:w="586" w:type="dxa"/>
            <w:tcMar>
              <w:left w:w="85" w:type="dxa"/>
              <w:right w:w="85" w:type="dxa"/>
            </w:tcMar>
            <w:vAlign w:val="center"/>
          </w:tcPr>
          <w:p w:rsidR="00C406E6" w:rsidRPr="00FF19F7"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C406E6" w:rsidRPr="00350AF3" w:rsidTr="00D73E98">
        <w:trPr>
          <w:cantSplit/>
          <w:trHeight w:val="314"/>
        </w:trPr>
        <w:tc>
          <w:tcPr>
            <w:tcW w:w="680" w:type="dxa"/>
          </w:tcPr>
          <w:p w:rsidR="00C406E6" w:rsidRPr="00C802FA" w:rsidRDefault="00C406E6" w:rsidP="00D73E98">
            <w:pPr>
              <w:jc w:val="center"/>
              <w:rPr>
                <w:b/>
                <w:lang w:val="it-IT"/>
              </w:rPr>
            </w:pPr>
          </w:p>
        </w:tc>
        <w:tc>
          <w:tcPr>
            <w:tcW w:w="851" w:type="dxa"/>
            <w:tcMar>
              <w:left w:w="108" w:type="dxa"/>
              <w:right w:w="0" w:type="dxa"/>
            </w:tcMar>
          </w:tcPr>
          <w:p w:rsidR="00C406E6" w:rsidRPr="00196924" w:rsidRDefault="00C406E6" w:rsidP="00D73E98">
            <w:pPr>
              <w:pStyle w:val="PrincCont"/>
              <w:jc w:val="left"/>
            </w:pPr>
            <w:r w:rsidRPr="00196924">
              <w:t>Art. 2427, c.1, n.22-bis CC</w:t>
            </w:r>
            <w:r>
              <w:t xml:space="preserve"> </w:t>
            </w:r>
            <w:r w:rsidRPr="00196924">
              <w:t>OIC 14.20</w:t>
            </w:r>
          </w:p>
        </w:tc>
        <w:tc>
          <w:tcPr>
            <w:tcW w:w="7060" w:type="dxa"/>
            <w:shd w:val="clear" w:color="auto" w:fill="auto"/>
            <w:tcMar>
              <w:left w:w="108" w:type="dxa"/>
            </w:tcMar>
          </w:tcPr>
          <w:p w:rsidR="00C406E6" w:rsidRPr="00364363" w:rsidRDefault="00032976" w:rsidP="00032976">
            <w:pPr>
              <w:pStyle w:val="rientrotrattinook"/>
              <w:numPr>
                <w:ilvl w:val="0"/>
                <w:numId w:val="0"/>
              </w:numPr>
              <w:ind w:left="460" w:hanging="284"/>
            </w:pPr>
            <w:r>
              <w:t>-</w:t>
            </w:r>
            <w:r>
              <w:tab/>
            </w:r>
            <w:r w:rsidR="00C406E6">
              <w:t>l</w:t>
            </w:r>
            <w:r w:rsidR="00C406E6" w:rsidRPr="00364363">
              <w:t>e operazioni realizzate con parti correlate, precisando l’importo, la natura del rapporto e ogni altra informazione necessaria per la comprens</w:t>
            </w:r>
            <w:r w:rsidR="00C406E6">
              <w:t xml:space="preserve">ione del bilancio relativa tali </w:t>
            </w:r>
            <w:r w:rsidR="00C406E6" w:rsidRPr="00364363">
              <w:t>operazioni, qualora le stesse non siano state concluse a normali condizioni di mercato)?</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C406E6" w:rsidRPr="00350AF3" w:rsidTr="00D73E98">
        <w:trPr>
          <w:cantSplit/>
          <w:trHeight w:val="314"/>
        </w:trPr>
        <w:tc>
          <w:tcPr>
            <w:tcW w:w="680" w:type="dxa"/>
          </w:tcPr>
          <w:p w:rsidR="00C406E6" w:rsidRPr="00C802FA" w:rsidRDefault="00C406E6" w:rsidP="00D73E98">
            <w:pPr>
              <w:jc w:val="center"/>
              <w:rPr>
                <w:b/>
                <w:lang w:val="it-IT"/>
              </w:rPr>
            </w:pPr>
          </w:p>
        </w:tc>
        <w:tc>
          <w:tcPr>
            <w:tcW w:w="851" w:type="dxa"/>
            <w:tcMar>
              <w:left w:w="108" w:type="dxa"/>
              <w:right w:w="0" w:type="dxa"/>
            </w:tcMar>
          </w:tcPr>
          <w:p w:rsidR="00C406E6" w:rsidRDefault="00C406E6" w:rsidP="00D73E98">
            <w:pPr>
              <w:pStyle w:val="PrincCont"/>
              <w:jc w:val="left"/>
            </w:pPr>
            <w:r>
              <w:t xml:space="preserve">Art. 2427, c.1, n.22-bis CC  </w:t>
            </w:r>
            <w:r w:rsidRPr="00FA423B">
              <w:t>OIC 14.20</w:t>
            </w:r>
          </w:p>
        </w:tc>
        <w:tc>
          <w:tcPr>
            <w:tcW w:w="7060" w:type="dxa"/>
            <w:shd w:val="clear" w:color="auto" w:fill="auto"/>
            <w:tcMar>
              <w:left w:w="108" w:type="dxa"/>
            </w:tcMar>
          </w:tcPr>
          <w:p w:rsidR="00C406E6" w:rsidRPr="00364363" w:rsidRDefault="00032976" w:rsidP="00032976">
            <w:pPr>
              <w:pStyle w:val="rientrotrattinook"/>
              <w:numPr>
                <w:ilvl w:val="0"/>
                <w:numId w:val="0"/>
              </w:numPr>
              <w:ind w:left="460" w:hanging="284"/>
            </w:pPr>
            <w:r>
              <w:t>-</w:t>
            </w:r>
            <w:r>
              <w:tab/>
            </w:r>
            <w:r w:rsidR="00C406E6">
              <w:t>l</w:t>
            </w:r>
            <w:r w:rsidR="00C406E6" w:rsidRPr="00364363">
              <w:t>a società ha aggregato le informazioni relative alle singole operazioni con parti correlate secondo la loro natura solo nel caso in cui la loro separata evidenziazione non sia necessaria per comprendere gli effetti delle operazioni medesime sulla situazione patrimoniale e finanziaria e sul risultato economico della società?</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C406E6" w:rsidRPr="00CC242B" w:rsidTr="00D73E98">
        <w:trPr>
          <w:cantSplit/>
          <w:trHeight w:val="314"/>
        </w:trPr>
        <w:tc>
          <w:tcPr>
            <w:tcW w:w="680" w:type="dxa"/>
          </w:tcPr>
          <w:p w:rsidR="00C406E6" w:rsidRPr="00C802FA" w:rsidRDefault="00C406E6" w:rsidP="00D73E98">
            <w:pPr>
              <w:jc w:val="center"/>
              <w:rPr>
                <w:b/>
                <w:lang w:val="it-IT"/>
              </w:rPr>
            </w:pPr>
            <w:r w:rsidRPr="00C802FA">
              <w:rPr>
                <w:b/>
                <w:lang w:val="it-IT"/>
              </w:rPr>
              <w:t>2</w:t>
            </w:r>
            <w:r>
              <w:rPr>
                <w:b/>
                <w:lang w:val="it-IT"/>
              </w:rPr>
              <w:t>2</w:t>
            </w:r>
            <w:r w:rsidRPr="00C802FA">
              <w:rPr>
                <w:b/>
                <w:lang w:val="it-IT"/>
              </w:rPr>
              <w:t xml:space="preserve">) </w:t>
            </w:r>
          </w:p>
        </w:tc>
        <w:tc>
          <w:tcPr>
            <w:tcW w:w="851" w:type="dxa"/>
            <w:tcMar>
              <w:left w:w="108" w:type="dxa"/>
              <w:right w:w="0" w:type="dxa"/>
            </w:tcMar>
          </w:tcPr>
          <w:p w:rsidR="00C406E6" w:rsidRPr="00196924" w:rsidRDefault="00C406E6" w:rsidP="00D73E98">
            <w:pPr>
              <w:pStyle w:val="PrincCont"/>
              <w:jc w:val="left"/>
            </w:pPr>
            <w:r w:rsidRPr="00196924">
              <w:t>Art 2427</w:t>
            </w:r>
            <w:r>
              <w:t>,</w:t>
            </w:r>
            <w:r w:rsidRPr="00196924">
              <w:t xml:space="preserve"> c.1,</w:t>
            </w:r>
            <w:r>
              <w:t xml:space="preserve"> </w:t>
            </w:r>
            <w:r w:rsidRPr="00196924">
              <w:t>n.9 CC</w:t>
            </w:r>
            <w:r>
              <w:t xml:space="preserve">       </w:t>
            </w:r>
            <w:r w:rsidRPr="00196924">
              <w:t>OIC 14.20</w:t>
            </w:r>
          </w:p>
        </w:tc>
        <w:tc>
          <w:tcPr>
            <w:tcW w:w="7060" w:type="dxa"/>
            <w:tcMar>
              <w:left w:w="108" w:type="dxa"/>
            </w:tcMar>
          </w:tcPr>
          <w:p w:rsidR="00C406E6" w:rsidRPr="00350AF3" w:rsidRDefault="00C406E6" w:rsidP="00D73E98">
            <w:pPr>
              <w:pStyle w:val="Puntoelenco"/>
              <w:numPr>
                <w:ilvl w:val="0"/>
                <w:numId w:val="0"/>
              </w:numPr>
              <w:spacing w:line="230" w:lineRule="exact"/>
              <w:ind w:left="34"/>
              <w:contextualSpacing w:val="0"/>
            </w:pPr>
            <w:r>
              <w:t>L</w:t>
            </w:r>
            <w:r w:rsidRPr="00350AF3">
              <w:t>a</w:t>
            </w:r>
            <w:r>
              <w:t xml:space="preserve"> società ha indicato in Nota Integrativa</w:t>
            </w:r>
            <w:r w:rsidRPr="00350AF3">
              <w:t>:</w:t>
            </w:r>
          </w:p>
        </w:tc>
        <w:tc>
          <w:tcPr>
            <w:tcW w:w="586" w:type="dxa"/>
            <w:tcMar>
              <w:left w:w="85" w:type="dxa"/>
              <w:right w:w="85" w:type="dxa"/>
            </w:tcMar>
            <w:vAlign w:val="center"/>
          </w:tcPr>
          <w:p w:rsidR="00C406E6" w:rsidRPr="00DE38DC" w:rsidRDefault="00C406E6" w:rsidP="00D73E98">
            <w:pPr>
              <w:jc w:val="center"/>
              <w:rPr>
                <w:lang w:val="it-IT"/>
              </w:rPr>
            </w:pPr>
          </w:p>
        </w:tc>
        <w:tc>
          <w:tcPr>
            <w:tcW w:w="573" w:type="dxa"/>
            <w:tcMar>
              <w:left w:w="108" w:type="dxa"/>
            </w:tcMar>
            <w:vAlign w:val="center"/>
          </w:tcPr>
          <w:p w:rsidR="00C406E6" w:rsidRPr="00DE38DC" w:rsidRDefault="00C406E6" w:rsidP="00D73E98">
            <w:pPr>
              <w:jc w:val="center"/>
              <w:rPr>
                <w:lang w:val="it-IT"/>
              </w:rPr>
            </w:pPr>
          </w:p>
        </w:tc>
        <w:tc>
          <w:tcPr>
            <w:tcW w:w="570" w:type="dxa"/>
            <w:tcMar>
              <w:left w:w="108" w:type="dxa"/>
            </w:tcMar>
            <w:vAlign w:val="center"/>
          </w:tcPr>
          <w:p w:rsidR="00C406E6" w:rsidRPr="00DE38DC" w:rsidRDefault="00C406E6" w:rsidP="00D73E98">
            <w:pPr>
              <w:jc w:val="center"/>
              <w:rPr>
                <w:lang w:val="it-IT"/>
              </w:rPr>
            </w:pPr>
          </w:p>
        </w:tc>
      </w:tr>
      <w:tr w:rsidR="00C406E6" w:rsidRPr="00350AF3" w:rsidTr="00D73E98">
        <w:trPr>
          <w:cantSplit/>
          <w:trHeight w:val="314"/>
        </w:trPr>
        <w:tc>
          <w:tcPr>
            <w:tcW w:w="680" w:type="dxa"/>
          </w:tcPr>
          <w:p w:rsidR="00C406E6" w:rsidRPr="00C802FA" w:rsidRDefault="00C406E6" w:rsidP="00D73E98">
            <w:pPr>
              <w:jc w:val="center"/>
              <w:rPr>
                <w:b/>
                <w:lang w:val="it-IT"/>
              </w:rPr>
            </w:pPr>
          </w:p>
        </w:tc>
        <w:tc>
          <w:tcPr>
            <w:tcW w:w="851" w:type="dxa"/>
            <w:tcMar>
              <w:left w:w="108" w:type="dxa"/>
              <w:right w:w="0" w:type="dxa"/>
            </w:tcMar>
          </w:tcPr>
          <w:p w:rsidR="00C406E6" w:rsidRPr="00196924" w:rsidRDefault="00C406E6" w:rsidP="00D73E98">
            <w:pPr>
              <w:pStyle w:val="PrincCont"/>
              <w:jc w:val="left"/>
            </w:pPr>
            <w:r w:rsidRPr="00196924">
              <w:t>Art 2427</w:t>
            </w:r>
            <w:r>
              <w:t>,</w:t>
            </w:r>
            <w:r w:rsidRPr="00196924">
              <w:t xml:space="preserve"> c.1,</w:t>
            </w:r>
            <w:r>
              <w:t xml:space="preserve"> </w:t>
            </w:r>
            <w:r w:rsidRPr="00196924">
              <w:t>n.9 CC</w:t>
            </w:r>
            <w:r>
              <w:t xml:space="preserve">       </w:t>
            </w:r>
            <w:r w:rsidRPr="00196924">
              <w:t>OIC 14.20</w:t>
            </w:r>
          </w:p>
        </w:tc>
        <w:tc>
          <w:tcPr>
            <w:tcW w:w="7060" w:type="dxa"/>
            <w:tcMar>
              <w:left w:w="108" w:type="dxa"/>
            </w:tcMar>
          </w:tcPr>
          <w:p w:rsidR="00C406E6" w:rsidRPr="00350AF3" w:rsidRDefault="00032976" w:rsidP="00032976">
            <w:pPr>
              <w:pStyle w:val="rientrotrattinook"/>
              <w:numPr>
                <w:ilvl w:val="0"/>
                <w:numId w:val="0"/>
              </w:numPr>
              <w:ind w:left="460" w:hanging="284"/>
            </w:pPr>
            <w:r>
              <w:t>-</w:t>
            </w:r>
            <w:r>
              <w:tab/>
            </w:r>
            <w:r w:rsidR="00C406E6" w:rsidRPr="00635400">
              <w:t>l</w:t>
            </w:r>
            <w:r w:rsidR="00C406E6" w:rsidRPr="00350AF3">
              <w:t>a natura dei fondi liquidi vi</w:t>
            </w:r>
            <w:r w:rsidR="00C406E6">
              <w:t>ncolati e la durata del vincolo?</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C406E6" w:rsidRPr="00350AF3" w:rsidTr="00D73E98">
        <w:trPr>
          <w:cantSplit/>
          <w:trHeight w:val="314"/>
        </w:trPr>
        <w:tc>
          <w:tcPr>
            <w:tcW w:w="680" w:type="dxa"/>
          </w:tcPr>
          <w:p w:rsidR="00C406E6" w:rsidRPr="00C802FA" w:rsidRDefault="00C406E6" w:rsidP="00D73E98">
            <w:pPr>
              <w:jc w:val="center"/>
              <w:rPr>
                <w:b/>
                <w:lang w:val="it-IT"/>
              </w:rPr>
            </w:pPr>
          </w:p>
        </w:tc>
        <w:tc>
          <w:tcPr>
            <w:tcW w:w="851" w:type="dxa"/>
            <w:tcMar>
              <w:left w:w="108" w:type="dxa"/>
              <w:right w:w="0" w:type="dxa"/>
            </w:tcMar>
          </w:tcPr>
          <w:p w:rsidR="00C406E6" w:rsidRPr="00196924" w:rsidRDefault="00C406E6" w:rsidP="00D73E98">
            <w:pPr>
              <w:pStyle w:val="PrincCont"/>
              <w:jc w:val="left"/>
            </w:pPr>
            <w:r w:rsidRPr="00196924">
              <w:t>Art 2427</w:t>
            </w:r>
            <w:r>
              <w:t>,</w:t>
            </w:r>
            <w:r w:rsidRPr="00196924">
              <w:t xml:space="preserve"> c.1, </w:t>
            </w:r>
            <w:r>
              <w:t xml:space="preserve"> </w:t>
            </w:r>
            <w:r w:rsidRPr="00196924">
              <w:t>n. 9 CC</w:t>
            </w:r>
            <w:r>
              <w:t xml:space="preserve">      </w:t>
            </w:r>
            <w:r w:rsidRPr="00196924">
              <w:t>OIC 14.20</w:t>
            </w:r>
          </w:p>
        </w:tc>
        <w:tc>
          <w:tcPr>
            <w:tcW w:w="7060" w:type="dxa"/>
            <w:tcMar>
              <w:left w:w="108" w:type="dxa"/>
            </w:tcMar>
          </w:tcPr>
          <w:p w:rsidR="00C406E6" w:rsidRPr="00350AF3" w:rsidRDefault="00032976" w:rsidP="00032976">
            <w:pPr>
              <w:pStyle w:val="rientrotrattinook"/>
              <w:numPr>
                <w:ilvl w:val="0"/>
                <w:numId w:val="0"/>
              </w:numPr>
              <w:ind w:left="460" w:hanging="284"/>
            </w:pPr>
            <w:r>
              <w:t>-</w:t>
            </w:r>
            <w:r>
              <w:tab/>
              <w:t>I</w:t>
            </w:r>
            <w:r w:rsidR="00C406E6" w:rsidRPr="00635400">
              <w:t xml:space="preserve"> </w:t>
            </w:r>
            <w:r w:rsidR="00C406E6" w:rsidRPr="00350AF3">
              <w:t>conti cassa o conti bancari attivi all’estero che non possono e</w:t>
            </w:r>
            <w:r w:rsidR="00C406E6">
              <w:t xml:space="preserve">ssere trasferiti o utilizzati a </w:t>
            </w:r>
            <w:r w:rsidR="00C406E6" w:rsidRPr="00350AF3">
              <w:t>causa di restrizioni valutarie del</w:t>
            </w:r>
            <w:r w:rsidR="00C406E6">
              <w:t xml:space="preserve"> paese estero o per altre cause?</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C406E6" w:rsidRPr="00CC242B" w:rsidTr="00D73E98">
        <w:trPr>
          <w:cantSplit/>
          <w:trHeight w:val="314"/>
        </w:trPr>
        <w:tc>
          <w:tcPr>
            <w:tcW w:w="680" w:type="dxa"/>
          </w:tcPr>
          <w:p w:rsidR="00C406E6" w:rsidRPr="00C802FA" w:rsidRDefault="00C406E6" w:rsidP="00D73E98">
            <w:pPr>
              <w:jc w:val="center"/>
              <w:rPr>
                <w:b/>
                <w:lang w:val="it-IT"/>
              </w:rPr>
            </w:pPr>
            <w:r w:rsidRPr="00C802FA">
              <w:rPr>
                <w:b/>
                <w:lang w:val="it-IT"/>
              </w:rPr>
              <w:t>2</w:t>
            </w:r>
            <w:r>
              <w:rPr>
                <w:b/>
                <w:lang w:val="it-IT"/>
              </w:rPr>
              <w:t>3</w:t>
            </w:r>
            <w:r w:rsidRPr="00C802FA">
              <w:rPr>
                <w:b/>
                <w:lang w:val="it-IT"/>
              </w:rPr>
              <w:t>)</w:t>
            </w:r>
          </w:p>
        </w:tc>
        <w:tc>
          <w:tcPr>
            <w:tcW w:w="851" w:type="dxa"/>
            <w:tcMar>
              <w:left w:w="108" w:type="dxa"/>
              <w:right w:w="0" w:type="dxa"/>
            </w:tcMar>
          </w:tcPr>
          <w:p w:rsidR="00C406E6" w:rsidRPr="0013175B" w:rsidRDefault="00C406E6" w:rsidP="00D73E98">
            <w:pPr>
              <w:pStyle w:val="PrincCont"/>
              <w:jc w:val="left"/>
            </w:pPr>
            <w:r w:rsidRPr="0013175B">
              <w:t>Art 2427</w:t>
            </w:r>
            <w:r>
              <w:t>,</w:t>
            </w:r>
            <w:r w:rsidRPr="0013175B">
              <w:t xml:space="preserve"> c.1, </w:t>
            </w:r>
            <w:r>
              <w:t xml:space="preserve">n. </w:t>
            </w:r>
            <w:r w:rsidRPr="0013175B">
              <w:t>22-bis CC</w:t>
            </w:r>
            <w:r>
              <w:t xml:space="preserve"> </w:t>
            </w:r>
            <w:r w:rsidRPr="0013175B">
              <w:t>OIC 14.20</w:t>
            </w:r>
          </w:p>
        </w:tc>
        <w:tc>
          <w:tcPr>
            <w:tcW w:w="7060" w:type="dxa"/>
            <w:tcMar>
              <w:left w:w="108" w:type="dxa"/>
            </w:tcMar>
          </w:tcPr>
          <w:p w:rsidR="00C406E6" w:rsidRDefault="00C406E6" w:rsidP="00840B93">
            <w:pPr>
              <w:pStyle w:val="rientrotrattinook"/>
              <w:numPr>
                <w:ilvl w:val="0"/>
                <w:numId w:val="0"/>
              </w:numPr>
              <w:rPr>
                <w:rFonts w:ascii="Times New Roman" w:hAnsi="Times New Roman"/>
                <w:sz w:val="22"/>
                <w:szCs w:val="22"/>
                <w:lang w:eastAsia="it-IT"/>
              </w:rPr>
            </w:pPr>
            <w:r>
              <w:t>L</w:t>
            </w:r>
            <w:r w:rsidRPr="00350AF3">
              <w:t>a</w:t>
            </w:r>
            <w:r>
              <w:t xml:space="preserve"> società ha indicato in</w:t>
            </w:r>
            <w:r w:rsidRPr="00350AF3">
              <w:t xml:space="preserve"> </w:t>
            </w:r>
            <w:r>
              <w:t>Nota Integrativa:</w:t>
            </w:r>
          </w:p>
        </w:tc>
        <w:tc>
          <w:tcPr>
            <w:tcW w:w="586" w:type="dxa"/>
            <w:tcMar>
              <w:left w:w="85" w:type="dxa"/>
              <w:right w:w="85" w:type="dxa"/>
            </w:tcMar>
            <w:vAlign w:val="center"/>
          </w:tcPr>
          <w:p w:rsidR="00C406E6" w:rsidRPr="00DE38DC" w:rsidRDefault="00C406E6" w:rsidP="00D73E98">
            <w:pPr>
              <w:jc w:val="center"/>
              <w:rPr>
                <w:lang w:val="it-IT"/>
              </w:rPr>
            </w:pPr>
          </w:p>
        </w:tc>
        <w:tc>
          <w:tcPr>
            <w:tcW w:w="573" w:type="dxa"/>
            <w:tcMar>
              <w:left w:w="108" w:type="dxa"/>
            </w:tcMar>
            <w:vAlign w:val="center"/>
          </w:tcPr>
          <w:p w:rsidR="00C406E6" w:rsidRPr="00DE38DC" w:rsidRDefault="00C406E6" w:rsidP="00D73E98">
            <w:pPr>
              <w:jc w:val="center"/>
              <w:rPr>
                <w:lang w:val="it-IT"/>
              </w:rPr>
            </w:pPr>
          </w:p>
        </w:tc>
        <w:tc>
          <w:tcPr>
            <w:tcW w:w="570" w:type="dxa"/>
            <w:tcMar>
              <w:left w:w="108" w:type="dxa"/>
            </w:tcMar>
            <w:vAlign w:val="center"/>
          </w:tcPr>
          <w:p w:rsidR="00C406E6" w:rsidRPr="00DE38DC" w:rsidRDefault="00C406E6" w:rsidP="00D73E98">
            <w:pPr>
              <w:jc w:val="center"/>
              <w:rPr>
                <w:lang w:val="it-IT"/>
              </w:rPr>
            </w:pPr>
          </w:p>
        </w:tc>
      </w:tr>
      <w:tr w:rsidR="00C406E6" w:rsidRPr="00350AF3" w:rsidTr="00D73E98">
        <w:trPr>
          <w:cantSplit/>
          <w:trHeight w:val="314"/>
        </w:trPr>
        <w:tc>
          <w:tcPr>
            <w:tcW w:w="680" w:type="dxa"/>
          </w:tcPr>
          <w:p w:rsidR="00C406E6" w:rsidRPr="00054AC5" w:rsidRDefault="00C406E6" w:rsidP="00D73E98">
            <w:pPr>
              <w:jc w:val="center"/>
              <w:rPr>
                <w:lang w:val="it-IT"/>
              </w:rPr>
            </w:pPr>
          </w:p>
        </w:tc>
        <w:tc>
          <w:tcPr>
            <w:tcW w:w="851" w:type="dxa"/>
            <w:tcMar>
              <w:left w:w="108" w:type="dxa"/>
              <w:right w:w="0" w:type="dxa"/>
            </w:tcMar>
          </w:tcPr>
          <w:p w:rsidR="00C406E6" w:rsidRPr="00196924" w:rsidRDefault="00C406E6" w:rsidP="00D73E98">
            <w:pPr>
              <w:pStyle w:val="PrincCont"/>
              <w:jc w:val="left"/>
            </w:pPr>
            <w:r w:rsidRPr="00196924">
              <w:t>Art 2427</w:t>
            </w:r>
            <w:r>
              <w:t>,</w:t>
            </w:r>
            <w:r w:rsidRPr="00196924">
              <w:t xml:space="preserve"> c.1, n. 22-bis CC</w:t>
            </w:r>
            <w:r>
              <w:t xml:space="preserve"> </w:t>
            </w:r>
            <w:r w:rsidRPr="00196924">
              <w:t>OIC 14.20</w:t>
            </w:r>
          </w:p>
        </w:tc>
        <w:tc>
          <w:tcPr>
            <w:tcW w:w="7060" w:type="dxa"/>
            <w:tcMar>
              <w:left w:w="108" w:type="dxa"/>
            </w:tcMar>
          </w:tcPr>
          <w:p w:rsidR="00C406E6" w:rsidRDefault="00C406E6" w:rsidP="00032976">
            <w:pPr>
              <w:pStyle w:val="rientrotrattinook"/>
              <w:numPr>
                <w:ilvl w:val="0"/>
                <w:numId w:val="39"/>
              </w:numPr>
              <w:ind w:left="460" w:hanging="284"/>
              <w:rPr>
                <w:rFonts w:ascii="Times New Roman" w:hAnsi="Times New Roman"/>
                <w:sz w:val="22"/>
                <w:szCs w:val="22"/>
                <w:lang w:eastAsia="it-IT"/>
              </w:rPr>
            </w:pPr>
            <w:r w:rsidRPr="00635400">
              <w:t>l</w:t>
            </w:r>
            <w:r w:rsidRPr="00350AF3">
              <w:t xml:space="preserve">’utilizzo di eventuali sistemi di tesoreria accentrata </w:t>
            </w:r>
            <w:r>
              <w:t xml:space="preserve">che non sono regolati a normali </w:t>
            </w:r>
            <w:r w:rsidRPr="00350AF3">
              <w:t>condizioni di merca</w:t>
            </w:r>
            <w:r>
              <w:t>to?</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C406E6" w:rsidRPr="00CC242B" w:rsidTr="00D73E98">
        <w:trPr>
          <w:cantSplit/>
          <w:trHeight w:val="314"/>
        </w:trPr>
        <w:tc>
          <w:tcPr>
            <w:tcW w:w="680" w:type="dxa"/>
          </w:tcPr>
          <w:p w:rsidR="00C406E6" w:rsidRPr="00054AC5" w:rsidRDefault="00C406E6" w:rsidP="00D73E98">
            <w:pPr>
              <w:jc w:val="center"/>
              <w:rPr>
                <w:lang w:val="it-IT"/>
              </w:rPr>
            </w:pPr>
          </w:p>
        </w:tc>
        <w:tc>
          <w:tcPr>
            <w:tcW w:w="851" w:type="dxa"/>
            <w:tcMar>
              <w:left w:w="108" w:type="dxa"/>
              <w:right w:w="0" w:type="dxa"/>
            </w:tcMar>
          </w:tcPr>
          <w:p w:rsidR="00C406E6" w:rsidRDefault="00C406E6" w:rsidP="00D73E98">
            <w:pPr>
              <w:pStyle w:val="PrincCont"/>
              <w:jc w:val="left"/>
              <w:rPr>
                <w:lang w:val="it-IT"/>
              </w:rPr>
            </w:pPr>
            <w:r>
              <w:rPr>
                <w:lang w:val="it-IT"/>
              </w:rPr>
              <w:t>Art. 2423, c.4 CC             OIC 14.21</w:t>
            </w:r>
          </w:p>
        </w:tc>
        <w:tc>
          <w:tcPr>
            <w:tcW w:w="7060" w:type="dxa"/>
            <w:tcMar>
              <w:left w:w="108" w:type="dxa"/>
            </w:tcMar>
          </w:tcPr>
          <w:p w:rsidR="00C406E6" w:rsidRDefault="00C406E6" w:rsidP="00D73E98">
            <w:pPr>
              <w:pStyle w:val="Commentiriquadro"/>
            </w:pPr>
            <w:r w:rsidRPr="007071A8">
              <w:rPr>
                <w:lang w:eastAsia="it-IT"/>
              </w:rPr>
              <w:t>L’articolo 2423, comma 4,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w:t>
            </w:r>
            <w:r>
              <w:rPr>
                <w:lang w:eastAsia="it-IT"/>
              </w:rPr>
              <w:t>nuta delle scritture contabili. Le società illustrano nella Nota Integrativa i criteri con i quali hanno dato attuazione alla presente disposizione.”</w:t>
            </w:r>
          </w:p>
        </w:tc>
        <w:tc>
          <w:tcPr>
            <w:tcW w:w="586" w:type="dxa"/>
            <w:tcMar>
              <w:left w:w="85" w:type="dxa"/>
              <w:right w:w="85" w:type="dxa"/>
            </w:tcMar>
            <w:vAlign w:val="center"/>
          </w:tcPr>
          <w:p w:rsidR="00C406E6" w:rsidRPr="00FF19F7" w:rsidRDefault="00C406E6" w:rsidP="00D73E98">
            <w:pPr>
              <w:jc w:val="center"/>
              <w:rPr>
                <w:lang w:val="it-IT"/>
              </w:rPr>
            </w:pPr>
          </w:p>
        </w:tc>
        <w:tc>
          <w:tcPr>
            <w:tcW w:w="573" w:type="dxa"/>
            <w:tcMar>
              <w:left w:w="108" w:type="dxa"/>
            </w:tcMar>
            <w:vAlign w:val="center"/>
          </w:tcPr>
          <w:p w:rsidR="00C406E6" w:rsidRPr="00DE38DC" w:rsidRDefault="00C406E6" w:rsidP="00D73E98">
            <w:pPr>
              <w:jc w:val="center"/>
              <w:rPr>
                <w:lang w:val="it-IT"/>
              </w:rPr>
            </w:pPr>
          </w:p>
        </w:tc>
        <w:tc>
          <w:tcPr>
            <w:tcW w:w="570" w:type="dxa"/>
            <w:tcMar>
              <w:left w:w="108" w:type="dxa"/>
            </w:tcMar>
            <w:vAlign w:val="center"/>
          </w:tcPr>
          <w:p w:rsidR="00C406E6" w:rsidRPr="00DE38DC" w:rsidRDefault="00C406E6" w:rsidP="00D73E98">
            <w:pPr>
              <w:jc w:val="center"/>
              <w:rPr>
                <w:lang w:val="it-IT"/>
              </w:rPr>
            </w:pPr>
          </w:p>
        </w:tc>
      </w:tr>
      <w:tr w:rsidR="00C406E6" w:rsidRPr="00CC242B" w:rsidTr="00D73E98">
        <w:trPr>
          <w:cantSplit/>
          <w:trHeight w:val="314"/>
        </w:trPr>
        <w:tc>
          <w:tcPr>
            <w:tcW w:w="680" w:type="dxa"/>
          </w:tcPr>
          <w:p w:rsidR="00C406E6" w:rsidRPr="00054AC5" w:rsidRDefault="00C406E6" w:rsidP="00D73E98">
            <w:pPr>
              <w:jc w:val="center"/>
              <w:rPr>
                <w:lang w:val="it-IT"/>
              </w:rPr>
            </w:pPr>
          </w:p>
        </w:tc>
        <w:tc>
          <w:tcPr>
            <w:tcW w:w="851" w:type="dxa"/>
            <w:tcMar>
              <w:left w:w="108" w:type="dxa"/>
              <w:right w:w="0" w:type="dxa"/>
            </w:tcMar>
          </w:tcPr>
          <w:p w:rsidR="00C406E6" w:rsidRPr="0013175B" w:rsidRDefault="00C406E6" w:rsidP="00D73E98">
            <w:pPr>
              <w:pStyle w:val="PrincCont"/>
              <w:jc w:val="left"/>
              <w:rPr>
                <w:lang w:val="it-IT"/>
              </w:rPr>
            </w:pPr>
          </w:p>
        </w:tc>
        <w:tc>
          <w:tcPr>
            <w:tcW w:w="7060" w:type="dxa"/>
            <w:shd w:val="clear" w:color="auto" w:fill="auto"/>
            <w:tcMar>
              <w:left w:w="108" w:type="dxa"/>
            </w:tcMar>
            <w:vAlign w:val="center"/>
          </w:tcPr>
          <w:p w:rsidR="00C406E6" w:rsidRPr="008A1A8C" w:rsidRDefault="00C406E6" w:rsidP="00032976">
            <w:pPr>
              <w:pStyle w:val="Titolo3"/>
              <w:rPr>
                <w:lang w:val="it-IT"/>
              </w:rPr>
            </w:pPr>
            <w:r w:rsidRPr="008A1A8C">
              <w:rPr>
                <w:lang w:val="it-IT"/>
              </w:rPr>
              <w:t>Informazioni relative alle società che redigono il bilancio in forma abbreviata</w:t>
            </w:r>
          </w:p>
        </w:tc>
        <w:tc>
          <w:tcPr>
            <w:tcW w:w="586" w:type="dxa"/>
            <w:tcMar>
              <w:left w:w="85" w:type="dxa"/>
              <w:right w:w="85" w:type="dxa"/>
            </w:tcMar>
            <w:vAlign w:val="center"/>
          </w:tcPr>
          <w:p w:rsidR="00C406E6" w:rsidRPr="00BF1835" w:rsidRDefault="00C406E6" w:rsidP="00D73E98">
            <w:pPr>
              <w:jc w:val="center"/>
              <w:rPr>
                <w:lang w:val="it-IT"/>
              </w:rPr>
            </w:pPr>
          </w:p>
        </w:tc>
        <w:tc>
          <w:tcPr>
            <w:tcW w:w="573" w:type="dxa"/>
            <w:tcMar>
              <w:left w:w="108" w:type="dxa"/>
            </w:tcMar>
            <w:vAlign w:val="center"/>
          </w:tcPr>
          <w:p w:rsidR="00C406E6" w:rsidRPr="00BF1835" w:rsidRDefault="00C406E6" w:rsidP="00D73E98">
            <w:pPr>
              <w:jc w:val="center"/>
              <w:rPr>
                <w:lang w:val="it-IT"/>
              </w:rPr>
            </w:pPr>
          </w:p>
        </w:tc>
        <w:tc>
          <w:tcPr>
            <w:tcW w:w="570" w:type="dxa"/>
            <w:tcMar>
              <w:left w:w="108" w:type="dxa"/>
            </w:tcMar>
            <w:vAlign w:val="center"/>
          </w:tcPr>
          <w:p w:rsidR="00C406E6" w:rsidRPr="00BF1835" w:rsidRDefault="00C406E6" w:rsidP="00D73E98">
            <w:pPr>
              <w:jc w:val="center"/>
              <w:rPr>
                <w:lang w:val="it-IT"/>
              </w:rPr>
            </w:pPr>
          </w:p>
        </w:tc>
      </w:tr>
      <w:tr w:rsidR="00C406E6" w:rsidRPr="00CC242B" w:rsidTr="00D73E98">
        <w:trPr>
          <w:cantSplit/>
          <w:trHeight w:val="314"/>
        </w:trPr>
        <w:tc>
          <w:tcPr>
            <w:tcW w:w="680" w:type="dxa"/>
          </w:tcPr>
          <w:p w:rsidR="00C406E6" w:rsidRPr="00953A57" w:rsidRDefault="00C406E6" w:rsidP="00D73E98">
            <w:pPr>
              <w:jc w:val="center"/>
              <w:rPr>
                <w:b/>
                <w:lang w:val="it-IT"/>
              </w:rPr>
            </w:pPr>
            <w:r w:rsidRPr="00953A57">
              <w:rPr>
                <w:b/>
                <w:lang w:val="it-IT"/>
              </w:rPr>
              <w:t>24)</w:t>
            </w:r>
          </w:p>
        </w:tc>
        <w:tc>
          <w:tcPr>
            <w:tcW w:w="851" w:type="dxa"/>
            <w:tcMar>
              <w:left w:w="108" w:type="dxa"/>
              <w:right w:w="0" w:type="dxa"/>
            </w:tcMar>
          </w:tcPr>
          <w:p w:rsidR="00C406E6" w:rsidRPr="0013175B" w:rsidRDefault="00C406E6" w:rsidP="00D73E98">
            <w:pPr>
              <w:pStyle w:val="PrincCont"/>
              <w:jc w:val="left"/>
              <w:rPr>
                <w:lang w:val="it-IT"/>
              </w:rPr>
            </w:pPr>
            <w:r>
              <w:rPr>
                <w:lang w:val="it-IT"/>
              </w:rPr>
              <w:t>Art. 2427, c.1 CC             OIC 14.22</w:t>
            </w:r>
          </w:p>
        </w:tc>
        <w:tc>
          <w:tcPr>
            <w:tcW w:w="7060" w:type="dxa"/>
            <w:tcMar>
              <w:left w:w="108" w:type="dxa"/>
            </w:tcMar>
          </w:tcPr>
          <w:p w:rsidR="00C406E6" w:rsidRPr="00460681" w:rsidRDefault="00C406E6" w:rsidP="00840B93">
            <w:pPr>
              <w:pStyle w:val="rientrotrattinook"/>
              <w:numPr>
                <w:ilvl w:val="0"/>
                <w:numId w:val="0"/>
              </w:numPr>
              <w:rPr>
                <w:b/>
                <w:highlight w:val="yellow"/>
              </w:rPr>
            </w:pPr>
            <w:r w:rsidRPr="0039154C">
              <w:t>Con riferimento alle disponibilità liquide,</w:t>
            </w:r>
            <w:r>
              <w:t xml:space="preserve"> nella Nota Integrativa del bilancio in forma abbreviata sono fornite </w:t>
            </w:r>
            <w:r w:rsidRPr="0039154C">
              <w:t>le seguenti</w:t>
            </w:r>
            <w:r>
              <w:rPr>
                <w:sz w:val="16"/>
                <w:szCs w:val="16"/>
              </w:rPr>
              <w:t xml:space="preserve"> </w:t>
            </w:r>
            <w:r w:rsidRPr="0039154C">
              <w:t>informazioni</w:t>
            </w:r>
            <w:r>
              <w:t>:</w:t>
            </w:r>
          </w:p>
        </w:tc>
        <w:tc>
          <w:tcPr>
            <w:tcW w:w="586" w:type="dxa"/>
            <w:tcMar>
              <w:left w:w="85" w:type="dxa"/>
              <w:right w:w="85" w:type="dxa"/>
            </w:tcMar>
            <w:vAlign w:val="center"/>
          </w:tcPr>
          <w:p w:rsidR="00C406E6" w:rsidRPr="00BF1835" w:rsidRDefault="00C406E6" w:rsidP="00D73E98">
            <w:pPr>
              <w:jc w:val="center"/>
              <w:rPr>
                <w:lang w:val="it-IT"/>
              </w:rPr>
            </w:pPr>
          </w:p>
        </w:tc>
        <w:tc>
          <w:tcPr>
            <w:tcW w:w="573" w:type="dxa"/>
            <w:tcMar>
              <w:left w:w="108" w:type="dxa"/>
            </w:tcMar>
            <w:vAlign w:val="center"/>
          </w:tcPr>
          <w:p w:rsidR="00C406E6" w:rsidRPr="00BF1835" w:rsidRDefault="00C406E6" w:rsidP="00D73E98">
            <w:pPr>
              <w:jc w:val="center"/>
              <w:rPr>
                <w:lang w:val="it-IT"/>
              </w:rPr>
            </w:pPr>
          </w:p>
        </w:tc>
        <w:tc>
          <w:tcPr>
            <w:tcW w:w="570" w:type="dxa"/>
            <w:tcMar>
              <w:left w:w="108" w:type="dxa"/>
            </w:tcMar>
            <w:vAlign w:val="center"/>
          </w:tcPr>
          <w:p w:rsidR="00C406E6" w:rsidRPr="00BF1835" w:rsidRDefault="00C406E6" w:rsidP="00D73E98">
            <w:pPr>
              <w:jc w:val="center"/>
              <w:rPr>
                <w:lang w:val="it-IT"/>
              </w:rPr>
            </w:pPr>
          </w:p>
        </w:tc>
      </w:tr>
      <w:tr w:rsidR="00C406E6" w:rsidRPr="00460681" w:rsidTr="00D73E98">
        <w:trPr>
          <w:cantSplit/>
          <w:trHeight w:val="314"/>
        </w:trPr>
        <w:tc>
          <w:tcPr>
            <w:tcW w:w="680" w:type="dxa"/>
          </w:tcPr>
          <w:p w:rsidR="00C406E6" w:rsidRPr="00953A57" w:rsidRDefault="00C406E6" w:rsidP="00D73E98">
            <w:pPr>
              <w:jc w:val="center"/>
              <w:rPr>
                <w:b/>
                <w:lang w:val="it-IT"/>
              </w:rPr>
            </w:pPr>
          </w:p>
        </w:tc>
        <w:tc>
          <w:tcPr>
            <w:tcW w:w="851" w:type="dxa"/>
            <w:tcMar>
              <w:left w:w="108" w:type="dxa"/>
              <w:right w:w="0" w:type="dxa"/>
            </w:tcMar>
          </w:tcPr>
          <w:p w:rsidR="00C406E6" w:rsidRPr="00196924" w:rsidRDefault="00C406E6" w:rsidP="00D73E98">
            <w:pPr>
              <w:pStyle w:val="PrincCont"/>
              <w:jc w:val="left"/>
            </w:pPr>
            <w:r w:rsidRPr="00196924">
              <w:t>Art. 2427, c.1</w:t>
            </w:r>
            <w:r>
              <w:t xml:space="preserve">, </w:t>
            </w:r>
            <w:r w:rsidRPr="00196924">
              <w:t>n.1 CC</w:t>
            </w:r>
            <w:r>
              <w:t xml:space="preserve">       OIC 14.22</w:t>
            </w:r>
          </w:p>
        </w:tc>
        <w:tc>
          <w:tcPr>
            <w:tcW w:w="7060" w:type="dxa"/>
            <w:tcMar>
              <w:left w:w="108" w:type="dxa"/>
            </w:tcMar>
          </w:tcPr>
          <w:p w:rsidR="00C406E6" w:rsidRPr="00364363" w:rsidRDefault="00C406E6" w:rsidP="00032976">
            <w:pPr>
              <w:pStyle w:val="rientrotrattinook"/>
              <w:numPr>
                <w:ilvl w:val="0"/>
                <w:numId w:val="39"/>
              </w:numPr>
              <w:ind w:left="460" w:hanging="284"/>
            </w:pPr>
            <w:r w:rsidRPr="00364363">
              <w:t>i criteri applicati nelle valutazioni, nelle rettifiche di valore, nella conversione dei valori non espressi all’origine in moneta avente corso legale nello Stato?</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C406E6" w:rsidRPr="00460681" w:rsidTr="00D73E98">
        <w:trPr>
          <w:cantSplit/>
          <w:trHeight w:val="314"/>
        </w:trPr>
        <w:tc>
          <w:tcPr>
            <w:tcW w:w="680" w:type="dxa"/>
          </w:tcPr>
          <w:p w:rsidR="00C406E6" w:rsidRPr="00953A57" w:rsidRDefault="00C406E6" w:rsidP="00D73E98">
            <w:pPr>
              <w:jc w:val="center"/>
              <w:rPr>
                <w:b/>
                <w:lang w:val="it-IT"/>
              </w:rPr>
            </w:pPr>
          </w:p>
        </w:tc>
        <w:tc>
          <w:tcPr>
            <w:tcW w:w="851" w:type="dxa"/>
            <w:tcMar>
              <w:left w:w="108" w:type="dxa"/>
              <w:right w:w="0" w:type="dxa"/>
            </w:tcMar>
          </w:tcPr>
          <w:p w:rsidR="00C406E6" w:rsidRPr="00196924" w:rsidRDefault="00C406E6" w:rsidP="00D73E98">
            <w:pPr>
              <w:pStyle w:val="PrincCont"/>
              <w:jc w:val="left"/>
            </w:pPr>
            <w:r w:rsidRPr="00196924">
              <w:t>Art. 2427, c.1</w:t>
            </w:r>
            <w:r>
              <w:t xml:space="preserve">, </w:t>
            </w:r>
            <w:r w:rsidRPr="00196924">
              <w:t>n.9</w:t>
            </w:r>
            <w:r>
              <w:t xml:space="preserve"> </w:t>
            </w:r>
            <w:r w:rsidRPr="00196924">
              <w:t>CC</w:t>
            </w:r>
            <w:r>
              <w:t xml:space="preserve">       OIC 14.22</w:t>
            </w:r>
          </w:p>
        </w:tc>
        <w:tc>
          <w:tcPr>
            <w:tcW w:w="7060" w:type="dxa"/>
            <w:tcMar>
              <w:left w:w="108" w:type="dxa"/>
            </w:tcMar>
          </w:tcPr>
          <w:p w:rsidR="00C406E6" w:rsidRPr="00364363" w:rsidRDefault="00C406E6" w:rsidP="00032976">
            <w:pPr>
              <w:pStyle w:val="rientrotrattinook"/>
              <w:numPr>
                <w:ilvl w:val="0"/>
                <w:numId w:val="39"/>
              </w:numPr>
              <w:ind w:left="460" w:hanging="284"/>
            </w:pPr>
            <w:r w:rsidRPr="00364363">
              <w:t>l’importo complessivo degli impegni, delle garanzie e delle passività potenziali non</w:t>
            </w:r>
            <w:r>
              <w:t xml:space="preserve"> </w:t>
            </w:r>
            <w:r w:rsidRPr="00364363">
              <w:t>risultanti dallo stato patrimoniale, con indicazione della natura delle garanzie reali prestate; gli impegni esistenti in materia di trattamento di quiescenza e simili, nonché gli impegni assunti nei confronti di imprese controllate, collegate, nonché controllanti e imprese sottoposte al controllo di queste ultime sono distintamente indicati?</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C406E6" w:rsidRPr="00460681" w:rsidTr="00D73E98">
        <w:trPr>
          <w:cantSplit/>
          <w:trHeight w:val="314"/>
        </w:trPr>
        <w:tc>
          <w:tcPr>
            <w:tcW w:w="680" w:type="dxa"/>
          </w:tcPr>
          <w:p w:rsidR="00C406E6" w:rsidRPr="00953A57" w:rsidRDefault="00C406E6" w:rsidP="00D73E98">
            <w:pPr>
              <w:jc w:val="center"/>
              <w:rPr>
                <w:b/>
                <w:lang w:val="it-IT"/>
              </w:rPr>
            </w:pPr>
          </w:p>
        </w:tc>
        <w:tc>
          <w:tcPr>
            <w:tcW w:w="851" w:type="dxa"/>
            <w:tcMar>
              <w:left w:w="108" w:type="dxa"/>
              <w:right w:w="0" w:type="dxa"/>
            </w:tcMar>
          </w:tcPr>
          <w:p w:rsidR="00C406E6" w:rsidRPr="00196924" w:rsidRDefault="00C406E6" w:rsidP="00D73E98">
            <w:pPr>
              <w:pStyle w:val="PrincCont"/>
              <w:jc w:val="left"/>
            </w:pPr>
            <w:r w:rsidRPr="00196924">
              <w:t>Art. 2427, c.1</w:t>
            </w:r>
            <w:r>
              <w:t>,</w:t>
            </w:r>
            <w:r w:rsidRPr="00196924">
              <w:t xml:space="preserve"> n.22-bis CC</w:t>
            </w:r>
            <w:r>
              <w:t xml:space="preserve">  OIC 14.22</w:t>
            </w:r>
          </w:p>
        </w:tc>
        <w:tc>
          <w:tcPr>
            <w:tcW w:w="7060" w:type="dxa"/>
            <w:tcMar>
              <w:left w:w="108" w:type="dxa"/>
            </w:tcMar>
          </w:tcPr>
          <w:p w:rsidR="00C406E6" w:rsidRPr="00364363" w:rsidRDefault="00C406E6" w:rsidP="00032976">
            <w:pPr>
              <w:pStyle w:val="rientrotrattinook"/>
              <w:numPr>
                <w:ilvl w:val="0"/>
                <w:numId w:val="39"/>
              </w:numPr>
              <w:ind w:left="460" w:hanging="284"/>
            </w:pPr>
            <w:r w:rsidRPr="00364363">
              <w:t>le operazioni realizzate con parti correlate, precisando l’importo, la natura del</w:t>
            </w:r>
            <w:r>
              <w:t xml:space="preserve"> </w:t>
            </w:r>
            <w:r w:rsidRPr="00364363">
              <w:t>rapporto e ogni altra informazione necessaria per la comprensione del bilancio relativa tali operazioni, qualora le stesse non siano state concluse a normali condizioni di mercato?</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C406E6" w:rsidRPr="00460681" w:rsidTr="00D73E98">
        <w:trPr>
          <w:cantSplit/>
          <w:trHeight w:val="314"/>
        </w:trPr>
        <w:tc>
          <w:tcPr>
            <w:tcW w:w="680" w:type="dxa"/>
          </w:tcPr>
          <w:p w:rsidR="00C406E6" w:rsidRPr="00953A57" w:rsidRDefault="00C406E6" w:rsidP="00D73E98">
            <w:pPr>
              <w:jc w:val="center"/>
              <w:rPr>
                <w:b/>
                <w:lang w:val="it-IT"/>
              </w:rPr>
            </w:pPr>
          </w:p>
        </w:tc>
        <w:tc>
          <w:tcPr>
            <w:tcW w:w="851" w:type="dxa"/>
            <w:tcMar>
              <w:left w:w="108" w:type="dxa"/>
              <w:right w:w="0" w:type="dxa"/>
            </w:tcMar>
          </w:tcPr>
          <w:p w:rsidR="00C406E6" w:rsidRDefault="00C406E6" w:rsidP="00D73E98">
            <w:pPr>
              <w:pStyle w:val="PrincCont"/>
              <w:jc w:val="left"/>
            </w:pPr>
            <w:r>
              <w:t>Art. 2427, c.1 n.22-bis CC OIC 14.22</w:t>
            </w:r>
          </w:p>
        </w:tc>
        <w:tc>
          <w:tcPr>
            <w:tcW w:w="7060" w:type="dxa"/>
            <w:tcMar>
              <w:left w:w="108" w:type="dxa"/>
            </w:tcMar>
          </w:tcPr>
          <w:p w:rsidR="00C406E6" w:rsidRPr="00364363" w:rsidRDefault="00032976" w:rsidP="00032976">
            <w:pPr>
              <w:pStyle w:val="rientrotrattinook"/>
              <w:numPr>
                <w:ilvl w:val="0"/>
                <w:numId w:val="39"/>
              </w:numPr>
              <w:ind w:left="460" w:hanging="284"/>
            </w:pPr>
            <w:r>
              <w:t>l</w:t>
            </w:r>
            <w:r w:rsidR="00C406E6" w:rsidRPr="00364363">
              <w:t>a società ha aggregato le informazioni relative alle singole operazioni con parti correlate secondo la loro natura solo nel caso in cui la loro separata evidenziazione non sia necessaria per comprendere gli effetti delle operazioni medesime sulla situazione patrimoniale e finanziaria e sul risultato economico della società?</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C406E6" w:rsidRPr="00CC242B" w:rsidTr="00D73E98">
        <w:trPr>
          <w:cantSplit/>
          <w:trHeight w:val="314"/>
        </w:trPr>
        <w:tc>
          <w:tcPr>
            <w:tcW w:w="680" w:type="dxa"/>
          </w:tcPr>
          <w:p w:rsidR="00C406E6" w:rsidRPr="00953A57" w:rsidRDefault="00C406E6" w:rsidP="00D73E98">
            <w:pPr>
              <w:jc w:val="center"/>
              <w:rPr>
                <w:b/>
                <w:lang w:val="it-IT"/>
              </w:rPr>
            </w:pPr>
            <w:r>
              <w:rPr>
                <w:b/>
                <w:lang w:val="it-IT"/>
              </w:rPr>
              <w:t>25)</w:t>
            </w:r>
          </w:p>
        </w:tc>
        <w:tc>
          <w:tcPr>
            <w:tcW w:w="851" w:type="dxa"/>
            <w:tcMar>
              <w:left w:w="108" w:type="dxa"/>
              <w:right w:w="0" w:type="dxa"/>
            </w:tcMar>
          </w:tcPr>
          <w:p w:rsidR="00C406E6" w:rsidRPr="00196924" w:rsidRDefault="00C406E6" w:rsidP="00D73E98">
            <w:pPr>
              <w:pStyle w:val="PrincCont"/>
              <w:jc w:val="left"/>
            </w:pPr>
            <w:r w:rsidRPr="00196924">
              <w:t>Art 2427</w:t>
            </w:r>
            <w:r>
              <w:t>,</w:t>
            </w:r>
            <w:r w:rsidRPr="00196924">
              <w:t xml:space="preserve"> c.1,</w:t>
            </w:r>
            <w:r>
              <w:t xml:space="preserve"> </w:t>
            </w:r>
            <w:r w:rsidRPr="00196924">
              <w:t>n.9 CC</w:t>
            </w:r>
            <w:r>
              <w:t xml:space="preserve">       OIC 14.22</w:t>
            </w:r>
          </w:p>
        </w:tc>
        <w:tc>
          <w:tcPr>
            <w:tcW w:w="7060" w:type="dxa"/>
            <w:tcMar>
              <w:left w:w="108" w:type="dxa"/>
            </w:tcMar>
          </w:tcPr>
          <w:p w:rsidR="00C406E6" w:rsidRPr="00350AF3" w:rsidRDefault="00C406E6" w:rsidP="00D73E98">
            <w:pPr>
              <w:pStyle w:val="Puntoelenco"/>
              <w:numPr>
                <w:ilvl w:val="0"/>
                <w:numId w:val="0"/>
              </w:numPr>
              <w:spacing w:line="230" w:lineRule="exact"/>
              <w:ind w:left="34"/>
            </w:pPr>
            <w:r>
              <w:t>L</w:t>
            </w:r>
            <w:r w:rsidRPr="00350AF3">
              <w:t>a</w:t>
            </w:r>
            <w:r>
              <w:t xml:space="preserve"> società ha indicato in Nota Integrativa</w:t>
            </w:r>
            <w:r w:rsidRPr="00350AF3">
              <w:t>:</w:t>
            </w:r>
          </w:p>
        </w:tc>
        <w:tc>
          <w:tcPr>
            <w:tcW w:w="586" w:type="dxa"/>
            <w:tcMar>
              <w:left w:w="85" w:type="dxa"/>
              <w:right w:w="85" w:type="dxa"/>
            </w:tcMar>
            <w:vAlign w:val="center"/>
          </w:tcPr>
          <w:p w:rsidR="00C406E6" w:rsidRPr="00BF1835" w:rsidRDefault="00C406E6" w:rsidP="00D73E98">
            <w:pPr>
              <w:jc w:val="center"/>
              <w:rPr>
                <w:lang w:val="it-IT"/>
              </w:rPr>
            </w:pPr>
          </w:p>
        </w:tc>
        <w:tc>
          <w:tcPr>
            <w:tcW w:w="573" w:type="dxa"/>
            <w:tcMar>
              <w:left w:w="108" w:type="dxa"/>
            </w:tcMar>
            <w:vAlign w:val="center"/>
          </w:tcPr>
          <w:p w:rsidR="00C406E6" w:rsidRPr="00BF1835" w:rsidRDefault="00C406E6" w:rsidP="00D73E98">
            <w:pPr>
              <w:jc w:val="center"/>
              <w:rPr>
                <w:lang w:val="it-IT"/>
              </w:rPr>
            </w:pPr>
          </w:p>
        </w:tc>
        <w:tc>
          <w:tcPr>
            <w:tcW w:w="570" w:type="dxa"/>
            <w:tcMar>
              <w:left w:w="108" w:type="dxa"/>
            </w:tcMar>
            <w:vAlign w:val="center"/>
          </w:tcPr>
          <w:p w:rsidR="00C406E6" w:rsidRPr="00BF1835" w:rsidRDefault="00C406E6" w:rsidP="00D73E98">
            <w:pPr>
              <w:jc w:val="center"/>
              <w:rPr>
                <w:lang w:val="it-IT"/>
              </w:rPr>
            </w:pPr>
          </w:p>
        </w:tc>
      </w:tr>
      <w:tr w:rsidR="00C406E6" w:rsidRPr="00460681" w:rsidTr="00D73E98">
        <w:trPr>
          <w:cantSplit/>
          <w:trHeight w:val="314"/>
        </w:trPr>
        <w:tc>
          <w:tcPr>
            <w:tcW w:w="680" w:type="dxa"/>
          </w:tcPr>
          <w:p w:rsidR="00C406E6" w:rsidRPr="00953A57" w:rsidRDefault="00C406E6" w:rsidP="00D73E98">
            <w:pPr>
              <w:jc w:val="center"/>
              <w:rPr>
                <w:b/>
                <w:lang w:val="it-IT"/>
              </w:rPr>
            </w:pPr>
          </w:p>
        </w:tc>
        <w:tc>
          <w:tcPr>
            <w:tcW w:w="851" w:type="dxa"/>
            <w:tcMar>
              <w:left w:w="108" w:type="dxa"/>
              <w:right w:w="0" w:type="dxa"/>
            </w:tcMar>
          </w:tcPr>
          <w:p w:rsidR="00C406E6" w:rsidRPr="00196924" w:rsidRDefault="00C406E6" w:rsidP="00D73E98">
            <w:pPr>
              <w:pStyle w:val="PrincCont"/>
              <w:jc w:val="left"/>
            </w:pPr>
            <w:r w:rsidRPr="00196924">
              <w:t>Art 2427</w:t>
            </w:r>
            <w:r>
              <w:t>,</w:t>
            </w:r>
            <w:r w:rsidRPr="00196924">
              <w:t xml:space="preserve"> c.1,</w:t>
            </w:r>
            <w:r>
              <w:t xml:space="preserve"> </w:t>
            </w:r>
            <w:r w:rsidRPr="00196924">
              <w:t>n.9 CC</w:t>
            </w:r>
            <w:r>
              <w:t xml:space="preserve">        OIC 14.22</w:t>
            </w:r>
          </w:p>
        </w:tc>
        <w:tc>
          <w:tcPr>
            <w:tcW w:w="7060" w:type="dxa"/>
            <w:tcMar>
              <w:left w:w="108" w:type="dxa"/>
            </w:tcMar>
          </w:tcPr>
          <w:p w:rsidR="00C406E6" w:rsidRPr="00350AF3" w:rsidRDefault="00C406E6" w:rsidP="00032976">
            <w:pPr>
              <w:pStyle w:val="rientrotrattinook"/>
              <w:numPr>
                <w:ilvl w:val="0"/>
                <w:numId w:val="39"/>
              </w:numPr>
              <w:ind w:left="460" w:hanging="284"/>
            </w:pPr>
            <w:r w:rsidRPr="00635400">
              <w:t>l</w:t>
            </w:r>
            <w:r w:rsidRPr="00350AF3">
              <w:t>a natura dei fondi liquidi vi</w:t>
            </w:r>
            <w:r>
              <w:t>ncolati e la durata del vincolo?</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C406E6" w:rsidRPr="00460681" w:rsidTr="00D73E98">
        <w:trPr>
          <w:cantSplit/>
          <w:trHeight w:val="314"/>
        </w:trPr>
        <w:tc>
          <w:tcPr>
            <w:tcW w:w="680" w:type="dxa"/>
          </w:tcPr>
          <w:p w:rsidR="00C406E6" w:rsidRPr="00953A57" w:rsidRDefault="00C406E6" w:rsidP="00D73E98">
            <w:pPr>
              <w:jc w:val="center"/>
              <w:rPr>
                <w:b/>
                <w:lang w:val="it-IT"/>
              </w:rPr>
            </w:pPr>
          </w:p>
        </w:tc>
        <w:tc>
          <w:tcPr>
            <w:tcW w:w="851" w:type="dxa"/>
            <w:tcMar>
              <w:left w:w="108" w:type="dxa"/>
              <w:right w:w="0" w:type="dxa"/>
            </w:tcMar>
          </w:tcPr>
          <w:p w:rsidR="00C406E6" w:rsidRPr="00196924" w:rsidRDefault="00C406E6" w:rsidP="00D73E98">
            <w:pPr>
              <w:pStyle w:val="PrincCont"/>
              <w:jc w:val="left"/>
            </w:pPr>
            <w:r w:rsidRPr="00196924">
              <w:t>Art 2427</w:t>
            </w:r>
            <w:r>
              <w:t>,</w:t>
            </w:r>
            <w:r w:rsidRPr="00196924">
              <w:t xml:space="preserve"> c.1, n. 9 CC</w:t>
            </w:r>
            <w:r>
              <w:t xml:space="preserve">      OIC 14.22</w:t>
            </w:r>
          </w:p>
        </w:tc>
        <w:tc>
          <w:tcPr>
            <w:tcW w:w="7060" w:type="dxa"/>
            <w:tcMar>
              <w:left w:w="108" w:type="dxa"/>
            </w:tcMar>
          </w:tcPr>
          <w:p w:rsidR="00C406E6" w:rsidRPr="00350AF3" w:rsidRDefault="00C406E6" w:rsidP="00032976">
            <w:pPr>
              <w:pStyle w:val="rientrotrattinook"/>
              <w:numPr>
                <w:ilvl w:val="0"/>
                <w:numId w:val="39"/>
              </w:numPr>
              <w:ind w:left="460" w:hanging="284"/>
            </w:pPr>
            <w:r w:rsidRPr="00635400">
              <w:t xml:space="preserve">I </w:t>
            </w:r>
            <w:r w:rsidRPr="00350AF3">
              <w:t>conti cassa o conti bancari attivi all’estero che non possono e</w:t>
            </w:r>
            <w:r>
              <w:t xml:space="preserve">ssere trasferiti o utilizzati a </w:t>
            </w:r>
            <w:r w:rsidRPr="00350AF3">
              <w:t>causa di restrizioni valutarie del</w:t>
            </w:r>
            <w:r>
              <w:t xml:space="preserve"> paese estero o per altre cause?</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C406E6" w:rsidRPr="00460681" w:rsidTr="00D73E98">
        <w:trPr>
          <w:cantSplit/>
          <w:trHeight w:val="314"/>
        </w:trPr>
        <w:tc>
          <w:tcPr>
            <w:tcW w:w="680" w:type="dxa"/>
          </w:tcPr>
          <w:p w:rsidR="00C406E6" w:rsidRPr="00953A57" w:rsidRDefault="00C406E6" w:rsidP="00D73E98">
            <w:pPr>
              <w:jc w:val="center"/>
              <w:rPr>
                <w:b/>
                <w:lang w:val="it-IT"/>
              </w:rPr>
            </w:pPr>
            <w:r>
              <w:rPr>
                <w:b/>
                <w:lang w:val="it-IT"/>
              </w:rPr>
              <w:t>26)</w:t>
            </w:r>
          </w:p>
        </w:tc>
        <w:tc>
          <w:tcPr>
            <w:tcW w:w="851" w:type="dxa"/>
            <w:tcMar>
              <w:left w:w="108" w:type="dxa"/>
              <w:right w:w="0" w:type="dxa"/>
            </w:tcMar>
          </w:tcPr>
          <w:p w:rsidR="00C406E6" w:rsidRPr="00C2111F" w:rsidRDefault="00C406E6" w:rsidP="00D73E98">
            <w:pPr>
              <w:pStyle w:val="PrincCont"/>
              <w:jc w:val="left"/>
            </w:pPr>
            <w:r w:rsidRPr="00C2111F">
              <w:t>Art 2427</w:t>
            </w:r>
            <w:r>
              <w:t>,</w:t>
            </w:r>
            <w:r w:rsidRPr="00C2111F">
              <w:t xml:space="preserve"> c.1, </w:t>
            </w:r>
            <w:r>
              <w:t xml:space="preserve"> </w:t>
            </w:r>
            <w:r w:rsidRPr="00C2111F">
              <w:t>n. 22-bis CC</w:t>
            </w:r>
            <w:r>
              <w:t xml:space="preserve">  </w:t>
            </w:r>
            <w:r w:rsidRPr="00C2111F">
              <w:t>OIC 14.22</w:t>
            </w:r>
          </w:p>
        </w:tc>
        <w:tc>
          <w:tcPr>
            <w:tcW w:w="7060" w:type="dxa"/>
            <w:tcMar>
              <w:left w:w="108" w:type="dxa"/>
            </w:tcMar>
          </w:tcPr>
          <w:p w:rsidR="00C406E6" w:rsidRPr="00CA002F" w:rsidRDefault="00C406E6" w:rsidP="00840B93">
            <w:pPr>
              <w:pStyle w:val="rientrotrattinook"/>
              <w:numPr>
                <w:ilvl w:val="0"/>
                <w:numId w:val="0"/>
              </w:numPr>
              <w:rPr>
                <w:highlight w:val="yellow"/>
              </w:rPr>
            </w:pPr>
            <w:r w:rsidRPr="006D4A48">
              <w:t>L</w:t>
            </w:r>
            <w:r w:rsidRPr="00BD329B">
              <w:t xml:space="preserve">a </w:t>
            </w:r>
            <w:r>
              <w:t>Nota Integrativa</w:t>
            </w:r>
            <w:r w:rsidRPr="00BD329B">
              <w:t xml:space="preserve"> indica, l’utilizzo di eventuali sistemi di tesoreria accentrata che non sono regolati a normali condizioni di mercato a meno che la società non si avvalga dell’esenzione prevista dall’articolo 2435</w:t>
            </w:r>
            <w:r w:rsidRPr="005A78BA">
              <w:t>-</w:t>
            </w:r>
            <w:r w:rsidRPr="00612EBE">
              <w:t>bis</w:t>
            </w:r>
            <w:r w:rsidRPr="00BD329B">
              <w:t>, comma 6, del codice civile, in virtù del quale “</w:t>
            </w:r>
            <w:r w:rsidRPr="00BD329B">
              <w:rPr>
                <w:i/>
              </w:rPr>
              <w:t>Le società possono limitare l’informativa richiesta ai sensi dell’articolo 2427, primo comma, numero 22-bis, alle operazioni realizzate direttamente o indirettamente con i loro maggiori azionisti ed a quelle con i membri degli organi di amministrazione e controllo nonché con le imprese in cui la società stessa detiene una partecipazione</w:t>
            </w:r>
            <w:r w:rsidRPr="00BD329B">
              <w:t>”?</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r w:rsidR="00C406E6" w:rsidRPr="00CC242B" w:rsidTr="00D73E98">
        <w:trPr>
          <w:cantSplit/>
          <w:trHeight w:val="314"/>
        </w:trPr>
        <w:tc>
          <w:tcPr>
            <w:tcW w:w="680" w:type="dxa"/>
          </w:tcPr>
          <w:p w:rsidR="00C406E6" w:rsidRPr="00953A57" w:rsidRDefault="00C406E6" w:rsidP="00D73E98">
            <w:pPr>
              <w:jc w:val="center"/>
              <w:rPr>
                <w:b/>
                <w:lang w:val="it-IT"/>
              </w:rPr>
            </w:pPr>
          </w:p>
        </w:tc>
        <w:tc>
          <w:tcPr>
            <w:tcW w:w="851" w:type="dxa"/>
            <w:tcMar>
              <w:left w:w="108" w:type="dxa"/>
              <w:right w:w="0" w:type="dxa"/>
            </w:tcMar>
          </w:tcPr>
          <w:p w:rsidR="00C406E6" w:rsidRPr="00460681" w:rsidRDefault="00C406E6" w:rsidP="00D73E98">
            <w:pPr>
              <w:pStyle w:val="PrincCont"/>
              <w:jc w:val="left"/>
              <w:rPr>
                <w:lang w:val="it-IT"/>
              </w:rPr>
            </w:pPr>
            <w:r>
              <w:rPr>
                <w:lang w:val="it-IT"/>
              </w:rPr>
              <w:t>Art. 2423, c.4 CC              OIC 14.23</w:t>
            </w:r>
          </w:p>
        </w:tc>
        <w:tc>
          <w:tcPr>
            <w:tcW w:w="7060" w:type="dxa"/>
            <w:tcMar>
              <w:left w:w="108" w:type="dxa"/>
            </w:tcMar>
          </w:tcPr>
          <w:p w:rsidR="00C406E6" w:rsidRPr="007071A8" w:rsidRDefault="00C406E6" w:rsidP="00D73E98">
            <w:pPr>
              <w:pStyle w:val="Commentiriquadro"/>
              <w:rPr>
                <w:highlight w:val="yellow"/>
              </w:rPr>
            </w:pPr>
            <w:r w:rsidRPr="007071A8">
              <w:t>L’articolo 2423, comma 4,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w:t>
            </w:r>
            <w:r>
              <w:t>nuta delle scritture contabili. Le società illustrano nella Nota Integrativa i criteri con i quali hanno dato attuazione alla presente disposizione”.</w:t>
            </w:r>
          </w:p>
        </w:tc>
        <w:tc>
          <w:tcPr>
            <w:tcW w:w="586" w:type="dxa"/>
            <w:tcMar>
              <w:left w:w="85" w:type="dxa"/>
              <w:right w:w="85" w:type="dxa"/>
            </w:tcMar>
            <w:vAlign w:val="center"/>
          </w:tcPr>
          <w:p w:rsidR="00C406E6" w:rsidRPr="00BF1835" w:rsidRDefault="00C406E6" w:rsidP="00D73E98">
            <w:pPr>
              <w:jc w:val="center"/>
              <w:rPr>
                <w:lang w:val="it-IT"/>
              </w:rPr>
            </w:pPr>
          </w:p>
        </w:tc>
        <w:tc>
          <w:tcPr>
            <w:tcW w:w="573" w:type="dxa"/>
            <w:tcMar>
              <w:left w:w="108" w:type="dxa"/>
            </w:tcMar>
            <w:vAlign w:val="center"/>
          </w:tcPr>
          <w:p w:rsidR="00C406E6" w:rsidRPr="00BF1835" w:rsidRDefault="00C406E6" w:rsidP="00D73E98">
            <w:pPr>
              <w:jc w:val="center"/>
              <w:rPr>
                <w:lang w:val="it-IT"/>
              </w:rPr>
            </w:pPr>
          </w:p>
        </w:tc>
        <w:tc>
          <w:tcPr>
            <w:tcW w:w="570" w:type="dxa"/>
            <w:tcMar>
              <w:left w:w="108" w:type="dxa"/>
            </w:tcMar>
            <w:vAlign w:val="center"/>
          </w:tcPr>
          <w:p w:rsidR="00C406E6" w:rsidRPr="00BF1835" w:rsidRDefault="00C406E6" w:rsidP="00D73E98">
            <w:pPr>
              <w:jc w:val="center"/>
              <w:rPr>
                <w:lang w:val="it-IT"/>
              </w:rPr>
            </w:pPr>
          </w:p>
        </w:tc>
      </w:tr>
      <w:tr w:rsidR="00C406E6" w:rsidRPr="00460681" w:rsidTr="00D73E98">
        <w:trPr>
          <w:cantSplit/>
          <w:trHeight w:val="314"/>
        </w:trPr>
        <w:tc>
          <w:tcPr>
            <w:tcW w:w="680" w:type="dxa"/>
          </w:tcPr>
          <w:p w:rsidR="00C406E6" w:rsidRPr="00953A57" w:rsidRDefault="00C406E6" w:rsidP="00D73E98">
            <w:pPr>
              <w:jc w:val="center"/>
              <w:rPr>
                <w:b/>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vAlign w:val="center"/>
          </w:tcPr>
          <w:p w:rsidR="00C406E6" w:rsidRPr="00BD329B" w:rsidRDefault="00C406E6" w:rsidP="00D73E98">
            <w:pPr>
              <w:pStyle w:val="Titolo2"/>
            </w:pPr>
            <w:r w:rsidRPr="00BD329B">
              <w:t>Disposizioni di prima applicazione</w:t>
            </w:r>
          </w:p>
        </w:tc>
        <w:tc>
          <w:tcPr>
            <w:tcW w:w="586" w:type="dxa"/>
            <w:tcMar>
              <w:left w:w="85" w:type="dxa"/>
              <w:right w:w="85" w:type="dxa"/>
            </w:tcMar>
            <w:vAlign w:val="center"/>
          </w:tcPr>
          <w:p w:rsidR="00C406E6" w:rsidRPr="00BF1835" w:rsidRDefault="00C406E6" w:rsidP="00D73E98">
            <w:pPr>
              <w:jc w:val="center"/>
              <w:rPr>
                <w:lang w:val="it-IT"/>
              </w:rPr>
            </w:pPr>
          </w:p>
        </w:tc>
        <w:tc>
          <w:tcPr>
            <w:tcW w:w="573" w:type="dxa"/>
            <w:tcMar>
              <w:left w:w="108" w:type="dxa"/>
            </w:tcMar>
            <w:vAlign w:val="center"/>
          </w:tcPr>
          <w:p w:rsidR="00C406E6" w:rsidRPr="00BF1835" w:rsidRDefault="00C406E6" w:rsidP="00D73E98">
            <w:pPr>
              <w:jc w:val="center"/>
              <w:rPr>
                <w:lang w:val="it-IT"/>
              </w:rPr>
            </w:pPr>
          </w:p>
        </w:tc>
        <w:tc>
          <w:tcPr>
            <w:tcW w:w="570" w:type="dxa"/>
            <w:tcMar>
              <w:left w:w="108" w:type="dxa"/>
            </w:tcMar>
            <w:vAlign w:val="center"/>
          </w:tcPr>
          <w:p w:rsidR="00C406E6" w:rsidRPr="00BF1835" w:rsidRDefault="00C406E6" w:rsidP="00D73E98">
            <w:pPr>
              <w:jc w:val="center"/>
              <w:rPr>
                <w:lang w:val="it-IT"/>
              </w:rPr>
            </w:pPr>
          </w:p>
        </w:tc>
      </w:tr>
      <w:tr w:rsidR="00C406E6" w:rsidRPr="00460681" w:rsidTr="00D73E98">
        <w:trPr>
          <w:cantSplit/>
          <w:trHeight w:val="314"/>
        </w:trPr>
        <w:tc>
          <w:tcPr>
            <w:tcW w:w="680" w:type="dxa"/>
          </w:tcPr>
          <w:p w:rsidR="00C406E6" w:rsidRPr="00953A57" w:rsidRDefault="00C406E6" w:rsidP="00D73E98">
            <w:pPr>
              <w:jc w:val="center"/>
              <w:rPr>
                <w:b/>
                <w:lang w:val="it-IT"/>
              </w:rPr>
            </w:pPr>
            <w:r>
              <w:rPr>
                <w:b/>
                <w:lang w:val="it-IT"/>
              </w:rPr>
              <w:t>27)</w:t>
            </w:r>
          </w:p>
        </w:tc>
        <w:tc>
          <w:tcPr>
            <w:tcW w:w="851" w:type="dxa"/>
            <w:tcMar>
              <w:left w:w="108" w:type="dxa"/>
              <w:right w:w="0" w:type="dxa"/>
            </w:tcMar>
          </w:tcPr>
          <w:p w:rsidR="00C406E6" w:rsidRDefault="00C406E6" w:rsidP="00D73E98">
            <w:pPr>
              <w:pStyle w:val="PrincCont"/>
              <w:jc w:val="left"/>
              <w:rPr>
                <w:lang w:val="it-IT"/>
              </w:rPr>
            </w:pPr>
            <w:r>
              <w:rPr>
                <w:lang w:val="it-IT"/>
              </w:rPr>
              <w:t>OIC 14.27 e OIC 29</w:t>
            </w:r>
          </w:p>
        </w:tc>
        <w:tc>
          <w:tcPr>
            <w:tcW w:w="7060" w:type="dxa"/>
            <w:tcMar>
              <w:left w:w="108" w:type="dxa"/>
            </w:tcMar>
          </w:tcPr>
          <w:p w:rsidR="00C406E6" w:rsidRDefault="00C406E6" w:rsidP="00D73E98">
            <w:pPr>
              <w:pStyle w:val="Puntoelenco"/>
              <w:numPr>
                <w:ilvl w:val="0"/>
                <w:numId w:val="0"/>
              </w:numPr>
              <w:spacing w:line="230" w:lineRule="exact"/>
              <w:ind w:left="34"/>
              <w:rPr>
                <w:highlight w:val="yellow"/>
              </w:rPr>
            </w:pPr>
            <w:r w:rsidRPr="00BD329B">
              <w:t>Eventuali effetti derivanti dall’applicazione delle modifiche apportate all’OIC 14 sono rilevati in bilancio prospetticamente ai sensi dell’OIC 29 “Cambiamenti di prinicipi contabili, cambiamenti di stime contabili, correzioni di errori e fatti intervenuti dopo la chiusura dell’esercizio”?</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CA1681">
              <w:rPr>
                <w:lang w:val="it-IT"/>
              </w:rPr>
            </w:r>
            <w:r w:rsidR="00CA1681">
              <w:rPr>
                <w:lang w:val="it-IT"/>
              </w:rPr>
              <w:fldChar w:fldCharType="separate"/>
            </w:r>
            <w:r w:rsidRPr="00DE38DC">
              <w:rPr>
                <w:lang w:val="it-IT"/>
              </w:rPr>
              <w:fldChar w:fldCharType="end"/>
            </w:r>
          </w:p>
        </w:tc>
      </w:tr>
    </w:tbl>
    <w:p w:rsidR="00C406E6" w:rsidRPr="00181FF6" w:rsidRDefault="00C406E6" w:rsidP="00C406E6">
      <w:pPr>
        <w:rPr>
          <w:lang w:val="it-IT"/>
        </w:rPr>
      </w:pPr>
    </w:p>
    <w:p w:rsidR="00C406E6" w:rsidRDefault="00C406E6" w:rsidP="00A43012">
      <w:pPr>
        <w:rPr>
          <w:lang w:val="it-IT"/>
        </w:rPr>
        <w:sectPr w:rsidR="00C406E6" w:rsidSect="00D73E98">
          <w:headerReference w:type="default" r:id="rId43"/>
          <w:footerReference w:type="default" r:id="rId44"/>
          <w:pgSz w:w="11906" w:h="16838" w:code="9"/>
          <w:pgMar w:top="1134" w:right="851" w:bottom="851" w:left="851" w:header="709" w:footer="567" w:gutter="0"/>
          <w:cols w:space="708"/>
          <w:docGrid w:linePitch="360"/>
        </w:sectPr>
      </w:pPr>
    </w:p>
    <w:p w:rsidR="00D32BD7" w:rsidRDefault="00D32BD7" w:rsidP="00D32BD7">
      <w:pPr>
        <w:overflowPunct/>
        <w:autoSpaceDE/>
        <w:autoSpaceDN/>
        <w:adjustRightInd/>
        <w:spacing w:before="0" w:after="0" w:line="240" w:lineRule="auto"/>
        <w:jc w:val="left"/>
        <w:textAlignment w:val="auto"/>
      </w:pPr>
    </w:p>
    <w:p w:rsidR="00D32BD7" w:rsidRPr="00350ACC" w:rsidRDefault="00D32BD7" w:rsidP="00D32BD7">
      <w:pPr>
        <w:tabs>
          <w:tab w:val="left" w:pos="1890"/>
        </w:tabs>
        <w:spacing w:line="260" w:lineRule="exact"/>
        <w:ind w:left="990" w:hanging="990"/>
        <w:jc w:val="left"/>
        <w:rPr>
          <w:b/>
          <w:color w:val="0070C0"/>
          <w:lang w:val="it-IT"/>
        </w:rPr>
      </w:pPr>
      <w:r w:rsidRPr="00350ACC">
        <w:rPr>
          <w:b/>
          <w:color w:val="0070C0"/>
          <w:sz w:val="28"/>
          <w:lang w:val="it-IT"/>
        </w:rPr>
        <w:t>Patrimonio netto</w:t>
      </w:r>
    </w:p>
    <w:p w:rsidR="00D32BD7" w:rsidRPr="00FA54FF" w:rsidRDefault="00D32BD7" w:rsidP="00D32BD7">
      <w:pPr>
        <w:overflowPunct/>
        <w:autoSpaceDE/>
        <w:autoSpaceDN/>
        <w:adjustRightInd/>
        <w:spacing w:before="0" w:after="0" w:line="240" w:lineRule="auto"/>
        <w:jc w:val="left"/>
        <w:textAlignment w:val="auto"/>
        <w:rPr>
          <w:lang w:val="it-IT"/>
        </w:rPr>
      </w:pPr>
    </w:p>
    <w:p w:rsidR="00D32BD7" w:rsidRPr="00FA54FF" w:rsidRDefault="00D32BD7" w:rsidP="00D32BD7">
      <w:pPr>
        <w:overflowPunct/>
        <w:autoSpaceDE/>
        <w:autoSpaceDN/>
        <w:adjustRightInd/>
        <w:spacing w:before="0" w:after="0" w:line="240" w:lineRule="auto"/>
        <w:jc w:val="left"/>
        <w:textAlignment w:val="auto"/>
        <w:rPr>
          <w:lang w:val="it-IT"/>
        </w:rPr>
      </w:pPr>
    </w:p>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1"/>
        <w:gridCol w:w="850"/>
        <w:gridCol w:w="7060"/>
        <w:gridCol w:w="586"/>
        <w:gridCol w:w="573"/>
        <w:gridCol w:w="570"/>
      </w:tblGrid>
      <w:tr w:rsidR="00D32BD7" w:rsidRPr="008A0F36" w:rsidTr="009869E8">
        <w:trPr>
          <w:cantSplit/>
          <w:trHeight w:val="20"/>
          <w:tblHeader/>
        </w:trPr>
        <w:tc>
          <w:tcPr>
            <w:tcW w:w="681" w:type="dxa"/>
            <w:shd w:val="clear" w:color="auto" w:fill="F2F2F2" w:themeFill="background1" w:themeFillShade="F2"/>
          </w:tcPr>
          <w:p w:rsidR="00D32BD7" w:rsidRPr="008A0F36" w:rsidRDefault="00D32BD7" w:rsidP="00D73E98">
            <w:pPr>
              <w:jc w:val="center"/>
              <w:rPr>
                <w:lang w:val="it-IT"/>
              </w:rPr>
            </w:pPr>
          </w:p>
        </w:tc>
        <w:tc>
          <w:tcPr>
            <w:tcW w:w="850" w:type="dxa"/>
            <w:shd w:val="clear" w:color="auto" w:fill="F2F2F2" w:themeFill="background1" w:themeFillShade="F2"/>
            <w:tcMar>
              <w:left w:w="108" w:type="dxa"/>
              <w:right w:w="0" w:type="dxa"/>
            </w:tcMar>
          </w:tcPr>
          <w:p w:rsidR="00D32BD7" w:rsidRPr="008A0F36" w:rsidRDefault="00D32BD7" w:rsidP="00D73E98">
            <w:pPr>
              <w:jc w:val="left"/>
              <w:rPr>
                <w:b/>
                <w:lang w:val="it-IT"/>
              </w:rPr>
            </w:pPr>
          </w:p>
        </w:tc>
        <w:tc>
          <w:tcPr>
            <w:tcW w:w="7060" w:type="dxa"/>
            <w:shd w:val="clear" w:color="auto" w:fill="F2F2F2" w:themeFill="background1" w:themeFillShade="F2"/>
            <w:tcMar>
              <w:left w:w="108" w:type="dxa"/>
            </w:tcMar>
          </w:tcPr>
          <w:p w:rsidR="00D32BD7" w:rsidRPr="008A0F36" w:rsidRDefault="00D32BD7" w:rsidP="00D73E98">
            <w:pPr>
              <w:jc w:val="center"/>
              <w:rPr>
                <w:b/>
                <w:lang w:val="it-IT"/>
              </w:rPr>
            </w:pPr>
          </w:p>
        </w:tc>
        <w:tc>
          <w:tcPr>
            <w:tcW w:w="586" w:type="dxa"/>
            <w:shd w:val="clear" w:color="auto" w:fill="F2F2F2" w:themeFill="background1" w:themeFillShade="F2"/>
            <w:tcMar>
              <w:left w:w="85" w:type="dxa"/>
              <w:right w:w="85" w:type="dxa"/>
            </w:tcMar>
            <w:vAlign w:val="bottom"/>
          </w:tcPr>
          <w:p w:rsidR="00D32BD7" w:rsidRPr="008A0F36" w:rsidRDefault="00D32BD7" w:rsidP="00D73E98">
            <w:pPr>
              <w:jc w:val="center"/>
              <w:rPr>
                <w:b/>
                <w:lang w:val="it-IT"/>
              </w:rPr>
            </w:pPr>
            <w:r w:rsidRPr="008A0F36">
              <w:rPr>
                <w:b/>
                <w:lang w:val="it-IT"/>
              </w:rPr>
              <w:t>SI</w:t>
            </w:r>
          </w:p>
        </w:tc>
        <w:tc>
          <w:tcPr>
            <w:tcW w:w="573" w:type="dxa"/>
            <w:shd w:val="clear" w:color="auto" w:fill="F2F2F2" w:themeFill="background1" w:themeFillShade="F2"/>
            <w:tcMar>
              <w:left w:w="108" w:type="dxa"/>
            </w:tcMar>
            <w:vAlign w:val="bottom"/>
          </w:tcPr>
          <w:p w:rsidR="00D32BD7" w:rsidRPr="008A0F36" w:rsidRDefault="00D32BD7" w:rsidP="00D73E98">
            <w:pPr>
              <w:jc w:val="center"/>
              <w:rPr>
                <w:b/>
                <w:lang w:val="it-IT"/>
              </w:rPr>
            </w:pPr>
            <w:r w:rsidRPr="008A0F36">
              <w:rPr>
                <w:b/>
                <w:lang w:val="it-IT"/>
              </w:rPr>
              <w:t>NO</w:t>
            </w:r>
          </w:p>
        </w:tc>
        <w:tc>
          <w:tcPr>
            <w:tcW w:w="570" w:type="dxa"/>
            <w:shd w:val="clear" w:color="auto" w:fill="F2F2F2" w:themeFill="background1" w:themeFillShade="F2"/>
            <w:tcMar>
              <w:left w:w="108" w:type="dxa"/>
            </w:tcMar>
            <w:vAlign w:val="bottom"/>
          </w:tcPr>
          <w:p w:rsidR="00D32BD7" w:rsidRPr="008A0F36" w:rsidRDefault="00D32BD7" w:rsidP="00D73E98">
            <w:pPr>
              <w:jc w:val="center"/>
              <w:rPr>
                <w:b/>
                <w:lang w:val="it-IT"/>
              </w:rPr>
            </w:pPr>
            <w:r w:rsidRPr="008A0F36">
              <w:rPr>
                <w:b/>
                <w:lang w:val="it-IT"/>
              </w:rPr>
              <w:t>N/A</w:t>
            </w:r>
          </w:p>
        </w:tc>
      </w:tr>
      <w:tr w:rsidR="00D32BD7" w:rsidRPr="0090609A"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keepNext/>
              <w:jc w:val="left"/>
              <w:rPr>
                <w:lang w:val="it-IT"/>
              </w:rPr>
            </w:pPr>
          </w:p>
        </w:tc>
        <w:tc>
          <w:tcPr>
            <w:tcW w:w="7060" w:type="dxa"/>
            <w:tcMar>
              <w:left w:w="108" w:type="dxa"/>
            </w:tcMar>
            <w:vAlign w:val="center"/>
          </w:tcPr>
          <w:p w:rsidR="00D32BD7" w:rsidRPr="008A0F36" w:rsidRDefault="00D32BD7" w:rsidP="00D73E98">
            <w:pPr>
              <w:pStyle w:val="Titolo2"/>
              <w:rPr>
                <w:lang w:val="it-IT"/>
              </w:rPr>
            </w:pPr>
            <w:r w:rsidRPr="0090609A">
              <w:rPr>
                <w:lang w:val="it-IT"/>
              </w:rPr>
              <w:t>PATRIMONIO NETTO</w:t>
            </w:r>
          </w:p>
        </w:tc>
        <w:tc>
          <w:tcPr>
            <w:tcW w:w="586" w:type="dxa"/>
            <w:tcMar>
              <w:left w:w="85" w:type="dxa"/>
              <w:right w:w="85" w:type="dxa"/>
            </w:tcMar>
            <w:vAlign w:val="bottom"/>
          </w:tcPr>
          <w:p w:rsidR="00D32BD7" w:rsidRPr="008A0F36" w:rsidRDefault="00D32BD7" w:rsidP="00D73E98">
            <w:pPr>
              <w:keepNext/>
              <w:rPr>
                <w:lang w:val="it-IT"/>
              </w:rPr>
            </w:pPr>
          </w:p>
        </w:tc>
        <w:tc>
          <w:tcPr>
            <w:tcW w:w="573" w:type="dxa"/>
            <w:tcMar>
              <w:left w:w="108" w:type="dxa"/>
            </w:tcMar>
            <w:vAlign w:val="bottom"/>
          </w:tcPr>
          <w:p w:rsidR="00D32BD7" w:rsidRPr="008A0F36" w:rsidRDefault="00D32BD7" w:rsidP="00D73E98">
            <w:pPr>
              <w:keepNext/>
              <w:rPr>
                <w:lang w:val="it-IT"/>
              </w:rPr>
            </w:pPr>
          </w:p>
        </w:tc>
        <w:tc>
          <w:tcPr>
            <w:tcW w:w="570" w:type="dxa"/>
            <w:tcMar>
              <w:left w:w="108" w:type="dxa"/>
            </w:tcMar>
            <w:vAlign w:val="bottom"/>
          </w:tcPr>
          <w:p w:rsidR="00D32BD7" w:rsidRPr="008A0F36" w:rsidRDefault="00D32BD7" w:rsidP="00D73E98">
            <w:pPr>
              <w:keepNext/>
              <w:rPr>
                <w:lang w:val="it-IT"/>
              </w:rPr>
            </w:pPr>
          </w:p>
        </w:tc>
      </w:tr>
      <w:tr w:rsidR="00D32BD7" w:rsidRPr="0090609A"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keepNext/>
              <w:jc w:val="left"/>
              <w:rPr>
                <w:lang w:val="it-IT"/>
              </w:rPr>
            </w:pPr>
          </w:p>
        </w:tc>
        <w:tc>
          <w:tcPr>
            <w:tcW w:w="7060" w:type="dxa"/>
            <w:tcMar>
              <w:left w:w="108" w:type="dxa"/>
            </w:tcMar>
            <w:vAlign w:val="center"/>
          </w:tcPr>
          <w:p w:rsidR="00D32BD7" w:rsidRPr="0090609A" w:rsidRDefault="00D32BD7" w:rsidP="00D73E98">
            <w:pPr>
              <w:pStyle w:val="Titolo2"/>
              <w:rPr>
                <w:lang w:val="it-IT"/>
              </w:rPr>
            </w:pPr>
            <w:r w:rsidRPr="00C737BB">
              <w:rPr>
                <w:lang w:val="it-IT"/>
              </w:rPr>
              <w:t>Definizioni</w:t>
            </w:r>
          </w:p>
        </w:tc>
        <w:tc>
          <w:tcPr>
            <w:tcW w:w="586" w:type="dxa"/>
            <w:tcMar>
              <w:left w:w="85" w:type="dxa"/>
              <w:right w:w="85" w:type="dxa"/>
            </w:tcMar>
            <w:vAlign w:val="bottom"/>
          </w:tcPr>
          <w:p w:rsidR="00D32BD7" w:rsidRPr="008A0F36" w:rsidRDefault="00D32BD7" w:rsidP="00D73E98">
            <w:pPr>
              <w:keepNext/>
              <w:rPr>
                <w:lang w:val="it-IT"/>
              </w:rPr>
            </w:pPr>
          </w:p>
        </w:tc>
        <w:tc>
          <w:tcPr>
            <w:tcW w:w="573" w:type="dxa"/>
            <w:tcMar>
              <w:left w:w="108" w:type="dxa"/>
            </w:tcMar>
            <w:vAlign w:val="bottom"/>
          </w:tcPr>
          <w:p w:rsidR="00D32BD7" w:rsidRPr="008A0F36" w:rsidRDefault="00D32BD7" w:rsidP="00D73E98">
            <w:pPr>
              <w:keepNext/>
              <w:rPr>
                <w:lang w:val="it-IT"/>
              </w:rPr>
            </w:pPr>
          </w:p>
        </w:tc>
        <w:tc>
          <w:tcPr>
            <w:tcW w:w="570" w:type="dxa"/>
            <w:tcMar>
              <w:left w:w="108" w:type="dxa"/>
            </w:tcMar>
            <w:vAlign w:val="bottom"/>
          </w:tcPr>
          <w:p w:rsidR="00D32BD7" w:rsidRPr="008A0F36" w:rsidRDefault="00D32BD7" w:rsidP="00D73E98">
            <w:pPr>
              <w:keepNext/>
              <w:rPr>
                <w:lang w:val="it-IT"/>
              </w:rPr>
            </w:pPr>
          </w:p>
        </w:tc>
      </w:tr>
      <w:tr w:rsidR="00D32BD7" w:rsidRPr="00CC242B"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keepNext/>
              <w:jc w:val="left"/>
              <w:rPr>
                <w:lang w:val="it-IT"/>
              </w:rPr>
            </w:pPr>
            <w:r>
              <w:rPr>
                <w:lang w:val="it-IT"/>
              </w:rPr>
              <w:t>OIC 28.4</w:t>
            </w:r>
          </w:p>
        </w:tc>
        <w:tc>
          <w:tcPr>
            <w:tcW w:w="7060" w:type="dxa"/>
            <w:tcMar>
              <w:left w:w="108" w:type="dxa"/>
            </w:tcMar>
          </w:tcPr>
          <w:p w:rsidR="00D32BD7" w:rsidRPr="00A64667" w:rsidRDefault="00D32BD7" w:rsidP="00D73E98">
            <w:pPr>
              <w:pStyle w:val="Commentiriquadro"/>
            </w:pPr>
            <w:r w:rsidRPr="00A64667">
              <w:t xml:space="preserve">Il </w:t>
            </w:r>
            <w:r w:rsidRPr="00A64667">
              <w:rPr>
                <w:i/>
                <w:iCs/>
              </w:rPr>
              <w:t xml:space="preserve">patrimonio netto </w:t>
            </w:r>
            <w:r w:rsidRPr="00A64667">
              <w:t>è la differenza tra le attiv</w:t>
            </w:r>
            <w:r>
              <w:t>ità e le passività di bilancio.</w:t>
            </w:r>
          </w:p>
        </w:tc>
        <w:tc>
          <w:tcPr>
            <w:tcW w:w="586" w:type="dxa"/>
            <w:tcMar>
              <w:left w:w="85" w:type="dxa"/>
              <w:right w:w="85" w:type="dxa"/>
            </w:tcMar>
            <w:vAlign w:val="bottom"/>
          </w:tcPr>
          <w:p w:rsidR="00D32BD7" w:rsidRPr="008A0F36" w:rsidRDefault="00D32BD7" w:rsidP="00D73E98">
            <w:pPr>
              <w:keepNext/>
              <w:rPr>
                <w:lang w:val="it-IT"/>
              </w:rPr>
            </w:pPr>
          </w:p>
        </w:tc>
        <w:tc>
          <w:tcPr>
            <w:tcW w:w="573" w:type="dxa"/>
            <w:tcMar>
              <w:left w:w="108" w:type="dxa"/>
            </w:tcMar>
            <w:vAlign w:val="bottom"/>
          </w:tcPr>
          <w:p w:rsidR="00D32BD7" w:rsidRPr="008A0F36" w:rsidRDefault="00D32BD7" w:rsidP="00D73E98">
            <w:pPr>
              <w:keepNext/>
              <w:rPr>
                <w:lang w:val="it-IT"/>
              </w:rPr>
            </w:pPr>
          </w:p>
        </w:tc>
        <w:tc>
          <w:tcPr>
            <w:tcW w:w="570" w:type="dxa"/>
            <w:tcMar>
              <w:left w:w="108" w:type="dxa"/>
            </w:tcMar>
            <w:vAlign w:val="bottom"/>
          </w:tcPr>
          <w:p w:rsidR="00D32BD7" w:rsidRPr="008A0F36" w:rsidRDefault="00D32BD7" w:rsidP="00D73E98">
            <w:pPr>
              <w:keepNext/>
              <w:rPr>
                <w:lang w:val="it-IT"/>
              </w:rPr>
            </w:pPr>
          </w:p>
        </w:tc>
      </w:tr>
      <w:tr w:rsidR="00D32BD7" w:rsidRPr="00CC242B"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keepNext/>
              <w:jc w:val="left"/>
              <w:rPr>
                <w:lang w:val="it-IT"/>
              </w:rPr>
            </w:pPr>
            <w:r>
              <w:rPr>
                <w:lang w:val="it-IT"/>
              </w:rPr>
              <w:t>OIC 28.5</w:t>
            </w:r>
          </w:p>
        </w:tc>
        <w:tc>
          <w:tcPr>
            <w:tcW w:w="7060" w:type="dxa"/>
            <w:tcMar>
              <w:left w:w="108" w:type="dxa"/>
            </w:tcMar>
          </w:tcPr>
          <w:p w:rsidR="00D32BD7" w:rsidRPr="00A64667" w:rsidRDefault="00D32BD7" w:rsidP="00D73E98">
            <w:pPr>
              <w:pStyle w:val="Commentiriquadro"/>
            </w:pPr>
            <w:r w:rsidRPr="00A64667">
              <w:t xml:space="preserve">Il </w:t>
            </w:r>
            <w:r w:rsidRPr="00A64667">
              <w:rPr>
                <w:i/>
                <w:iCs/>
              </w:rPr>
              <w:t xml:space="preserve">bilancio in forma ordinaria </w:t>
            </w:r>
            <w:r w:rsidRPr="00A64667">
              <w:t>è il bilancio redatto secondo le disposizioni del codice civile dalle società che non redigono il bilancio in forma abbreviata ai sensi dell’articolo 2435-</w:t>
            </w:r>
            <w:r w:rsidRPr="00A64667">
              <w:rPr>
                <w:i/>
                <w:iCs/>
              </w:rPr>
              <w:t xml:space="preserve">bis </w:t>
            </w:r>
            <w:r w:rsidRPr="00A64667">
              <w:t>del codice civile (bilancio in forma abbreviata) e che non redigono il bilancio ai sensi dell’articolo 2435-</w:t>
            </w:r>
            <w:r w:rsidRPr="00A64667">
              <w:rPr>
                <w:i/>
                <w:iCs/>
              </w:rPr>
              <w:t>ter</w:t>
            </w:r>
            <w:r w:rsidRPr="00A64667">
              <w:t xml:space="preserve"> del codice civile </w:t>
            </w:r>
            <w:r>
              <w:t>(bilancio delle micro-imprese).</w:t>
            </w:r>
          </w:p>
        </w:tc>
        <w:tc>
          <w:tcPr>
            <w:tcW w:w="586" w:type="dxa"/>
            <w:tcMar>
              <w:left w:w="85" w:type="dxa"/>
              <w:right w:w="85" w:type="dxa"/>
            </w:tcMar>
            <w:vAlign w:val="bottom"/>
          </w:tcPr>
          <w:p w:rsidR="00D32BD7" w:rsidRPr="008A0F36" w:rsidRDefault="00D32BD7" w:rsidP="00D73E98">
            <w:pPr>
              <w:keepNext/>
              <w:rPr>
                <w:lang w:val="it-IT"/>
              </w:rPr>
            </w:pPr>
          </w:p>
        </w:tc>
        <w:tc>
          <w:tcPr>
            <w:tcW w:w="573" w:type="dxa"/>
            <w:tcMar>
              <w:left w:w="108" w:type="dxa"/>
            </w:tcMar>
            <w:vAlign w:val="bottom"/>
          </w:tcPr>
          <w:p w:rsidR="00D32BD7" w:rsidRPr="008A0F36" w:rsidRDefault="00D32BD7" w:rsidP="00D73E98">
            <w:pPr>
              <w:keepNext/>
              <w:rPr>
                <w:lang w:val="it-IT"/>
              </w:rPr>
            </w:pPr>
          </w:p>
        </w:tc>
        <w:tc>
          <w:tcPr>
            <w:tcW w:w="570" w:type="dxa"/>
            <w:tcMar>
              <w:left w:w="108" w:type="dxa"/>
            </w:tcMar>
            <w:vAlign w:val="bottom"/>
          </w:tcPr>
          <w:p w:rsidR="00D32BD7" w:rsidRPr="008A0F36" w:rsidRDefault="00D32BD7" w:rsidP="00D73E98">
            <w:pPr>
              <w:keepNext/>
              <w:rPr>
                <w:lang w:val="it-IT"/>
              </w:rPr>
            </w:pPr>
          </w:p>
        </w:tc>
      </w:tr>
      <w:tr w:rsidR="00D32BD7" w:rsidRPr="00CC242B"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keepNext/>
              <w:jc w:val="left"/>
              <w:rPr>
                <w:lang w:val="it-IT"/>
              </w:rPr>
            </w:pPr>
            <w:r>
              <w:rPr>
                <w:lang w:val="it-IT"/>
              </w:rPr>
              <w:t>OIC 28.6</w:t>
            </w:r>
          </w:p>
        </w:tc>
        <w:tc>
          <w:tcPr>
            <w:tcW w:w="7060" w:type="dxa"/>
            <w:tcMar>
              <w:left w:w="108" w:type="dxa"/>
            </w:tcMar>
          </w:tcPr>
          <w:p w:rsidR="00D32BD7" w:rsidRPr="00A64667" w:rsidRDefault="00D32BD7" w:rsidP="00D73E98">
            <w:pPr>
              <w:pStyle w:val="Commentiriquadro"/>
            </w:pPr>
            <w:r w:rsidRPr="00A64667">
              <w:t xml:space="preserve">Un </w:t>
            </w:r>
            <w:r w:rsidRPr="00A64667">
              <w:rPr>
                <w:i/>
                <w:iCs/>
              </w:rPr>
              <w:t xml:space="preserve">aumento di capitale è inscindibile </w:t>
            </w:r>
            <w:r w:rsidRPr="00A64667">
              <w:t>se l’aumento di capitale sociale può essere effettuato solo se è sottoscritto integralmente entro il termin</w:t>
            </w:r>
            <w:r>
              <w:t>e previsto dalla deliberazione.</w:t>
            </w:r>
          </w:p>
        </w:tc>
        <w:tc>
          <w:tcPr>
            <w:tcW w:w="586" w:type="dxa"/>
            <w:tcMar>
              <w:left w:w="85" w:type="dxa"/>
              <w:right w:w="85" w:type="dxa"/>
            </w:tcMar>
            <w:vAlign w:val="bottom"/>
          </w:tcPr>
          <w:p w:rsidR="00D32BD7" w:rsidRPr="008A0F36" w:rsidRDefault="00D32BD7" w:rsidP="00D73E98">
            <w:pPr>
              <w:keepNext/>
              <w:rPr>
                <w:lang w:val="it-IT"/>
              </w:rPr>
            </w:pPr>
          </w:p>
        </w:tc>
        <w:tc>
          <w:tcPr>
            <w:tcW w:w="573" w:type="dxa"/>
            <w:tcMar>
              <w:left w:w="108" w:type="dxa"/>
            </w:tcMar>
            <w:vAlign w:val="bottom"/>
          </w:tcPr>
          <w:p w:rsidR="00D32BD7" w:rsidRPr="008A0F36" w:rsidRDefault="00D32BD7" w:rsidP="00D73E98">
            <w:pPr>
              <w:keepNext/>
              <w:rPr>
                <w:lang w:val="it-IT"/>
              </w:rPr>
            </w:pPr>
          </w:p>
        </w:tc>
        <w:tc>
          <w:tcPr>
            <w:tcW w:w="570" w:type="dxa"/>
            <w:tcMar>
              <w:left w:w="108" w:type="dxa"/>
            </w:tcMar>
            <w:vAlign w:val="bottom"/>
          </w:tcPr>
          <w:p w:rsidR="00D32BD7" w:rsidRPr="008A0F36" w:rsidRDefault="00D32BD7" w:rsidP="00D73E98">
            <w:pPr>
              <w:keepNext/>
              <w:rPr>
                <w:lang w:val="it-IT"/>
              </w:rPr>
            </w:pPr>
          </w:p>
        </w:tc>
      </w:tr>
      <w:tr w:rsidR="00D32BD7" w:rsidRPr="00CC242B"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keepNext/>
              <w:jc w:val="left"/>
              <w:rPr>
                <w:lang w:val="it-IT"/>
              </w:rPr>
            </w:pPr>
            <w:r>
              <w:rPr>
                <w:lang w:val="it-IT"/>
              </w:rPr>
              <w:t>OIC 28.7</w:t>
            </w:r>
          </w:p>
        </w:tc>
        <w:tc>
          <w:tcPr>
            <w:tcW w:w="7060" w:type="dxa"/>
            <w:tcMar>
              <w:left w:w="108" w:type="dxa"/>
            </w:tcMar>
          </w:tcPr>
          <w:p w:rsidR="00D32BD7" w:rsidRPr="00A64667" w:rsidRDefault="00D32BD7" w:rsidP="00D73E98">
            <w:pPr>
              <w:pStyle w:val="Commentiriquadro"/>
            </w:pPr>
            <w:r w:rsidRPr="00A64667">
              <w:t xml:space="preserve">Un </w:t>
            </w:r>
            <w:r w:rsidRPr="00A64667">
              <w:rPr>
                <w:i/>
                <w:iCs/>
              </w:rPr>
              <w:t xml:space="preserve">aumento di capitale è scindibile </w:t>
            </w:r>
            <w:r w:rsidRPr="00A64667">
              <w:t>quando la delibera assembleare prevede espressamente che il capitale sociale possa essere aumentato anche in assenza di integrale sottoscrizione dell’aumento stesso entro il termine previsto dalla deliberazione.</w:t>
            </w:r>
          </w:p>
        </w:tc>
        <w:tc>
          <w:tcPr>
            <w:tcW w:w="586" w:type="dxa"/>
            <w:tcMar>
              <w:left w:w="85" w:type="dxa"/>
              <w:right w:w="85" w:type="dxa"/>
            </w:tcMar>
            <w:vAlign w:val="bottom"/>
          </w:tcPr>
          <w:p w:rsidR="00D32BD7" w:rsidRPr="008A0F36" w:rsidRDefault="00D32BD7" w:rsidP="00D73E98">
            <w:pPr>
              <w:keepNext/>
              <w:rPr>
                <w:lang w:val="it-IT"/>
              </w:rPr>
            </w:pPr>
          </w:p>
        </w:tc>
        <w:tc>
          <w:tcPr>
            <w:tcW w:w="573" w:type="dxa"/>
            <w:tcMar>
              <w:left w:w="108" w:type="dxa"/>
            </w:tcMar>
            <w:vAlign w:val="bottom"/>
          </w:tcPr>
          <w:p w:rsidR="00D32BD7" w:rsidRPr="008A0F36" w:rsidRDefault="00D32BD7" w:rsidP="00D73E98">
            <w:pPr>
              <w:keepNext/>
              <w:rPr>
                <w:lang w:val="it-IT"/>
              </w:rPr>
            </w:pPr>
          </w:p>
        </w:tc>
        <w:tc>
          <w:tcPr>
            <w:tcW w:w="570" w:type="dxa"/>
            <w:tcMar>
              <w:left w:w="108" w:type="dxa"/>
            </w:tcMar>
            <w:vAlign w:val="bottom"/>
          </w:tcPr>
          <w:p w:rsidR="00D32BD7" w:rsidRPr="008A0F36" w:rsidRDefault="00D32BD7" w:rsidP="00D73E98">
            <w:pPr>
              <w:keepNext/>
              <w:rPr>
                <w:lang w:val="it-IT"/>
              </w:rPr>
            </w:pPr>
          </w:p>
        </w:tc>
      </w:tr>
      <w:tr w:rsidR="00D32BD7" w:rsidRPr="00CC242B"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keepNext/>
              <w:jc w:val="left"/>
              <w:rPr>
                <w:lang w:val="it-IT"/>
              </w:rPr>
            </w:pPr>
          </w:p>
        </w:tc>
        <w:tc>
          <w:tcPr>
            <w:tcW w:w="7060" w:type="dxa"/>
            <w:tcMar>
              <w:left w:w="108" w:type="dxa"/>
            </w:tcMar>
            <w:vAlign w:val="center"/>
          </w:tcPr>
          <w:p w:rsidR="00D32BD7" w:rsidRPr="009A7C36" w:rsidRDefault="00D32BD7" w:rsidP="00D73E98">
            <w:pPr>
              <w:pStyle w:val="Titolo2"/>
              <w:rPr>
                <w:lang w:val="it-IT"/>
              </w:rPr>
            </w:pPr>
            <w:r w:rsidRPr="009A7C36">
              <w:rPr>
                <w:lang w:val="it-IT"/>
              </w:rPr>
              <w:t>Classificazione e contenuto delle voci</w:t>
            </w:r>
          </w:p>
        </w:tc>
        <w:tc>
          <w:tcPr>
            <w:tcW w:w="586" w:type="dxa"/>
            <w:tcMar>
              <w:left w:w="85" w:type="dxa"/>
              <w:right w:w="85" w:type="dxa"/>
            </w:tcMar>
            <w:vAlign w:val="bottom"/>
          </w:tcPr>
          <w:p w:rsidR="00D32BD7" w:rsidRPr="008A0F36" w:rsidRDefault="00D32BD7" w:rsidP="00D73E98">
            <w:pPr>
              <w:keepNext/>
              <w:rPr>
                <w:lang w:val="it-IT"/>
              </w:rPr>
            </w:pPr>
          </w:p>
        </w:tc>
        <w:tc>
          <w:tcPr>
            <w:tcW w:w="573" w:type="dxa"/>
            <w:tcMar>
              <w:left w:w="108" w:type="dxa"/>
            </w:tcMar>
            <w:vAlign w:val="bottom"/>
          </w:tcPr>
          <w:p w:rsidR="00D32BD7" w:rsidRPr="008A0F36" w:rsidRDefault="00D32BD7" w:rsidP="00D73E98">
            <w:pPr>
              <w:keepNext/>
              <w:rPr>
                <w:lang w:val="it-IT"/>
              </w:rPr>
            </w:pPr>
          </w:p>
        </w:tc>
        <w:tc>
          <w:tcPr>
            <w:tcW w:w="570" w:type="dxa"/>
            <w:tcMar>
              <w:left w:w="108" w:type="dxa"/>
            </w:tcMar>
            <w:vAlign w:val="bottom"/>
          </w:tcPr>
          <w:p w:rsidR="00D32BD7" w:rsidRPr="008A0F36" w:rsidRDefault="00D32BD7" w:rsidP="00D73E98">
            <w:pPr>
              <w:keepNext/>
              <w:rPr>
                <w:lang w:val="it-IT"/>
              </w:rPr>
            </w:pPr>
          </w:p>
        </w:tc>
      </w:tr>
      <w:tr w:rsidR="00D32BD7" w:rsidRPr="00CC242B" w:rsidTr="009869E8">
        <w:trPr>
          <w:cantSplit/>
          <w:trHeight w:val="20"/>
        </w:trPr>
        <w:tc>
          <w:tcPr>
            <w:tcW w:w="681" w:type="dxa"/>
          </w:tcPr>
          <w:p w:rsidR="00D32BD7" w:rsidRPr="008216D3" w:rsidRDefault="00D32BD7" w:rsidP="009869E8">
            <w:pPr>
              <w:pStyle w:val="Numeroelenco"/>
              <w:numPr>
                <w:ilvl w:val="0"/>
                <w:numId w:val="0"/>
              </w:numPr>
              <w:ind w:left="57"/>
              <w:rPr>
                <w:b/>
                <w:lang w:val="it-IT"/>
              </w:rPr>
            </w:pPr>
            <w:r w:rsidRPr="008216D3">
              <w:rPr>
                <w:b/>
                <w:lang w:val="it-IT"/>
              </w:rPr>
              <w:t>1)</w:t>
            </w:r>
          </w:p>
        </w:tc>
        <w:tc>
          <w:tcPr>
            <w:tcW w:w="850" w:type="dxa"/>
            <w:tcMar>
              <w:left w:w="108" w:type="dxa"/>
              <w:right w:w="0" w:type="dxa"/>
            </w:tcMar>
          </w:tcPr>
          <w:p w:rsidR="00D32BD7" w:rsidRPr="005B0B2C" w:rsidRDefault="00D32BD7" w:rsidP="00D73E98">
            <w:pPr>
              <w:pStyle w:val="PrincCont"/>
              <w:jc w:val="left"/>
              <w:rPr>
                <w:lang w:val="it-IT"/>
              </w:rPr>
            </w:pPr>
            <w:r>
              <w:rPr>
                <w:lang w:val="it-IT"/>
              </w:rPr>
              <w:t>2424 CC    OIC 28.8</w:t>
            </w:r>
          </w:p>
        </w:tc>
        <w:tc>
          <w:tcPr>
            <w:tcW w:w="7060" w:type="dxa"/>
            <w:tcMar>
              <w:left w:w="108" w:type="dxa"/>
            </w:tcMar>
          </w:tcPr>
          <w:p w:rsidR="00D32BD7" w:rsidRPr="008A0F36" w:rsidRDefault="00D32BD7" w:rsidP="00D73E98">
            <w:pPr>
              <w:spacing w:line="230" w:lineRule="exact"/>
              <w:rPr>
                <w:lang w:val="it-IT"/>
              </w:rPr>
            </w:pPr>
            <w:r>
              <w:rPr>
                <w:lang w:val="it-IT"/>
              </w:rPr>
              <w:t>L</w:t>
            </w:r>
            <w:r w:rsidRPr="001D5E7C">
              <w:rPr>
                <w:lang w:val="it-IT"/>
              </w:rPr>
              <w:t>e voci del patrimonio netto sono iscritte nel passivo</w:t>
            </w:r>
            <w:r>
              <w:rPr>
                <w:lang w:val="it-IT"/>
              </w:rPr>
              <w:t xml:space="preserve"> </w:t>
            </w:r>
            <w:r w:rsidRPr="001D5E7C">
              <w:rPr>
                <w:lang w:val="it-IT"/>
              </w:rPr>
              <w:t>dello stato patrimoniale alla voce A “</w:t>
            </w:r>
            <w:r w:rsidRPr="00F10231">
              <w:rPr>
                <w:i/>
                <w:lang w:val="it-IT"/>
              </w:rPr>
              <w:t>Patrimonio netto</w:t>
            </w:r>
            <w:r w:rsidRPr="001D5E7C">
              <w:rPr>
                <w:lang w:val="it-IT"/>
              </w:rPr>
              <w:t>” con la seguente classificazione</w:t>
            </w:r>
            <w:r>
              <w:rPr>
                <w:lang w:val="it-IT"/>
              </w:rPr>
              <w:t>:</w:t>
            </w:r>
          </w:p>
        </w:tc>
        <w:tc>
          <w:tcPr>
            <w:tcW w:w="586" w:type="dxa"/>
            <w:tcMar>
              <w:left w:w="85" w:type="dxa"/>
              <w:right w:w="85" w:type="dxa"/>
            </w:tcMar>
            <w:vAlign w:val="center"/>
          </w:tcPr>
          <w:p w:rsidR="00D32BD7" w:rsidRPr="00A32A16" w:rsidRDefault="00D32BD7" w:rsidP="00D73E98">
            <w:pPr>
              <w:jc w:val="center"/>
              <w:rPr>
                <w:lang w:val="it-IT"/>
              </w:rPr>
            </w:pPr>
          </w:p>
        </w:tc>
        <w:tc>
          <w:tcPr>
            <w:tcW w:w="573" w:type="dxa"/>
            <w:tcMar>
              <w:left w:w="108" w:type="dxa"/>
            </w:tcMar>
            <w:vAlign w:val="center"/>
          </w:tcPr>
          <w:p w:rsidR="00D32BD7" w:rsidRPr="00A32A16" w:rsidRDefault="00D32BD7" w:rsidP="00D73E98">
            <w:pPr>
              <w:jc w:val="center"/>
              <w:rPr>
                <w:lang w:val="it-IT"/>
              </w:rPr>
            </w:pPr>
          </w:p>
        </w:tc>
        <w:tc>
          <w:tcPr>
            <w:tcW w:w="570" w:type="dxa"/>
            <w:tcMar>
              <w:left w:w="108" w:type="dxa"/>
            </w:tcMar>
            <w:vAlign w:val="center"/>
          </w:tcPr>
          <w:p w:rsidR="00D32BD7" w:rsidRPr="00A32A16" w:rsidRDefault="00D32BD7" w:rsidP="00D73E98">
            <w:pPr>
              <w:jc w:val="center"/>
              <w:rPr>
                <w:lang w:val="it-IT"/>
              </w:rPr>
            </w:pPr>
          </w:p>
        </w:tc>
      </w:tr>
      <w:tr w:rsidR="00D32BD7" w:rsidRPr="008361A3"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Pr="00600229" w:rsidRDefault="00D32BD7" w:rsidP="004E27C2">
            <w:pPr>
              <w:pStyle w:val="Puntoroman"/>
              <w:numPr>
                <w:ilvl w:val="0"/>
                <w:numId w:val="41"/>
              </w:numPr>
              <w:tabs>
                <w:tab w:val="left" w:pos="318"/>
              </w:tabs>
              <w:spacing w:line="230" w:lineRule="exact"/>
              <w:ind w:left="777"/>
            </w:pPr>
            <w:r>
              <w:t>Capitale</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D32BD7" w:rsidRPr="008361A3"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Pr="00600229" w:rsidRDefault="00D32BD7" w:rsidP="004E27C2">
            <w:pPr>
              <w:pStyle w:val="Puntoroman"/>
              <w:numPr>
                <w:ilvl w:val="0"/>
                <w:numId w:val="41"/>
              </w:numPr>
              <w:tabs>
                <w:tab w:val="left" w:pos="318"/>
              </w:tabs>
              <w:spacing w:line="230" w:lineRule="exact"/>
              <w:ind w:left="777"/>
            </w:pPr>
            <w:r w:rsidRPr="001D5E7C">
              <w:t>Riser</w:t>
            </w:r>
            <w:r>
              <w:t>va da soprapprezzo delle azioni</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D32BD7" w:rsidRPr="008361A3"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Pr="00600229" w:rsidRDefault="00D32BD7" w:rsidP="004E27C2">
            <w:pPr>
              <w:pStyle w:val="Puntoroman"/>
              <w:numPr>
                <w:ilvl w:val="0"/>
                <w:numId w:val="41"/>
              </w:numPr>
              <w:tabs>
                <w:tab w:val="left" w:pos="318"/>
              </w:tabs>
              <w:spacing w:line="230" w:lineRule="exact"/>
              <w:ind w:left="777"/>
            </w:pPr>
            <w:r>
              <w:t>Riserve di rivalutazione</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D32BD7" w:rsidRPr="008361A3"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Pr="00600229" w:rsidRDefault="00D32BD7" w:rsidP="004E27C2">
            <w:pPr>
              <w:pStyle w:val="Puntoroman"/>
              <w:numPr>
                <w:ilvl w:val="0"/>
                <w:numId w:val="41"/>
              </w:numPr>
              <w:tabs>
                <w:tab w:val="left" w:pos="318"/>
              </w:tabs>
              <w:spacing w:line="230" w:lineRule="exact"/>
              <w:ind w:left="777"/>
            </w:pPr>
            <w:r>
              <w:t>Riserva legale</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D32BD7" w:rsidRPr="008361A3"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Default="00D32BD7" w:rsidP="004E27C2">
            <w:pPr>
              <w:pStyle w:val="Puntoroman"/>
              <w:numPr>
                <w:ilvl w:val="0"/>
                <w:numId w:val="41"/>
              </w:numPr>
              <w:tabs>
                <w:tab w:val="left" w:pos="318"/>
              </w:tabs>
              <w:spacing w:line="240" w:lineRule="exact"/>
            </w:pPr>
            <w:r w:rsidRPr="001D5E7C">
              <w:t>Riserve statutarie</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D32BD7" w:rsidRPr="008361A3"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Pr="001D5E7C" w:rsidRDefault="00D32BD7" w:rsidP="004E27C2">
            <w:pPr>
              <w:pStyle w:val="Puntoroman"/>
              <w:numPr>
                <w:ilvl w:val="0"/>
                <w:numId w:val="41"/>
              </w:numPr>
              <w:tabs>
                <w:tab w:val="left" w:pos="318"/>
              </w:tabs>
              <w:spacing w:line="240" w:lineRule="exact"/>
            </w:pPr>
            <w:r>
              <w:t>Altre riserve, distintamente indicate</w:t>
            </w:r>
          </w:p>
        </w:tc>
        <w:tc>
          <w:tcPr>
            <w:tcW w:w="586" w:type="dxa"/>
            <w:tcMar>
              <w:left w:w="85" w:type="dxa"/>
              <w:right w:w="85" w:type="dxa"/>
            </w:tcMar>
            <w:vAlign w:val="center"/>
          </w:tcPr>
          <w:p w:rsidR="00D32BD7" w:rsidRDefault="00D32BD7" w:rsidP="00D73E98">
            <w:pPr>
              <w:jc w:val="center"/>
            </w:pPr>
          </w:p>
        </w:tc>
        <w:tc>
          <w:tcPr>
            <w:tcW w:w="573" w:type="dxa"/>
            <w:tcMar>
              <w:left w:w="108" w:type="dxa"/>
            </w:tcMar>
            <w:vAlign w:val="center"/>
          </w:tcPr>
          <w:p w:rsidR="00D32BD7" w:rsidRDefault="00D32BD7" w:rsidP="00D73E98">
            <w:pPr>
              <w:jc w:val="center"/>
            </w:pPr>
          </w:p>
        </w:tc>
        <w:tc>
          <w:tcPr>
            <w:tcW w:w="570" w:type="dxa"/>
            <w:tcMar>
              <w:left w:w="108" w:type="dxa"/>
            </w:tcMar>
            <w:vAlign w:val="center"/>
          </w:tcPr>
          <w:p w:rsidR="00D32BD7" w:rsidRDefault="00D32BD7" w:rsidP="00D73E98">
            <w:pPr>
              <w:jc w:val="center"/>
            </w:pPr>
          </w:p>
        </w:tc>
      </w:tr>
      <w:tr w:rsidR="00D32BD7" w:rsidRPr="008361A3"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Default="00D32BD7" w:rsidP="004E27C2">
            <w:pPr>
              <w:pStyle w:val="Puntoroman"/>
              <w:numPr>
                <w:ilvl w:val="0"/>
                <w:numId w:val="41"/>
              </w:numPr>
              <w:tabs>
                <w:tab w:val="left" w:pos="318"/>
              </w:tabs>
              <w:spacing w:line="240" w:lineRule="exact"/>
            </w:pPr>
            <w:r>
              <w:t>Riserva per operazioni di copertura dei flussi finanziari attesi</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D32BD7" w:rsidRPr="008361A3"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Default="00D32BD7" w:rsidP="004E27C2">
            <w:pPr>
              <w:pStyle w:val="Puntoroman"/>
              <w:numPr>
                <w:ilvl w:val="0"/>
                <w:numId w:val="41"/>
              </w:numPr>
              <w:tabs>
                <w:tab w:val="left" w:pos="318"/>
              </w:tabs>
              <w:spacing w:line="240" w:lineRule="exact"/>
            </w:pPr>
            <w:r w:rsidRPr="003F21B8">
              <w:t>Utili (perdite) portati a nuovo</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D32BD7" w:rsidRPr="008361A3"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Default="00D32BD7" w:rsidP="004E27C2">
            <w:pPr>
              <w:pStyle w:val="Puntoroman"/>
              <w:numPr>
                <w:ilvl w:val="0"/>
                <w:numId w:val="41"/>
              </w:numPr>
              <w:tabs>
                <w:tab w:val="left" w:pos="318"/>
              </w:tabs>
              <w:spacing w:line="240" w:lineRule="exact"/>
            </w:pPr>
            <w:r w:rsidRPr="003F21B8">
              <w:t>Utile (perdita) dell’esercizio</w:t>
            </w:r>
            <w:r w:rsidRPr="003F21B8" w:rsidDel="008904BD">
              <w:t xml:space="preserve"> </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D32BD7" w:rsidRPr="008361A3"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Default="00D32BD7" w:rsidP="004E27C2">
            <w:pPr>
              <w:pStyle w:val="Puntoroman"/>
              <w:numPr>
                <w:ilvl w:val="0"/>
                <w:numId w:val="41"/>
              </w:numPr>
              <w:tabs>
                <w:tab w:val="left" w:pos="318"/>
              </w:tabs>
              <w:spacing w:line="240" w:lineRule="exact"/>
            </w:pPr>
            <w:r w:rsidRPr="008904BD">
              <w:t>Riserva negativa per</w:t>
            </w:r>
            <w:r>
              <w:t xml:space="preserve"> azioni proprie in portafoglio?</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D32BD7" w:rsidRPr="00CC242B" w:rsidTr="009869E8">
        <w:trPr>
          <w:cantSplit/>
          <w:trHeight w:val="20"/>
        </w:trPr>
        <w:tc>
          <w:tcPr>
            <w:tcW w:w="681" w:type="dxa"/>
          </w:tcPr>
          <w:p w:rsidR="00D32BD7" w:rsidRPr="008216D3" w:rsidRDefault="00D32BD7" w:rsidP="009869E8">
            <w:pPr>
              <w:pStyle w:val="Numeroelenco"/>
              <w:numPr>
                <w:ilvl w:val="0"/>
                <w:numId w:val="0"/>
              </w:numPr>
              <w:ind w:left="57"/>
              <w:rPr>
                <w:b/>
                <w:lang w:val="it-IT"/>
              </w:rPr>
            </w:pPr>
            <w:r w:rsidRPr="008216D3">
              <w:rPr>
                <w:b/>
                <w:lang w:val="it-IT"/>
              </w:rPr>
              <w:t>2)</w:t>
            </w:r>
          </w:p>
        </w:tc>
        <w:tc>
          <w:tcPr>
            <w:tcW w:w="850" w:type="dxa"/>
            <w:tcMar>
              <w:left w:w="108" w:type="dxa"/>
              <w:right w:w="0" w:type="dxa"/>
            </w:tcMar>
          </w:tcPr>
          <w:p w:rsidR="00D32BD7" w:rsidRPr="008A0F36" w:rsidRDefault="00D32BD7" w:rsidP="00D73E98">
            <w:pPr>
              <w:pStyle w:val="PrincCont"/>
              <w:jc w:val="left"/>
              <w:rPr>
                <w:lang w:val="it-IT"/>
              </w:rPr>
            </w:pPr>
            <w:r>
              <w:t>OIC 28.9</w:t>
            </w:r>
          </w:p>
        </w:tc>
        <w:tc>
          <w:tcPr>
            <w:tcW w:w="7060" w:type="dxa"/>
            <w:tcMar>
              <w:left w:w="108" w:type="dxa"/>
            </w:tcMar>
          </w:tcPr>
          <w:p w:rsidR="00D32BD7" w:rsidRPr="0071033A" w:rsidRDefault="00D32BD7" w:rsidP="00D73E98">
            <w:pPr>
              <w:spacing w:line="230" w:lineRule="exact"/>
              <w:rPr>
                <w:lang w:val="it-IT"/>
              </w:rPr>
            </w:pPr>
            <w:r w:rsidRPr="00CD36E9">
              <w:rPr>
                <w:lang w:val="it-IT"/>
              </w:rPr>
              <w:t>Nella voce AI “</w:t>
            </w:r>
            <w:r w:rsidRPr="0090609A">
              <w:rPr>
                <w:i/>
                <w:lang w:val="it-IT"/>
              </w:rPr>
              <w:t>Capitale</w:t>
            </w:r>
            <w:r w:rsidRPr="00CD36E9">
              <w:rPr>
                <w:lang w:val="it-IT"/>
              </w:rPr>
              <w:t xml:space="preserve">” </w:t>
            </w:r>
            <w:r>
              <w:rPr>
                <w:lang w:val="it-IT"/>
              </w:rPr>
              <w:t>si è</w:t>
            </w:r>
            <w:r w:rsidRPr="00CD36E9">
              <w:rPr>
                <w:lang w:val="it-IT"/>
              </w:rPr>
              <w:t xml:space="preserve"> iscri</w:t>
            </w:r>
            <w:r>
              <w:rPr>
                <w:lang w:val="it-IT"/>
              </w:rPr>
              <w:t>tto l’importo nominale:</w:t>
            </w:r>
            <w:r w:rsidRPr="00CD36E9">
              <w:rPr>
                <w:lang w:val="it-IT"/>
              </w:rPr>
              <w:t xml:space="preserve"> </w:t>
            </w:r>
          </w:p>
        </w:tc>
        <w:tc>
          <w:tcPr>
            <w:tcW w:w="586" w:type="dxa"/>
            <w:tcMar>
              <w:left w:w="85" w:type="dxa"/>
              <w:right w:w="85" w:type="dxa"/>
            </w:tcMar>
            <w:vAlign w:val="center"/>
          </w:tcPr>
          <w:p w:rsidR="00D32BD7" w:rsidRPr="00A32A16" w:rsidRDefault="00D32BD7" w:rsidP="00D73E98">
            <w:pPr>
              <w:jc w:val="center"/>
              <w:rPr>
                <w:lang w:val="it-IT"/>
              </w:rPr>
            </w:pPr>
          </w:p>
        </w:tc>
        <w:tc>
          <w:tcPr>
            <w:tcW w:w="573" w:type="dxa"/>
            <w:tcMar>
              <w:left w:w="108" w:type="dxa"/>
            </w:tcMar>
            <w:vAlign w:val="center"/>
          </w:tcPr>
          <w:p w:rsidR="00D32BD7" w:rsidRPr="00A32A16" w:rsidRDefault="00D32BD7" w:rsidP="00D73E98">
            <w:pPr>
              <w:jc w:val="center"/>
              <w:rPr>
                <w:lang w:val="it-IT"/>
              </w:rPr>
            </w:pPr>
          </w:p>
        </w:tc>
        <w:tc>
          <w:tcPr>
            <w:tcW w:w="570" w:type="dxa"/>
            <w:tcMar>
              <w:left w:w="108" w:type="dxa"/>
            </w:tcMar>
            <w:vAlign w:val="center"/>
          </w:tcPr>
          <w:p w:rsidR="00D32BD7" w:rsidRPr="00A32A16" w:rsidRDefault="00D32BD7" w:rsidP="00D73E98">
            <w:pPr>
              <w:jc w:val="center"/>
              <w:rPr>
                <w:lang w:val="it-IT"/>
              </w:rPr>
            </w:pPr>
          </w:p>
        </w:tc>
      </w:tr>
      <w:tr w:rsidR="00D32BD7" w:rsidRPr="00F248DB"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BD1D5C" w:rsidRDefault="00D32BD7" w:rsidP="00D73E98">
            <w:pPr>
              <w:pStyle w:val="PrincCont"/>
              <w:jc w:val="left"/>
              <w:rPr>
                <w:lang w:val="it-IT"/>
              </w:rPr>
            </w:pPr>
          </w:p>
        </w:tc>
        <w:tc>
          <w:tcPr>
            <w:tcW w:w="7060" w:type="dxa"/>
            <w:tcMar>
              <w:left w:w="108" w:type="dxa"/>
            </w:tcMar>
          </w:tcPr>
          <w:p w:rsidR="00D32BD7" w:rsidRDefault="00D32BD7" w:rsidP="00032976">
            <w:pPr>
              <w:pStyle w:val="rientrotrattinook"/>
              <w:tabs>
                <w:tab w:val="clear" w:pos="704"/>
              </w:tabs>
              <w:ind w:left="460" w:hanging="284"/>
            </w:pPr>
            <w:r w:rsidRPr="00F248DB">
              <w:t>del capitale sociale di costituzione da parte dei soci</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D32BD7" w:rsidRPr="008C70AB"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Default="00D32BD7" w:rsidP="00032976">
            <w:pPr>
              <w:pStyle w:val="rientrotrattinook"/>
              <w:tabs>
                <w:tab w:val="clear" w:pos="704"/>
              </w:tabs>
              <w:ind w:left="460" w:hanging="284"/>
            </w:pPr>
            <w:r>
              <w:t>del</w:t>
            </w:r>
            <w:r w:rsidRPr="00CD36E9">
              <w:t>le</w:t>
            </w:r>
            <w:r>
              <w:t xml:space="preserve"> </w:t>
            </w:r>
            <w:r w:rsidRPr="00CD36E9">
              <w:t>successive sottoscrizioni degli aumenti di capitale</w:t>
            </w:r>
            <w:r>
              <w:t xml:space="preserve"> da parte dei soci anche se non ancora interamente versati?</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D32BD7" w:rsidRPr="008C70AB" w:rsidTr="009869E8">
        <w:trPr>
          <w:cantSplit/>
          <w:trHeight w:val="20"/>
        </w:trPr>
        <w:tc>
          <w:tcPr>
            <w:tcW w:w="681" w:type="dxa"/>
          </w:tcPr>
          <w:p w:rsidR="00D32BD7" w:rsidRPr="008216D3" w:rsidRDefault="00D32BD7" w:rsidP="009869E8">
            <w:pPr>
              <w:pStyle w:val="Numeroelenco"/>
              <w:numPr>
                <w:ilvl w:val="0"/>
                <w:numId w:val="0"/>
              </w:numPr>
              <w:ind w:left="57"/>
              <w:rPr>
                <w:b/>
                <w:lang w:val="it-IT"/>
              </w:rPr>
            </w:pPr>
            <w:r w:rsidRPr="008216D3">
              <w:rPr>
                <w:b/>
                <w:lang w:val="it-IT"/>
              </w:rPr>
              <w:t>3)</w:t>
            </w:r>
          </w:p>
        </w:tc>
        <w:tc>
          <w:tcPr>
            <w:tcW w:w="850" w:type="dxa"/>
            <w:tcMar>
              <w:left w:w="108" w:type="dxa"/>
              <w:right w:w="0" w:type="dxa"/>
            </w:tcMar>
          </w:tcPr>
          <w:p w:rsidR="00D32BD7" w:rsidRPr="008A0F36" w:rsidRDefault="00D32BD7" w:rsidP="00D73E98">
            <w:pPr>
              <w:pStyle w:val="PrincCont"/>
              <w:jc w:val="left"/>
              <w:rPr>
                <w:lang w:val="it-IT"/>
              </w:rPr>
            </w:pPr>
            <w:r>
              <w:t>OIC 28.9</w:t>
            </w:r>
          </w:p>
        </w:tc>
        <w:tc>
          <w:tcPr>
            <w:tcW w:w="7060" w:type="dxa"/>
            <w:tcMar>
              <w:left w:w="108" w:type="dxa"/>
            </w:tcMar>
          </w:tcPr>
          <w:p w:rsidR="00D32BD7" w:rsidRDefault="00D32BD7" w:rsidP="00D73E98">
            <w:pPr>
              <w:pStyle w:val="Titolo2"/>
              <w:spacing w:line="230" w:lineRule="exact"/>
              <w:jc w:val="both"/>
              <w:rPr>
                <w:lang w:val="it-IT"/>
              </w:rPr>
            </w:pPr>
            <w:r w:rsidRPr="00DE01F0">
              <w:rPr>
                <w:b w:val="0"/>
                <w:sz w:val="20"/>
                <w:lang w:val="it-IT"/>
              </w:rPr>
              <w:t>Gl</w:t>
            </w:r>
            <w:r>
              <w:rPr>
                <w:b w:val="0"/>
                <w:sz w:val="20"/>
                <w:lang w:val="it-IT"/>
              </w:rPr>
              <w:t>i</w:t>
            </w:r>
            <w:r w:rsidRPr="00DE01F0">
              <w:rPr>
                <w:b w:val="0"/>
                <w:sz w:val="20"/>
                <w:lang w:val="it-IT"/>
              </w:rPr>
              <w:t xml:space="preserve"> importi sono aggiornati per le modifiche dovute ad altre operazioni sul capitale?</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D32BD7" w:rsidRPr="008C70AB" w:rsidTr="009869E8">
        <w:trPr>
          <w:cantSplit/>
          <w:trHeight w:val="20"/>
        </w:trPr>
        <w:tc>
          <w:tcPr>
            <w:tcW w:w="681" w:type="dxa"/>
          </w:tcPr>
          <w:p w:rsidR="00D32BD7" w:rsidRPr="008216D3" w:rsidRDefault="00D32BD7" w:rsidP="00D32BD7">
            <w:pPr>
              <w:pStyle w:val="Numeroelenco"/>
              <w:numPr>
                <w:ilvl w:val="0"/>
                <w:numId w:val="0"/>
              </w:numPr>
              <w:ind w:left="57"/>
              <w:rPr>
                <w:b/>
                <w:lang w:val="it-IT"/>
              </w:rPr>
            </w:pPr>
            <w:r w:rsidRPr="008216D3">
              <w:rPr>
                <w:b/>
                <w:lang w:val="it-IT"/>
              </w:rPr>
              <w:t>4)</w:t>
            </w:r>
          </w:p>
        </w:tc>
        <w:tc>
          <w:tcPr>
            <w:tcW w:w="850" w:type="dxa"/>
            <w:tcMar>
              <w:left w:w="108" w:type="dxa"/>
              <w:right w:w="0" w:type="dxa"/>
            </w:tcMar>
          </w:tcPr>
          <w:p w:rsidR="00D32BD7" w:rsidRPr="008A0F36" w:rsidRDefault="00D32BD7" w:rsidP="00D73E98">
            <w:pPr>
              <w:pStyle w:val="PrincCont"/>
              <w:jc w:val="left"/>
              <w:rPr>
                <w:lang w:val="it-IT"/>
              </w:rPr>
            </w:pPr>
            <w:r>
              <w:t>OIC 28.9</w:t>
            </w:r>
          </w:p>
        </w:tc>
        <w:tc>
          <w:tcPr>
            <w:tcW w:w="7060" w:type="dxa"/>
            <w:tcMar>
              <w:left w:w="108" w:type="dxa"/>
            </w:tcMar>
          </w:tcPr>
          <w:p w:rsidR="00D32BD7" w:rsidRPr="007F2E1C" w:rsidRDefault="00D32BD7" w:rsidP="00D73E98">
            <w:pPr>
              <w:pStyle w:val="Titolo2"/>
              <w:spacing w:line="230" w:lineRule="exact"/>
              <w:jc w:val="both"/>
              <w:rPr>
                <w:b w:val="0"/>
                <w:sz w:val="20"/>
                <w:lang w:val="it-IT"/>
              </w:rPr>
            </w:pPr>
            <w:r w:rsidRPr="007F2E1C">
              <w:rPr>
                <w:b w:val="0"/>
                <w:sz w:val="20"/>
                <w:lang w:val="it-IT"/>
              </w:rPr>
              <w:t>Il credito verso soci per versamenti ancora dovuti</w:t>
            </w:r>
            <w:r>
              <w:rPr>
                <w:b w:val="0"/>
                <w:sz w:val="20"/>
                <w:lang w:val="it-IT"/>
              </w:rPr>
              <w:t xml:space="preserve"> è iscritto nella voce </w:t>
            </w:r>
            <w:r w:rsidRPr="00F70B5E">
              <w:rPr>
                <w:b w:val="0"/>
                <w:sz w:val="20"/>
                <w:lang w:val="it-IT"/>
              </w:rPr>
              <w:t>A “</w:t>
            </w:r>
            <w:r w:rsidRPr="008C5F62">
              <w:rPr>
                <w:b w:val="0"/>
                <w:i/>
                <w:sz w:val="20"/>
                <w:lang w:val="it-IT"/>
              </w:rPr>
              <w:t>Crediti verso soci per versamenti ancora dovu</w:t>
            </w:r>
            <w:r w:rsidRPr="00F70B5E">
              <w:rPr>
                <w:b w:val="0"/>
                <w:i/>
                <w:sz w:val="20"/>
                <w:lang w:val="it-IT"/>
              </w:rPr>
              <w:t>ti</w:t>
            </w:r>
            <w:r w:rsidRPr="00F70B5E">
              <w:rPr>
                <w:b w:val="0"/>
                <w:sz w:val="20"/>
                <w:lang w:val="it-IT"/>
              </w:rPr>
              <w:t>”</w:t>
            </w:r>
            <w:r w:rsidRPr="007F2E1C">
              <w:rPr>
                <w:b w:val="0"/>
                <w:sz w:val="20"/>
                <w:lang w:val="it-IT"/>
              </w:rPr>
              <w:t xml:space="preserve"> dell’attivo dello stato patrimoniale</w:t>
            </w:r>
            <w:r>
              <w:rPr>
                <w:b w:val="0"/>
                <w:sz w:val="20"/>
                <w:lang w:val="it-IT"/>
              </w:rPr>
              <w:t xml:space="preserve"> con separata indicazione della parte già richiamata?</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D32BD7" w:rsidRPr="00CC242B" w:rsidTr="009869E8">
        <w:trPr>
          <w:cantSplit/>
          <w:trHeight w:val="20"/>
        </w:trPr>
        <w:tc>
          <w:tcPr>
            <w:tcW w:w="681" w:type="dxa"/>
          </w:tcPr>
          <w:p w:rsidR="00D32BD7" w:rsidRPr="008216D3" w:rsidRDefault="00D32BD7" w:rsidP="00D32BD7">
            <w:pPr>
              <w:pStyle w:val="Numeroelenco"/>
              <w:numPr>
                <w:ilvl w:val="0"/>
                <w:numId w:val="0"/>
              </w:numPr>
              <w:ind w:left="57"/>
              <w:rPr>
                <w:b/>
                <w:lang w:val="it-IT"/>
              </w:rPr>
            </w:pPr>
            <w:r w:rsidRPr="008216D3">
              <w:rPr>
                <w:b/>
                <w:lang w:val="it-IT"/>
              </w:rPr>
              <w:t>5)</w:t>
            </w:r>
          </w:p>
        </w:tc>
        <w:tc>
          <w:tcPr>
            <w:tcW w:w="850" w:type="dxa"/>
            <w:tcMar>
              <w:left w:w="108" w:type="dxa"/>
              <w:right w:w="0" w:type="dxa"/>
            </w:tcMar>
          </w:tcPr>
          <w:p w:rsidR="00D32BD7" w:rsidRPr="008A0F36" w:rsidRDefault="00D32BD7" w:rsidP="00D73E98">
            <w:pPr>
              <w:pStyle w:val="PrincCont"/>
              <w:jc w:val="left"/>
              <w:rPr>
                <w:lang w:val="it-IT"/>
              </w:rPr>
            </w:pPr>
            <w:r>
              <w:t>OIC 28.10</w:t>
            </w:r>
          </w:p>
        </w:tc>
        <w:tc>
          <w:tcPr>
            <w:tcW w:w="7060" w:type="dxa"/>
            <w:tcMar>
              <w:left w:w="108" w:type="dxa"/>
            </w:tcMar>
          </w:tcPr>
          <w:p w:rsidR="00D32BD7" w:rsidRPr="00FB7011" w:rsidRDefault="00D32BD7" w:rsidP="00D73E98">
            <w:pPr>
              <w:pStyle w:val="Titolo2"/>
              <w:spacing w:line="230" w:lineRule="exact"/>
              <w:jc w:val="both"/>
              <w:rPr>
                <w:lang w:val="it-IT"/>
              </w:rPr>
            </w:pPr>
            <w:r w:rsidRPr="00FB7011">
              <w:rPr>
                <w:b w:val="0"/>
                <w:sz w:val="20"/>
                <w:lang w:val="it-IT"/>
              </w:rPr>
              <w:t>Nella voce AII “</w:t>
            </w:r>
            <w:r w:rsidRPr="008C5F62">
              <w:rPr>
                <w:b w:val="0"/>
                <w:i/>
                <w:sz w:val="20"/>
                <w:lang w:val="it-IT"/>
              </w:rPr>
              <w:t>Riserva da soprapprezzo delle azioni</w:t>
            </w:r>
            <w:r>
              <w:rPr>
                <w:b w:val="0"/>
                <w:sz w:val="20"/>
                <w:lang w:val="it-IT"/>
              </w:rPr>
              <w:t>” sono iscritte:</w:t>
            </w:r>
          </w:p>
        </w:tc>
        <w:tc>
          <w:tcPr>
            <w:tcW w:w="586" w:type="dxa"/>
            <w:tcMar>
              <w:left w:w="85" w:type="dxa"/>
              <w:right w:w="85" w:type="dxa"/>
            </w:tcMar>
            <w:vAlign w:val="center"/>
          </w:tcPr>
          <w:p w:rsidR="00D32BD7" w:rsidRPr="008C70AB" w:rsidRDefault="00D32BD7" w:rsidP="00D73E98">
            <w:pPr>
              <w:jc w:val="center"/>
              <w:rPr>
                <w:lang w:val="it-IT"/>
              </w:rPr>
            </w:pPr>
          </w:p>
        </w:tc>
        <w:tc>
          <w:tcPr>
            <w:tcW w:w="573" w:type="dxa"/>
            <w:tcMar>
              <w:left w:w="108" w:type="dxa"/>
            </w:tcMar>
            <w:vAlign w:val="center"/>
          </w:tcPr>
          <w:p w:rsidR="00D32BD7" w:rsidRPr="008C70AB" w:rsidRDefault="00D32BD7" w:rsidP="00D73E98">
            <w:pPr>
              <w:jc w:val="center"/>
              <w:rPr>
                <w:lang w:val="it-IT"/>
              </w:rPr>
            </w:pPr>
          </w:p>
        </w:tc>
        <w:tc>
          <w:tcPr>
            <w:tcW w:w="570" w:type="dxa"/>
            <w:tcMar>
              <w:left w:w="108" w:type="dxa"/>
            </w:tcMar>
            <w:vAlign w:val="center"/>
          </w:tcPr>
          <w:p w:rsidR="00D32BD7" w:rsidRPr="008C70AB" w:rsidRDefault="00D32BD7" w:rsidP="00D73E98">
            <w:pPr>
              <w:jc w:val="center"/>
              <w:rPr>
                <w:lang w:val="it-IT"/>
              </w:rPr>
            </w:pPr>
          </w:p>
        </w:tc>
      </w:tr>
      <w:tr w:rsidR="00D32BD7" w:rsidRPr="008C70AB"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Pr="00FB7011" w:rsidRDefault="00D32BD7" w:rsidP="00032976">
            <w:pPr>
              <w:pStyle w:val="rientrotrattinook"/>
              <w:tabs>
                <w:tab w:val="clear" w:pos="704"/>
              </w:tabs>
              <w:ind w:left="460" w:hanging="284"/>
            </w:pPr>
            <w:r w:rsidRPr="00FB7011">
              <w:t>l’eccedenza del prezzo di emissione delle azioni o delle quote rispetto al loro valore nominale</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D32BD7" w:rsidRPr="008C70AB"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Pr="00FB7011" w:rsidRDefault="00D32BD7" w:rsidP="00032976">
            <w:pPr>
              <w:pStyle w:val="rientrotrattinook"/>
              <w:tabs>
                <w:tab w:val="clear" w:pos="704"/>
              </w:tabs>
              <w:ind w:left="460" w:hanging="284"/>
            </w:pPr>
            <w:r w:rsidRPr="00FB7011">
              <w:t>le differenze che emergono a seguito della conversione delle obbligazioni in azioni</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9869E8" w:rsidRPr="008C70AB" w:rsidTr="009869E8">
        <w:trPr>
          <w:cantSplit/>
          <w:trHeight w:val="20"/>
        </w:trPr>
        <w:tc>
          <w:tcPr>
            <w:tcW w:w="681" w:type="dxa"/>
          </w:tcPr>
          <w:p w:rsidR="009869E8" w:rsidRPr="008216D3" w:rsidRDefault="009869E8" w:rsidP="009869E8">
            <w:pPr>
              <w:pStyle w:val="Numeroelenco"/>
              <w:numPr>
                <w:ilvl w:val="0"/>
                <w:numId w:val="0"/>
              </w:numPr>
              <w:ind w:left="57"/>
              <w:rPr>
                <w:b/>
                <w:lang w:val="it-IT"/>
              </w:rPr>
            </w:pPr>
            <w:r>
              <w:rPr>
                <w:b/>
                <w:lang w:val="it-IT"/>
              </w:rPr>
              <w:t>6)</w:t>
            </w:r>
          </w:p>
        </w:tc>
        <w:tc>
          <w:tcPr>
            <w:tcW w:w="850" w:type="dxa"/>
            <w:tcMar>
              <w:left w:w="108" w:type="dxa"/>
              <w:right w:w="0" w:type="dxa"/>
            </w:tcMar>
          </w:tcPr>
          <w:p w:rsidR="009869E8" w:rsidRPr="008A0F36" w:rsidRDefault="009869E8" w:rsidP="009869E8">
            <w:pPr>
              <w:pStyle w:val="PrincCont"/>
              <w:jc w:val="left"/>
              <w:rPr>
                <w:lang w:val="it-IT"/>
              </w:rPr>
            </w:pPr>
            <w:r>
              <w:t>OIC 28.11</w:t>
            </w:r>
          </w:p>
        </w:tc>
        <w:tc>
          <w:tcPr>
            <w:tcW w:w="7060" w:type="dxa"/>
            <w:tcMar>
              <w:left w:w="108" w:type="dxa"/>
            </w:tcMar>
          </w:tcPr>
          <w:p w:rsidR="009869E8" w:rsidRPr="00EF6CA6" w:rsidRDefault="009869E8" w:rsidP="009869E8">
            <w:pPr>
              <w:pStyle w:val="Titolo2"/>
              <w:spacing w:line="230" w:lineRule="exact"/>
              <w:jc w:val="both"/>
              <w:rPr>
                <w:b w:val="0"/>
                <w:sz w:val="20"/>
                <w:lang w:val="it-IT"/>
              </w:rPr>
            </w:pPr>
            <w:r w:rsidRPr="00EF6CA6">
              <w:rPr>
                <w:b w:val="0"/>
                <w:sz w:val="20"/>
                <w:lang w:val="it-IT"/>
              </w:rPr>
              <w:t>Nella voce AI</w:t>
            </w:r>
            <w:r>
              <w:rPr>
                <w:b w:val="0"/>
                <w:sz w:val="20"/>
                <w:lang w:val="it-IT"/>
              </w:rPr>
              <w:t>II “</w:t>
            </w:r>
            <w:r w:rsidRPr="008C5F62">
              <w:rPr>
                <w:b w:val="0"/>
                <w:i/>
                <w:sz w:val="20"/>
                <w:lang w:val="it-IT"/>
              </w:rPr>
              <w:t>Riserve di rivalutazione</w:t>
            </w:r>
            <w:r>
              <w:rPr>
                <w:b w:val="0"/>
                <w:sz w:val="20"/>
                <w:lang w:val="it-IT"/>
              </w:rPr>
              <w:t>” sono</w:t>
            </w:r>
            <w:r w:rsidRPr="00EF6CA6">
              <w:rPr>
                <w:b w:val="0"/>
                <w:sz w:val="20"/>
                <w:lang w:val="it-IT"/>
              </w:rPr>
              <w:t xml:space="preserve"> iscri</w:t>
            </w:r>
            <w:r>
              <w:rPr>
                <w:b w:val="0"/>
                <w:sz w:val="20"/>
                <w:lang w:val="it-IT"/>
              </w:rPr>
              <w:t>tte</w:t>
            </w:r>
            <w:r w:rsidRPr="00EF6CA6">
              <w:rPr>
                <w:b w:val="0"/>
                <w:sz w:val="20"/>
                <w:lang w:val="it-IT"/>
              </w:rPr>
              <w:t xml:space="preserve"> le riv</w:t>
            </w:r>
            <w:r>
              <w:rPr>
                <w:b w:val="0"/>
                <w:sz w:val="20"/>
                <w:lang w:val="it-IT"/>
              </w:rPr>
              <w:t>alutazioni di attività</w:t>
            </w:r>
            <w:r w:rsidRPr="00EF6CA6">
              <w:rPr>
                <w:b w:val="0"/>
                <w:sz w:val="20"/>
                <w:lang w:val="it-IT"/>
              </w:rPr>
              <w:t xml:space="preserve"> previste dalle leggi speciali in materia</w:t>
            </w:r>
            <w:r>
              <w:rPr>
                <w:b w:val="0"/>
                <w:sz w:val="20"/>
                <w:lang w:val="it-IT"/>
              </w:rPr>
              <w:t>?</w:t>
            </w:r>
          </w:p>
        </w:tc>
        <w:tc>
          <w:tcPr>
            <w:tcW w:w="586" w:type="dxa"/>
            <w:tcMar>
              <w:left w:w="85" w:type="dxa"/>
              <w:right w:w="85" w:type="dxa"/>
            </w:tcMar>
            <w:vAlign w:val="center"/>
          </w:tcPr>
          <w:p w:rsidR="009869E8" w:rsidRPr="00A32A16" w:rsidRDefault="009869E8" w:rsidP="009869E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9869E8" w:rsidRPr="00A32A16" w:rsidRDefault="009869E8" w:rsidP="009869E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9869E8" w:rsidRPr="00A32A16" w:rsidRDefault="009869E8" w:rsidP="009869E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8C70AB" w:rsidTr="009869E8">
        <w:trPr>
          <w:cantSplit/>
          <w:trHeight w:val="20"/>
        </w:trPr>
        <w:tc>
          <w:tcPr>
            <w:tcW w:w="681" w:type="dxa"/>
          </w:tcPr>
          <w:p w:rsidR="00573EC9" w:rsidRDefault="00573EC9" w:rsidP="009869E8">
            <w:pPr>
              <w:pStyle w:val="Numeroelenco"/>
              <w:numPr>
                <w:ilvl w:val="0"/>
                <w:numId w:val="0"/>
              </w:numPr>
              <w:ind w:left="57"/>
              <w:rPr>
                <w:b/>
                <w:lang w:val="it-IT"/>
              </w:rPr>
            </w:pPr>
            <w:r>
              <w:rPr>
                <w:b/>
                <w:lang w:val="it-IT"/>
              </w:rPr>
              <w:t>7)</w:t>
            </w:r>
          </w:p>
        </w:tc>
        <w:tc>
          <w:tcPr>
            <w:tcW w:w="850" w:type="dxa"/>
            <w:tcMar>
              <w:left w:w="108" w:type="dxa"/>
              <w:right w:w="0" w:type="dxa"/>
            </w:tcMar>
          </w:tcPr>
          <w:p w:rsidR="00573EC9" w:rsidRPr="008A0F36" w:rsidRDefault="00573EC9" w:rsidP="006E0FCA">
            <w:pPr>
              <w:pStyle w:val="PrincCont"/>
              <w:jc w:val="left"/>
              <w:rPr>
                <w:lang w:val="it-IT"/>
              </w:rPr>
            </w:pPr>
            <w:r>
              <w:t>Art 2430 CC OIC 28.12</w:t>
            </w:r>
          </w:p>
        </w:tc>
        <w:tc>
          <w:tcPr>
            <w:tcW w:w="7060" w:type="dxa"/>
            <w:tcMar>
              <w:left w:w="108" w:type="dxa"/>
            </w:tcMar>
          </w:tcPr>
          <w:p w:rsidR="00573EC9" w:rsidRPr="003201E2" w:rsidRDefault="00573EC9" w:rsidP="006E0FCA">
            <w:pPr>
              <w:pStyle w:val="Titolo2"/>
              <w:spacing w:line="230" w:lineRule="exact"/>
              <w:jc w:val="both"/>
              <w:rPr>
                <w:b w:val="0"/>
                <w:sz w:val="20"/>
                <w:lang w:val="it-IT"/>
              </w:rPr>
            </w:pPr>
            <w:r w:rsidRPr="003201E2">
              <w:rPr>
                <w:b w:val="0"/>
                <w:sz w:val="20"/>
                <w:lang w:val="it-IT"/>
              </w:rPr>
              <w:t>Nel</w:t>
            </w:r>
            <w:r>
              <w:rPr>
                <w:b w:val="0"/>
                <w:sz w:val="20"/>
                <w:lang w:val="it-IT"/>
              </w:rPr>
              <w:t>la voce AIV “</w:t>
            </w:r>
            <w:r w:rsidRPr="008C5F62">
              <w:rPr>
                <w:b w:val="0"/>
                <w:i/>
                <w:sz w:val="20"/>
                <w:lang w:val="it-IT"/>
              </w:rPr>
              <w:t>Riserva legale</w:t>
            </w:r>
            <w:r>
              <w:rPr>
                <w:b w:val="0"/>
                <w:sz w:val="20"/>
                <w:lang w:val="it-IT"/>
              </w:rPr>
              <w:t xml:space="preserve">” è </w:t>
            </w:r>
            <w:r w:rsidRPr="003201E2">
              <w:rPr>
                <w:b w:val="0"/>
                <w:sz w:val="20"/>
                <w:lang w:val="it-IT"/>
              </w:rPr>
              <w:t>iscri</w:t>
            </w:r>
            <w:r>
              <w:rPr>
                <w:b w:val="0"/>
                <w:sz w:val="20"/>
                <w:lang w:val="it-IT"/>
              </w:rPr>
              <w:t xml:space="preserve">tta </w:t>
            </w:r>
            <w:r w:rsidRPr="003201E2">
              <w:rPr>
                <w:b w:val="0"/>
                <w:sz w:val="20"/>
                <w:lang w:val="it-IT"/>
              </w:rPr>
              <w:t>la quota dell’utile dell’esercizio che l’assemblea ha destinato a tale riserva</w:t>
            </w:r>
            <w:r>
              <w:rPr>
                <w:b w:val="0"/>
                <w:sz w:val="20"/>
                <w:lang w:val="it-IT"/>
              </w:rPr>
              <w:t xml:space="preserve">? </w:t>
            </w:r>
          </w:p>
        </w:tc>
        <w:tc>
          <w:tcPr>
            <w:tcW w:w="586" w:type="dxa"/>
            <w:tcMar>
              <w:left w:w="85" w:type="dxa"/>
              <w:right w:w="85" w:type="dxa"/>
            </w:tcMar>
            <w:vAlign w:val="center"/>
          </w:tcPr>
          <w:p w:rsidR="00573EC9" w:rsidRPr="00A32A16" w:rsidRDefault="00573EC9" w:rsidP="006E0FCA">
            <w:pPr>
              <w:jc w:val="center"/>
              <w:rPr>
                <w:lang w:val="it-IT"/>
              </w:rPr>
            </w:pPr>
            <w:r>
              <w:fldChar w:fldCharType="begin">
                <w:ffData>
                  <w:name w:val="Check4"/>
                  <w:enabled/>
                  <w:calcOnExit w:val="0"/>
                  <w:checkBox>
                    <w:sizeAuto/>
                    <w:default w:val="0"/>
                  </w:checkBox>
                </w:ffData>
              </w:fldChar>
            </w:r>
            <w:r w:rsidRPr="00831DD6">
              <w:rPr>
                <w:lang w:val="it-IT"/>
              </w:rPr>
              <w:instrText xml:space="preserve"> FORMCHECKBOX </w:instrText>
            </w:r>
            <w:r w:rsidR="00CA1681">
              <w:fldChar w:fldCharType="separate"/>
            </w:r>
            <w:r>
              <w:fldChar w:fldCharType="end"/>
            </w:r>
          </w:p>
        </w:tc>
        <w:tc>
          <w:tcPr>
            <w:tcW w:w="573" w:type="dxa"/>
            <w:tcMar>
              <w:left w:w="108" w:type="dxa"/>
            </w:tcMar>
            <w:vAlign w:val="center"/>
          </w:tcPr>
          <w:p w:rsidR="00573EC9" w:rsidRPr="00A32A16" w:rsidRDefault="00573EC9" w:rsidP="006E0FCA">
            <w:pPr>
              <w:jc w:val="center"/>
              <w:rPr>
                <w:lang w:val="it-IT"/>
              </w:rPr>
            </w:pPr>
            <w:r>
              <w:fldChar w:fldCharType="begin">
                <w:ffData>
                  <w:name w:val="Check4"/>
                  <w:enabled/>
                  <w:calcOnExit w:val="0"/>
                  <w:checkBox>
                    <w:sizeAuto/>
                    <w:default w:val="0"/>
                  </w:checkBox>
                </w:ffData>
              </w:fldChar>
            </w:r>
            <w:r w:rsidRPr="00831DD6">
              <w:rPr>
                <w:lang w:val="it-IT"/>
              </w:rPr>
              <w:instrText xml:space="preserve"> FORMCHECKBOX </w:instrText>
            </w:r>
            <w:r w:rsidR="00CA1681">
              <w:fldChar w:fldCharType="separate"/>
            </w:r>
            <w:r>
              <w:fldChar w:fldCharType="end"/>
            </w:r>
          </w:p>
        </w:tc>
        <w:tc>
          <w:tcPr>
            <w:tcW w:w="570" w:type="dxa"/>
            <w:tcMar>
              <w:left w:w="108" w:type="dxa"/>
            </w:tcMar>
            <w:vAlign w:val="center"/>
          </w:tcPr>
          <w:p w:rsidR="00573EC9" w:rsidRPr="00A32A16" w:rsidRDefault="00573EC9" w:rsidP="006E0FCA">
            <w:pPr>
              <w:jc w:val="center"/>
              <w:rPr>
                <w:lang w:val="it-IT"/>
              </w:rPr>
            </w:pPr>
            <w:r>
              <w:fldChar w:fldCharType="begin">
                <w:ffData>
                  <w:name w:val="Check4"/>
                  <w:enabled/>
                  <w:calcOnExit w:val="0"/>
                  <w:checkBox>
                    <w:sizeAuto/>
                    <w:default w:val="0"/>
                  </w:checkBox>
                </w:ffData>
              </w:fldChar>
            </w:r>
            <w:r w:rsidRPr="00831DD6">
              <w:rPr>
                <w:lang w:val="it-IT"/>
              </w:rPr>
              <w:instrText xml:space="preserve"> FORMCHECKBOX </w:instrText>
            </w:r>
            <w:r w:rsidR="00CA1681">
              <w:fldChar w:fldCharType="separate"/>
            </w:r>
            <w:r>
              <w:fldChar w:fldCharType="end"/>
            </w:r>
          </w:p>
        </w:tc>
      </w:tr>
      <w:tr w:rsidR="00573EC9" w:rsidRPr="008C70AB" w:rsidTr="009869E8">
        <w:trPr>
          <w:cantSplit/>
          <w:trHeight w:val="20"/>
        </w:trPr>
        <w:tc>
          <w:tcPr>
            <w:tcW w:w="681" w:type="dxa"/>
          </w:tcPr>
          <w:p w:rsidR="00573EC9" w:rsidRDefault="00573EC9" w:rsidP="009869E8">
            <w:pPr>
              <w:pStyle w:val="Numeroelenco"/>
              <w:numPr>
                <w:ilvl w:val="0"/>
                <w:numId w:val="0"/>
              </w:numPr>
              <w:ind w:left="57"/>
              <w:rPr>
                <w:b/>
                <w:lang w:val="it-IT"/>
              </w:rPr>
            </w:pPr>
            <w:r>
              <w:rPr>
                <w:b/>
                <w:lang w:val="it-IT"/>
              </w:rPr>
              <w:t>8)</w:t>
            </w:r>
          </w:p>
        </w:tc>
        <w:tc>
          <w:tcPr>
            <w:tcW w:w="850" w:type="dxa"/>
            <w:tcMar>
              <w:left w:w="108" w:type="dxa"/>
              <w:right w:w="0" w:type="dxa"/>
            </w:tcMar>
          </w:tcPr>
          <w:p w:rsidR="00573EC9" w:rsidRDefault="00573EC9" w:rsidP="006E0FCA">
            <w:pPr>
              <w:pStyle w:val="PrincCont"/>
              <w:jc w:val="left"/>
            </w:pPr>
            <w:r>
              <w:t>OIC 28.12</w:t>
            </w:r>
          </w:p>
        </w:tc>
        <w:tc>
          <w:tcPr>
            <w:tcW w:w="7060" w:type="dxa"/>
            <w:tcMar>
              <w:left w:w="108" w:type="dxa"/>
            </w:tcMar>
          </w:tcPr>
          <w:p w:rsidR="00573EC9" w:rsidRPr="003201E2" w:rsidRDefault="00573EC9" w:rsidP="006E0FCA">
            <w:pPr>
              <w:pStyle w:val="Titolo2"/>
              <w:spacing w:line="230" w:lineRule="exact"/>
              <w:jc w:val="both"/>
              <w:rPr>
                <w:b w:val="0"/>
                <w:sz w:val="20"/>
                <w:lang w:val="it-IT"/>
              </w:rPr>
            </w:pPr>
            <w:r w:rsidRPr="00B16BBC">
              <w:rPr>
                <w:b w:val="0"/>
                <w:sz w:val="20"/>
                <w:lang w:val="it-IT"/>
              </w:rPr>
              <w:t>Se l’importo della riserva legale è sceso</w:t>
            </w:r>
            <w:r>
              <w:rPr>
                <w:b w:val="0"/>
                <w:sz w:val="20"/>
                <w:lang w:val="it-IT"/>
              </w:rPr>
              <w:t>, per qualsiasi ragione,</w:t>
            </w:r>
            <w:r w:rsidRPr="00B16BBC">
              <w:rPr>
                <w:b w:val="0"/>
                <w:sz w:val="20"/>
                <w:lang w:val="it-IT"/>
              </w:rPr>
              <w:t xml:space="preserve"> al di sotto del limite del quinto del capitale sociale, si è provveduto al suo reintegro con il progressivo accantonamento di almeno il ventesimo degli utili netti?</w:t>
            </w:r>
          </w:p>
        </w:tc>
        <w:tc>
          <w:tcPr>
            <w:tcW w:w="586" w:type="dxa"/>
            <w:tcMar>
              <w:left w:w="85" w:type="dxa"/>
              <w:right w:w="85" w:type="dxa"/>
            </w:tcMar>
            <w:vAlign w:val="center"/>
          </w:tcPr>
          <w:p w:rsidR="00573EC9" w:rsidRPr="00B16BBC" w:rsidRDefault="00573EC9" w:rsidP="006E0FCA">
            <w:pPr>
              <w:jc w:val="center"/>
              <w:rPr>
                <w:lang w:val="it-IT"/>
              </w:rPr>
            </w:pPr>
            <w:r>
              <w:fldChar w:fldCharType="begin">
                <w:ffData>
                  <w:name w:val="Check4"/>
                  <w:enabled/>
                  <w:calcOnExit w:val="0"/>
                  <w:checkBox>
                    <w:sizeAuto/>
                    <w:default w:val="0"/>
                  </w:checkBox>
                </w:ffData>
              </w:fldChar>
            </w:r>
            <w:r w:rsidRPr="00831DD6">
              <w:rPr>
                <w:lang w:val="it-IT"/>
              </w:rPr>
              <w:instrText xml:space="preserve"> FORMCHECKBOX </w:instrText>
            </w:r>
            <w:r w:rsidR="00CA1681">
              <w:fldChar w:fldCharType="separate"/>
            </w:r>
            <w:r>
              <w:fldChar w:fldCharType="end"/>
            </w:r>
          </w:p>
        </w:tc>
        <w:tc>
          <w:tcPr>
            <w:tcW w:w="573" w:type="dxa"/>
            <w:tcMar>
              <w:left w:w="108" w:type="dxa"/>
            </w:tcMar>
            <w:vAlign w:val="center"/>
          </w:tcPr>
          <w:p w:rsidR="00573EC9" w:rsidRPr="00B16BBC" w:rsidRDefault="00573EC9" w:rsidP="006E0FCA">
            <w:pPr>
              <w:jc w:val="center"/>
              <w:rPr>
                <w:lang w:val="it-IT"/>
              </w:rPr>
            </w:pPr>
            <w:r>
              <w:fldChar w:fldCharType="begin">
                <w:ffData>
                  <w:name w:val="Check4"/>
                  <w:enabled/>
                  <w:calcOnExit w:val="0"/>
                  <w:checkBox>
                    <w:sizeAuto/>
                    <w:default w:val="0"/>
                  </w:checkBox>
                </w:ffData>
              </w:fldChar>
            </w:r>
            <w:r w:rsidRPr="00831DD6">
              <w:rPr>
                <w:lang w:val="it-IT"/>
              </w:rPr>
              <w:instrText xml:space="preserve"> FORMCHECKBOX </w:instrText>
            </w:r>
            <w:r w:rsidR="00CA1681">
              <w:fldChar w:fldCharType="separate"/>
            </w:r>
            <w:r>
              <w:fldChar w:fldCharType="end"/>
            </w:r>
          </w:p>
        </w:tc>
        <w:tc>
          <w:tcPr>
            <w:tcW w:w="570" w:type="dxa"/>
            <w:tcMar>
              <w:left w:w="108" w:type="dxa"/>
            </w:tcMar>
            <w:vAlign w:val="center"/>
          </w:tcPr>
          <w:p w:rsidR="00573EC9" w:rsidRPr="00B16BBC" w:rsidRDefault="00573EC9" w:rsidP="006E0FCA">
            <w:pPr>
              <w:jc w:val="center"/>
              <w:rPr>
                <w:lang w:val="it-IT"/>
              </w:rPr>
            </w:pPr>
            <w:r>
              <w:fldChar w:fldCharType="begin">
                <w:ffData>
                  <w:name w:val="Check4"/>
                  <w:enabled/>
                  <w:calcOnExit w:val="0"/>
                  <w:checkBox>
                    <w:sizeAuto/>
                    <w:default w:val="0"/>
                  </w:checkBox>
                </w:ffData>
              </w:fldChar>
            </w:r>
            <w:r w:rsidRPr="00831DD6">
              <w:rPr>
                <w:lang w:val="it-IT"/>
              </w:rPr>
              <w:instrText xml:space="preserve"> FORMCHECKBOX </w:instrText>
            </w:r>
            <w:r w:rsidR="00CA1681">
              <w:fldChar w:fldCharType="separate"/>
            </w:r>
            <w:r>
              <w:fldChar w:fldCharType="end"/>
            </w: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pPr>
          </w:p>
        </w:tc>
        <w:tc>
          <w:tcPr>
            <w:tcW w:w="7060" w:type="dxa"/>
            <w:tcMar>
              <w:left w:w="108" w:type="dxa"/>
            </w:tcMar>
          </w:tcPr>
          <w:p w:rsidR="00573EC9" w:rsidRPr="00B16BBC" w:rsidRDefault="00573EC9" w:rsidP="00D73E98">
            <w:pPr>
              <w:pStyle w:val="Commentiriquadro"/>
              <w:rPr>
                <w:b/>
                <w:sz w:val="20"/>
              </w:rPr>
            </w:pPr>
            <w:r w:rsidRPr="00E42887">
              <w:t>L’art.2430 CC obbliga ad accantonare in tale riserva almeno il 5% dell’utile dell’esercizio fino a quando l’importo della riserva non abbia raggiunto il quinto del capitale sociale.</w:t>
            </w:r>
          </w:p>
        </w:tc>
        <w:tc>
          <w:tcPr>
            <w:tcW w:w="586" w:type="dxa"/>
            <w:tcMar>
              <w:left w:w="85" w:type="dxa"/>
              <w:right w:w="85" w:type="dxa"/>
            </w:tcMar>
            <w:vAlign w:val="center"/>
          </w:tcPr>
          <w:p w:rsidR="00573EC9" w:rsidRPr="00E42887" w:rsidRDefault="00573EC9" w:rsidP="00D73E98">
            <w:pPr>
              <w:jc w:val="center"/>
              <w:rPr>
                <w:lang w:val="it-IT"/>
              </w:rPr>
            </w:pPr>
          </w:p>
        </w:tc>
        <w:tc>
          <w:tcPr>
            <w:tcW w:w="573" w:type="dxa"/>
            <w:tcMar>
              <w:left w:w="108" w:type="dxa"/>
            </w:tcMar>
            <w:vAlign w:val="center"/>
          </w:tcPr>
          <w:p w:rsidR="00573EC9" w:rsidRPr="00E42887" w:rsidRDefault="00573EC9" w:rsidP="00D73E98">
            <w:pPr>
              <w:jc w:val="center"/>
              <w:rPr>
                <w:lang w:val="it-IT"/>
              </w:rPr>
            </w:pPr>
          </w:p>
        </w:tc>
        <w:tc>
          <w:tcPr>
            <w:tcW w:w="570" w:type="dxa"/>
            <w:tcMar>
              <w:left w:w="108" w:type="dxa"/>
            </w:tcMar>
            <w:vAlign w:val="center"/>
          </w:tcPr>
          <w:p w:rsidR="00573EC9" w:rsidRPr="00E42887" w:rsidRDefault="00573EC9" w:rsidP="00D73E98">
            <w:pPr>
              <w:jc w:val="center"/>
              <w:rPr>
                <w:lang w:val="it-IT"/>
              </w:rPr>
            </w:pPr>
          </w:p>
        </w:tc>
      </w:tr>
      <w:tr w:rsidR="00573EC9" w:rsidRPr="00FE2D94" w:rsidTr="009869E8">
        <w:trPr>
          <w:cantSplit/>
          <w:trHeight w:val="20"/>
        </w:trPr>
        <w:tc>
          <w:tcPr>
            <w:tcW w:w="681" w:type="dxa"/>
          </w:tcPr>
          <w:p w:rsidR="00573EC9" w:rsidRPr="009868D2" w:rsidRDefault="00573EC9" w:rsidP="00D32BD7">
            <w:pPr>
              <w:pStyle w:val="Numeroelenco"/>
              <w:numPr>
                <w:ilvl w:val="0"/>
                <w:numId w:val="0"/>
              </w:numPr>
              <w:ind w:left="57"/>
              <w:rPr>
                <w:b/>
                <w:lang w:val="it-IT"/>
              </w:rPr>
            </w:pPr>
            <w:r w:rsidRPr="009868D2">
              <w:rPr>
                <w:b/>
                <w:lang w:val="it-IT"/>
              </w:rPr>
              <w:t>9)</w:t>
            </w:r>
          </w:p>
        </w:tc>
        <w:tc>
          <w:tcPr>
            <w:tcW w:w="850" w:type="dxa"/>
            <w:tcMar>
              <w:left w:w="108" w:type="dxa"/>
              <w:right w:w="0" w:type="dxa"/>
            </w:tcMar>
          </w:tcPr>
          <w:p w:rsidR="00573EC9" w:rsidRPr="00340711" w:rsidRDefault="00573EC9" w:rsidP="00D73E98">
            <w:pPr>
              <w:pStyle w:val="PrincCont"/>
              <w:jc w:val="left"/>
            </w:pPr>
            <w:r w:rsidRPr="00FE2D94">
              <w:t>Art. 2412, c</w:t>
            </w:r>
            <w:r>
              <w:t>.</w:t>
            </w:r>
            <w:r w:rsidRPr="00FE2D94">
              <w:t xml:space="preserve"> 1, CC</w:t>
            </w:r>
            <w:r>
              <w:t xml:space="preserve">     </w:t>
            </w:r>
            <w:r w:rsidRPr="00FE2D94">
              <w:t>Art.2413, c</w:t>
            </w:r>
            <w:r>
              <w:t>.</w:t>
            </w:r>
            <w:r w:rsidRPr="00FE2D94">
              <w:t xml:space="preserve">1, CC </w:t>
            </w:r>
          </w:p>
        </w:tc>
        <w:tc>
          <w:tcPr>
            <w:tcW w:w="7060" w:type="dxa"/>
            <w:tcMar>
              <w:left w:w="108" w:type="dxa"/>
            </w:tcMar>
          </w:tcPr>
          <w:p w:rsidR="00573EC9" w:rsidRPr="00340711" w:rsidRDefault="00573EC9" w:rsidP="00D73E98">
            <w:pPr>
              <w:spacing w:line="230" w:lineRule="exact"/>
              <w:rPr>
                <w:lang w:val="it-IT"/>
              </w:rPr>
            </w:pPr>
            <w:r w:rsidRPr="009868D2">
              <w:rPr>
                <w:lang w:val="it-IT"/>
              </w:rPr>
              <w:t>Se è stato emesso un prestito obbligazionario ed il capitale è stato ridotto in conseguenza di perdite, la riserva legale è stata reintegrata finché l’ammontare del capitale sociale, della riserva legale e delle ri</w:t>
            </w:r>
            <w:r w:rsidRPr="00FE2D94">
              <w:rPr>
                <w:lang w:val="it-IT"/>
              </w:rPr>
              <w:t>serve disponibili non è pari alla metà dell’ammontare delle obbligazioni in circolazione?</w:t>
            </w:r>
          </w:p>
        </w:tc>
        <w:tc>
          <w:tcPr>
            <w:tcW w:w="586" w:type="dxa"/>
            <w:tcMar>
              <w:left w:w="85" w:type="dxa"/>
              <w:right w:w="85" w:type="dxa"/>
            </w:tcMar>
            <w:vAlign w:val="center"/>
          </w:tcPr>
          <w:p w:rsidR="00573EC9" w:rsidRPr="009868D2" w:rsidRDefault="00573EC9" w:rsidP="00D73E98">
            <w:pPr>
              <w:jc w:val="center"/>
              <w:rPr>
                <w:lang w:val="it-IT"/>
              </w:rPr>
            </w:pPr>
            <w:r w:rsidRPr="00FE2D94">
              <w:fldChar w:fldCharType="begin">
                <w:ffData>
                  <w:name w:val="Check4"/>
                  <w:enabled/>
                  <w:calcOnExit w:val="0"/>
                  <w:checkBox>
                    <w:sizeAuto/>
                    <w:default w:val="0"/>
                  </w:checkBox>
                </w:ffData>
              </w:fldChar>
            </w:r>
            <w:r w:rsidRPr="00FE2D94">
              <w:instrText xml:space="preserve"> FORMCHECKBOX </w:instrText>
            </w:r>
            <w:r w:rsidR="00CA1681">
              <w:fldChar w:fldCharType="separate"/>
            </w:r>
            <w:r w:rsidRPr="00FE2D94">
              <w:fldChar w:fldCharType="end"/>
            </w:r>
          </w:p>
        </w:tc>
        <w:tc>
          <w:tcPr>
            <w:tcW w:w="573" w:type="dxa"/>
            <w:tcMar>
              <w:left w:w="108" w:type="dxa"/>
            </w:tcMar>
            <w:vAlign w:val="center"/>
          </w:tcPr>
          <w:p w:rsidR="00573EC9" w:rsidRPr="009868D2" w:rsidRDefault="00573EC9" w:rsidP="00D73E98">
            <w:pPr>
              <w:jc w:val="center"/>
              <w:rPr>
                <w:lang w:val="it-IT"/>
              </w:rPr>
            </w:pPr>
            <w:r w:rsidRPr="00FE2D94">
              <w:fldChar w:fldCharType="begin">
                <w:ffData>
                  <w:name w:val="Check4"/>
                  <w:enabled/>
                  <w:calcOnExit w:val="0"/>
                  <w:checkBox>
                    <w:sizeAuto/>
                    <w:default w:val="0"/>
                  </w:checkBox>
                </w:ffData>
              </w:fldChar>
            </w:r>
            <w:r w:rsidRPr="00FE2D94">
              <w:instrText xml:space="preserve"> FORMCHECKBOX </w:instrText>
            </w:r>
            <w:r w:rsidR="00CA1681">
              <w:fldChar w:fldCharType="separate"/>
            </w:r>
            <w:r w:rsidRPr="00FE2D94">
              <w:fldChar w:fldCharType="end"/>
            </w:r>
          </w:p>
        </w:tc>
        <w:tc>
          <w:tcPr>
            <w:tcW w:w="570" w:type="dxa"/>
            <w:tcMar>
              <w:left w:w="108" w:type="dxa"/>
            </w:tcMar>
            <w:vAlign w:val="center"/>
          </w:tcPr>
          <w:p w:rsidR="00573EC9" w:rsidRPr="009868D2" w:rsidRDefault="00573EC9" w:rsidP="00D73E98">
            <w:pPr>
              <w:jc w:val="center"/>
              <w:rPr>
                <w:lang w:val="it-IT"/>
              </w:rPr>
            </w:pPr>
            <w:r w:rsidRPr="00FE2D94">
              <w:fldChar w:fldCharType="begin">
                <w:ffData>
                  <w:name w:val="Check4"/>
                  <w:enabled/>
                  <w:calcOnExit w:val="0"/>
                  <w:checkBox>
                    <w:sizeAuto/>
                    <w:default w:val="0"/>
                  </w:checkBox>
                </w:ffData>
              </w:fldChar>
            </w:r>
            <w:r w:rsidRPr="00FE2D94">
              <w:instrText xml:space="preserve"> FORMCHECKBOX </w:instrText>
            </w:r>
            <w:r w:rsidR="00CA1681">
              <w:fldChar w:fldCharType="separate"/>
            </w:r>
            <w:r w:rsidRPr="00FE2D94">
              <w:fldChar w:fldCharType="end"/>
            </w:r>
          </w:p>
        </w:tc>
      </w:tr>
      <w:tr w:rsidR="00573EC9" w:rsidRPr="00CC242B" w:rsidTr="009869E8">
        <w:trPr>
          <w:cantSplit/>
          <w:trHeight w:val="104"/>
        </w:trPr>
        <w:tc>
          <w:tcPr>
            <w:tcW w:w="681" w:type="dxa"/>
          </w:tcPr>
          <w:p w:rsidR="00573EC9" w:rsidRPr="00FE2D94" w:rsidRDefault="00573EC9" w:rsidP="00D73E98">
            <w:pPr>
              <w:jc w:val="center"/>
              <w:rPr>
                <w:b/>
                <w:lang w:val="it-IT"/>
              </w:rPr>
            </w:pPr>
          </w:p>
        </w:tc>
        <w:tc>
          <w:tcPr>
            <w:tcW w:w="850" w:type="dxa"/>
            <w:tcMar>
              <w:left w:w="108" w:type="dxa"/>
              <w:right w:w="0" w:type="dxa"/>
            </w:tcMar>
          </w:tcPr>
          <w:p w:rsidR="00573EC9" w:rsidRPr="00FE2D94" w:rsidRDefault="00573EC9" w:rsidP="00D73E98">
            <w:pPr>
              <w:pStyle w:val="PrincCont"/>
              <w:jc w:val="left"/>
              <w:rPr>
                <w:lang w:val="it-IT"/>
              </w:rPr>
            </w:pPr>
            <w:r w:rsidRPr="00FE2D94">
              <w:rPr>
                <w:lang w:val="it-IT"/>
              </w:rPr>
              <w:t>Art.2413 c</w:t>
            </w:r>
            <w:r>
              <w:rPr>
                <w:lang w:val="it-IT"/>
              </w:rPr>
              <w:t>.</w:t>
            </w:r>
            <w:r w:rsidRPr="00FE2D94">
              <w:rPr>
                <w:lang w:val="it-IT"/>
              </w:rPr>
              <w:t>2, CC</w:t>
            </w:r>
          </w:p>
        </w:tc>
        <w:tc>
          <w:tcPr>
            <w:tcW w:w="7060" w:type="dxa"/>
            <w:tcMar>
              <w:left w:w="108" w:type="dxa"/>
            </w:tcMar>
          </w:tcPr>
          <w:p w:rsidR="00573EC9" w:rsidRPr="00FE2D94" w:rsidRDefault="00573EC9" w:rsidP="00D73E98">
            <w:pPr>
              <w:pStyle w:val="Commentiriquadro"/>
            </w:pPr>
            <w:r w:rsidRPr="00FE2D94">
              <w:t>Se la riduzione del capitale sociale è obbligatoria, o le riserve diminuiscono in conseguenza di perdite, non possono distribuirsi utili sinché l’ammontare del capitale sociale, della riserva legale e delle riserve disponibili non eguagli la metà dell’ammontare delle obbligazioni in circolazione</w:t>
            </w:r>
          </w:p>
        </w:tc>
        <w:tc>
          <w:tcPr>
            <w:tcW w:w="586" w:type="dxa"/>
            <w:tcMar>
              <w:left w:w="85" w:type="dxa"/>
              <w:right w:w="85" w:type="dxa"/>
            </w:tcMar>
            <w:vAlign w:val="center"/>
          </w:tcPr>
          <w:p w:rsidR="00573EC9" w:rsidRPr="00FE2D94" w:rsidRDefault="00573EC9" w:rsidP="00D73E98">
            <w:pPr>
              <w:jc w:val="center"/>
              <w:rPr>
                <w:lang w:val="it-IT"/>
              </w:rPr>
            </w:pPr>
          </w:p>
        </w:tc>
        <w:tc>
          <w:tcPr>
            <w:tcW w:w="573" w:type="dxa"/>
            <w:tcMar>
              <w:left w:w="108" w:type="dxa"/>
            </w:tcMar>
            <w:vAlign w:val="center"/>
          </w:tcPr>
          <w:p w:rsidR="00573EC9" w:rsidRPr="00FE2D94" w:rsidRDefault="00573EC9" w:rsidP="00D73E98">
            <w:pPr>
              <w:jc w:val="center"/>
              <w:rPr>
                <w:lang w:val="it-IT"/>
              </w:rPr>
            </w:pPr>
          </w:p>
        </w:tc>
        <w:tc>
          <w:tcPr>
            <w:tcW w:w="570" w:type="dxa"/>
            <w:tcMar>
              <w:left w:w="108" w:type="dxa"/>
            </w:tcMar>
            <w:vAlign w:val="center"/>
          </w:tcPr>
          <w:p w:rsidR="00573EC9" w:rsidRPr="00FE2D94" w:rsidRDefault="00573EC9" w:rsidP="00D73E98">
            <w:pPr>
              <w:jc w:val="center"/>
              <w:rPr>
                <w:lang w:val="it-IT"/>
              </w:rPr>
            </w:pPr>
          </w:p>
        </w:tc>
      </w:tr>
      <w:tr w:rsidR="00573EC9" w:rsidRPr="00CC242B" w:rsidTr="009869E8">
        <w:trPr>
          <w:cantSplit/>
          <w:trHeight w:val="20"/>
        </w:trPr>
        <w:tc>
          <w:tcPr>
            <w:tcW w:w="681" w:type="dxa"/>
          </w:tcPr>
          <w:p w:rsidR="00573EC9" w:rsidRPr="00FE2D94" w:rsidRDefault="00573EC9" w:rsidP="00D73E98">
            <w:pPr>
              <w:jc w:val="center"/>
              <w:rPr>
                <w:b/>
                <w:lang w:val="it-IT"/>
              </w:rPr>
            </w:pPr>
          </w:p>
        </w:tc>
        <w:tc>
          <w:tcPr>
            <w:tcW w:w="850" w:type="dxa"/>
            <w:tcMar>
              <w:left w:w="108" w:type="dxa"/>
              <w:right w:w="0" w:type="dxa"/>
            </w:tcMar>
          </w:tcPr>
          <w:p w:rsidR="00573EC9" w:rsidRPr="00FE2D94" w:rsidRDefault="00573EC9" w:rsidP="00D73E98">
            <w:pPr>
              <w:pStyle w:val="PrincCont"/>
              <w:jc w:val="left"/>
            </w:pPr>
            <w:r w:rsidRPr="00FE2D94">
              <w:t xml:space="preserve">Art.2431 CC </w:t>
            </w:r>
          </w:p>
        </w:tc>
        <w:tc>
          <w:tcPr>
            <w:tcW w:w="7060" w:type="dxa"/>
            <w:tcMar>
              <w:left w:w="108" w:type="dxa"/>
            </w:tcMar>
          </w:tcPr>
          <w:p w:rsidR="00573EC9" w:rsidRPr="008C5F62" w:rsidRDefault="00573EC9" w:rsidP="00D73E98">
            <w:pPr>
              <w:pStyle w:val="Commentiriquadro"/>
              <w:rPr>
                <w:lang w:eastAsia="it-IT"/>
              </w:rPr>
            </w:pPr>
            <w:r w:rsidRPr="00FE2D94">
              <w:rPr>
                <w:lang w:eastAsia="it-IT"/>
              </w:rPr>
              <w:t>L’articolo 2431 stabilisce che “</w:t>
            </w:r>
            <w:r w:rsidRPr="00FE2D94">
              <w:rPr>
                <w:i/>
                <w:lang w:eastAsia="it-IT"/>
              </w:rPr>
              <w:t>Le somme percepite dalla società per l’emissione di azioni ad un prezzo superiore al loro valore nominale, ivi comprese quelle derivate dalla conversione di obbligazioni, non possono essere distribuite fino a che la riserva legale non abbia raggiunto il limite stabilito dall’art. 2430</w:t>
            </w:r>
            <w:r w:rsidRPr="00FE2D94">
              <w:rPr>
                <w:lang w:eastAsia="it-IT"/>
              </w:rPr>
              <w:t>.”</w:t>
            </w:r>
          </w:p>
        </w:tc>
        <w:tc>
          <w:tcPr>
            <w:tcW w:w="586" w:type="dxa"/>
            <w:tcMar>
              <w:left w:w="85" w:type="dxa"/>
              <w:right w:w="85" w:type="dxa"/>
            </w:tcMar>
            <w:vAlign w:val="center"/>
          </w:tcPr>
          <w:p w:rsidR="00573EC9" w:rsidRPr="000242C1" w:rsidRDefault="00573EC9" w:rsidP="00D73E98">
            <w:pPr>
              <w:jc w:val="center"/>
              <w:rPr>
                <w:lang w:val="it-IT"/>
              </w:rPr>
            </w:pPr>
          </w:p>
        </w:tc>
        <w:tc>
          <w:tcPr>
            <w:tcW w:w="573" w:type="dxa"/>
            <w:tcMar>
              <w:left w:w="108" w:type="dxa"/>
            </w:tcMar>
            <w:vAlign w:val="center"/>
          </w:tcPr>
          <w:p w:rsidR="00573EC9" w:rsidRPr="000242C1" w:rsidRDefault="00573EC9" w:rsidP="00D73E98">
            <w:pPr>
              <w:jc w:val="center"/>
              <w:rPr>
                <w:lang w:val="it-IT"/>
              </w:rPr>
            </w:pPr>
          </w:p>
        </w:tc>
        <w:tc>
          <w:tcPr>
            <w:tcW w:w="570" w:type="dxa"/>
            <w:tcMar>
              <w:left w:w="108" w:type="dxa"/>
            </w:tcMar>
            <w:vAlign w:val="center"/>
          </w:tcPr>
          <w:p w:rsidR="00573EC9" w:rsidRPr="000242C1" w:rsidRDefault="00573EC9" w:rsidP="00D73E98">
            <w:pPr>
              <w:jc w:val="center"/>
              <w:rPr>
                <w:lang w:val="it-IT"/>
              </w:rPr>
            </w:pPr>
          </w:p>
        </w:tc>
      </w:tr>
      <w:tr w:rsidR="00573EC9" w:rsidRPr="00EF6CA6" w:rsidTr="009869E8">
        <w:trPr>
          <w:cantSplit/>
          <w:trHeight w:val="20"/>
        </w:trPr>
        <w:tc>
          <w:tcPr>
            <w:tcW w:w="681" w:type="dxa"/>
          </w:tcPr>
          <w:p w:rsidR="00573EC9" w:rsidRPr="008216D3" w:rsidRDefault="00573EC9" w:rsidP="00D32BD7">
            <w:pPr>
              <w:pStyle w:val="Numeroelenco"/>
              <w:numPr>
                <w:ilvl w:val="0"/>
                <w:numId w:val="0"/>
              </w:numPr>
              <w:ind w:left="57"/>
              <w:rPr>
                <w:b/>
                <w:lang w:val="it-IT"/>
              </w:rPr>
            </w:pPr>
            <w:r w:rsidRPr="008216D3">
              <w:rPr>
                <w:b/>
                <w:lang w:val="it-IT"/>
              </w:rPr>
              <w:t>10)</w:t>
            </w:r>
          </w:p>
        </w:tc>
        <w:tc>
          <w:tcPr>
            <w:tcW w:w="850" w:type="dxa"/>
            <w:tcMar>
              <w:left w:w="108" w:type="dxa"/>
              <w:right w:w="0" w:type="dxa"/>
            </w:tcMar>
          </w:tcPr>
          <w:p w:rsidR="00573EC9" w:rsidRPr="008A0F36" w:rsidRDefault="00573EC9" w:rsidP="00D73E98">
            <w:pPr>
              <w:pStyle w:val="PrincCont"/>
              <w:jc w:val="left"/>
              <w:rPr>
                <w:lang w:val="it-IT"/>
              </w:rPr>
            </w:pPr>
            <w:r>
              <w:t>OIC 28.13</w:t>
            </w:r>
          </w:p>
        </w:tc>
        <w:tc>
          <w:tcPr>
            <w:tcW w:w="7060" w:type="dxa"/>
            <w:tcMar>
              <w:left w:w="108" w:type="dxa"/>
            </w:tcMar>
          </w:tcPr>
          <w:p w:rsidR="00573EC9" w:rsidRPr="00C36A89" w:rsidRDefault="00573EC9" w:rsidP="00D73E98">
            <w:pPr>
              <w:pStyle w:val="Titolo2"/>
              <w:spacing w:after="0"/>
              <w:rPr>
                <w:b w:val="0"/>
                <w:sz w:val="20"/>
                <w:lang w:val="it-IT"/>
              </w:rPr>
            </w:pPr>
            <w:r w:rsidRPr="00C36A89">
              <w:rPr>
                <w:b w:val="0"/>
                <w:sz w:val="20"/>
                <w:lang w:val="it-IT"/>
              </w:rPr>
              <w:t>Nella voce AV “</w:t>
            </w:r>
            <w:r w:rsidRPr="00E42887">
              <w:rPr>
                <w:b w:val="0"/>
                <w:i/>
                <w:sz w:val="20"/>
                <w:lang w:val="it-IT"/>
              </w:rPr>
              <w:t>Riserve statutarie</w:t>
            </w:r>
            <w:r w:rsidRPr="00C36A89">
              <w:rPr>
                <w:b w:val="0"/>
                <w:sz w:val="20"/>
                <w:lang w:val="it-IT"/>
              </w:rPr>
              <w:t xml:space="preserve">” </w:t>
            </w:r>
            <w:r>
              <w:rPr>
                <w:b w:val="0"/>
                <w:sz w:val="20"/>
                <w:lang w:val="it-IT"/>
              </w:rPr>
              <w:t>sono iscritte</w:t>
            </w:r>
            <w:r w:rsidRPr="00C36A89">
              <w:rPr>
                <w:b w:val="0"/>
                <w:sz w:val="20"/>
                <w:lang w:val="it-IT"/>
              </w:rPr>
              <w:t xml:space="preserve"> tutte le tipologie di riserve previste dallo statuto</w:t>
            </w:r>
          </w:p>
          <w:p w:rsidR="00573EC9" w:rsidRPr="00BB7C07" w:rsidRDefault="00573EC9" w:rsidP="00D73E98">
            <w:pPr>
              <w:pStyle w:val="Titolo2"/>
              <w:spacing w:before="0" w:line="230" w:lineRule="exact"/>
              <w:rPr>
                <w:b w:val="0"/>
                <w:sz w:val="20"/>
                <w:lang w:val="it-IT"/>
              </w:rPr>
            </w:pPr>
            <w:r>
              <w:rPr>
                <w:b w:val="0"/>
                <w:sz w:val="20"/>
                <w:lang w:val="it-IT"/>
              </w:rPr>
              <w:t>della società?</w:t>
            </w:r>
          </w:p>
        </w:tc>
        <w:tc>
          <w:tcPr>
            <w:tcW w:w="586" w:type="dxa"/>
            <w:tcMar>
              <w:left w:w="85" w:type="dxa"/>
              <w:right w:w="85"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r>
              <w:rPr>
                <w:lang w:val="it-IT"/>
              </w:rPr>
              <w:t>OIC 28.13</w:t>
            </w:r>
          </w:p>
        </w:tc>
        <w:tc>
          <w:tcPr>
            <w:tcW w:w="7060" w:type="dxa"/>
            <w:tcMar>
              <w:left w:w="108" w:type="dxa"/>
            </w:tcMar>
          </w:tcPr>
          <w:p w:rsidR="00573EC9" w:rsidRPr="00E42887" w:rsidRDefault="00573EC9" w:rsidP="00D73E98">
            <w:pPr>
              <w:pStyle w:val="Commentiriquadro"/>
            </w:pPr>
            <w:r w:rsidRPr="00E42887">
              <w:t>Le condizioni, i vincoli e le modalità di formazione e movimentazione di queste riserve sono disciplinate dallo statuto.</w:t>
            </w:r>
          </w:p>
        </w:tc>
        <w:tc>
          <w:tcPr>
            <w:tcW w:w="586" w:type="dxa"/>
            <w:tcMar>
              <w:left w:w="85" w:type="dxa"/>
              <w:right w:w="85" w:type="dxa"/>
            </w:tcMar>
            <w:vAlign w:val="center"/>
          </w:tcPr>
          <w:p w:rsidR="00573EC9" w:rsidRPr="006326D8" w:rsidRDefault="00573EC9" w:rsidP="00D73E98">
            <w:pPr>
              <w:jc w:val="center"/>
              <w:rPr>
                <w:lang w:val="it-IT"/>
              </w:rPr>
            </w:pPr>
          </w:p>
        </w:tc>
        <w:tc>
          <w:tcPr>
            <w:tcW w:w="573" w:type="dxa"/>
            <w:tcMar>
              <w:left w:w="108" w:type="dxa"/>
            </w:tcMar>
            <w:vAlign w:val="center"/>
          </w:tcPr>
          <w:p w:rsidR="00573EC9" w:rsidRPr="006326D8" w:rsidRDefault="00573EC9" w:rsidP="00D73E98">
            <w:pPr>
              <w:jc w:val="center"/>
              <w:rPr>
                <w:lang w:val="it-IT"/>
              </w:rPr>
            </w:pPr>
          </w:p>
        </w:tc>
        <w:tc>
          <w:tcPr>
            <w:tcW w:w="570" w:type="dxa"/>
            <w:tcMar>
              <w:left w:w="108" w:type="dxa"/>
            </w:tcMar>
            <w:vAlign w:val="center"/>
          </w:tcPr>
          <w:p w:rsidR="00573EC9" w:rsidRPr="006326D8" w:rsidRDefault="00573EC9" w:rsidP="00D73E98">
            <w:pPr>
              <w:jc w:val="center"/>
              <w:rPr>
                <w:lang w:val="it-IT"/>
              </w:rPr>
            </w:pPr>
          </w:p>
        </w:tc>
      </w:tr>
      <w:tr w:rsidR="00573EC9" w:rsidRPr="00CC242B" w:rsidTr="009869E8">
        <w:trPr>
          <w:cantSplit/>
          <w:trHeight w:val="20"/>
        </w:trPr>
        <w:tc>
          <w:tcPr>
            <w:tcW w:w="681" w:type="dxa"/>
          </w:tcPr>
          <w:p w:rsidR="00573EC9" w:rsidRPr="008216D3" w:rsidRDefault="00573EC9" w:rsidP="00D32BD7">
            <w:pPr>
              <w:pStyle w:val="Numeroelenco"/>
              <w:numPr>
                <w:ilvl w:val="0"/>
                <w:numId w:val="0"/>
              </w:numPr>
              <w:ind w:left="57"/>
              <w:rPr>
                <w:b/>
                <w:lang w:val="it-IT"/>
              </w:rPr>
            </w:pPr>
            <w:r>
              <w:rPr>
                <w:b/>
                <w:lang w:val="it-IT"/>
              </w:rPr>
              <w:t>11</w:t>
            </w:r>
            <w:r w:rsidRPr="008216D3">
              <w:rPr>
                <w:b/>
                <w:lang w:val="it-IT"/>
              </w:rPr>
              <w:t>)</w:t>
            </w:r>
          </w:p>
        </w:tc>
        <w:tc>
          <w:tcPr>
            <w:tcW w:w="850" w:type="dxa"/>
            <w:tcMar>
              <w:left w:w="108" w:type="dxa"/>
              <w:right w:w="0" w:type="dxa"/>
            </w:tcMar>
          </w:tcPr>
          <w:p w:rsidR="00573EC9" w:rsidRPr="008A0F36" w:rsidRDefault="00573EC9" w:rsidP="00D73E98">
            <w:pPr>
              <w:pStyle w:val="PrincCont"/>
              <w:jc w:val="left"/>
              <w:rPr>
                <w:lang w:val="it-IT"/>
              </w:rPr>
            </w:pPr>
            <w:r>
              <w:t>OIC 28.14</w:t>
            </w:r>
          </w:p>
        </w:tc>
        <w:tc>
          <w:tcPr>
            <w:tcW w:w="7060" w:type="dxa"/>
            <w:tcMar>
              <w:left w:w="108" w:type="dxa"/>
            </w:tcMar>
          </w:tcPr>
          <w:p w:rsidR="00573EC9" w:rsidRPr="00BB7C07" w:rsidRDefault="00573EC9" w:rsidP="00D73E98">
            <w:pPr>
              <w:pStyle w:val="Titolo2"/>
              <w:spacing w:line="230" w:lineRule="exact"/>
              <w:jc w:val="both"/>
              <w:rPr>
                <w:b w:val="0"/>
                <w:sz w:val="20"/>
                <w:lang w:val="it-IT"/>
              </w:rPr>
            </w:pPr>
            <w:r w:rsidRPr="00B80F48">
              <w:rPr>
                <w:b w:val="0"/>
                <w:sz w:val="20"/>
                <w:lang w:val="it-IT"/>
              </w:rPr>
              <w:t>Ne</w:t>
            </w:r>
            <w:r>
              <w:rPr>
                <w:b w:val="0"/>
                <w:sz w:val="20"/>
                <w:lang w:val="it-IT"/>
              </w:rPr>
              <w:t>lla voce AVI “</w:t>
            </w:r>
            <w:r w:rsidRPr="00E42887">
              <w:rPr>
                <w:b w:val="0"/>
                <w:i/>
                <w:sz w:val="20"/>
                <w:lang w:val="it-IT"/>
              </w:rPr>
              <w:t>Altre riserve, distintamente inidicate</w:t>
            </w:r>
            <w:r>
              <w:rPr>
                <w:b w:val="0"/>
                <w:sz w:val="20"/>
                <w:lang w:val="it-IT"/>
              </w:rPr>
              <w:t xml:space="preserve">” sono state </w:t>
            </w:r>
            <w:r w:rsidRPr="00B80F48">
              <w:rPr>
                <w:b w:val="0"/>
                <w:sz w:val="20"/>
                <w:lang w:val="it-IT"/>
              </w:rPr>
              <w:t>classifica</w:t>
            </w:r>
            <w:r>
              <w:rPr>
                <w:b w:val="0"/>
                <w:sz w:val="20"/>
                <w:lang w:val="it-IT"/>
              </w:rPr>
              <w:t>te</w:t>
            </w:r>
            <w:r w:rsidRPr="00B80F48">
              <w:rPr>
                <w:b w:val="0"/>
                <w:sz w:val="20"/>
                <w:lang w:val="it-IT"/>
              </w:rPr>
              <w:t xml:space="preserve"> tutte le altre riserve che non sono già state iscritte</w:t>
            </w:r>
            <w:r>
              <w:rPr>
                <w:b w:val="0"/>
                <w:sz w:val="20"/>
                <w:lang w:val="it-IT"/>
              </w:rPr>
              <w:t xml:space="preserve"> </w:t>
            </w:r>
            <w:r w:rsidRPr="00B80F48">
              <w:rPr>
                <w:b w:val="0"/>
                <w:sz w:val="20"/>
                <w:lang w:val="it-IT"/>
              </w:rPr>
              <w:t>nelle prece</w:t>
            </w:r>
            <w:r>
              <w:rPr>
                <w:b w:val="0"/>
                <w:sz w:val="20"/>
                <w:lang w:val="it-IT"/>
              </w:rPr>
              <w:t>denti voci del patrimonio netto, quali:</w:t>
            </w:r>
          </w:p>
        </w:tc>
        <w:tc>
          <w:tcPr>
            <w:tcW w:w="586" w:type="dxa"/>
            <w:tcMar>
              <w:left w:w="85" w:type="dxa"/>
              <w:right w:w="85" w:type="dxa"/>
            </w:tcMar>
            <w:vAlign w:val="center"/>
          </w:tcPr>
          <w:p w:rsidR="00573EC9" w:rsidRPr="00A32A16" w:rsidRDefault="00573EC9" w:rsidP="00D73E98">
            <w:pPr>
              <w:jc w:val="center"/>
              <w:rPr>
                <w:lang w:val="it-IT"/>
              </w:rPr>
            </w:pPr>
          </w:p>
        </w:tc>
        <w:tc>
          <w:tcPr>
            <w:tcW w:w="573" w:type="dxa"/>
            <w:tcMar>
              <w:left w:w="108" w:type="dxa"/>
            </w:tcMar>
            <w:vAlign w:val="center"/>
          </w:tcPr>
          <w:p w:rsidR="00573EC9" w:rsidRPr="00A32A16" w:rsidRDefault="00573EC9" w:rsidP="00D73E98">
            <w:pPr>
              <w:jc w:val="center"/>
              <w:rPr>
                <w:lang w:val="it-IT"/>
              </w:rPr>
            </w:pPr>
          </w:p>
        </w:tc>
        <w:tc>
          <w:tcPr>
            <w:tcW w:w="570" w:type="dxa"/>
            <w:tcMar>
              <w:left w:w="108" w:type="dxa"/>
            </w:tcMar>
            <w:vAlign w:val="center"/>
          </w:tcPr>
          <w:p w:rsidR="00573EC9" w:rsidRPr="00A32A16" w:rsidRDefault="00573EC9" w:rsidP="00D73E98">
            <w:pPr>
              <w:jc w:val="center"/>
              <w:rPr>
                <w:lang w:val="it-IT"/>
              </w:rPr>
            </w:pPr>
          </w:p>
        </w:tc>
      </w:tr>
      <w:tr w:rsidR="00573EC9" w:rsidRPr="008361A3"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8A0F36" w:rsidRDefault="00573EC9" w:rsidP="00D73E98">
            <w:pPr>
              <w:pStyle w:val="PrincCont"/>
              <w:jc w:val="left"/>
              <w:rPr>
                <w:lang w:val="it-IT"/>
              </w:rPr>
            </w:pPr>
            <w:r>
              <w:rPr>
                <w:lang w:val="it-IT"/>
              </w:rPr>
              <w:t>Art. 2423 CC</w:t>
            </w:r>
          </w:p>
        </w:tc>
        <w:tc>
          <w:tcPr>
            <w:tcW w:w="7060" w:type="dxa"/>
            <w:tcMar>
              <w:left w:w="108" w:type="dxa"/>
            </w:tcMar>
          </w:tcPr>
          <w:p w:rsidR="00573EC9" w:rsidRPr="008A0F36" w:rsidRDefault="00573EC9" w:rsidP="00032976">
            <w:pPr>
              <w:pStyle w:val="rientrotrattinook"/>
              <w:tabs>
                <w:tab w:val="clear" w:pos="704"/>
              </w:tabs>
              <w:ind w:left="460" w:hanging="284"/>
            </w:pPr>
            <w:r>
              <w:t>la “</w:t>
            </w:r>
            <w:r w:rsidRPr="00A02853">
              <w:rPr>
                <w:i/>
              </w:rPr>
              <w:t>Riserva da deroghe ex articolo 2423 codice civile</w:t>
            </w:r>
            <w:r>
              <w:t>”, che viene costituita nei casi eccezionali in cui l’applicazione di una disposizione del codice civile, riguardante le regole di redazione del bilancio, sia incompatibile con il principio di rappresentazione veritiera e corretta, mediante iscrizione degli utili derivanti dalla deroga</w:t>
            </w:r>
          </w:p>
        </w:tc>
        <w:tc>
          <w:tcPr>
            <w:tcW w:w="586" w:type="dxa"/>
            <w:tcMar>
              <w:left w:w="85" w:type="dxa"/>
              <w:right w:w="85"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EF6CA6"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8A0F36" w:rsidRDefault="00573EC9" w:rsidP="00D73E98">
            <w:pPr>
              <w:pStyle w:val="PrincCont"/>
              <w:jc w:val="left"/>
              <w:rPr>
                <w:lang w:val="it-IT"/>
              </w:rPr>
            </w:pPr>
            <w:r>
              <w:t>Art. 2359-bis, c.4, CC</w:t>
            </w:r>
          </w:p>
        </w:tc>
        <w:tc>
          <w:tcPr>
            <w:tcW w:w="7060" w:type="dxa"/>
            <w:tcMar>
              <w:left w:w="108" w:type="dxa"/>
            </w:tcMar>
          </w:tcPr>
          <w:p w:rsidR="00573EC9" w:rsidRPr="009E6605" w:rsidRDefault="00573EC9" w:rsidP="00032976">
            <w:pPr>
              <w:pStyle w:val="rientrotrattinook"/>
              <w:tabs>
                <w:tab w:val="clear" w:pos="704"/>
              </w:tabs>
              <w:ind w:left="460" w:hanging="284"/>
            </w:pPr>
            <w:r>
              <w:t>l</w:t>
            </w:r>
            <w:r w:rsidRPr="009E6605">
              <w:t>a “</w:t>
            </w:r>
            <w:r w:rsidRPr="00A02853">
              <w:rPr>
                <w:i/>
              </w:rPr>
              <w:t>Riserva azioni (quote) della società controllante</w:t>
            </w:r>
            <w:r w:rsidRPr="009E6605">
              <w:t>”,</w:t>
            </w:r>
            <w:r>
              <w:t xml:space="preserve"> che accoglie l’importo delle azioni o quote della società controllante possedute dalla controllata fin tanto che non sono trasferite</w:t>
            </w:r>
          </w:p>
        </w:tc>
        <w:tc>
          <w:tcPr>
            <w:tcW w:w="586" w:type="dxa"/>
            <w:tcMar>
              <w:left w:w="85" w:type="dxa"/>
              <w:right w:w="85"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EF6CA6"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8A0F36" w:rsidRDefault="00573EC9" w:rsidP="00D73E98">
            <w:pPr>
              <w:pStyle w:val="PrincCont"/>
              <w:jc w:val="left"/>
              <w:rPr>
                <w:lang w:val="it-IT"/>
              </w:rPr>
            </w:pPr>
            <w:r>
              <w:rPr>
                <w:lang w:val="it-IT"/>
              </w:rPr>
              <w:t>Art. 2426, c.1, n. 4, CC</w:t>
            </w:r>
          </w:p>
        </w:tc>
        <w:tc>
          <w:tcPr>
            <w:tcW w:w="7060" w:type="dxa"/>
            <w:tcMar>
              <w:left w:w="108" w:type="dxa"/>
            </w:tcMar>
          </w:tcPr>
          <w:p w:rsidR="00573EC9" w:rsidRPr="00A02853" w:rsidRDefault="00573EC9" w:rsidP="00032976">
            <w:pPr>
              <w:pStyle w:val="rientrotrattinook"/>
              <w:tabs>
                <w:tab w:val="clear" w:pos="704"/>
              </w:tabs>
              <w:ind w:left="460" w:hanging="284"/>
            </w:pPr>
            <w:r w:rsidRPr="00A02853">
              <w:t>la “Riserva da rivalutazione delle partecipazioni”, che accoglie le plusvalenze, derivanti dall’applicazione del metodo del patrimonio netto, rispetto al valore delle partecipazioni indicato nel bilancio dell’esercizio precedente</w:t>
            </w:r>
          </w:p>
        </w:tc>
        <w:tc>
          <w:tcPr>
            <w:tcW w:w="586" w:type="dxa"/>
            <w:tcMar>
              <w:left w:w="85" w:type="dxa"/>
              <w:right w:w="85"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r>
              <w:rPr>
                <w:lang w:val="it-IT"/>
              </w:rPr>
              <w:t>Art. 2426, c.1, n. 4, CC</w:t>
            </w:r>
          </w:p>
        </w:tc>
        <w:tc>
          <w:tcPr>
            <w:tcW w:w="7060" w:type="dxa"/>
            <w:tcMar>
              <w:left w:w="108" w:type="dxa"/>
            </w:tcMar>
          </w:tcPr>
          <w:p w:rsidR="00573EC9" w:rsidRPr="00A02853" w:rsidRDefault="00573EC9" w:rsidP="00D73E98">
            <w:pPr>
              <w:pStyle w:val="Commentiriquadro"/>
            </w:pPr>
            <w:r w:rsidRPr="00A02853">
              <w:t>La “</w:t>
            </w:r>
            <w:r w:rsidRPr="00A02853">
              <w:rPr>
                <w:i/>
              </w:rPr>
              <w:t>Riserva da rivalutazione delle partecipazioni</w:t>
            </w:r>
            <w:r w:rsidRPr="00A02853">
              <w:t>” non è distribuibile.</w:t>
            </w:r>
          </w:p>
        </w:tc>
        <w:tc>
          <w:tcPr>
            <w:tcW w:w="586" w:type="dxa"/>
            <w:tcMar>
              <w:left w:w="85" w:type="dxa"/>
              <w:right w:w="85" w:type="dxa"/>
            </w:tcMar>
            <w:vAlign w:val="center"/>
          </w:tcPr>
          <w:p w:rsidR="00573EC9" w:rsidRPr="00A02853" w:rsidRDefault="00573EC9" w:rsidP="00D73E98">
            <w:pPr>
              <w:jc w:val="center"/>
              <w:rPr>
                <w:lang w:val="it-IT"/>
              </w:rPr>
            </w:pPr>
          </w:p>
        </w:tc>
        <w:tc>
          <w:tcPr>
            <w:tcW w:w="573" w:type="dxa"/>
            <w:tcMar>
              <w:left w:w="108" w:type="dxa"/>
            </w:tcMar>
            <w:vAlign w:val="center"/>
          </w:tcPr>
          <w:p w:rsidR="00573EC9" w:rsidRPr="00A02853" w:rsidRDefault="00573EC9" w:rsidP="00D73E98">
            <w:pPr>
              <w:jc w:val="center"/>
              <w:rPr>
                <w:lang w:val="it-IT"/>
              </w:rPr>
            </w:pPr>
          </w:p>
        </w:tc>
        <w:tc>
          <w:tcPr>
            <w:tcW w:w="570" w:type="dxa"/>
            <w:tcMar>
              <w:left w:w="108" w:type="dxa"/>
            </w:tcMar>
            <w:vAlign w:val="center"/>
          </w:tcPr>
          <w:p w:rsidR="00573EC9" w:rsidRPr="00A02853" w:rsidRDefault="00573EC9" w:rsidP="00D73E98">
            <w:pPr>
              <w:jc w:val="center"/>
              <w:rPr>
                <w:lang w:val="it-IT"/>
              </w:rPr>
            </w:pPr>
          </w:p>
        </w:tc>
      </w:tr>
      <w:tr w:rsidR="00573EC9" w:rsidRPr="00A02853"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D32BD7" w:rsidRDefault="00573EC9" w:rsidP="00D73E98">
            <w:pPr>
              <w:pStyle w:val="PrincCont"/>
              <w:jc w:val="left"/>
            </w:pPr>
            <w:r w:rsidRPr="00D32BD7">
              <w:t>Art. 2426 c.1, n.8-bis, CC</w:t>
            </w:r>
          </w:p>
        </w:tc>
        <w:tc>
          <w:tcPr>
            <w:tcW w:w="7060" w:type="dxa"/>
            <w:tcMar>
              <w:left w:w="108" w:type="dxa"/>
            </w:tcMar>
          </w:tcPr>
          <w:p w:rsidR="00573EC9" w:rsidRPr="00A02853" w:rsidRDefault="00573EC9" w:rsidP="00032976">
            <w:pPr>
              <w:pStyle w:val="rientrotrattinook"/>
              <w:tabs>
                <w:tab w:val="clear" w:pos="704"/>
              </w:tabs>
              <w:ind w:left="460" w:hanging="284"/>
            </w:pPr>
            <w:r w:rsidRPr="009A1BD5">
              <w:t>la “</w:t>
            </w:r>
            <w:r w:rsidRPr="009A1BD5">
              <w:rPr>
                <w:i/>
              </w:rPr>
              <w:t>Riserva per utili su cambi non realizzati</w:t>
            </w:r>
            <w:r w:rsidRPr="009A1BD5">
              <w:t>”, che</w:t>
            </w:r>
            <w:r>
              <w:t xml:space="preserve"> </w:t>
            </w:r>
            <w:r w:rsidRPr="009A1BD5">
              <w:t>accoglie l’utile netto derivante dall’iscrizione al cambio a pronti alla fine dell’esercizio delle attività e passività monetarie in valuta estera</w:t>
            </w:r>
            <w:r>
              <w:t>?</w:t>
            </w:r>
            <w:r w:rsidRPr="009A1BD5">
              <w:t xml:space="preserve"> </w:t>
            </w:r>
          </w:p>
        </w:tc>
        <w:tc>
          <w:tcPr>
            <w:tcW w:w="586" w:type="dxa"/>
            <w:tcMar>
              <w:left w:w="85" w:type="dxa"/>
              <w:right w:w="85" w:type="dxa"/>
            </w:tcMar>
            <w:vAlign w:val="center"/>
          </w:tcPr>
          <w:p w:rsidR="00573EC9" w:rsidRPr="00A02853" w:rsidRDefault="00573EC9" w:rsidP="00D73E98">
            <w:pPr>
              <w:jc w:val="center"/>
              <w:rPr>
                <w:lang w:val="it-IT"/>
              </w:rPr>
            </w:pPr>
            <w:r>
              <w:fldChar w:fldCharType="begin">
                <w:ffData>
                  <w:name w:val="Check4"/>
                  <w:enabled/>
                  <w:calcOnExit w:val="0"/>
                  <w:checkBox>
                    <w:sizeAuto/>
                    <w:default w:val="0"/>
                  </w:checkBox>
                </w:ffData>
              </w:fldChar>
            </w:r>
            <w:r w:rsidRPr="009A1BD5">
              <w:rPr>
                <w:lang w:val="it-IT"/>
              </w:rPr>
              <w:instrText xml:space="preserve"> FORMCHECKBOX </w:instrText>
            </w:r>
            <w:r w:rsidR="00CA1681">
              <w:fldChar w:fldCharType="separate"/>
            </w:r>
            <w:r>
              <w:fldChar w:fldCharType="end"/>
            </w:r>
          </w:p>
        </w:tc>
        <w:tc>
          <w:tcPr>
            <w:tcW w:w="573" w:type="dxa"/>
            <w:tcMar>
              <w:left w:w="108" w:type="dxa"/>
            </w:tcMar>
            <w:vAlign w:val="center"/>
          </w:tcPr>
          <w:p w:rsidR="00573EC9" w:rsidRPr="00A02853" w:rsidRDefault="00573EC9" w:rsidP="00D73E98">
            <w:pPr>
              <w:jc w:val="center"/>
              <w:rPr>
                <w:lang w:val="it-IT"/>
              </w:rPr>
            </w:pPr>
            <w:r>
              <w:fldChar w:fldCharType="begin">
                <w:ffData>
                  <w:name w:val="Check4"/>
                  <w:enabled/>
                  <w:calcOnExit w:val="0"/>
                  <w:checkBox>
                    <w:sizeAuto/>
                    <w:default w:val="0"/>
                  </w:checkBox>
                </w:ffData>
              </w:fldChar>
            </w:r>
            <w:r w:rsidRPr="009A1BD5">
              <w:rPr>
                <w:lang w:val="it-IT"/>
              </w:rPr>
              <w:instrText xml:space="preserve"> FORMCHECKBOX </w:instrText>
            </w:r>
            <w:r w:rsidR="00CA1681">
              <w:fldChar w:fldCharType="separate"/>
            </w:r>
            <w:r>
              <w:fldChar w:fldCharType="end"/>
            </w:r>
          </w:p>
        </w:tc>
        <w:tc>
          <w:tcPr>
            <w:tcW w:w="570" w:type="dxa"/>
            <w:tcMar>
              <w:left w:w="108" w:type="dxa"/>
            </w:tcMar>
            <w:vAlign w:val="center"/>
          </w:tcPr>
          <w:p w:rsidR="00573EC9" w:rsidRPr="00A02853" w:rsidRDefault="00573EC9" w:rsidP="00D73E98">
            <w:pPr>
              <w:jc w:val="center"/>
              <w:rPr>
                <w:lang w:val="it-IT"/>
              </w:rPr>
            </w:pPr>
            <w:r>
              <w:fldChar w:fldCharType="begin">
                <w:ffData>
                  <w:name w:val="Check4"/>
                  <w:enabled/>
                  <w:calcOnExit w:val="0"/>
                  <w:checkBox>
                    <w:sizeAuto/>
                    <w:default w:val="0"/>
                  </w:checkBox>
                </w:ffData>
              </w:fldChar>
            </w:r>
            <w:r w:rsidRPr="009A1BD5">
              <w:rPr>
                <w:lang w:val="it-IT"/>
              </w:rPr>
              <w:instrText xml:space="preserve"> FORMCHECKBOX </w:instrText>
            </w:r>
            <w:r w:rsidR="00CA1681">
              <w:fldChar w:fldCharType="separate"/>
            </w:r>
            <w:r>
              <w:fldChar w:fldCharType="end"/>
            </w: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p>
        </w:tc>
        <w:tc>
          <w:tcPr>
            <w:tcW w:w="7060" w:type="dxa"/>
            <w:tcMar>
              <w:left w:w="108" w:type="dxa"/>
            </w:tcMar>
          </w:tcPr>
          <w:p w:rsidR="00573EC9" w:rsidRPr="009A1BD5" w:rsidRDefault="00573EC9" w:rsidP="00D73E98">
            <w:pPr>
              <w:pStyle w:val="Commentiriquadro"/>
            </w:pPr>
            <w:r>
              <w:t>L</w:t>
            </w:r>
            <w:r w:rsidRPr="009A1BD5">
              <w:t>a “</w:t>
            </w:r>
            <w:r w:rsidRPr="009A1BD5">
              <w:rPr>
                <w:i/>
                <w:iCs/>
              </w:rPr>
              <w:t>Riserva per utili su cambi non realizzati</w:t>
            </w:r>
            <w:r w:rsidRPr="009A1BD5">
              <w:t>” non è distribuibile fin tanto che l’utile netto non è realizzato</w:t>
            </w:r>
            <w:r>
              <w:t>.</w:t>
            </w:r>
          </w:p>
        </w:tc>
        <w:tc>
          <w:tcPr>
            <w:tcW w:w="586" w:type="dxa"/>
            <w:tcMar>
              <w:left w:w="85" w:type="dxa"/>
              <w:right w:w="85" w:type="dxa"/>
            </w:tcMar>
            <w:vAlign w:val="center"/>
          </w:tcPr>
          <w:p w:rsidR="00573EC9" w:rsidRPr="00A02853" w:rsidRDefault="00573EC9" w:rsidP="00D73E98">
            <w:pPr>
              <w:jc w:val="center"/>
              <w:rPr>
                <w:lang w:val="it-IT"/>
              </w:rPr>
            </w:pPr>
          </w:p>
        </w:tc>
        <w:tc>
          <w:tcPr>
            <w:tcW w:w="573" w:type="dxa"/>
            <w:tcMar>
              <w:left w:w="108" w:type="dxa"/>
            </w:tcMar>
            <w:vAlign w:val="center"/>
          </w:tcPr>
          <w:p w:rsidR="00573EC9" w:rsidRPr="00A02853" w:rsidRDefault="00573EC9" w:rsidP="00D73E98">
            <w:pPr>
              <w:jc w:val="center"/>
              <w:rPr>
                <w:lang w:val="it-IT"/>
              </w:rPr>
            </w:pPr>
          </w:p>
        </w:tc>
        <w:tc>
          <w:tcPr>
            <w:tcW w:w="570" w:type="dxa"/>
            <w:tcMar>
              <w:left w:w="108" w:type="dxa"/>
            </w:tcMar>
            <w:vAlign w:val="center"/>
          </w:tcPr>
          <w:p w:rsidR="00573EC9" w:rsidRPr="00A02853" w:rsidRDefault="00573EC9" w:rsidP="00D73E98">
            <w:pPr>
              <w:jc w:val="center"/>
              <w:rPr>
                <w:lang w:val="it-IT"/>
              </w:rPr>
            </w:pPr>
          </w:p>
        </w:tc>
      </w:tr>
      <w:tr w:rsidR="00573EC9" w:rsidRPr="00A02853" w:rsidTr="009869E8">
        <w:trPr>
          <w:cantSplit/>
          <w:trHeight w:val="20"/>
        </w:trPr>
        <w:tc>
          <w:tcPr>
            <w:tcW w:w="681" w:type="dxa"/>
          </w:tcPr>
          <w:p w:rsidR="00573EC9" w:rsidRPr="008216D3" w:rsidRDefault="00573EC9" w:rsidP="00D32BD7">
            <w:pPr>
              <w:pStyle w:val="Numeroelenco"/>
              <w:numPr>
                <w:ilvl w:val="0"/>
                <w:numId w:val="0"/>
              </w:numPr>
              <w:ind w:left="57"/>
              <w:rPr>
                <w:b/>
                <w:lang w:val="it-IT"/>
              </w:rPr>
            </w:pPr>
            <w:r w:rsidRPr="008216D3">
              <w:rPr>
                <w:b/>
                <w:lang w:val="it-IT"/>
              </w:rPr>
              <w:t>1</w:t>
            </w:r>
            <w:r>
              <w:rPr>
                <w:b/>
                <w:lang w:val="it-IT"/>
              </w:rPr>
              <w:t>2</w:t>
            </w:r>
            <w:r w:rsidRPr="008216D3">
              <w:rPr>
                <w:b/>
                <w:lang w:val="it-IT"/>
              </w:rPr>
              <w:t>)</w:t>
            </w:r>
          </w:p>
        </w:tc>
        <w:tc>
          <w:tcPr>
            <w:tcW w:w="850" w:type="dxa"/>
            <w:tcMar>
              <w:left w:w="108" w:type="dxa"/>
              <w:right w:w="0" w:type="dxa"/>
            </w:tcMar>
          </w:tcPr>
          <w:p w:rsidR="00573EC9" w:rsidRDefault="00573EC9" w:rsidP="00D73E98">
            <w:pPr>
              <w:pStyle w:val="PrincCont"/>
              <w:jc w:val="left"/>
              <w:rPr>
                <w:lang w:val="it-IT"/>
              </w:rPr>
            </w:pPr>
            <w:r>
              <w:t>OIC 28.15</w:t>
            </w:r>
          </w:p>
        </w:tc>
        <w:tc>
          <w:tcPr>
            <w:tcW w:w="7060" w:type="dxa"/>
            <w:tcMar>
              <w:left w:w="108" w:type="dxa"/>
            </w:tcMar>
          </w:tcPr>
          <w:p w:rsidR="00573EC9" w:rsidRPr="009A1BD5" w:rsidRDefault="00573EC9" w:rsidP="00D73E98">
            <w:pPr>
              <w:spacing w:line="230" w:lineRule="exact"/>
              <w:rPr>
                <w:lang w:val="it-IT"/>
              </w:rPr>
            </w:pPr>
            <w:r w:rsidRPr="009A1BD5">
              <w:rPr>
                <w:lang w:val="it-IT"/>
              </w:rPr>
              <w:t>Nella voce AVII – “</w:t>
            </w:r>
            <w:r w:rsidRPr="009A1BD5">
              <w:rPr>
                <w:i/>
                <w:iCs/>
                <w:lang w:val="it-IT"/>
              </w:rPr>
              <w:t>Riserva per operazioni di copertura dei flussi finanziari attesi</w:t>
            </w:r>
            <w:r w:rsidRPr="009A1BD5">
              <w:rPr>
                <w:lang w:val="it-IT"/>
              </w:rPr>
              <w:t xml:space="preserve">” sono iscritte le variazioni di </w:t>
            </w:r>
            <w:r w:rsidRPr="009A1BD5">
              <w:rPr>
                <w:i/>
                <w:iCs/>
                <w:lang w:val="it-IT"/>
              </w:rPr>
              <w:t xml:space="preserve">fair value </w:t>
            </w:r>
            <w:r w:rsidRPr="009A1BD5">
              <w:rPr>
                <w:lang w:val="it-IT"/>
              </w:rPr>
              <w:t>degli strumenti finanziari derivati generatesi nell’ambito di coperture di flussi finanziari attesi, al netto degli eventuali effetti fiscali differiti?</w:t>
            </w:r>
          </w:p>
        </w:tc>
        <w:tc>
          <w:tcPr>
            <w:tcW w:w="586" w:type="dxa"/>
            <w:tcMar>
              <w:left w:w="85" w:type="dxa"/>
              <w:right w:w="85" w:type="dxa"/>
            </w:tcMar>
            <w:vAlign w:val="center"/>
          </w:tcPr>
          <w:p w:rsidR="00573EC9" w:rsidRPr="00A02853"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A02853"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A02853"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CC242B" w:rsidTr="009869E8">
        <w:trPr>
          <w:cantSplit/>
          <w:trHeight w:val="20"/>
        </w:trPr>
        <w:tc>
          <w:tcPr>
            <w:tcW w:w="681" w:type="dxa"/>
          </w:tcPr>
          <w:p w:rsidR="00573EC9" w:rsidRPr="008216D3" w:rsidRDefault="00573EC9" w:rsidP="00D32BD7">
            <w:pPr>
              <w:pStyle w:val="Numeroelenco"/>
              <w:numPr>
                <w:ilvl w:val="0"/>
                <w:numId w:val="0"/>
              </w:numPr>
              <w:rPr>
                <w:b/>
                <w:lang w:val="it-IT"/>
              </w:rPr>
            </w:pPr>
          </w:p>
        </w:tc>
        <w:tc>
          <w:tcPr>
            <w:tcW w:w="850" w:type="dxa"/>
            <w:tcMar>
              <w:left w:w="108" w:type="dxa"/>
              <w:right w:w="0" w:type="dxa"/>
            </w:tcMar>
          </w:tcPr>
          <w:p w:rsidR="00573EC9" w:rsidRPr="00D32BD7" w:rsidRDefault="00573EC9" w:rsidP="00D73E98">
            <w:pPr>
              <w:pStyle w:val="PrincCont"/>
              <w:jc w:val="left"/>
            </w:pPr>
            <w:r w:rsidRPr="00D32BD7">
              <w:t xml:space="preserve">Art. 2426, c.1, n.11-bis, CC </w:t>
            </w:r>
            <w:r>
              <w:t>OIC 28.15</w:t>
            </w:r>
          </w:p>
        </w:tc>
        <w:tc>
          <w:tcPr>
            <w:tcW w:w="7060" w:type="dxa"/>
            <w:tcMar>
              <w:left w:w="108" w:type="dxa"/>
            </w:tcMar>
          </w:tcPr>
          <w:p w:rsidR="00573EC9" w:rsidRPr="000C2342" w:rsidRDefault="00573EC9" w:rsidP="00D73E98">
            <w:pPr>
              <w:pStyle w:val="Commentiriquadro"/>
            </w:pPr>
            <w:r w:rsidRPr="000C2342">
              <w:t>Come previsto dall’articolo 2426, comma 1, numero 11-bis, del codice civile: “</w:t>
            </w:r>
            <w:r w:rsidRPr="000C2342">
              <w:rPr>
                <w:i/>
              </w:rPr>
              <w:t>le riserve di patrimonio che derivano dalla valutazione al fair value di derivati utilizzati per la copertura di flussi finanziari attesi di un altro strumento finanziario o di un’operazione programmata non sono considerate nel computo del patrimonio netto per le finalità di cui agli articoli 2412, 2433, 2442, 2446 e 2447 e, se positivi, non sono disponibili e non sono utilizzabili a copertura delle perdite</w:t>
            </w:r>
            <w:r w:rsidRPr="000C2342">
              <w:t>”.</w:t>
            </w:r>
          </w:p>
        </w:tc>
        <w:tc>
          <w:tcPr>
            <w:tcW w:w="586" w:type="dxa"/>
            <w:tcMar>
              <w:left w:w="85" w:type="dxa"/>
              <w:right w:w="85" w:type="dxa"/>
            </w:tcMar>
            <w:vAlign w:val="center"/>
          </w:tcPr>
          <w:p w:rsidR="00573EC9" w:rsidRPr="000C2342" w:rsidRDefault="00573EC9" w:rsidP="00D73E98">
            <w:pPr>
              <w:jc w:val="center"/>
              <w:rPr>
                <w:lang w:val="it-IT"/>
              </w:rPr>
            </w:pPr>
          </w:p>
        </w:tc>
        <w:tc>
          <w:tcPr>
            <w:tcW w:w="573" w:type="dxa"/>
            <w:tcMar>
              <w:left w:w="108" w:type="dxa"/>
            </w:tcMar>
            <w:vAlign w:val="center"/>
          </w:tcPr>
          <w:p w:rsidR="00573EC9" w:rsidRPr="000C2342" w:rsidRDefault="00573EC9" w:rsidP="00D73E98">
            <w:pPr>
              <w:jc w:val="center"/>
              <w:rPr>
                <w:lang w:val="it-IT"/>
              </w:rPr>
            </w:pPr>
          </w:p>
        </w:tc>
        <w:tc>
          <w:tcPr>
            <w:tcW w:w="570" w:type="dxa"/>
            <w:tcMar>
              <w:left w:w="108" w:type="dxa"/>
            </w:tcMar>
            <w:vAlign w:val="center"/>
          </w:tcPr>
          <w:p w:rsidR="00573EC9" w:rsidRPr="000C2342" w:rsidRDefault="00573EC9" w:rsidP="00D73E98">
            <w:pPr>
              <w:jc w:val="center"/>
              <w:rPr>
                <w:lang w:val="it-IT"/>
              </w:rPr>
            </w:pPr>
          </w:p>
        </w:tc>
      </w:tr>
      <w:tr w:rsidR="00573EC9" w:rsidRPr="00CC242B" w:rsidTr="009869E8">
        <w:trPr>
          <w:cantSplit/>
          <w:trHeight w:val="20"/>
        </w:trPr>
        <w:tc>
          <w:tcPr>
            <w:tcW w:w="681" w:type="dxa"/>
          </w:tcPr>
          <w:p w:rsidR="00573EC9" w:rsidRPr="008216D3" w:rsidRDefault="00573EC9" w:rsidP="00D32BD7">
            <w:pPr>
              <w:pStyle w:val="Numeroelenco"/>
              <w:numPr>
                <w:ilvl w:val="0"/>
                <w:numId w:val="0"/>
              </w:numPr>
              <w:ind w:left="57"/>
              <w:rPr>
                <w:b/>
                <w:lang w:val="it-IT"/>
              </w:rPr>
            </w:pPr>
            <w:r>
              <w:rPr>
                <w:b/>
                <w:lang w:val="it-IT"/>
              </w:rPr>
              <w:t>13</w:t>
            </w:r>
            <w:r w:rsidRPr="008216D3">
              <w:rPr>
                <w:b/>
                <w:lang w:val="it-IT"/>
              </w:rPr>
              <w:t>)</w:t>
            </w:r>
          </w:p>
        </w:tc>
        <w:tc>
          <w:tcPr>
            <w:tcW w:w="850" w:type="dxa"/>
            <w:tcMar>
              <w:left w:w="108" w:type="dxa"/>
              <w:right w:w="0" w:type="dxa"/>
            </w:tcMar>
          </w:tcPr>
          <w:p w:rsidR="00573EC9" w:rsidRPr="008A0F36" w:rsidRDefault="00573EC9" w:rsidP="00D73E98">
            <w:pPr>
              <w:pStyle w:val="PrincCont"/>
              <w:jc w:val="left"/>
              <w:rPr>
                <w:lang w:val="it-IT"/>
              </w:rPr>
            </w:pPr>
            <w:r>
              <w:t>OIC 28.16</w:t>
            </w:r>
          </w:p>
        </w:tc>
        <w:tc>
          <w:tcPr>
            <w:tcW w:w="7060" w:type="dxa"/>
            <w:tcMar>
              <w:left w:w="108" w:type="dxa"/>
            </w:tcMar>
          </w:tcPr>
          <w:p w:rsidR="00573EC9" w:rsidRPr="00BB7C07" w:rsidRDefault="00573EC9" w:rsidP="00D73E98">
            <w:pPr>
              <w:pStyle w:val="Titolo2"/>
              <w:spacing w:line="230" w:lineRule="exact"/>
              <w:rPr>
                <w:b w:val="0"/>
                <w:sz w:val="20"/>
                <w:lang w:val="it-IT"/>
              </w:rPr>
            </w:pPr>
            <w:r w:rsidRPr="00545CF1">
              <w:rPr>
                <w:b w:val="0"/>
                <w:sz w:val="20"/>
                <w:lang w:val="it-IT"/>
              </w:rPr>
              <w:t>Nella voce AVIII “</w:t>
            </w:r>
            <w:r w:rsidRPr="00E93E24">
              <w:rPr>
                <w:b w:val="0"/>
                <w:i/>
                <w:sz w:val="20"/>
                <w:lang w:val="it-IT"/>
              </w:rPr>
              <w:t>Utili (perdite) portati a nuovo</w:t>
            </w:r>
            <w:r>
              <w:rPr>
                <w:b w:val="0"/>
                <w:sz w:val="20"/>
                <w:lang w:val="it-IT"/>
              </w:rPr>
              <w:t xml:space="preserve">” sono </w:t>
            </w:r>
            <w:r w:rsidRPr="00545CF1">
              <w:rPr>
                <w:b w:val="0"/>
                <w:sz w:val="20"/>
                <w:lang w:val="it-IT"/>
              </w:rPr>
              <w:t>iscri</w:t>
            </w:r>
            <w:r>
              <w:rPr>
                <w:b w:val="0"/>
                <w:sz w:val="20"/>
                <w:lang w:val="it-IT"/>
              </w:rPr>
              <w:t xml:space="preserve">tti: </w:t>
            </w:r>
          </w:p>
        </w:tc>
        <w:tc>
          <w:tcPr>
            <w:tcW w:w="586" w:type="dxa"/>
            <w:tcMar>
              <w:left w:w="85" w:type="dxa"/>
              <w:right w:w="85" w:type="dxa"/>
            </w:tcMar>
            <w:vAlign w:val="center"/>
          </w:tcPr>
          <w:p w:rsidR="00573EC9" w:rsidRPr="00A32A16" w:rsidRDefault="00573EC9" w:rsidP="00D73E98">
            <w:pPr>
              <w:jc w:val="center"/>
              <w:rPr>
                <w:lang w:val="it-IT"/>
              </w:rPr>
            </w:pPr>
          </w:p>
        </w:tc>
        <w:tc>
          <w:tcPr>
            <w:tcW w:w="573" w:type="dxa"/>
            <w:tcMar>
              <w:left w:w="108" w:type="dxa"/>
            </w:tcMar>
            <w:vAlign w:val="center"/>
          </w:tcPr>
          <w:p w:rsidR="00573EC9" w:rsidRPr="00A32A16" w:rsidRDefault="00573EC9" w:rsidP="00D73E98">
            <w:pPr>
              <w:jc w:val="center"/>
              <w:rPr>
                <w:lang w:val="it-IT"/>
              </w:rPr>
            </w:pPr>
          </w:p>
        </w:tc>
        <w:tc>
          <w:tcPr>
            <w:tcW w:w="570" w:type="dxa"/>
            <w:tcMar>
              <w:left w:w="108" w:type="dxa"/>
            </w:tcMar>
            <w:vAlign w:val="center"/>
          </w:tcPr>
          <w:p w:rsidR="00573EC9" w:rsidRPr="00A32A16" w:rsidRDefault="00573EC9" w:rsidP="00D73E98">
            <w:pPr>
              <w:jc w:val="center"/>
              <w:rPr>
                <w:lang w:val="it-IT"/>
              </w:rPr>
            </w:pPr>
          </w:p>
        </w:tc>
      </w:tr>
      <w:tr w:rsidR="00573EC9" w:rsidRPr="00B42E2D" w:rsidTr="009869E8">
        <w:trPr>
          <w:cantSplit/>
          <w:trHeight w:val="20"/>
        </w:trPr>
        <w:tc>
          <w:tcPr>
            <w:tcW w:w="681" w:type="dxa"/>
          </w:tcPr>
          <w:p w:rsidR="00573EC9" w:rsidRPr="008216D3" w:rsidRDefault="00573EC9" w:rsidP="00D32BD7">
            <w:pPr>
              <w:pStyle w:val="Numeroelenco"/>
              <w:numPr>
                <w:ilvl w:val="0"/>
                <w:numId w:val="0"/>
              </w:numPr>
              <w:ind w:left="57"/>
              <w:rPr>
                <w:b/>
                <w:lang w:val="it-IT"/>
              </w:rPr>
            </w:pPr>
          </w:p>
        </w:tc>
        <w:tc>
          <w:tcPr>
            <w:tcW w:w="850" w:type="dxa"/>
            <w:tcMar>
              <w:left w:w="108" w:type="dxa"/>
              <w:right w:w="0" w:type="dxa"/>
            </w:tcMar>
          </w:tcPr>
          <w:p w:rsidR="00573EC9" w:rsidRPr="00E93E24" w:rsidRDefault="00573EC9" w:rsidP="00D73E98">
            <w:pPr>
              <w:pStyle w:val="PrincCont"/>
              <w:jc w:val="left"/>
              <w:rPr>
                <w:lang w:val="it-IT"/>
              </w:rPr>
            </w:pPr>
          </w:p>
        </w:tc>
        <w:tc>
          <w:tcPr>
            <w:tcW w:w="7060" w:type="dxa"/>
            <w:tcMar>
              <w:left w:w="108" w:type="dxa"/>
            </w:tcMar>
          </w:tcPr>
          <w:p w:rsidR="00573EC9" w:rsidRPr="00E93E24" w:rsidRDefault="00573EC9" w:rsidP="00032976">
            <w:pPr>
              <w:pStyle w:val="rientrotrattinook"/>
              <w:tabs>
                <w:tab w:val="clear" w:pos="704"/>
              </w:tabs>
              <w:ind w:left="460" w:hanging="284"/>
            </w:pPr>
            <w:r w:rsidRPr="00E93E24">
              <w:t>i risultati netti di esercizi precedenti che non sono stati distribuiti o accantonati ad altre riserve e le perdite non ripianate</w:t>
            </w:r>
          </w:p>
        </w:tc>
        <w:tc>
          <w:tcPr>
            <w:tcW w:w="586" w:type="dxa"/>
            <w:tcMar>
              <w:left w:w="85" w:type="dxa"/>
              <w:right w:w="85" w:type="dxa"/>
            </w:tcMar>
            <w:vAlign w:val="center"/>
          </w:tcPr>
          <w:p w:rsidR="00573EC9" w:rsidRDefault="00573EC9"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Default="00573EC9"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Default="00573EC9" w:rsidP="00D73E98">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E93E24" w:rsidTr="009869E8">
        <w:trPr>
          <w:cantSplit/>
          <w:trHeight w:val="20"/>
        </w:trPr>
        <w:tc>
          <w:tcPr>
            <w:tcW w:w="681" w:type="dxa"/>
          </w:tcPr>
          <w:p w:rsidR="00573EC9" w:rsidRPr="008216D3" w:rsidRDefault="00573EC9" w:rsidP="00D32BD7">
            <w:pPr>
              <w:pStyle w:val="Numeroelenco"/>
              <w:numPr>
                <w:ilvl w:val="0"/>
                <w:numId w:val="0"/>
              </w:numPr>
              <w:ind w:left="57"/>
              <w:rPr>
                <w:b/>
                <w:lang w:val="it-IT"/>
              </w:rPr>
            </w:pPr>
          </w:p>
        </w:tc>
        <w:tc>
          <w:tcPr>
            <w:tcW w:w="850" w:type="dxa"/>
            <w:tcMar>
              <w:left w:w="108" w:type="dxa"/>
              <w:right w:w="0" w:type="dxa"/>
            </w:tcMar>
          </w:tcPr>
          <w:p w:rsidR="00573EC9" w:rsidRDefault="00573EC9" w:rsidP="00D73E98">
            <w:pPr>
              <w:pStyle w:val="PrincCont"/>
              <w:jc w:val="left"/>
            </w:pPr>
          </w:p>
        </w:tc>
        <w:tc>
          <w:tcPr>
            <w:tcW w:w="7060" w:type="dxa"/>
            <w:tcMar>
              <w:left w:w="108" w:type="dxa"/>
            </w:tcMar>
          </w:tcPr>
          <w:p w:rsidR="00573EC9" w:rsidRPr="00E93E24" w:rsidRDefault="00573EC9" w:rsidP="00032976">
            <w:pPr>
              <w:pStyle w:val="rientrotrattinook"/>
              <w:tabs>
                <w:tab w:val="clear" w:pos="704"/>
              </w:tabs>
              <w:ind w:left="460" w:hanging="284"/>
            </w:pPr>
            <w:r w:rsidRPr="00E93E24">
              <w:t>le rettifiche derivanti dalle correzioni di errori commessi in esercizi precedenti e le rettifiche derivanti da cambiamenti di principi contabili (qualora l’imputazione ad un’altra voce di patrimonio netto non sia più appropriata)?</w:t>
            </w:r>
          </w:p>
        </w:tc>
        <w:tc>
          <w:tcPr>
            <w:tcW w:w="586" w:type="dxa"/>
            <w:tcMar>
              <w:left w:w="85" w:type="dxa"/>
              <w:right w:w="85" w:type="dxa"/>
            </w:tcMar>
            <w:vAlign w:val="center"/>
          </w:tcPr>
          <w:p w:rsidR="00573EC9" w:rsidRPr="00E93E24"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E93E24"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E93E24"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B42E2D" w:rsidTr="009869E8">
        <w:trPr>
          <w:cantSplit/>
          <w:trHeight w:val="20"/>
        </w:trPr>
        <w:tc>
          <w:tcPr>
            <w:tcW w:w="681" w:type="dxa"/>
          </w:tcPr>
          <w:p w:rsidR="00573EC9" w:rsidRPr="008216D3" w:rsidRDefault="00573EC9" w:rsidP="00D32BD7">
            <w:pPr>
              <w:pStyle w:val="Numeroelenco"/>
              <w:numPr>
                <w:ilvl w:val="0"/>
                <w:numId w:val="0"/>
              </w:numPr>
              <w:ind w:left="57"/>
              <w:rPr>
                <w:b/>
                <w:lang w:val="it-IT"/>
              </w:rPr>
            </w:pPr>
            <w:r>
              <w:rPr>
                <w:b/>
                <w:lang w:val="it-IT"/>
              </w:rPr>
              <w:t>14</w:t>
            </w:r>
            <w:r w:rsidRPr="008216D3">
              <w:rPr>
                <w:b/>
                <w:lang w:val="it-IT"/>
              </w:rPr>
              <w:t>)</w:t>
            </w:r>
          </w:p>
        </w:tc>
        <w:tc>
          <w:tcPr>
            <w:tcW w:w="850" w:type="dxa"/>
            <w:tcMar>
              <w:left w:w="108" w:type="dxa"/>
              <w:right w:w="0" w:type="dxa"/>
            </w:tcMar>
          </w:tcPr>
          <w:p w:rsidR="00573EC9" w:rsidRPr="008A0F36" w:rsidRDefault="00573EC9" w:rsidP="00D73E98">
            <w:pPr>
              <w:pStyle w:val="PrincCont"/>
              <w:jc w:val="left"/>
              <w:rPr>
                <w:lang w:val="it-IT"/>
              </w:rPr>
            </w:pPr>
            <w:r>
              <w:t>OIC 28.17</w:t>
            </w:r>
          </w:p>
        </w:tc>
        <w:tc>
          <w:tcPr>
            <w:tcW w:w="7060" w:type="dxa"/>
            <w:tcMar>
              <w:left w:w="108" w:type="dxa"/>
            </w:tcMar>
          </w:tcPr>
          <w:p w:rsidR="00573EC9" w:rsidRPr="00BB7C07" w:rsidRDefault="00573EC9" w:rsidP="00D73E98">
            <w:pPr>
              <w:pStyle w:val="Titolo2"/>
              <w:spacing w:line="230" w:lineRule="exact"/>
              <w:jc w:val="both"/>
              <w:rPr>
                <w:b w:val="0"/>
                <w:sz w:val="20"/>
                <w:lang w:val="it-IT"/>
              </w:rPr>
            </w:pPr>
            <w:r w:rsidRPr="00B634CF">
              <w:rPr>
                <w:b w:val="0"/>
                <w:sz w:val="20"/>
                <w:lang w:val="it-IT"/>
              </w:rPr>
              <w:t>Nella voce AIX “</w:t>
            </w:r>
            <w:r w:rsidRPr="00E93E24">
              <w:rPr>
                <w:b w:val="0"/>
                <w:i/>
                <w:sz w:val="20"/>
                <w:lang w:val="it-IT"/>
              </w:rPr>
              <w:t>Utile (perdita dell’esercizio)</w:t>
            </w:r>
            <w:r w:rsidRPr="00B634CF">
              <w:rPr>
                <w:b w:val="0"/>
                <w:sz w:val="20"/>
                <w:lang w:val="it-IT"/>
              </w:rPr>
              <w:t xml:space="preserve">” </w:t>
            </w:r>
            <w:r>
              <w:rPr>
                <w:b w:val="0"/>
                <w:sz w:val="20"/>
                <w:lang w:val="it-IT"/>
              </w:rPr>
              <w:t>è</w:t>
            </w:r>
            <w:r w:rsidRPr="00B634CF">
              <w:rPr>
                <w:b w:val="0"/>
                <w:sz w:val="20"/>
                <w:lang w:val="it-IT"/>
              </w:rPr>
              <w:t xml:space="preserve"> iscri</w:t>
            </w:r>
            <w:r>
              <w:rPr>
                <w:b w:val="0"/>
                <w:sz w:val="20"/>
                <w:lang w:val="it-IT"/>
              </w:rPr>
              <w:t>tto</w:t>
            </w:r>
            <w:r w:rsidRPr="00B634CF">
              <w:rPr>
                <w:b w:val="0"/>
                <w:sz w:val="20"/>
                <w:lang w:val="it-IT"/>
              </w:rPr>
              <w:t xml:space="preserve"> il risultato dell’esercizio che scaturisce</w:t>
            </w:r>
            <w:r>
              <w:rPr>
                <w:b w:val="0"/>
                <w:sz w:val="20"/>
                <w:lang w:val="it-IT"/>
              </w:rPr>
              <w:t xml:space="preserve"> </w:t>
            </w:r>
            <w:r w:rsidRPr="00B634CF">
              <w:rPr>
                <w:b w:val="0"/>
                <w:sz w:val="20"/>
                <w:lang w:val="it-IT"/>
              </w:rPr>
              <w:t>dal conto economico</w:t>
            </w:r>
            <w:r>
              <w:rPr>
                <w:b w:val="0"/>
                <w:sz w:val="20"/>
                <w:lang w:val="it-IT"/>
              </w:rPr>
              <w:t>?</w:t>
            </w:r>
          </w:p>
        </w:tc>
        <w:tc>
          <w:tcPr>
            <w:tcW w:w="586" w:type="dxa"/>
            <w:tcMar>
              <w:left w:w="85" w:type="dxa"/>
              <w:right w:w="85"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CC242B" w:rsidTr="009869E8">
        <w:trPr>
          <w:cantSplit/>
          <w:trHeight w:val="20"/>
        </w:trPr>
        <w:tc>
          <w:tcPr>
            <w:tcW w:w="681" w:type="dxa"/>
          </w:tcPr>
          <w:p w:rsidR="00573EC9" w:rsidRPr="008216D3" w:rsidRDefault="00573EC9" w:rsidP="00D32BD7">
            <w:pPr>
              <w:pStyle w:val="Numeroelenco"/>
              <w:numPr>
                <w:ilvl w:val="0"/>
                <w:numId w:val="0"/>
              </w:numPr>
              <w:ind w:left="57"/>
              <w:rPr>
                <w:b/>
                <w:lang w:val="it-IT"/>
              </w:rPr>
            </w:pPr>
          </w:p>
        </w:tc>
        <w:tc>
          <w:tcPr>
            <w:tcW w:w="850" w:type="dxa"/>
            <w:tcMar>
              <w:left w:w="108" w:type="dxa"/>
              <w:right w:w="0" w:type="dxa"/>
            </w:tcMar>
          </w:tcPr>
          <w:p w:rsidR="00573EC9" w:rsidRDefault="00573EC9" w:rsidP="00D73E98">
            <w:pPr>
              <w:pStyle w:val="PrincCont"/>
              <w:jc w:val="left"/>
            </w:pPr>
            <w:r>
              <w:t>OIC 28.17</w:t>
            </w:r>
          </w:p>
        </w:tc>
        <w:tc>
          <w:tcPr>
            <w:tcW w:w="7060" w:type="dxa"/>
            <w:tcMar>
              <w:left w:w="108" w:type="dxa"/>
            </w:tcMar>
          </w:tcPr>
          <w:p w:rsidR="00573EC9" w:rsidRPr="00E93E24" w:rsidRDefault="00573EC9" w:rsidP="00D73E98">
            <w:pPr>
              <w:pStyle w:val="Commentiriquadro"/>
              <w:rPr>
                <w:sz w:val="20"/>
              </w:rPr>
            </w:pPr>
            <w:r w:rsidRPr="00E93E24">
              <w:t>Se durante l’esercizio è stata ripianata la perdita dell’esercizio, si può aggiungere una voce di patrimonio netto “</w:t>
            </w:r>
            <w:r w:rsidRPr="00E93E24">
              <w:rPr>
                <w:i/>
                <w:iCs/>
              </w:rPr>
              <w:t>Perdita ripianata nell’esercizio</w:t>
            </w:r>
            <w:r w:rsidRPr="00E93E24">
              <w:t>”.</w:t>
            </w:r>
          </w:p>
        </w:tc>
        <w:tc>
          <w:tcPr>
            <w:tcW w:w="586" w:type="dxa"/>
            <w:tcMar>
              <w:left w:w="85" w:type="dxa"/>
              <w:right w:w="85" w:type="dxa"/>
            </w:tcMar>
            <w:vAlign w:val="center"/>
          </w:tcPr>
          <w:p w:rsidR="00573EC9" w:rsidRPr="00E93E24" w:rsidRDefault="00573EC9" w:rsidP="00D73E98">
            <w:pPr>
              <w:jc w:val="center"/>
              <w:rPr>
                <w:lang w:val="it-IT"/>
              </w:rPr>
            </w:pPr>
          </w:p>
        </w:tc>
        <w:tc>
          <w:tcPr>
            <w:tcW w:w="573" w:type="dxa"/>
            <w:tcMar>
              <w:left w:w="108" w:type="dxa"/>
            </w:tcMar>
            <w:vAlign w:val="center"/>
          </w:tcPr>
          <w:p w:rsidR="00573EC9" w:rsidRPr="00E93E24" w:rsidRDefault="00573EC9" w:rsidP="00D73E98">
            <w:pPr>
              <w:jc w:val="center"/>
              <w:rPr>
                <w:lang w:val="it-IT"/>
              </w:rPr>
            </w:pPr>
          </w:p>
        </w:tc>
        <w:tc>
          <w:tcPr>
            <w:tcW w:w="570" w:type="dxa"/>
            <w:tcMar>
              <w:left w:w="108" w:type="dxa"/>
            </w:tcMar>
            <w:vAlign w:val="center"/>
          </w:tcPr>
          <w:p w:rsidR="00573EC9" w:rsidRPr="00E93E24" w:rsidRDefault="00573EC9" w:rsidP="00D73E98">
            <w:pPr>
              <w:jc w:val="center"/>
              <w:rPr>
                <w:lang w:val="it-IT"/>
              </w:rPr>
            </w:pPr>
          </w:p>
        </w:tc>
      </w:tr>
      <w:tr w:rsidR="00573EC9" w:rsidRPr="00B42E2D" w:rsidTr="009869E8">
        <w:trPr>
          <w:cantSplit/>
          <w:trHeight w:val="20"/>
        </w:trPr>
        <w:tc>
          <w:tcPr>
            <w:tcW w:w="681" w:type="dxa"/>
          </w:tcPr>
          <w:p w:rsidR="00573EC9" w:rsidRPr="008216D3" w:rsidRDefault="00573EC9" w:rsidP="00D32BD7">
            <w:pPr>
              <w:pStyle w:val="Numeroelenco"/>
              <w:numPr>
                <w:ilvl w:val="0"/>
                <w:numId w:val="0"/>
              </w:numPr>
              <w:ind w:left="57"/>
              <w:rPr>
                <w:b/>
                <w:lang w:val="it-IT"/>
              </w:rPr>
            </w:pPr>
            <w:r>
              <w:rPr>
                <w:b/>
                <w:lang w:val="it-IT"/>
              </w:rPr>
              <w:t>15</w:t>
            </w:r>
            <w:r w:rsidRPr="008216D3">
              <w:rPr>
                <w:b/>
                <w:lang w:val="it-IT"/>
              </w:rPr>
              <w:t>)</w:t>
            </w:r>
          </w:p>
        </w:tc>
        <w:tc>
          <w:tcPr>
            <w:tcW w:w="850" w:type="dxa"/>
            <w:tcMar>
              <w:left w:w="108" w:type="dxa"/>
              <w:right w:w="0" w:type="dxa"/>
            </w:tcMar>
          </w:tcPr>
          <w:p w:rsidR="00573EC9" w:rsidRPr="0071033A" w:rsidRDefault="00573EC9" w:rsidP="00D73E98">
            <w:pPr>
              <w:pStyle w:val="PrincCont"/>
              <w:jc w:val="left"/>
            </w:pPr>
            <w:r w:rsidRPr="00710C9C">
              <w:t>Art. 2357-</w:t>
            </w:r>
            <w:r w:rsidRPr="00391E7E">
              <w:t xml:space="preserve">ter </w:t>
            </w:r>
            <w:r w:rsidRPr="00710C9C">
              <w:t>CC</w:t>
            </w:r>
            <w:r>
              <w:t xml:space="preserve">               OIC 28.18</w:t>
            </w:r>
          </w:p>
        </w:tc>
        <w:tc>
          <w:tcPr>
            <w:tcW w:w="7060" w:type="dxa"/>
            <w:tcMar>
              <w:left w:w="108" w:type="dxa"/>
            </w:tcMar>
          </w:tcPr>
          <w:p w:rsidR="00573EC9" w:rsidRPr="00710C9C" w:rsidRDefault="00573EC9" w:rsidP="00D73E98">
            <w:pPr>
              <w:spacing w:line="230" w:lineRule="exact"/>
              <w:rPr>
                <w:lang w:val="it-IT"/>
              </w:rPr>
            </w:pPr>
            <w:r w:rsidRPr="00710C9C">
              <w:rPr>
                <w:lang w:val="it-IT"/>
              </w:rPr>
              <w:t>Nella voce AX “</w:t>
            </w:r>
            <w:r w:rsidRPr="00710C9C">
              <w:rPr>
                <w:i/>
                <w:iCs/>
                <w:lang w:val="it-IT"/>
              </w:rPr>
              <w:t>Riserva negativa per azioni proprie in portafoglio</w:t>
            </w:r>
            <w:r w:rsidRPr="00710C9C">
              <w:rPr>
                <w:lang w:val="it-IT"/>
              </w:rPr>
              <w:t xml:space="preserve">” è iscritto, in detrazione del patrimonio netto, il costo di acquisto delle azioni proprie? </w:t>
            </w:r>
          </w:p>
        </w:tc>
        <w:tc>
          <w:tcPr>
            <w:tcW w:w="586" w:type="dxa"/>
            <w:tcMar>
              <w:left w:w="85" w:type="dxa"/>
              <w:right w:w="85"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B42E2D" w:rsidTr="009869E8">
        <w:trPr>
          <w:cantSplit/>
          <w:trHeight w:val="20"/>
        </w:trPr>
        <w:tc>
          <w:tcPr>
            <w:tcW w:w="681" w:type="dxa"/>
          </w:tcPr>
          <w:p w:rsidR="00573EC9" w:rsidRPr="008216D3" w:rsidRDefault="00573EC9" w:rsidP="00D32BD7">
            <w:pPr>
              <w:pStyle w:val="Numeroelenco"/>
              <w:numPr>
                <w:ilvl w:val="0"/>
                <w:numId w:val="0"/>
              </w:numPr>
              <w:ind w:left="57"/>
              <w:rPr>
                <w:b/>
                <w:lang w:val="it-IT"/>
              </w:rPr>
            </w:pPr>
          </w:p>
        </w:tc>
        <w:tc>
          <w:tcPr>
            <w:tcW w:w="850" w:type="dxa"/>
            <w:tcMar>
              <w:left w:w="108" w:type="dxa"/>
              <w:right w:w="0" w:type="dxa"/>
            </w:tcMar>
          </w:tcPr>
          <w:p w:rsidR="00573EC9" w:rsidRPr="00710C9C" w:rsidRDefault="00573EC9" w:rsidP="00D73E98">
            <w:pPr>
              <w:pStyle w:val="PrincCont"/>
              <w:jc w:val="left"/>
            </w:pPr>
          </w:p>
        </w:tc>
        <w:tc>
          <w:tcPr>
            <w:tcW w:w="7060" w:type="dxa"/>
            <w:tcMar>
              <w:left w:w="108" w:type="dxa"/>
            </w:tcMar>
            <w:vAlign w:val="center"/>
          </w:tcPr>
          <w:p w:rsidR="00573EC9" w:rsidRPr="00710C9C" w:rsidRDefault="00573EC9" w:rsidP="00D73E98">
            <w:pPr>
              <w:pStyle w:val="Titolo3"/>
              <w:jc w:val="left"/>
              <w:rPr>
                <w:lang w:val="it-IT"/>
              </w:rPr>
            </w:pPr>
            <w:r>
              <w:rPr>
                <w:lang w:val="it-IT"/>
              </w:rPr>
              <w:t>Bilancio in forma abbreviata</w:t>
            </w:r>
          </w:p>
        </w:tc>
        <w:tc>
          <w:tcPr>
            <w:tcW w:w="586" w:type="dxa"/>
            <w:tcMar>
              <w:left w:w="85" w:type="dxa"/>
              <w:right w:w="85" w:type="dxa"/>
            </w:tcMar>
            <w:vAlign w:val="center"/>
          </w:tcPr>
          <w:p w:rsidR="00573EC9" w:rsidRDefault="00573EC9" w:rsidP="00D73E98">
            <w:pPr>
              <w:jc w:val="center"/>
            </w:pPr>
          </w:p>
        </w:tc>
        <w:tc>
          <w:tcPr>
            <w:tcW w:w="573" w:type="dxa"/>
            <w:tcMar>
              <w:left w:w="108" w:type="dxa"/>
            </w:tcMar>
            <w:vAlign w:val="center"/>
          </w:tcPr>
          <w:p w:rsidR="00573EC9" w:rsidRDefault="00573EC9" w:rsidP="00D73E98">
            <w:pPr>
              <w:jc w:val="center"/>
            </w:pPr>
          </w:p>
        </w:tc>
        <w:tc>
          <w:tcPr>
            <w:tcW w:w="570" w:type="dxa"/>
            <w:tcMar>
              <w:left w:w="108" w:type="dxa"/>
            </w:tcMar>
            <w:vAlign w:val="center"/>
          </w:tcPr>
          <w:p w:rsidR="00573EC9" w:rsidRDefault="00573EC9" w:rsidP="00D73E98">
            <w:pPr>
              <w:jc w:val="center"/>
            </w:pPr>
          </w:p>
        </w:tc>
      </w:tr>
      <w:tr w:rsidR="00573EC9" w:rsidRPr="00CC242B" w:rsidTr="009869E8">
        <w:trPr>
          <w:cantSplit/>
          <w:trHeight w:val="20"/>
        </w:trPr>
        <w:tc>
          <w:tcPr>
            <w:tcW w:w="681" w:type="dxa"/>
          </w:tcPr>
          <w:p w:rsidR="00573EC9" w:rsidRPr="008216D3" w:rsidRDefault="00573EC9" w:rsidP="00D32BD7">
            <w:pPr>
              <w:pStyle w:val="Numeroelenco"/>
              <w:numPr>
                <w:ilvl w:val="0"/>
                <w:numId w:val="0"/>
              </w:numPr>
              <w:ind w:left="57"/>
              <w:rPr>
                <w:b/>
                <w:lang w:val="it-IT"/>
              </w:rPr>
            </w:pPr>
            <w:r w:rsidRPr="008216D3">
              <w:rPr>
                <w:b/>
                <w:lang w:val="it-IT"/>
              </w:rPr>
              <w:t>1</w:t>
            </w:r>
            <w:r>
              <w:rPr>
                <w:b/>
                <w:lang w:val="it-IT"/>
              </w:rPr>
              <w:t>6</w:t>
            </w:r>
            <w:r w:rsidRPr="008216D3">
              <w:rPr>
                <w:b/>
                <w:lang w:val="it-IT"/>
              </w:rPr>
              <w:t>)</w:t>
            </w:r>
          </w:p>
        </w:tc>
        <w:tc>
          <w:tcPr>
            <w:tcW w:w="850" w:type="dxa"/>
            <w:tcMar>
              <w:left w:w="108" w:type="dxa"/>
              <w:right w:w="0" w:type="dxa"/>
            </w:tcMar>
          </w:tcPr>
          <w:p w:rsidR="00573EC9" w:rsidRPr="00A74618" w:rsidRDefault="00573EC9" w:rsidP="00D73E98">
            <w:pPr>
              <w:pStyle w:val="PrincCont"/>
              <w:jc w:val="left"/>
            </w:pPr>
            <w:r>
              <w:t>Art. 2435-</w:t>
            </w:r>
            <w:r w:rsidRPr="00391E7E">
              <w:t>bis</w:t>
            </w:r>
            <w:r>
              <w:rPr>
                <w:i/>
              </w:rPr>
              <w:t xml:space="preserve"> </w:t>
            </w:r>
            <w:r>
              <w:t>CC             OIC 28.19</w:t>
            </w:r>
          </w:p>
        </w:tc>
        <w:tc>
          <w:tcPr>
            <w:tcW w:w="7060" w:type="dxa"/>
            <w:tcMar>
              <w:left w:w="108" w:type="dxa"/>
            </w:tcMar>
          </w:tcPr>
          <w:p w:rsidR="00573EC9" w:rsidRPr="00A74618" w:rsidRDefault="00573EC9" w:rsidP="00D73E98">
            <w:pPr>
              <w:pStyle w:val="Commentiriquadro"/>
            </w:pPr>
            <w:r w:rsidRPr="00A74618">
              <w:t>Ai sensi dell’articolo 2435-</w:t>
            </w:r>
            <w:r w:rsidRPr="00A74618">
              <w:rPr>
                <w:i/>
                <w:iCs/>
              </w:rPr>
              <w:t xml:space="preserve">bis </w:t>
            </w:r>
            <w:r w:rsidRPr="00A74618">
              <w:t>del codice civile le società che redigono il bilancio in forma abbreviata espongono nel bilancio unicamente le voci contrassegnate nell’articolo 2424 del codice civile con lettere maiuscole e con numeri romani. Con riferimento al patrimonio netto tali società adottano lo schema riepilogato al paragrafo 8 dell’OIC 28 ma non indicano separatamente le riserve che compongono la voce AVI “</w:t>
            </w:r>
            <w:r w:rsidRPr="00A74618">
              <w:rPr>
                <w:i/>
                <w:iCs/>
              </w:rPr>
              <w:t>Altre riserve</w:t>
            </w:r>
            <w:r w:rsidRPr="00A74618">
              <w:t>”.</w:t>
            </w:r>
          </w:p>
        </w:tc>
        <w:tc>
          <w:tcPr>
            <w:tcW w:w="586" w:type="dxa"/>
            <w:tcMar>
              <w:left w:w="85" w:type="dxa"/>
              <w:right w:w="85" w:type="dxa"/>
            </w:tcMar>
            <w:vAlign w:val="center"/>
          </w:tcPr>
          <w:p w:rsidR="00573EC9" w:rsidRPr="00A74618" w:rsidRDefault="00573EC9" w:rsidP="00D73E98">
            <w:pPr>
              <w:jc w:val="center"/>
              <w:rPr>
                <w:lang w:val="it-IT"/>
              </w:rPr>
            </w:pPr>
          </w:p>
        </w:tc>
        <w:tc>
          <w:tcPr>
            <w:tcW w:w="573" w:type="dxa"/>
            <w:tcMar>
              <w:left w:w="108" w:type="dxa"/>
            </w:tcMar>
            <w:vAlign w:val="center"/>
          </w:tcPr>
          <w:p w:rsidR="00573EC9" w:rsidRPr="00A74618" w:rsidRDefault="00573EC9" w:rsidP="00D73E98">
            <w:pPr>
              <w:jc w:val="center"/>
              <w:rPr>
                <w:lang w:val="it-IT"/>
              </w:rPr>
            </w:pPr>
          </w:p>
        </w:tc>
        <w:tc>
          <w:tcPr>
            <w:tcW w:w="570" w:type="dxa"/>
            <w:tcMar>
              <w:left w:w="108" w:type="dxa"/>
            </w:tcMar>
            <w:vAlign w:val="center"/>
          </w:tcPr>
          <w:p w:rsidR="00573EC9" w:rsidRPr="00A74618" w:rsidRDefault="00573EC9" w:rsidP="00D73E98">
            <w:pPr>
              <w:jc w:val="center"/>
              <w:rPr>
                <w:lang w:val="it-IT"/>
              </w:rPr>
            </w:pP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8A0F36" w:rsidRDefault="00573EC9" w:rsidP="00D73E98">
            <w:pPr>
              <w:pStyle w:val="PrincCont"/>
              <w:pageBreakBefore/>
              <w:jc w:val="left"/>
              <w:rPr>
                <w:lang w:val="it-IT"/>
              </w:rPr>
            </w:pPr>
          </w:p>
        </w:tc>
        <w:tc>
          <w:tcPr>
            <w:tcW w:w="7060" w:type="dxa"/>
            <w:tcMar>
              <w:left w:w="108" w:type="dxa"/>
            </w:tcMar>
          </w:tcPr>
          <w:p w:rsidR="00573EC9" w:rsidRPr="008C70AB" w:rsidRDefault="00573EC9" w:rsidP="00D73E98">
            <w:pPr>
              <w:pStyle w:val="Titolo2"/>
              <w:keepNext w:val="0"/>
              <w:pageBreakBefore/>
              <w:rPr>
                <w:lang w:val="it-IT"/>
              </w:rPr>
            </w:pPr>
            <w:r>
              <w:rPr>
                <w:lang w:val="it-IT"/>
              </w:rPr>
              <w:t>Rilevazione iniziale e movimentazioni successive in occasione di operazioni tra società e soci operanti in qualità di soci</w:t>
            </w:r>
          </w:p>
        </w:tc>
        <w:tc>
          <w:tcPr>
            <w:tcW w:w="586" w:type="dxa"/>
            <w:tcMar>
              <w:left w:w="85" w:type="dxa"/>
              <w:right w:w="85" w:type="dxa"/>
            </w:tcMar>
            <w:vAlign w:val="center"/>
          </w:tcPr>
          <w:p w:rsidR="00573EC9" w:rsidRPr="008C70AB" w:rsidRDefault="00573EC9" w:rsidP="00D73E98">
            <w:pPr>
              <w:pageBreakBefore/>
              <w:jc w:val="center"/>
              <w:rPr>
                <w:lang w:val="it-IT"/>
              </w:rPr>
            </w:pPr>
          </w:p>
        </w:tc>
        <w:tc>
          <w:tcPr>
            <w:tcW w:w="573" w:type="dxa"/>
            <w:tcMar>
              <w:left w:w="108" w:type="dxa"/>
            </w:tcMar>
            <w:vAlign w:val="center"/>
          </w:tcPr>
          <w:p w:rsidR="00573EC9" w:rsidRPr="008C70AB" w:rsidRDefault="00573EC9" w:rsidP="00D73E98">
            <w:pPr>
              <w:pageBreakBefore/>
              <w:jc w:val="center"/>
              <w:rPr>
                <w:lang w:val="it-IT"/>
              </w:rPr>
            </w:pPr>
          </w:p>
        </w:tc>
        <w:tc>
          <w:tcPr>
            <w:tcW w:w="570" w:type="dxa"/>
            <w:tcMar>
              <w:left w:w="108" w:type="dxa"/>
            </w:tcMar>
            <w:vAlign w:val="center"/>
          </w:tcPr>
          <w:p w:rsidR="00573EC9" w:rsidRPr="008C70AB" w:rsidRDefault="00573EC9" w:rsidP="00D73E98">
            <w:pPr>
              <w:pageBreakBefore/>
              <w:jc w:val="center"/>
              <w:rPr>
                <w:lang w:val="it-IT"/>
              </w:rPr>
            </w:pPr>
          </w:p>
        </w:tc>
      </w:tr>
      <w:tr w:rsidR="00573EC9" w:rsidRPr="00FB7D09"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p>
        </w:tc>
        <w:tc>
          <w:tcPr>
            <w:tcW w:w="7060" w:type="dxa"/>
            <w:tcMar>
              <w:left w:w="108" w:type="dxa"/>
            </w:tcMar>
          </w:tcPr>
          <w:p w:rsidR="00573EC9" w:rsidRDefault="00573EC9" w:rsidP="00D73E98">
            <w:pPr>
              <w:pStyle w:val="Titolo3"/>
              <w:rPr>
                <w:lang w:val="it-IT"/>
              </w:rPr>
            </w:pPr>
            <w:r w:rsidRPr="00D01930">
              <w:rPr>
                <w:lang w:val="it-IT"/>
              </w:rPr>
              <w:t>Criteri generali</w:t>
            </w:r>
          </w:p>
        </w:tc>
        <w:tc>
          <w:tcPr>
            <w:tcW w:w="586" w:type="dxa"/>
            <w:tcMar>
              <w:left w:w="85" w:type="dxa"/>
              <w:right w:w="85" w:type="dxa"/>
            </w:tcMar>
            <w:vAlign w:val="center"/>
          </w:tcPr>
          <w:p w:rsidR="00573EC9" w:rsidRPr="00FF19F7" w:rsidRDefault="00573EC9" w:rsidP="00D73E98">
            <w:pPr>
              <w:jc w:val="center"/>
              <w:rPr>
                <w:lang w:val="it-IT"/>
              </w:rPr>
            </w:pPr>
          </w:p>
        </w:tc>
        <w:tc>
          <w:tcPr>
            <w:tcW w:w="573" w:type="dxa"/>
            <w:tcMar>
              <w:left w:w="108" w:type="dxa"/>
            </w:tcMar>
            <w:vAlign w:val="center"/>
          </w:tcPr>
          <w:p w:rsidR="00573EC9" w:rsidRPr="00FF19F7" w:rsidRDefault="00573EC9" w:rsidP="00D73E98">
            <w:pPr>
              <w:jc w:val="center"/>
              <w:rPr>
                <w:lang w:val="it-IT"/>
              </w:rPr>
            </w:pPr>
          </w:p>
        </w:tc>
        <w:tc>
          <w:tcPr>
            <w:tcW w:w="570" w:type="dxa"/>
            <w:tcMar>
              <w:left w:w="108" w:type="dxa"/>
            </w:tcMar>
            <w:vAlign w:val="center"/>
          </w:tcPr>
          <w:p w:rsidR="00573EC9" w:rsidRPr="00FF19F7" w:rsidRDefault="00573EC9" w:rsidP="00D73E98">
            <w:pPr>
              <w:jc w:val="center"/>
              <w:rPr>
                <w:lang w:val="it-IT"/>
              </w:rPr>
            </w:pP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r>
              <w:t>OIC 28.21</w:t>
            </w:r>
          </w:p>
        </w:tc>
        <w:tc>
          <w:tcPr>
            <w:tcW w:w="7060" w:type="dxa"/>
            <w:tcMar>
              <w:left w:w="108" w:type="dxa"/>
            </w:tcMar>
          </w:tcPr>
          <w:p w:rsidR="00573EC9" w:rsidRPr="00F10231" w:rsidRDefault="00573EC9" w:rsidP="00D73E98">
            <w:pPr>
              <w:pStyle w:val="Commentiriquadro"/>
            </w:pPr>
            <w:r w:rsidRPr="00F10231">
              <w:t xml:space="preserve">Le operazioni trattate nell’OIC 28 sono solo quelle effettuate tra la società e i soggetti che esercitano i loro diritti e doveri in qualità di soci. Pertanto, sono escluse tutte le altre operazioni in cui i medesimi soggetti intervengono con qualificazioni diverse (ad esempio come clienti, fornitori o finanziatori). </w:t>
            </w:r>
          </w:p>
        </w:tc>
        <w:tc>
          <w:tcPr>
            <w:tcW w:w="586" w:type="dxa"/>
            <w:tcMar>
              <w:left w:w="85" w:type="dxa"/>
              <w:right w:w="85" w:type="dxa"/>
            </w:tcMar>
            <w:vAlign w:val="center"/>
          </w:tcPr>
          <w:p w:rsidR="00573EC9" w:rsidRPr="00FF19F7" w:rsidRDefault="00573EC9" w:rsidP="00D73E98">
            <w:pPr>
              <w:jc w:val="center"/>
              <w:rPr>
                <w:lang w:val="it-IT"/>
              </w:rPr>
            </w:pPr>
          </w:p>
        </w:tc>
        <w:tc>
          <w:tcPr>
            <w:tcW w:w="573" w:type="dxa"/>
            <w:tcMar>
              <w:left w:w="108" w:type="dxa"/>
            </w:tcMar>
            <w:vAlign w:val="center"/>
          </w:tcPr>
          <w:p w:rsidR="00573EC9" w:rsidRPr="00FF19F7" w:rsidRDefault="00573EC9" w:rsidP="00D73E98">
            <w:pPr>
              <w:jc w:val="center"/>
              <w:rPr>
                <w:lang w:val="it-IT"/>
              </w:rPr>
            </w:pPr>
          </w:p>
        </w:tc>
        <w:tc>
          <w:tcPr>
            <w:tcW w:w="570" w:type="dxa"/>
            <w:tcMar>
              <w:left w:w="108" w:type="dxa"/>
            </w:tcMar>
            <w:vAlign w:val="center"/>
          </w:tcPr>
          <w:p w:rsidR="00573EC9" w:rsidRPr="00FF19F7" w:rsidRDefault="00573EC9" w:rsidP="00D73E98">
            <w:pPr>
              <w:jc w:val="center"/>
              <w:rPr>
                <w:lang w:val="it-IT"/>
              </w:rPr>
            </w:pP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r>
              <w:t>OIC 28.21</w:t>
            </w:r>
          </w:p>
        </w:tc>
        <w:tc>
          <w:tcPr>
            <w:tcW w:w="7060" w:type="dxa"/>
            <w:tcMar>
              <w:left w:w="108" w:type="dxa"/>
            </w:tcMar>
          </w:tcPr>
          <w:p w:rsidR="00573EC9" w:rsidRPr="00F10231" w:rsidRDefault="00573EC9" w:rsidP="00D73E98">
            <w:pPr>
              <w:pStyle w:val="Commentiriquadro"/>
            </w:pPr>
            <w:r w:rsidRPr="00F10231">
              <w:t>Le operazioni trattate nell’OIC 28 hanno natura patrimoniale e quindi i loro effetti sono rilevati direttamente a patrimonio netto.</w:t>
            </w:r>
          </w:p>
        </w:tc>
        <w:tc>
          <w:tcPr>
            <w:tcW w:w="586" w:type="dxa"/>
            <w:tcMar>
              <w:left w:w="85" w:type="dxa"/>
              <w:right w:w="85" w:type="dxa"/>
            </w:tcMar>
            <w:vAlign w:val="center"/>
          </w:tcPr>
          <w:p w:rsidR="00573EC9" w:rsidRPr="00FF19F7" w:rsidRDefault="00573EC9" w:rsidP="00D73E98">
            <w:pPr>
              <w:jc w:val="center"/>
              <w:rPr>
                <w:lang w:val="it-IT"/>
              </w:rPr>
            </w:pPr>
          </w:p>
        </w:tc>
        <w:tc>
          <w:tcPr>
            <w:tcW w:w="573" w:type="dxa"/>
            <w:tcMar>
              <w:left w:w="108" w:type="dxa"/>
            </w:tcMar>
            <w:vAlign w:val="center"/>
          </w:tcPr>
          <w:p w:rsidR="00573EC9" w:rsidRPr="00FF19F7" w:rsidRDefault="00573EC9" w:rsidP="00D73E98">
            <w:pPr>
              <w:jc w:val="center"/>
              <w:rPr>
                <w:lang w:val="it-IT"/>
              </w:rPr>
            </w:pPr>
          </w:p>
        </w:tc>
        <w:tc>
          <w:tcPr>
            <w:tcW w:w="570" w:type="dxa"/>
            <w:tcMar>
              <w:left w:w="108" w:type="dxa"/>
            </w:tcMar>
            <w:vAlign w:val="center"/>
          </w:tcPr>
          <w:p w:rsidR="00573EC9" w:rsidRPr="00FF19F7" w:rsidRDefault="00573EC9" w:rsidP="00D73E98">
            <w:pPr>
              <w:jc w:val="center"/>
              <w:rPr>
                <w:lang w:val="it-IT"/>
              </w:rPr>
            </w:pP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pPr>
            <w:r>
              <w:t>OIC 28.22</w:t>
            </w:r>
          </w:p>
        </w:tc>
        <w:tc>
          <w:tcPr>
            <w:tcW w:w="7060" w:type="dxa"/>
            <w:tcMar>
              <w:left w:w="108" w:type="dxa"/>
            </w:tcMar>
          </w:tcPr>
          <w:p w:rsidR="00573EC9" w:rsidRPr="00F10231" w:rsidRDefault="00573EC9" w:rsidP="00D73E98">
            <w:pPr>
              <w:pStyle w:val="Commentiriquadro"/>
            </w:pPr>
            <w:r w:rsidRPr="00F10231">
              <w:t>I finanziamenti ricevuti da soci che prevedono un obbligo di restituzione delle somme ricevute sono trattati nell’OIC 19 “Debiti”, mentre i versamenti effettuati dai soci che non prevedono un obbligo di restituzione delle somme ricevute sono trattati nell’OIC 28.</w:t>
            </w:r>
          </w:p>
        </w:tc>
        <w:tc>
          <w:tcPr>
            <w:tcW w:w="586" w:type="dxa"/>
            <w:tcMar>
              <w:left w:w="85" w:type="dxa"/>
              <w:right w:w="85" w:type="dxa"/>
            </w:tcMar>
            <w:vAlign w:val="center"/>
          </w:tcPr>
          <w:p w:rsidR="00573EC9" w:rsidRPr="00FF19F7" w:rsidRDefault="00573EC9" w:rsidP="00D73E98">
            <w:pPr>
              <w:jc w:val="center"/>
              <w:rPr>
                <w:lang w:val="it-IT"/>
              </w:rPr>
            </w:pPr>
          </w:p>
        </w:tc>
        <w:tc>
          <w:tcPr>
            <w:tcW w:w="573" w:type="dxa"/>
            <w:tcMar>
              <w:left w:w="108" w:type="dxa"/>
            </w:tcMar>
            <w:vAlign w:val="center"/>
          </w:tcPr>
          <w:p w:rsidR="00573EC9" w:rsidRPr="00FF19F7" w:rsidRDefault="00573EC9" w:rsidP="00D73E98">
            <w:pPr>
              <w:jc w:val="center"/>
              <w:rPr>
                <w:lang w:val="it-IT"/>
              </w:rPr>
            </w:pPr>
          </w:p>
        </w:tc>
        <w:tc>
          <w:tcPr>
            <w:tcW w:w="570" w:type="dxa"/>
            <w:tcMar>
              <w:left w:w="108" w:type="dxa"/>
            </w:tcMar>
            <w:vAlign w:val="center"/>
          </w:tcPr>
          <w:p w:rsidR="00573EC9" w:rsidRPr="00FF19F7" w:rsidRDefault="00573EC9" w:rsidP="00D73E98">
            <w:pPr>
              <w:jc w:val="center"/>
              <w:rPr>
                <w:lang w:val="it-IT"/>
              </w:rPr>
            </w:pP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r>
              <w:t>OIC 28.23</w:t>
            </w:r>
          </w:p>
        </w:tc>
        <w:tc>
          <w:tcPr>
            <w:tcW w:w="7060" w:type="dxa"/>
            <w:tcMar>
              <w:left w:w="108" w:type="dxa"/>
            </w:tcMar>
          </w:tcPr>
          <w:p w:rsidR="00573EC9" w:rsidRPr="00F10231" w:rsidRDefault="00573EC9" w:rsidP="00D73E98">
            <w:pPr>
              <w:pStyle w:val="Commentiriquadro"/>
            </w:pPr>
            <w:r w:rsidRPr="00F10231">
              <w:t>Le operazioni tra società e soci (operanti in qualità di soci) possono far sorgere dei crediti o dei debiti verso soci. La società iscrive un credito verso soci quando i soci assumono un’obbligazione nei confronti della società (ad esempio, quando il socio sottoscrive un aumento di capitale sociale). La società iscrive un debito verso soci quando assume un’obbligazione nei confronti dei soci (ad esempio, quando l’assemblea dei soci delibera la riduzione del capitale sociale per recesso di un socio).</w:t>
            </w:r>
          </w:p>
        </w:tc>
        <w:tc>
          <w:tcPr>
            <w:tcW w:w="586" w:type="dxa"/>
            <w:tcMar>
              <w:left w:w="85" w:type="dxa"/>
              <w:right w:w="85" w:type="dxa"/>
            </w:tcMar>
            <w:vAlign w:val="center"/>
          </w:tcPr>
          <w:p w:rsidR="00573EC9" w:rsidRPr="00FF19F7" w:rsidRDefault="00573EC9" w:rsidP="00D73E98">
            <w:pPr>
              <w:jc w:val="center"/>
              <w:rPr>
                <w:lang w:val="it-IT"/>
              </w:rPr>
            </w:pPr>
          </w:p>
        </w:tc>
        <w:tc>
          <w:tcPr>
            <w:tcW w:w="573" w:type="dxa"/>
            <w:tcMar>
              <w:left w:w="108" w:type="dxa"/>
            </w:tcMar>
            <w:vAlign w:val="center"/>
          </w:tcPr>
          <w:p w:rsidR="00573EC9" w:rsidRPr="00FF19F7" w:rsidRDefault="00573EC9" w:rsidP="00D73E98">
            <w:pPr>
              <w:jc w:val="center"/>
              <w:rPr>
                <w:lang w:val="it-IT"/>
              </w:rPr>
            </w:pPr>
          </w:p>
        </w:tc>
        <w:tc>
          <w:tcPr>
            <w:tcW w:w="570" w:type="dxa"/>
            <w:tcMar>
              <w:left w:w="108" w:type="dxa"/>
            </w:tcMar>
            <w:vAlign w:val="center"/>
          </w:tcPr>
          <w:p w:rsidR="00573EC9" w:rsidRPr="00FF19F7" w:rsidRDefault="00573EC9" w:rsidP="00D73E98">
            <w:pPr>
              <w:jc w:val="center"/>
              <w:rPr>
                <w:lang w:val="it-IT"/>
              </w:rPr>
            </w:pP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p>
        </w:tc>
        <w:tc>
          <w:tcPr>
            <w:tcW w:w="7060" w:type="dxa"/>
            <w:tcMar>
              <w:left w:w="108" w:type="dxa"/>
            </w:tcMar>
          </w:tcPr>
          <w:p w:rsidR="00573EC9" w:rsidRPr="00D01930" w:rsidRDefault="00573EC9" w:rsidP="00D73E98">
            <w:pPr>
              <w:pStyle w:val="Titolo3"/>
              <w:rPr>
                <w:lang w:val="it-IT"/>
              </w:rPr>
            </w:pPr>
            <w:r w:rsidRPr="00D01930">
              <w:rPr>
                <w:lang w:val="it-IT"/>
              </w:rPr>
              <w:t>Aumento di capitale sociale attraverso conferimenti in denaro</w:t>
            </w:r>
          </w:p>
        </w:tc>
        <w:tc>
          <w:tcPr>
            <w:tcW w:w="586" w:type="dxa"/>
            <w:tcMar>
              <w:left w:w="85" w:type="dxa"/>
              <w:right w:w="85" w:type="dxa"/>
            </w:tcMar>
            <w:vAlign w:val="center"/>
          </w:tcPr>
          <w:p w:rsidR="00573EC9" w:rsidRPr="00FF19F7" w:rsidRDefault="00573EC9" w:rsidP="00D73E98">
            <w:pPr>
              <w:jc w:val="center"/>
              <w:rPr>
                <w:lang w:val="it-IT"/>
              </w:rPr>
            </w:pPr>
          </w:p>
        </w:tc>
        <w:tc>
          <w:tcPr>
            <w:tcW w:w="573" w:type="dxa"/>
            <w:tcMar>
              <w:left w:w="108" w:type="dxa"/>
            </w:tcMar>
            <w:vAlign w:val="center"/>
          </w:tcPr>
          <w:p w:rsidR="00573EC9" w:rsidRPr="00FF19F7" w:rsidRDefault="00573EC9" w:rsidP="00D73E98">
            <w:pPr>
              <w:jc w:val="center"/>
              <w:rPr>
                <w:lang w:val="it-IT"/>
              </w:rPr>
            </w:pPr>
          </w:p>
        </w:tc>
        <w:tc>
          <w:tcPr>
            <w:tcW w:w="570" w:type="dxa"/>
            <w:tcMar>
              <w:left w:w="108" w:type="dxa"/>
            </w:tcMar>
            <w:vAlign w:val="center"/>
          </w:tcPr>
          <w:p w:rsidR="00573EC9" w:rsidRPr="00FF19F7"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17</w:t>
            </w:r>
            <w:r w:rsidRPr="008216D3">
              <w:rPr>
                <w:b/>
                <w:lang w:val="it-IT"/>
              </w:rPr>
              <w:t>)</w:t>
            </w:r>
          </w:p>
        </w:tc>
        <w:tc>
          <w:tcPr>
            <w:tcW w:w="850" w:type="dxa"/>
            <w:tcMar>
              <w:left w:w="108" w:type="dxa"/>
              <w:right w:w="0" w:type="dxa"/>
            </w:tcMar>
          </w:tcPr>
          <w:p w:rsidR="00573EC9" w:rsidRDefault="00573EC9" w:rsidP="00D73E98">
            <w:pPr>
              <w:pStyle w:val="PrincCont"/>
              <w:jc w:val="left"/>
              <w:rPr>
                <w:lang w:val="it-IT"/>
              </w:rPr>
            </w:pPr>
            <w:r>
              <w:t>OIC 28.25</w:t>
            </w:r>
          </w:p>
        </w:tc>
        <w:tc>
          <w:tcPr>
            <w:tcW w:w="7060" w:type="dxa"/>
            <w:tcMar>
              <w:left w:w="108" w:type="dxa"/>
            </w:tcMar>
          </w:tcPr>
          <w:p w:rsidR="00573EC9" w:rsidRPr="0050194D" w:rsidRDefault="00573EC9" w:rsidP="00D73E98">
            <w:pPr>
              <w:spacing w:line="230" w:lineRule="exact"/>
              <w:rPr>
                <w:lang w:val="it-IT"/>
              </w:rPr>
            </w:pPr>
            <w:r w:rsidRPr="0050194D">
              <w:rPr>
                <w:lang w:val="it-IT"/>
              </w:rPr>
              <w:t>La società ha rilevato il credito verso i soci all’atto della sottoscrizione dell’aumento di capitale sociale, momento in cui sorge il diritto della società a ricevere le somme dai sottoscrittori delle azioni di nuova emissione?</w:t>
            </w:r>
          </w:p>
        </w:tc>
        <w:tc>
          <w:tcPr>
            <w:tcW w:w="586" w:type="dxa"/>
            <w:tcMar>
              <w:left w:w="85" w:type="dxa"/>
              <w:right w:w="85" w:type="dxa"/>
            </w:tcMar>
            <w:vAlign w:val="center"/>
          </w:tcPr>
          <w:p w:rsidR="00573EC9" w:rsidRPr="00FF19F7"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FF19F7"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FF19F7"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8904BD" w:rsidRDefault="00573EC9" w:rsidP="00D73E98">
            <w:pPr>
              <w:pStyle w:val="PrincCont"/>
              <w:jc w:val="left"/>
            </w:pPr>
            <w:r w:rsidRPr="008904BD">
              <w:t>Art. 2439 CC</w:t>
            </w:r>
            <w:r>
              <w:t xml:space="preserve">   </w:t>
            </w:r>
            <w:r w:rsidRPr="008904BD">
              <w:t>Art. 2481-</w:t>
            </w:r>
            <w:r w:rsidRPr="00391E7E">
              <w:t>bis</w:t>
            </w:r>
            <w:r w:rsidRPr="008904BD">
              <w:rPr>
                <w:i/>
              </w:rPr>
              <w:t xml:space="preserve"> </w:t>
            </w:r>
            <w:r w:rsidRPr="008904BD">
              <w:t>CC</w:t>
            </w:r>
            <w:r>
              <w:t xml:space="preserve">             </w:t>
            </w:r>
            <w:r w:rsidRPr="008904BD">
              <w:t>OIC 28.26</w:t>
            </w:r>
          </w:p>
        </w:tc>
        <w:tc>
          <w:tcPr>
            <w:tcW w:w="7060" w:type="dxa"/>
            <w:tcMar>
              <w:left w:w="108" w:type="dxa"/>
            </w:tcMar>
            <w:vAlign w:val="center"/>
          </w:tcPr>
          <w:p w:rsidR="00573EC9" w:rsidRPr="0050194D" w:rsidRDefault="00573EC9" w:rsidP="00D73E98">
            <w:pPr>
              <w:pStyle w:val="Commentiriquadro"/>
              <w:jc w:val="left"/>
            </w:pPr>
            <w:r w:rsidRPr="0050194D">
              <w:t>Ai sensi degli articoli 2439 e 2481-</w:t>
            </w:r>
            <w:r w:rsidRPr="0050194D">
              <w:rPr>
                <w:i/>
                <w:iCs/>
              </w:rPr>
              <w:t xml:space="preserve">bis </w:t>
            </w:r>
            <w:r w:rsidRPr="0050194D">
              <w:t>del codice civile</w:t>
            </w:r>
            <w:r>
              <w:t xml:space="preserve"> </w:t>
            </w:r>
            <w:r w:rsidRPr="0050194D">
              <w:t>i sottoscrittori sono obbligati a versare almeno il 25% del valore nominale delle azioni sottoscritte e, se previsto, l’</w:t>
            </w:r>
            <w:r>
              <w:t>intero soprapprezzo.</w:t>
            </w:r>
          </w:p>
        </w:tc>
        <w:tc>
          <w:tcPr>
            <w:tcW w:w="586" w:type="dxa"/>
            <w:tcMar>
              <w:left w:w="85" w:type="dxa"/>
              <w:right w:w="85" w:type="dxa"/>
            </w:tcMar>
            <w:vAlign w:val="center"/>
          </w:tcPr>
          <w:p w:rsidR="00573EC9" w:rsidRPr="00FF19F7" w:rsidRDefault="00573EC9" w:rsidP="00D73E98">
            <w:pPr>
              <w:jc w:val="center"/>
              <w:rPr>
                <w:lang w:val="it-IT"/>
              </w:rPr>
            </w:pPr>
          </w:p>
        </w:tc>
        <w:tc>
          <w:tcPr>
            <w:tcW w:w="573" w:type="dxa"/>
            <w:tcMar>
              <w:left w:w="108" w:type="dxa"/>
            </w:tcMar>
            <w:vAlign w:val="center"/>
          </w:tcPr>
          <w:p w:rsidR="00573EC9" w:rsidRPr="00FF19F7" w:rsidRDefault="00573EC9" w:rsidP="00D73E98">
            <w:pPr>
              <w:jc w:val="center"/>
              <w:rPr>
                <w:lang w:val="it-IT"/>
              </w:rPr>
            </w:pPr>
          </w:p>
        </w:tc>
        <w:tc>
          <w:tcPr>
            <w:tcW w:w="570" w:type="dxa"/>
            <w:tcMar>
              <w:left w:w="108" w:type="dxa"/>
            </w:tcMar>
            <w:vAlign w:val="center"/>
          </w:tcPr>
          <w:p w:rsidR="00573EC9" w:rsidRPr="00FF19F7" w:rsidRDefault="00573EC9" w:rsidP="00D73E98">
            <w:pPr>
              <w:jc w:val="center"/>
              <w:rPr>
                <w:lang w:val="it-IT"/>
              </w:rPr>
            </w:pPr>
          </w:p>
        </w:tc>
      </w:tr>
      <w:tr w:rsidR="00573EC9" w:rsidRPr="00CC242B" w:rsidTr="009869E8">
        <w:trPr>
          <w:cantSplit/>
          <w:trHeight w:val="20"/>
        </w:trPr>
        <w:tc>
          <w:tcPr>
            <w:tcW w:w="681" w:type="dxa"/>
          </w:tcPr>
          <w:p w:rsidR="00573EC9" w:rsidRPr="008216D3" w:rsidRDefault="00573EC9" w:rsidP="00D73E98">
            <w:pPr>
              <w:jc w:val="center"/>
              <w:rPr>
                <w:b/>
                <w:lang w:val="it-IT"/>
              </w:rPr>
            </w:pPr>
            <w:r>
              <w:rPr>
                <w:b/>
                <w:lang w:val="it-IT"/>
              </w:rPr>
              <w:t>18</w:t>
            </w:r>
            <w:r w:rsidRPr="008216D3">
              <w:rPr>
                <w:b/>
                <w:lang w:val="it-IT"/>
              </w:rPr>
              <w:t>)</w:t>
            </w:r>
          </w:p>
        </w:tc>
        <w:tc>
          <w:tcPr>
            <w:tcW w:w="850" w:type="dxa"/>
            <w:tcMar>
              <w:left w:w="108" w:type="dxa"/>
              <w:right w:w="0" w:type="dxa"/>
            </w:tcMar>
          </w:tcPr>
          <w:p w:rsidR="00573EC9" w:rsidRDefault="00573EC9" w:rsidP="00D73E98">
            <w:pPr>
              <w:pStyle w:val="PrincCont"/>
              <w:jc w:val="left"/>
              <w:rPr>
                <w:lang w:val="it-IT"/>
              </w:rPr>
            </w:pPr>
            <w:r>
              <w:t>OIC 28.26</w:t>
            </w:r>
          </w:p>
        </w:tc>
        <w:tc>
          <w:tcPr>
            <w:tcW w:w="7060" w:type="dxa"/>
            <w:tcMar>
              <w:left w:w="108" w:type="dxa"/>
            </w:tcMar>
          </w:tcPr>
          <w:p w:rsidR="00573EC9" w:rsidRPr="0050194D" w:rsidRDefault="00573EC9" w:rsidP="00D73E98">
            <w:pPr>
              <w:spacing w:line="230" w:lineRule="exact"/>
              <w:rPr>
                <w:lang w:val="it-IT"/>
              </w:rPr>
            </w:pPr>
            <w:r w:rsidRPr="0050194D">
              <w:rPr>
                <w:lang w:val="it-IT"/>
              </w:rPr>
              <w:t xml:space="preserve">La società nell’attivo dello stato patrimoniale </w:t>
            </w:r>
            <w:r>
              <w:rPr>
                <w:lang w:val="it-IT"/>
              </w:rPr>
              <w:t>ha alimentato:</w:t>
            </w:r>
          </w:p>
        </w:tc>
        <w:tc>
          <w:tcPr>
            <w:tcW w:w="586" w:type="dxa"/>
            <w:tcMar>
              <w:left w:w="85" w:type="dxa"/>
              <w:right w:w="85" w:type="dxa"/>
            </w:tcMar>
            <w:vAlign w:val="center"/>
          </w:tcPr>
          <w:p w:rsidR="00573EC9" w:rsidRPr="00FF19F7" w:rsidRDefault="00573EC9" w:rsidP="00D73E98">
            <w:pPr>
              <w:jc w:val="center"/>
              <w:rPr>
                <w:lang w:val="it-IT"/>
              </w:rPr>
            </w:pPr>
          </w:p>
        </w:tc>
        <w:tc>
          <w:tcPr>
            <w:tcW w:w="573" w:type="dxa"/>
            <w:tcMar>
              <w:left w:w="108" w:type="dxa"/>
            </w:tcMar>
            <w:vAlign w:val="center"/>
          </w:tcPr>
          <w:p w:rsidR="00573EC9" w:rsidRPr="00FF19F7" w:rsidRDefault="00573EC9" w:rsidP="00D73E98">
            <w:pPr>
              <w:jc w:val="center"/>
              <w:rPr>
                <w:lang w:val="it-IT"/>
              </w:rPr>
            </w:pPr>
          </w:p>
        </w:tc>
        <w:tc>
          <w:tcPr>
            <w:tcW w:w="570" w:type="dxa"/>
            <w:tcMar>
              <w:left w:w="108" w:type="dxa"/>
            </w:tcMar>
            <w:vAlign w:val="center"/>
          </w:tcPr>
          <w:p w:rsidR="00573EC9" w:rsidRPr="00FF19F7"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p>
        </w:tc>
        <w:tc>
          <w:tcPr>
            <w:tcW w:w="7060" w:type="dxa"/>
            <w:tcMar>
              <w:left w:w="108" w:type="dxa"/>
            </w:tcMar>
          </w:tcPr>
          <w:p w:rsidR="00573EC9" w:rsidRPr="0050194D" w:rsidRDefault="00573EC9" w:rsidP="00032976">
            <w:pPr>
              <w:pStyle w:val="rientrotrattinook"/>
              <w:tabs>
                <w:tab w:val="clear" w:pos="704"/>
              </w:tabs>
              <w:ind w:left="460" w:hanging="284"/>
            </w:pPr>
            <w:r w:rsidRPr="0050194D">
              <w:t xml:space="preserve">la voce C IV </w:t>
            </w:r>
            <w:r w:rsidRPr="0050194D">
              <w:rPr>
                <w:iCs/>
              </w:rPr>
              <w:t xml:space="preserve">“Disponibilità liquide” </w:t>
            </w:r>
            <w:r w:rsidRPr="0050194D">
              <w:t>per gli importi incassati</w:t>
            </w:r>
            <w:r>
              <w:t>,</w:t>
            </w:r>
            <w:r w:rsidRPr="0050194D">
              <w:t xml:space="preserve"> e</w:t>
            </w:r>
          </w:p>
        </w:tc>
        <w:tc>
          <w:tcPr>
            <w:tcW w:w="586" w:type="dxa"/>
            <w:tcMar>
              <w:left w:w="85" w:type="dxa"/>
              <w:right w:w="85" w:type="dxa"/>
            </w:tcMar>
            <w:vAlign w:val="center"/>
          </w:tcPr>
          <w:p w:rsidR="00573EC9" w:rsidRPr="00FF19F7"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FF19F7"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FF19F7"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p>
        </w:tc>
        <w:tc>
          <w:tcPr>
            <w:tcW w:w="7060" w:type="dxa"/>
            <w:tcMar>
              <w:left w:w="108" w:type="dxa"/>
            </w:tcMar>
          </w:tcPr>
          <w:p w:rsidR="00573EC9" w:rsidRDefault="00573EC9" w:rsidP="00032976">
            <w:pPr>
              <w:pStyle w:val="rientrotrattinook"/>
              <w:tabs>
                <w:tab w:val="clear" w:pos="704"/>
              </w:tabs>
              <w:ind w:left="460" w:hanging="284"/>
            </w:pPr>
            <w:r w:rsidRPr="0050194D">
              <w:t>la voce A “Crediti verso soci per versamenti ancora dovuti” per gli importi ancora dovuti?</w:t>
            </w:r>
          </w:p>
        </w:tc>
        <w:tc>
          <w:tcPr>
            <w:tcW w:w="586" w:type="dxa"/>
            <w:tcMar>
              <w:left w:w="85" w:type="dxa"/>
              <w:right w:w="85" w:type="dxa"/>
            </w:tcMar>
            <w:vAlign w:val="center"/>
          </w:tcPr>
          <w:p w:rsidR="00573EC9" w:rsidRPr="00FF19F7"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FF19F7"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FF19F7"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CC242B" w:rsidTr="009869E8">
        <w:trPr>
          <w:cantSplit/>
          <w:trHeight w:val="20"/>
        </w:trPr>
        <w:tc>
          <w:tcPr>
            <w:tcW w:w="681" w:type="dxa"/>
          </w:tcPr>
          <w:p w:rsidR="00573EC9" w:rsidRPr="008216D3" w:rsidRDefault="00573EC9" w:rsidP="00D73E98">
            <w:pPr>
              <w:jc w:val="center"/>
              <w:rPr>
                <w:b/>
                <w:lang w:val="it-IT"/>
              </w:rPr>
            </w:pPr>
            <w:r>
              <w:rPr>
                <w:b/>
                <w:lang w:val="it-IT"/>
              </w:rPr>
              <w:t>19</w:t>
            </w:r>
            <w:r w:rsidRPr="008216D3">
              <w:rPr>
                <w:b/>
                <w:lang w:val="it-IT"/>
              </w:rPr>
              <w:t>)</w:t>
            </w:r>
          </w:p>
        </w:tc>
        <w:tc>
          <w:tcPr>
            <w:tcW w:w="850" w:type="dxa"/>
            <w:tcMar>
              <w:left w:w="108" w:type="dxa"/>
              <w:right w:w="0" w:type="dxa"/>
            </w:tcMar>
          </w:tcPr>
          <w:p w:rsidR="00573EC9" w:rsidRDefault="00573EC9" w:rsidP="00D73E98">
            <w:pPr>
              <w:pStyle w:val="PrincCont"/>
              <w:jc w:val="left"/>
              <w:rPr>
                <w:lang w:val="it-IT"/>
              </w:rPr>
            </w:pPr>
            <w:r>
              <w:t>OIC 28.26</w:t>
            </w:r>
          </w:p>
        </w:tc>
        <w:tc>
          <w:tcPr>
            <w:tcW w:w="7060" w:type="dxa"/>
            <w:tcMar>
              <w:left w:w="108" w:type="dxa"/>
            </w:tcMar>
          </w:tcPr>
          <w:p w:rsidR="00573EC9" w:rsidRPr="0050194D" w:rsidRDefault="00573EC9" w:rsidP="00D73E98">
            <w:pPr>
              <w:spacing w:line="230" w:lineRule="exact"/>
              <w:rPr>
                <w:lang w:val="it-IT"/>
              </w:rPr>
            </w:pPr>
            <w:r w:rsidRPr="0050194D">
              <w:rPr>
                <w:lang w:val="it-IT"/>
              </w:rPr>
              <w:t>Dal lato passivo, la società ha alimentato:</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50194D" w:rsidRDefault="00573EC9" w:rsidP="00D32BD7">
            <w:pPr>
              <w:pStyle w:val="Puntoelenco"/>
              <w:tabs>
                <w:tab w:val="clear" w:pos="704"/>
                <w:tab w:val="num" w:pos="460"/>
              </w:tabs>
              <w:spacing w:line="230" w:lineRule="exact"/>
              <w:ind w:left="460" w:hanging="284"/>
            </w:pPr>
            <w:r w:rsidRPr="0050194D">
              <w:t>la voce AII “</w:t>
            </w:r>
            <w:r w:rsidRPr="0050194D">
              <w:rPr>
                <w:i/>
                <w:iCs/>
              </w:rPr>
              <w:t>Riserva soprapprezzo azioni</w:t>
            </w:r>
            <w:r w:rsidRPr="0050194D">
              <w:t>” (se è previsto un sovrapprezzo) e un’altra voce di patrimonio netto, oppure</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50194D" w:rsidRDefault="00573EC9" w:rsidP="004E27C2">
            <w:pPr>
              <w:pStyle w:val="Paragrafoelenco"/>
              <w:numPr>
                <w:ilvl w:val="0"/>
                <w:numId w:val="40"/>
              </w:numPr>
              <w:tabs>
                <w:tab w:val="num" w:pos="460"/>
              </w:tabs>
              <w:overflowPunct/>
              <w:spacing w:line="230" w:lineRule="exact"/>
              <w:ind w:left="460" w:hanging="284"/>
              <w:jc w:val="left"/>
              <w:textAlignment w:val="auto"/>
              <w:rPr>
                <w:lang w:val="it-IT"/>
              </w:rPr>
            </w:pPr>
            <w:r w:rsidRPr="0050194D">
              <w:rPr>
                <w:lang w:val="it-IT"/>
              </w:rPr>
              <w:t>ha iscritto un debito (come previsto dall’OIC 28)?</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r>
              <w:rPr>
                <w:lang w:val="it-IT"/>
              </w:rPr>
              <w:t xml:space="preserve">Art. 2444, c.2, CC              OIC 28.27 </w:t>
            </w:r>
          </w:p>
        </w:tc>
        <w:tc>
          <w:tcPr>
            <w:tcW w:w="7060" w:type="dxa"/>
            <w:tcMar>
              <w:left w:w="108" w:type="dxa"/>
            </w:tcMar>
          </w:tcPr>
          <w:p w:rsidR="00573EC9" w:rsidRPr="008E728E" w:rsidRDefault="00573EC9" w:rsidP="00D73E98">
            <w:pPr>
              <w:pStyle w:val="Commentiriquadro"/>
            </w:pPr>
            <w:r w:rsidRPr="008E728E">
              <w:t xml:space="preserve">Il divieto </w:t>
            </w:r>
            <w:r w:rsidRPr="008E728E">
              <w:rPr>
                <w:i/>
                <w:iCs/>
              </w:rPr>
              <w:t xml:space="preserve">ex </w:t>
            </w:r>
            <w:r w:rsidRPr="008E728E">
              <w:t>articolo 2444, comma 2, del codice civile di menzionare negli atti della società l’aumento del capitale sociale, fino a quando l’attestazione dell’eseguito aumento non sia iscritta nel registro delle imprese fa nascere, sotto il profilo contabile, la necessità di utilizzare una voce di patrimonio netto diversa dalla voce AI “</w:t>
            </w:r>
            <w:r w:rsidRPr="008E728E">
              <w:rPr>
                <w:i/>
                <w:iCs/>
              </w:rPr>
              <w:t>Capitale</w:t>
            </w:r>
            <w:r w:rsidRPr="008E728E">
              <w:t xml:space="preserve">”, al fine di accogliere gli importi di capitale sottoscritti dai soci. </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32BD7">
            <w:pPr>
              <w:jc w:val="center"/>
              <w:rPr>
                <w:b/>
                <w:lang w:val="it-IT"/>
              </w:rPr>
            </w:pPr>
            <w:r w:rsidRPr="008216D3">
              <w:rPr>
                <w:b/>
                <w:lang w:val="it-IT"/>
              </w:rPr>
              <w:t>2</w:t>
            </w:r>
            <w:r>
              <w:rPr>
                <w:b/>
                <w:lang w:val="it-IT"/>
              </w:rPr>
              <w:t>0</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Pr>
                <w:lang w:val="it-IT"/>
              </w:rPr>
              <w:t>OIC 28.27</w:t>
            </w:r>
          </w:p>
        </w:tc>
        <w:tc>
          <w:tcPr>
            <w:tcW w:w="7060" w:type="dxa"/>
            <w:tcMar>
              <w:left w:w="108" w:type="dxa"/>
            </w:tcMar>
          </w:tcPr>
          <w:p w:rsidR="00573EC9" w:rsidRPr="008E728E" w:rsidRDefault="00573EC9" w:rsidP="00D73E98">
            <w:pPr>
              <w:spacing w:line="230" w:lineRule="exact"/>
              <w:rPr>
                <w:lang w:val="it-IT"/>
              </w:rPr>
            </w:pPr>
            <w:r w:rsidRPr="008E728E">
              <w:rPr>
                <w:lang w:val="it-IT"/>
              </w:rPr>
              <w:t>In ipotesi di aumento di capitale scindibile, gli importi sottoscritti sono stati rilevati in una voce di patrimonio netto diversa dalla voce AI “</w:t>
            </w:r>
            <w:r w:rsidRPr="008E728E">
              <w:rPr>
                <w:i/>
                <w:iCs/>
                <w:lang w:val="it-IT"/>
              </w:rPr>
              <w:t>Capitale</w:t>
            </w:r>
            <w:r w:rsidRPr="008E728E">
              <w:rPr>
                <w:lang w:val="it-IT"/>
              </w:rPr>
              <w:t>”?</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21</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Pr>
                <w:lang w:val="it-IT"/>
              </w:rPr>
              <w:t>OIC 28.27</w:t>
            </w:r>
          </w:p>
        </w:tc>
        <w:tc>
          <w:tcPr>
            <w:tcW w:w="7060" w:type="dxa"/>
            <w:tcMar>
              <w:left w:w="108" w:type="dxa"/>
            </w:tcMar>
          </w:tcPr>
          <w:p w:rsidR="00573EC9" w:rsidRPr="008E728E" w:rsidRDefault="00573EC9" w:rsidP="00D73E98">
            <w:pPr>
              <w:spacing w:line="230" w:lineRule="exact"/>
              <w:rPr>
                <w:lang w:val="it-IT"/>
              </w:rPr>
            </w:pPr>
            <w:r w:rsidRPr="008E728E">
              <w:rPr>
                <w:lang w:val="it-IT"/>
              </w:rPr>
              <w:t>All’atto dell’iscrizione nel registro delle imprese dell’attestazione di cui all’articolo 2444 codice civile, si è provveduto a girare tale voce alla voce AI “</w:t>
            </w:r>
            <w:r w:rsidRPr="008E728E">
              <w:rPr>
                <w:i/>
                <w:iCs/>
                <w:lang w:val="it-IT"/>
              </w:rPr>
              <w:t>Capitale</w:t>
            </w:r>
            <w:r w:rsidRPr="008E728E">
              <w:rPr>
                <w:lang w:val="it-IT"/>
              </w:rPr>
              <w:t>”?</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22</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Pr>
                <w:lang w:val="it-IT"/>
              </w:rPr>
              <w:t>OIC 28.28</w:t>
            </w:r>
          </w:p>
        </w:tc>
        <w:tc>
          <w:tcPr>
            <w:tcW w:w="7060" w:type="dxa"/>
            <w:tcMar>
              <w:left w:w="108" w:type="dxa"/>
            </w:tcMar>
          </w:tcPr>
          <w:p w:rsidR="00573EC9" w:rsidRPr="00B96BEB" w:rsidRDefault="00573EC9" w:rsidP="00D73E98">
            <w:pPr>
              <w:spacing w:line="230" w:lineRule="exact"/>
              <w:rPr>
                <w:lang w:val="it-IT"/>
              </w:rPr>
            </w:pPr>
            <w:r w:rsidRPr="00B96BEB">
              <w:rPr>
                <w:lang w:val="it-IT"/>
              </w:rPr>
              <w:t>In caso di aumento di capitale inscindibile gli importi sottoscritti durante il termine previsto per l’aumento di capitale sociale (comprensivi dell’eventuale sovrapprezzo) sono stati rilevati nella voce “</w:t>
            </w:r>
            <w:r w:rsidRPr="00B96BEB">
              <w:rPr>
                <w:i/>
                <w:iCs/>
                <w:lang w:val="it-IT"/>
              </w:rPr>
              <w:t>Altri debiti</w:t>
            </w:r>
            <w:r w:rsidRPr="00B96BEB">
              <w:rPr>
                <w:lang w:val="it-IT"/>
              </w:rPr>
              <w:t>”, in quanto, se l’importo complessivamente sottoscritto risultasse inferiore a quello deliberato dall’assemblea, i conferimenti dovranno essere restituiti ai sottoscrittori?</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23</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Pr>
                <w:lang w:val="it-IT"/>
              </w:rPr>
              <w:t>OIC 28.28</w:t>
            </w:r>
          </w:p>
        </w:tc>
        <w:tc>
          <w:tcPr>
            <w:tcW w:w="7060" w:type="dxa"/>
            <w:tcMar>
              <w:left w:w="108" w:type="dxa"/>
            </w:tcMar>
          </w:tcPr>
          <w:p w:rsidR="00573EC9" w:rsidRPr="00B96BEB" w:rsidRDefault="00573EC9" w:rsidP="00D73E98">
            <w:pPr>
              <w:spacing w:line="224" w:lineRule="exact"/>
              <w:rPr>
                <w:lang w:val="it-IT"/>
              </w:rPr>
            </w:pPr>
            <w:r w:rsidRPr="00B96BEB">
              <w:rPr>
                <w:lang w:val="it-IT"/>
              </w:rPr>
              <w:t>Successivamente all’integrale sottoscrizione dell'aumento di capitale sociale deliberato dall’assemblea, e all’iscrizione nel registro delle imprese dell’attestazione di cui all’articolo 2444 del codice civile, si è provveduto a girare tale voce alla voce AI “</w:t>
            </w:r>
            <w:r w:rsidRPr="00B96BEB">
              <w:rPr>
                <w:i/>
                <w:iCs/>
                <w:lang w:val="it-IT"/>
              </w:rPr>
              <w:t>Capitale</w:t>
            </w:r>
            <w:r w:rsidRPr="00B96BEB">
              <w:rPr>
                <w:lang w:val="it-IT"/>
              </w:rPr>
              <w:t>” ed eventualmente alla voce “</w:t>
            </w:r>
            <w:r w:rsidRPr="00B96BEB">
              <w:rPr>
                <w:i/>
                <w:iCs/>
                <w:lang w:val="it-IT"/>
              </w:rPr>
              <w:t>Riserva soprapprezzo azioni</w:t>
            </w:r>
            <w:r w:rsidRPr="00B96BEB">
              <w:rPr>
                <w:lang w:val="it-IT"/>
              </w:rPr>
              <w:t>”?</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810216" w:rsidRDefault="00573EC9" w:rsidP="00D73E98">
            <w:pPr>
              <w:pStyle w:val="Titolo3"/>
              <w:rPr>
                <w:rFonts w:ascii="Times New Roman" w:hAnsi="Times New Roman"/>
                <w:sz w:val="22"/>
                <w:szCs w:val="22"/>
                <w:lang w:val="it-IT" w:eastAsia="it-IT"/>
              </w:rPr>
            </w:pPr>
            <w:r w:rsidRPr="00D01930">
              <w:rPr>
                <w:lang w:val="it-IT"/>
              </w:rPr>
              <w:t>Aumento di capitale sociale a seguito della conversione di un prestito obbligazionario convertibile</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BE68B3" w:rsidRDefault="00573EC9" w:rsidP="00D73E98">
            <w:pPr>
              <w:pStyle w:val="PrincCont"/>
              <w:jc w:val="left"/>
              <w:rPr>
                <w:lang w:val="it-IT"/>
              </w:rPr>
            </w:pPr>
            <w:r>
              <w:rPr>
                <w:lang w:val="it-IT"/>
              </w:rPr>
              <w:t>Art. 2420-</w:t>
            </w:r>
            <w:r w:rsidRPr="00391E7E">
              <w:rPr>
                <w:lang w:val="it-IT"/>
              </w:rPr>
              <w:t>bis</w:t>
            </w:r>
            <w:r>
              <w:rPr>
                <w:i/>
                <w:lang w:val="it-IT"/>
              </w:rPr>
              <w:t xml:space="preserve"> </w:t>
            </w:r>
            <w:r w:rsidRPr="00BE68B3">
              <w:rPr>
                <w:lang w:val="it-IT"/>
              </w:rPr>
              <w:t>CC</w:t>
            </w:r>
            <w:r>
              <w:rPr>
                <w:lang w:val="it-IT"/>
              </w:rPr>
              <w:t xml:space="preserve">             OIC 28.29</w:t>
            </w:r>
          </w:p>
        </w:tc>
        <w:tc>
          <w:tcPr>
            <w:tcW w:w="7060" w:type="dxa"/>
            <w:tcMar>
              <w:left w:w="108" w:type="dxa"/>
            </w:tcMar>
          </w:tcPr>
          <w:p w:rsidR="00573EC9" w:rsidRPr="00BE68B3" w:rsidRDefault="00573EC9" w:rsidP="00D73E98">
            <w:pPr>
              <w:pStyle w:val="Commentiriquadro"/>
            </w:pPr>
            <w:r w:rsidRPr="00BE68B3">
              <w:t xml:space="preserve">Nell’ipotesi di emissione di un prestito obbligazionario convertibile, ai sensi dell’articolo 2420- </w:t>
            </w:r>
            <w:r w:rsidRPr="00BE68B3">
              <w:rPr>
                <w:i/>
                <w:iCs/>
              </w:rPr>
              <w:t xml:space="preserve">bis </w:t>
            </w:r>
            <w:r w:rsidRPr="00BE68B3">
              <w:t xml:space="preserve">del codice civile, l’aumento del capitale sociale si delibera contestualmente all’emissione. Al momento dell’esercizio del diritto di opzione per la conversione delle obbligazioni in azioni, gli amministratori danno parziale attuazione all’aumento di capitale sociale. </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24</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sidRPr="00790751">
              <w:rPr>
                <w:lang w:val="it-IT"/>
              </w:rPr>
              <w:t>OIC 28.29</w:t>
            </w:r>
          </w:p>
        </w:tc>
        <w:tc>
          <w:tcPr>
            <w:tcW w:w="7060" w:type="dxa"/>
            <w:tcMar>
              <w:left w:w="108" w:type="dxa"/>
            </w:tcMar>
          </w:tcPr>
          <w:p w:rsidR="00573EC9" w:rsidRPr="00BE68B3" w:rsidRDefault="00573EC9" w:rsidP="00D73E98">
            <w:pPr>
              <w:spacing w:line="224" w:lineRule="exact"/>
              <w:rPr>
                <w:lang w:val="it-IT"/>
              </w:rPr>
            </w:pPr>
            <w:r w:rsidRPr="00BE68B3">
              <w:rPr>
                <w:lang w:val="it-IT"/>
              </w:rPr>
              <w:t>Al momento dell’esercizio del diritto di opzione, è stata contabilizzata l’eliminazione del valore contabile del prestito obbligazionario, per la parte per la quale è stato esercitato il diritto di opzione e un corrispondente aumento di patrimonio netto?</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25</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sidRPr="00790751">
              <w:rPr>
                <w:lang w:val="it-IT"/>
              </w:rPr>
              <w:t>OIC 28.29</w:t>
            </w:r>
          </w:p>
        </w:tc>
        <w:tc>
          <w:tcPr>
            <w:tcW w:w="7060" w:type="dxa"/>
            <w:tcMar>
              <w:left w:w="108" w:type="dxa"/>
            </w:tcMar>
          </w:tcPr>
          <w:p w:rsidR="00573EC9" w:rsidRPr="00BE68B3" w:rsidRDefault="00573EC9" w:rsidP="00D73E98">
            <w:pPr>
              <w:spacing w:line="230" w:lineRule="exact"/>
              <w:rPr>
                <w:lang w:val="it-IT"/>
              </w:rPr>
            </w:pPr>
            <w:r w:rsidRPr="00BE68B3">
              <w:rPr>
                <w:lang w:val="it-IT"/>
              </w:rPr>
              <w:t>Se il valore nominale delle obbligazioni convertite è superiore a quello delle azioni emesse, l’eccedenza è stata rilevata nella riserva sovrapprezzo azioni?</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26</w:t>
            </w:r>
            <w:r w:rsidRPr="008216D3">
              <w:rPr>
                <w:b/>
                <w:lang w:val="it-IT"/>
              </w:rPr>
              <w:t>)</w:t>
            </w:r>
          </w:p>
        </w:tc>
        <w:tc>
          <w:tcPr>
            <w:tcW w:w="850" w:type="dxa"/>
            <w:tcMar>
              <w:left w:w="108" w:type="dxa"/>
              <w:right w:w="0" w:type="dxa"/>
            </w:tcMar>
          </w:tcPr>
          <w:p w:rsidR="00573EC9" w:rsidRPr="0050194D" w:rsidRDefault="00573EC9" w:rsidP="00D73E98">
            <w:pPr>
              <w:pStyle w:val="PrincCont"/>
              <w:pageBreakBefore/>
              <w:jc w:val="left"/>
              <w:rPr>
                <w:lang w:val="it-IT"/>
              </w:rPr>
            </w:pPr>
            <w:r w:rsidRPr="00790751">
              <w:rPr>
                <w:lang w:val="it-IT"/>
              </w:rPr>
              <w:t>OIC 28.29</w:t>
            </w:r>
          </w:p>
        </w:tc>
        <w:tc>
          <w:tcPr>
            <w:tcW w:w="7060" w:type="dxa"/>
            <w:tcMar>
              <w:left w:w="108" w:type="dxa"/>
            </w:tcMar>
          </w:tcPr>
          <w:p w:rsidR="00573EC9" w:rsidRPr="00BE68B3" w:rsidRDefault="00573EC9" w:rsidP="00D73E98">
            <w:pPr>
              <w:pageBreakBefore/>
              <w:spacing w:after="0" w:line="240" w:lineRule="auto"/>
              <w:rPr>
                <w:lang w:val="it-IT"/>
              </w:rPr>
            </w:pPr>
            <w:r w:rsidRPr="00BE68B3">
              <w:rPr>
                <w:lang w:val="it-IT"/>
              </w:rPr>
              <w:t>L'eventuale differenza tra valore nominale e valore contabile delle obbligazioni convertite è stata rilevata a patrimonio netto?</w:t>
            </w:r>
          </w:p>
        </w:tc>
        <w:tc>
          <w:tcPr>
            <w:tcW w:w="586" w:type="dxa"/>
            <w:tcMar>
              <w:left w:w="85" w:type="dxa"/>
              <w:right w:w="85" w:type="dxa"/>
            </w:tcMar>
            <w:vAlign w:val="center"/>
          </w:tcPr>
          <w:p w:rsidR="00573EC9" w:rsidRPr="0050194D" w:rsidRDefault="00573EC9" w:rsidP="00D73E98">
            <w:pPr>
              <w:pageBreakBefore/>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pageBreakBefore/>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pageBreakBefore/>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r>
              <w:rPr>
                <w:lang w:val="it-IT"/>
              </w:rPr>
              <w:t>Art. 2346 CC    OIC 28.29</w:t>
            </w:r>
          </w:p>
        </w:tc>
        <w:tc>
          <w:tcPr>
            <w:tcW w:w="7060" w:type="dxa"/>
            <w:tcMar>
              <w:left w:w="108" w:type="dxa"/>
            </w:tcMar>
          </w:tcPr>
          <w:p w:rsidR="00573EC9" w:rsidRPr="00BE68B3" w:rsidRDefault="00573EC9" w:rsidP="00D73E98">
            <w:pPr>
              <w:pStyle w:val="Commentiriquadro"/>
            </w:pPr>
            <w:r w:rsidRPr="00BE68B3">
              <w:t>Il caso inverso (i.e. valore nominale delle azioni emesse superiore al valore nominale delle obbligazioni emesse) non può verificarsi, in quanto in contrasto con l’articolo 2346 del codice civile che vieta che il valore dei conferimenti possa essere complessivamente inferiore all’ammontare globale del capitale sociale.</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CC242B" w:rsidTr="009869E8">
        <w:trPr>
          <w:cantSplit/>
          <w:trHeight w:val="20"/>
        </w:trPr>
        <w:tc>
          <w:tcPr>
            <w:tcW w:w="681" w:type="dxa"/>
          </w:tcPr>
          <w:p w:rsidR="00573EC9" w:rsidRPr="008216D3" w:rsidRDefault="00573EC9" w:rsidP="00D73E98">
            <w:pPr>
              <w:jc w:val="center"/>
              <w:rPr>
                <w:b/>
                <w:lang w:val="it-IT"/>
              </w:rPr>
            </w:pPr>
            <w:r>
              <w:rPr>
                <w:b/>
                <w:lang w:val="it-IT"/>
              </w:rPr>
              <w:t>27</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sidRPr="00790751">
              <w:rPr>
                <w:lang w:val="it-IT"/>
              </w:rPr>
              <w:t>OIC 28.</w:t>
            </w:r>
            <w:r>
              <w:rPr>
                <w:lang w:val="it-IT"/>
              </w:rPr>
              <w:t>30</w:t>
            </w:r>
          </w:p>
        </w:tc>
        <w:tc>
          <w:tcPr>
            <w:tcW w:w="7060" w:type="dxa"/>
            <w:tcMar>
              <w:left w:w="108" w:type="dxa"/>
            </w:tcMar>
          </w:tcPr>
          <w:p w:rsidR="00573EC9" w:rsidRPr="00AE0BB7" w:rsidRDefault="00573EC9" w:rsidP="00D73E98">
            <w:pPr>
              <w:spacing w:after="0" w:line="240" w:lineRule="auto"/>
              <w:rPr>
                <w:lang w:val="it-IT"/>
              </w:rPr>
            </w:pPr>
            <w:r w:rsidRPr="00AE0BB7">
              <w:rPr>
                <w:lang w:val="it-IT"/>
              </w:rPr>
              <w:t>Lo strumento finanziario derivato (i.e. opzione di conversione) incluso nel prestito obbligazionario convertibile è stato:</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AE0BB7" w:rsidRDefault="00573EC9" w:rsidP="00D32BD7">
            <w:pPr>
              <w:pStyle w:val="Puntoelenco"/>
              <w:tabs>
                <w:tab w:val="clear" w:pos="704"/>
              </w:tabs>
              <w:ind w:left="460" w:hanging="284"/>
            </w:pPr>
            <w:r w:rsidRPr="00AE0BB7">
              <w:t xml:space="preserve">separato ai sensi dell’OIC 32 “Strumenti finanziari derivati”, </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AE0BB7" w:rsidRDefault="00573EC9" w:rsidP="00D32BD7">
            <w:pPr>
              <w:pStyle w:val="Puntoelenco"/>
              <w:tabs>
                <w:tab w:val="clear" w:pos="704"/>
              </w:tabs>
              <w:ind w:left="460" w:hanging="284"/>
            </w:pPr>
            <w:r w:rsidRPr="00AE0BB7">
              <w:t xml:space="preserve">valutato al fair value, ed </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AE0BB7" w:rsidRDefault="00573EC9" w:rsidP="00D32BD7">
            <w:pPr>
              <w:pStyle w:val="Puntoelenco"/>
              <w:tabs>
                <w:tab w:val="clear" w:pos="704"/>
              </w:tabs>
              <w:spacing w:line="230" w:lineRule="exact"/>
              <w:ind w:left="460" w:hanging="284"/>
            </w:pPr>
            <w:r w:rsidRPr="00AE0BB7">
              <w:t xml:space="preserve">iscritto in una riserva di patrimonio netto? </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r w:rsidRPr="00790751">
              <w:rPr>
                <w:lang w:val="it-IT"/>
              </w:rPr>
              <w:t>OIC 28.</w:t>
            </w:r>
            <w:r>
              <w:rPr>
                <w:lang w:val="it-IT"/>
              </w:rPr>
              <w:t>30</w:t>
            </w:r>
          </w:p>
        </w:tc>
        <w:tc>
          <w:tcPr>
            <w:tcW w:w="7060" w:type="dxa"/>
            <w:tcMar>
              <w:left w:w="108" w:type="dxa"/>
            </w:tcMar>
          </w:tcPr>
          <w:p w:rsidR="00573EC9" w:rsidRPr="00AE0BB7" w:rsidRDefault="00573EC9" w:rsidP="00D73E98">
            <w:pPr>
              <w:pStyle w:val="Commentiriquadro"/>
            </w:pPr>
            <w:r w:rsidRPr="00AE0BB7">
              <w:t>Tale riserva, non è soggetta a valutazioni successive.</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8904BD" w:rsidRDefault="00573EC9" w:rsidP="00D73E98">
            <w:pPr>
              <w:pStyle w:val="Titolo3"/>
              <w:rPr>
                <w:lang w:val="it-IT"/>
              </w:rPr>
            </w:pPr>
            <w:r w:rsidRPr="00D01930">
              <w:rPr>
                <w:lang w:val="it-IT"/>
              </w:rPr>
              <w:t>Riduzione del capitale sociale per recesso del socio</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8904BD" w:rsidRDefault="00573EC9" w:rsidP="00D73E98">
            <w:pPr>
              <w:pStyle w:val="PrincCont"/>
              <w:jc w:val="left"/>
            </w:pPr>
            <w:r>
              <w:t>Art. 2437-</w:t>
            </w:r>
            <w:r w:rsidRPr="00391E7E">
              <w:t>quater</w:t>
            </w:r>
            <w:r w:rsidRPr="008904BD">
              <w:rPr>
                <w:i/>
              </w:rPr>
              <w:t xml:space="preserve">, </w:t>
            </w:r>
            <w:r w:rsidRPr="008904BD">
              <w:t>CC</w:t>
            </w:r>
            <w:r>
              <w:t xml:space="preserve">   </w:t>
            </w:r>
            <w:r w:rsidRPr="008904BD">
              <w:t>Art. 2473 CC</w:t>
            </w:r>
          </w:p>
        </w:tc>
        <w:tc>
          <w:tcPr>
            <w:tcW w:w="7060" w:type="dxa"/>
            <w:tcMar>
              <w:left w:w="108" w:type="dxa"/>
            </w:tcMar>
          </w:tcPr>
          <w:p w:rsidR="00573EC9" w:rsidRPr="00AE0BB7" w:rsidRDefault="00573EC9" w:rsidP="00D73E98">
            <w:pPr>
              <w:pStyle w:val="Commentiriquadro"/>
            </w:pPr>
            <w:r w:rsidRPr="00AE0BB7">
              <w:t>Ai sensi degli articoli 2437-</w:t>
            </w:r>
            <w:r w:rsidRPr="00AE0BB7">
              <w:rPr>
                <w:i/>
                <w:iCs/>
              </w:rPr>
              <w:t xml:space="preserve">quater </w:t>
            </w:r>
            <w:r w:rsidRPr="00AE0BB7">
              <w:t xml:space="preserve">e 2473 del codice civile, in caso di mancato collocamento delle azioni per cui è stato esercitato il diritto di recesso, entro centottanta giorni dalla comunicazione di recesso, le azioni sono rimborsate mediante l’acquisto da parte della società utilizzando riserve disponibili. </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28</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sidRPr="00790751">
              <w:rPr>
                <w:lang w:val="it-IT"/>
              </w:rPr>
              <w:t>OIC 28.</w:t>
            </w:r>
            <w:r>
              <w:rPr>
                <w:lang w:val="it-IT"/>
              </w:rPr>
              <w:t>32</w:t>
            </w:r>
          </w:p>
        </w:tc>
        <w:tc>
          <w:tcPr>
            <w:tcW w:w="7060" w:type="dxa"/>
            <w:tcMar>
              <w:left w:w="108" w:type="dxa"/>
            </w:tcMar>
          </w:tcPr>
          <w:p w:rsidR="00573EC9" w:rsidRPr="00AE0BB7" w:rsidRDefault="00573EC9" w:rsidP="00D73E98">
            <w:pPr>
              <w:spacing w:line="230" w:lineRule="exact"/>
              <w:rPr>
                <w:lang w:val="it-IT"/>
              </w:rPr>
            </w:pPr>
            <w:r w:rsidRPr="00AE0BB7">
              <w:rPr>
                <w:lang w:val="it-IT"/>
              </w:rPr>
              <w:t>Dopo centottanta giorni dalla comunicazione di recesso la società ha rilevato in bilancio l’obbligo a rimborsare il socio recedente acquistando le azioni dello stesso (non acquistate da altri soci) al valore determinato secondo gli articoli 2437-</w:t>
            </w:r>
            <w:r w:rsidRPr="00AE0BB7">
              <w:rPr>
                <w:i/>
                <w:iCs/>
                <w:lang w:val="it-IT"/>
              </w:rPr>
              <w:t xml:space="preserve">ter </w:t>
            </w:r>
            <w:r w:rsidRPr="00AE0BB7">
              <w:rPr>
                <w:lang w:val="it-IT"/>
              </w:rPr>
              <w:t xml:space="preserve">e 2473 del codice civile? </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r w:rsidRPr="00790751">
              <w:rPr>
                <w:lang w:val="it-IT"/>
              </w:rPr>
              <w:t>OIC 28.</w:t>
            </w:r>
            <w:r>
              <w:rPr>
                <w:lang w:val="it-IT"/>
              </w:rPr>
              <w:t>32</w:t>
            </w:r>
          </w:p>
        </w:tc>
        <w:tc>
          <w:tcPr>
            <w:tcW w:w="7060" w:type="dxa"/>
            <w:tcMar>
              <w:left w:w="108" w:type="dxa"/>
            </w:tcMar>
          </w:tcPr>
          <w:p w:rsidR="00573EC9" w:rsidRPr="0050194D" w:rsidRDefault="00573EC9" w:rsidP="00D73E98">
            <w:pPr>
              <w:pStyle w:val="Commentiriquadro"/>
            </w:pPr>
            <w:r>
              <w:t>In caso di assenza di utili e riserve disponibili il rimborso delle azioni avviene mediante riduzione del capitale o lo scioglimento (liquidazione) della società.</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29</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sidRPr="00790751">
              <w:rPr>
                <w:lang w:val="it-IT"/>
              </w:rPr>
              <w:t>OIC 28.</w:t>
            </w:r>
            <w:r>
              <w:rPr>
                <w:lang w:val="it-IT"/>
              </w:rPr>
              <w:t>32</w:t>
            </w:r>
          </w:p>
        </w:tc>
        <w:tc>
          <w:tcPr>
            <w:tcW w:w="7060" w:type="dxa"/>
            <w:tcMar>
              <w:left w:w="108" w:type="dxa"/>
            </w:tcMar>
          </w:tcPr>
          <w:p w:rsidR="00573EC9" w:rsidRPr="00AE0BB7" w:rsidRDefault="00573EC9" w:rsidP="00D73E98">
            <w:pPr>
              <w:spacing w:line="230" w:lineRule="exact"/>
              <w:rPr>
                <w:lang w:val="it-IT"/>
              </w:rPr>
            </w:pPr>
            <w:r w:rsidRPr="00AE0BB7">
              <w:rPr>
                <w:lang w:val="it-IT"/>
              </w:rPr>
              <w:t>A seguito della delibera di riduzione del capitale sociale, la società ha iscritto un debito nei confronti del socio receduto per un importo determinato secondo gli articoli 2437-</w:t>
            </w:r>
            <w:r w:rsidRPr="00AE0BB7">
              <w:rPr>
                <w:i/>
                <w:iCs/>
                <w:lang w:val="it-IT"/>
              </w:rPr>
              <w:t xml:space="preserve">ter </w:t>
            </w:r>
            <w:r w:rsidRPr="00AE0BB7">
              <w:rPr>
                <w:lang w:val="it-IT"/>
              </w:rPr>
              <w:t>e 2473 del codice civile?</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8904BD" w:rsidRDefault="00573EC9" w:rsidP="00D73E98">
            <w:pPr>
              <w:pStyle w:val="Titolo3"/>
              <w:rPr>
                <w:lang w:val="it-IT"/>
              </w:rPr>
            </w:pPr>
            <w:r w:rsidRPr="00D01930">
              <w:rPr>
                <w:lang w:val="it-IT"/>
              </w:rPr>
              <w:t>Riduzione del capitale sociale in caso di morosità del socio</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r>
              <w:rPr>
                <w:lang w:val="it-IT"/>
              </w:rPr>
              <w:t>Art. 2344 CC</w:t>
            </w:r>
          </w:p>
        </w:tc>
        <w:tc>
          <w:tcPr>
            <w:tcW w:w="7060" w:type="dxa"/>
            <w:tcMar>
              <w:left w:w="108" w:type="dxa"/>
            </w:tcMar>
          </w:tcPr>
          <w:p w:rsidR="00573EC9" w:rsidRPr="00AE0BB7" w:rsidRDefault="00573EC9" w:rsidP="00D73E98">
            <w:pPr>
              <w:pStyle w:val="Commentiriquadro"/>
            </w:pPr>
            <w:r w:rsidRPr="00AE0BB7">
              <w:t xml:space="preserve">Ai sensi dell’articolo 2344 del codice civile, qualora il socio non esegua il pagamento dovuti, trascorsi quindici giorni dalla pubblicazione sulla Gazzetta Ufficiale della diffida al pagamento, gli amministratori offrono le azioni agli altri soci, in proporzione della loro partecipazione, per un corrispettivo non inferiore ai conferimenti ancora dovuti. In mancanza di offerte, gli amministratori possono far vendere a terzi le azioni a rischio e per conto del socio. </w:t>
            </w:r>
          </w:p>
          <w:p w:rsidR="00573EC9" w:rsidRPr="00AE0BB7" w:rsidRDefault="00573EC9" w:rsidP="00D73E98">
            <w:pPr>
              <w:pStyle w:val="Commentiriquadro"/>
            </w:pPr>
            <w:r w:rsidRPr="00AE0BB7">
              <w:t xml:space="preserve">Qualora la vendita non possa avere luogo per mancanza di compratori, gli amministratori possono dichiarare decaduto il socio, trattenendo le somme riscosse, salvo riconoscimento dei maggiori danni. </w:t>
            </w:r>
          </w:p>
          <w:p w:rsidR="00573EC9" w:rsidRPr="00AE0BB7" w:rsidRDefault="00573EC9" w:rsidP="00D73E98">
            <w:pPr>
              <w:pStyle w:val="Commentiriquadro"/>
            </w:pPr>
            <w:r w:rsidRPr="00AE0BB7">
              <w:t xml:space="preserve">Se entro l’esercizio in cui vi è stata la dichiarazione di decadenza, non si è riusciti a collocare le azioni del socio decaduto, occorre provvedere al loro annullamento e alla conseguente riduzione del capitale sociale. </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CC242B" w:rsidTr="009869E8">
        <w:trPr>
          <w:cantSplit/>
          <w:trHeight w:val="20"/>
        </w:trPr>
        <w:tc>
          <w:tcPr>
            <w:tcW w:w="681" w:type="dxa"/>
          </w:tcPr>
          <w:p w:rsidR="00573EC9" w:rsidRPr="008216D3" w:rsidRDefault="00573EC9" w:rsidP="00D73E98">
            <w:pPr>
              <w:jc w:val="center"/>
              <w:rPr>
                <w:b/>
                <w:lang w:val="it-IT"/>
              </w:rPr>
            </w:pPr>
            <w:r>
              <w:rPr>
                <w:b/>
                <w:lang w:val="it-IT"/>
              </w:rPr>
              <w:t>30</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sidRPr="00790751">
              <w:rPr>
                <w:lang w:val="it-IT"/>
              </w:rPr>
              <w:t>OIC 28.</w:t>
            </w:r>
            <w:r>
              <w:rPr>
                <w:lang w:val="it-IT"/>
              </w:rPr>
              <w:t>33</w:t>
            </w:r>
          </w:p>
        </w:tc>
        <w:tc>
          <w:tcPr>
            <w:tcW w:w="7060" w:type="dxa"/>
            <w:tcMar>
              <w:left w:w="108" w:type="dxa"/>
            </w:tcMar>
          </w:tcPr>
          <w:p w:rsidR="00573EC9" w:rsidRPr="00D623A3" w:rsidRDefault="00573EC9" w:rsidP="00D73E98">
            <w:pPr>
              <w:spacing w:line="230" w:lineRule="exact"/>
              <w:rPr>
                <w:lang w:val="it-IT"/>
              </w:rPr>
            </w:pPr>
            <w:r w:rsidRPr="00D623A3">
              <w:rPr>
                <w:lang w:val="it-IT"/>
              </w:rPr>
              <w:t xml:space="preserve">A seguito della delibera assembleare di riduzione del capitale sociale: </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D623A3" w:rsidRDefault="00573EC9" w:rsidP="00D32BD7">
            <w:pPr>
              <w:pStyle w:val="Puntoelenco"/>
              <w:tabs>
                <w:tab w:val="clear" w:pos="704"/>
              </w:tabs>
              <w:spacing w:line="230" w:lineRule="exact"/>
              <w:ind w:left="460" w:hanging="284"/>
            </w:pPr>
            <w:r w:rsidRPr="00D623A3">
              <w:t>il capitale sociale e l’eventuale riserva da soprapprezzo azioni sono state ridotte di un ammontare corrispondente al valore delle azioni annullate,</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D623A3" w:rsidRDefault="00573EC9" w:rsidP="00D32BD7">
            <w:pPr>
              <w:pStyle w:val="Puntoelenco"/>
              <w:tabs>
                <w:tab w:val="clear" w:pos="704"/>
              </w:tabs>
              <w:spacing w:line="230" w:lineRule="exact"/>
              <w:ind w:left="460" w:hanging="284"/>
            </w:pPr>
            <w:r w:rsidRPr="00D623A3">
              <w:t xml:space="preserve">a fronte di tale riduzione, è stato stornato il credito vantato nei confronti del socio decaduto (per i decimi da lui ancora dovuti) </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D623A3" w:rsidRDefault="00573EC9" w:rsidP="00D32BD7">
            <w:pPr>
              <w:pStyle w:val="Puntoelenco"/>
              <w:tabs>
                <w:tab w:val="clear" w:pos="704"/>
              </w:tabs>
              <w:spacing w:line="230" w:lineRule="exact"/>
              <w:ind w:left="460" w:hanging="284"/>
            </w:pPr>
            <w:r w:rsidRPr="00D623A3">
              <w:t>la differenza tra la riduzione del patrimonio netto ed il credito verso il socio decaduto è confluita in una riserva?</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E3278B" w:rsidRDefault="00573EC9" w:rsidP="00D73E98">
            <w:pPr>
              <w:pStyle w:val="Titolo3"/>
              <w:rPr>
                <w:rFonts w:ascii="Times New Roman" w:hAnsi="Times New Roman"/>
                <w:sz w:val="22"/>
                <w:szCs w:val="22"/>
                <w:lang w:val="it-IT" w:eastAsia="it-IT"/>
              </w:rPr>
            </w:pPr>
            <w:r w:rsidRPr="00D01930">
              <w:rPr>
                <w:lang w:val="it-IT"/>
              </w:rPr>
              <w:t>Riduzione del capitale sociale in caso di mancato rispetto in tema di acquisto di azioni della controllante</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7C2D96" w:rsidRDefault="00573EC9" w:rsidP="00D73E98">
            <w:pPr>
              <w:pStyle w:val="PrincCont"/>
              <w:jc w:val="left"/>
              <w:rPr>
                <w:lang w:val="it-IT"/>
              </w:rPr>
            </w:pPr>
            <w:r>
              <w:rPr>
                <w:lang w:val="it-IT"/>
              </w:rPr>
              <w:t>Art. 2359-</w:t>
            </w:r>
            <w:r w:rsidRPr="00391E7E">
              <w:rPr>
                <w:lang w:val="it-IT"/>
              </w:rPr>
              <w:t>bis</w:t>
            </w:r>
            <w:r>
              <w:rPr>
                <w:i/>
                <w:lang w:val="it-IT"/>
              </w:rPr>
              <w:t xml:space="preserve"> </w:t>
            </w:r>
            <w:r>
              <w:rPr>
                <w:lang w:val="it-IT"/>
              </w:rPr>
              <w:t>CC</w:t>
            </w:r>
          </w:p>
        </w:tc>
        <w:tc>
          <w:tcPr>
            <w:tcW w:w="7060" w:type="dxa"/>
            <w:tcMar>
              <w:left w:w="108" w:type="dxa"/>
            </w:tcMar>
          </w:tcPr>
          <w:p w:rsidR="00573EC9" w:rsidRPr="007C2D96" w:rsidRDefault="00573EC9" w:rsidP="00D73E98">
            <w:pPr>
              <w:pStyle w:val="Commentiriquadro"/>
            </w:pPr>
            <w:r w:rsidRPr="007C2D96">
              <w:t>In caso di violazione dei limiti previsti dall’articolo 2359-</w:t>
            </w:r>
            <w:r w:rsidRPr="007C2D96">
              <w:rPr>
                <w:i/>
                <w:iCs/>
              </w:rPr>
              <w:t xml:space="preserve">bis </w:t>
            </w:r>
            <w:r w:rsidRPr="007C2D96">
              <w:t xml:space="preserve">per l’acquisto di azioni della controllante da parte di società controllate, le azioni in eccesso devono essere alienate entro un anno dal loro acquisto. </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CC242B" w:rsidTr="009869E8">
        <w:trPr>
          <w:cantSplit/>
          <w:trHeight w:val="20"/>
        </w:trPr>
        <w:tc>
          <w:tcPr>
            <w:tcW w:w="681" w:type="dxa"/>
          </w:tcPr>
          <w:p w:rsidR="00573EC9" w:rsidRPr="008216D3" w:rsidRDefault="00573EC9" w:rsidP="00D73E98">
            <w:pPr>
              <w:jc w:val="center"/>
              <w:rPr>
                <w:b/>
                <w:lang w:val="it-IT"/>
              </w:rPr>
            </w:pPr>
            <w:r>
              <w:rPr>
                <w:b/>
                <w:lang w:val="it-IT"/>
              </w:rPr>
              <w:t>31</w:t>
            </w:r>
            <w:r w:rsidRPr="008216D3">
              <w:rPr>
                <w:b/>
                <w:lang w:val="it-IT"/>
              </w:rPr>
              <w:t>)</w:t>
            </w:r>
          </w:p>
        </w:tc>
        <w:tc>
          <w:tcPr>
            <w:tcW w:w="850" w:type="dxa"/>
            <w:tcMar>
              <w:left w:w="108" w:type="dxa"/>
              <w:right w:w="0" w:type="dxa"/>
            </w:tcMar>
          </w:tcPr>
          <w:p w:rsidR="00573EC9" w:rsidRPr="00D32BD7" w:rsidRDefault="00573EC9" w:rsidP="00D73E98">
            <w:pPr>
              <w:pStyle w:val="PrincCont"/>
              <w:jc w:val="left"/>
            </w:pPr>
            <w:r w:rsidRPr="007C2D96">
              <w:t>Art. 2359-</w:t>
            </w:r>
            <w:r w:rsidRPr="00391E7E">
              <w:t>ter</w:t>
            </w:r>
            <w:r w:rsidRPr="007C2D96">
              <w:rPr>
                <w:i/>
              </w:rPr>
              <w:t xml:space="preserve"> </w:t>
            </w:r>
            <w:r w:rsidRPr="007C2D96">
              <w:t>CC</w:t>
            </w:r>
            <w:r>
              <w:t xml:space="preserve">             </w:t>
            </w:r>
            <w:r w:rsidRPr="009514D5">
              <w:t>Artt. 2437-ter</w:t>
            </w:r>
            <w:r w:rsidRPr="009514D5">
              <w:rPr>
                <w:i/>
              </w:rPr>
              <w:t xml:space="preserve"> </w:t>
            </w:r>
            <w:r w:rsidRPr="009514D5">
              <w:t>e quater</w:t>
            </w:r>
            <w:r w:rsidRPr="00391E7E">
              <w:t xml:space="preserve"> </w:t>
            </w:r>
            <w:r w:rsidRPr="008904BD">
              <w:t>CC</w:t>
            </w:r>
            <w:r>
              <w:t xml:space="preserve">  </w:t>
            </w:r>
            <w:r w:rsidRPr="00D32BD7">
              <w:t>OIC 28.34</w:t>
            </w:r>
          </w:p>
        </w:tc>
        <w:tc>
          <w:tcPr>
            <w:tcW w:w="7060" w:type="dxa"/>
            <w:tcMar>
              <w:left w:w="108" w:type="dxa"/>
            </w:tcMar>
          </w:tcPr>
          <w:p w:rsidR="00573EC9" w:rsidRPr="007C2D96" w:rsidRDefault="00573EC9" w:rsidP="00D73E98">
            <w:pPr>
              <w:spacing w:after="0" w:line="230" w:lineRule="exact"/>
              <w:rPr>
                <w:lang w:val="it-IT"/>
              </w:rPr>
            </w:pPr>
            <w:r w:rsidRPr="007C2D96">
              <w:rPr>
                <w:lang w:val="it-IT"/>
              </w:rPr>
              <w:t xml:space="preserve">In mancanza della vendita, la società controllante ha: </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p>
        </w:tc>
        <w:tc>
          <w:tcPr>
            <w:tcW w:w="7060" w:type="dxa"/>
            <w:tcMar>
              <w:left w:w="108" w:type="dxa"/>
            </w:tcMar>
          </w:tcPr>
          <w:p w:rsidR="00573EC9" w:rsidRPr="007C2D96" w:rsidRDefault="00573EC9" w:rsidP="00D32BD7">
            <w:pPr>
              <w:pStyle w:val="Puntoelenco"/>
              <w:tabs>
                <w:tab w:val="clear" w:pos="704"/>
              </w:tabs>
              <w:spacing w:line="230" w:lineRule="exact"/>
              <w:ind w:left="460" w:hanging="284"/>
            </w:pPr>
            <w:r w:rsidRPr="007C2D96">
              <w:t>annullato le azioni acquistate in eccesso dalle controllate</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p>
        </w:tc>
        <w:tc>
          <w:tcPr>
            <w:tcW w:w="7060" w:type="dxa"/>
            <w:tcMar>
              <w:left w:w="108" w:type="dxa"/>
            </w:tcMar>
          </w:tcPr>
          <w:p w:rsidR="00573EC9" w:rsidRPr="007C2D96" w:rsidRDefault="00573EC9" w:rsidP="00D32BD7">
            <w:pPr>
              <w:pStyle w:val="Puntoelenco"/>
              <w:tabs>
                <w:tab w:val="clear" w:pos="704"/>
              </w:tabs>
              <w:spacing w:line="230" w:lineRule="exact"/>
              <w:ind w:left="460" w:hanging="284"/>
            </w:pPr>
            <w:r w:rsidRPr="007C2D96">
              <w:t>ridotto il capitale sociale e rimborsare le controllate?</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7C2D96" w:rsidRDefault="00573EC9" w:rsidP="00D73E98">
            <w:pPr>
              <w:pStyle w:val="Commentiriquadro"/>
            </w:pPr>
            <w:r w:rsidRPr="007C2D96">
              <w:t xml:space="preserve">Per quanto riguarda la contabilizzazione dell’annullamento di azioni </w:t>
            </w:r>
            <w:r>
              <w:t>proprie si rinvia ai punti 35 e 36 successivi.</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r>
              <w:rPr>
                <w:lang w:val="it-IT"/>
              </w:rPr>
              <w:t>OIC 28.35</w:t>
            </w:r>
          </w:p>
        </w:tc>
        <w:tc>
          <w:tcPr>
            <w:tcW w:w="7060" w:type="dxa"/>
            <w:tcMar>
              <w:left w:w="108" w:type="dxa"/>
            </w:tcMar>
          </w:tcPr>
          <w:p w:rsidR="00573EC9" w:rsidRPr="007C2D96" w:rsidRDefault="00573EC9" w:rsidP="00D73E98">
            <w:pPr>
              <w:pStyle w:val="Commentiriquadro"/>
            </w:pPr>
            <w:r w:rsidRPr="007C2D96">
              <w:t xml:space="preserve">Per le società controllate, l’annullamento delle azioni della controllante comporta la liberazione della riserva per azioni in portafoglio della società controllante, che diviene disponibile. </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vAlign w:val="center"/>
          </w:tcPr>
          <w:p w:rsidR="00573EC9" w:rsidRPr="008904BD" w:rsidRDefault="00573EC9" w:rsidP="00D73E98">
            <w:pPr>
              <w:pStyle w:val="Titolo3"/>
              <w:jc w:val="left"/>
              <w:rPr>
                <w:lang w:val="it-IT"/>
              </w:rPr>
            </w:pPr>
            <w:r w:rsidRPr="00D01930">
              <w:rPr>
                <w:lang w:val="it-IT"/>
              </w:rPr>
              <w:t>La rinuncia del credito da parte del socio</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32</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Pr>
                <w:lang w:val="it-IT"/>
              </w:rPr>
              <w:t>OIC 28.36</w:t>
            </w:r>
          </w:p>
        </w:tc>
        <w:tc>
          <w:tcPr>
            <w:tcW w:w="7060" w:type="dxa"/>
            <w:tcMar>
              <w:left w:w="108" w:type="dxa"/>
            </w:tcMar>
          </w:tcPr>
          <w:p w:rsidR="00573EC9" w:rsidRPr="0081146B" w:rsidRDefault="00573EC9" w:rsidP="00D73E98">
            <w:pPr>
              <w:spacing w:line="230" w:lineRule="exact"/>
              <w:rPr>
                <w:rFonts w:ascii="Times New Roman" w:hAnsi="Times New Roman"/>
                <w:lang w:val="it-IT"/>
              </w:rPr>
            </w:pPr>
            <w:r w:rsidRPr="0081146B">
              <w:rPr>
                <w:lang w:val="it-IT"/>
              </w:rPr>
              <w:t>In caso di rinuncia del socio al suo diritto di credito il valore contabile del debito della</w:t>
            </w:r>
            <w:r>
              <w:rPr>
                <w:lang w:val="it-IT"/>
              </w:rPr>
              <w:t xml:space="preserve"> </w:t>
            </w:r>
            <w:r w:rsidRPr="0081146B">
              <w:rPr>
                <w:lang w:val="it-IT"/>
              </w:rPr>
              <w:t>società è stato trasformato in una posta di patrimonio netto?</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8904BD" w:rsidRDefault="00573EC9" w:rsidP="00D73E98">
            <w:pPr>
              <w:pStyle w:val="Titolo3"/>
              <w:rPr>
                <w:lang w:val="it-IT"/>
              </w:rPr>
            </w:pPr>
            <w:r w:rsidRPr="00D01930">
              <w:rPr>
                <w:lang w:val="it-IT"/>
              </w:rPr>
              <w:t>Acquisto, annullamento e alienazione azioni proprie</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33</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Pr>
                <w:lang w:val="it-IT"/>
              </w:rPr>
              <w:t>Art. 2424 CC OIC 28.37</w:t>
            </w:r>
          </w:p>
        </w:tc>
        <w:tc>
          <w:tcPr>
            <w:tcW w:w="7060" w:type="dxa"/>
            <w:tcMar>
              <w:left w:w="108" w:type="dxa"/>
            </w:tcMar>
          </w:tcPr>
          <w:p w:rsidR="00573EC9" w:rsidRPr="0081146B" w:rsidRDefault="00573EC9" w:rsidP="00D73E98">
            <w:pPr>
              <w:spacing w:after="0" w:line="230" w:lineRule="exact"/>
              <w:rPr>
                <w:lang w:val="it-IT"/>
              </w:rPr>
            </w:pPr>
            <w:r w:rsidRPr="0081146B">
              <w:rPr>
                <w:lang w:val="it-IT"/>
              </w:rPr>
              <w:t>Le azioni proprie sono state iscritte in bilancio, al momento dell’acquisto, per un valore corrispondente al loro di costo d'acquisto tramite l’iscrizione di una riserva negativa AX “</w:t>
            </w:r>
            <w:r w:rsidRPr="0081146B">
              <w:rPr>
                <w:i/>
                <w:iCs/>
                <w:lang w:val="it-IT"/>
              </w:rPr>
              <w:t>Riserva negativa azioni proprie in portafoglio</w:t>
            </w:r>
            <w:r w:rsidRPr="0081146B">
              <w:rPr>
                <w:lang w:val="it-IT"/>
              </w:rPr>
              <w:t>” ricompresa tra le voci del patrimonio netto?</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CC242B" w:rsidTr="009869E8">
        <w:trPr>
          <w:cantSplit/>
          <w:trHeight w:val="20"/>
        </w:trPr>
        <w:tc>
          <w:tcPr>
            <w:tcW w:w="681" w:type="dxa"/>
          </w:tcPr>
          <w:p w:rsidR="00573EC9" w:rsidRPr="008216D3" w:rsidRDefault="00573EC9" w:rsidP="00D73E98">
            <w:pPr>
              <w:jc w:val="center"/>
              <w:rPr>
                <w:b/>
                <w:lang w:val="it-IT"/>
              </w:rPr>
            </w:pPr>
            <w:r>
              <w:rPr>
                <w:b/>
                <w:lang w:val="it-IT"/>
              </w:rPr>
              <w:t>34</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Pr>
                <w:lang w:val="it-IT"/>
              </w:rPr>
              <w:t>OIC 28.38</w:t>
            </w:r>
          </w:p>
        </w:tc>
        <w:tc>
          <w:tcPr>
            <w:tcW w:w="7060" w:type="dxa"/>
            <w:tcMar>
              <w:left w:w="108" w:type="dxa"/>
            </w:tcMar>
          </w:tcPr>
          <w:p w:rsidR="00573EC9" w:rsidRPr="0081146B" w:rsidRDefault="00573EC9" w:rsidP="00D73E98">
            <w:pPr>
              <w:spacing w:after="0" w:line="240" w:lineRule="auto"/>
              <w:rPr>
                <w:lang w:val="it-IT"/>
              </w:rPr>
            </w:pPr>
            <w:r w:rsidRPr="0081146B">
              <w:rPr>
                <w:lang w:val="it-IT"/>
              </w:rPr>
              <w:t>Nel caso in cui l’assemblea decida di annullare le azioni proprie in portafoglio, la società ha provveduto:</w:t>
            </w:r>
            <w:r>
              <w:rPr>
                <w:lang w:val="it-IT"/>
              </w:rPr>
              <w:t xml:space="preserve"> </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81146B" w:rsidRDefault="00573EC9" w:rsidP="00D32BD7">
            <w:pPr>
              <w:pStyle w:val="Puntoelenco"/>
              <w:tabs>
                <w:tab w:val="clear" w:pos="704"/>
              </w:tabs>
              <w:spacing w:line="230" w:lineRule="exact"/>
              <w:ind w:left="460" w:hanging="284"/>
            </w:pPr>
            <w:r w:rsidRPr="0081146B">
              <w:t>a stornare la voce AX “</w:t>
            </w:r>
            <w:r w:rsidRPr="0081146B">
              <w:rPr>
                <w:i/>
              </w:rPr>
              <w:t>Riserva negativa per azioni proprie in portafoglio</w:t>
            </w:r>
            <w:r w:rsidRPr="0081146B">
              <w:t xml:space="preserve">”, e </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81146B" w:rsidRDefault="00573EC9" w:rsidP="00D32BD7">
            <w:pPr>
              <w:pStyle w:val="Puntoelenco"/>
              <w:tabs>
                <w:tab w:val="clear" w:pos="704"/>
              </w:tabs>
              <w:spacing w:line="230" w:lineRule="exact"/>
              <w:ind w:left="460" w:hanging="284"/>
            </w:pPr>
            <w:r w:rsidRPr="0081146B">
              <w:t xml:space="preserve">a ridurre contestualmente il capitale sociale per il valore nominale delle azioni annullate? </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35</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Pr>
                <w:lang w:val="it-IT"/>
              </w:rPr>
              <w:t>OIC 28.38</w:t>
            </w:r>
          </w:p>
        </w:tc>
        <w:tc>
          <w:tcPr>
            <w:tcW w:w="7060" w:type="dxa"/>
            <w:tcMar>
              <w:left w:w="108" w:type="dxa"/>
            </w:tcMar>
          </w:tcPr>
          <w:p w:rsidR="00573EC9" w:rsidRPr="0081146B" w:rsidRDefault="00573EC9" w:rsidP="00D73E98">
            <w:pPr>
              <w:spacing w:line="230" w:lineRule="exact"/>
              <w:rPr>
                <w:lang w:val="it-IT"/>
              </w:rPr>
            </w:pPr>
            <w:r w:rsidRPr="0081146B">
              <w:rPr>
                <w:lang w:val="it-IT"/>
              </w:rPr>
              <w:t>L’eventuale differenza tra il valore contabile della riserva e il valore nominale delle azioni annullate è stata imputata ad incremento o decremento del patrimonio netto?</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36</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Pr>
                <w:lang w:val="it-IT"/>
              </w:rPr>
              <w:t>OIC 28.39</w:t>
            </w:r>
          </w:p>
        </w:tc>
        <w:tc>
          <w:tcPr>
            <w:tcW w:w="7060" w:type="dxa"/>
            <w:tcMar>
              <w:left w:w="108" w:type="dxa"/>
            </w:tcMar>
          </w:tcPr>
          <w:p w:rsidR="00573EC9" w:rsidRPr="0046246F" w:rsidRDefault="00573EC9" w:rsidP="00D73E98">
            <w:pPr>
              <w:spacing w:after="0" w:line="230" w:lineRule="exact"/>
              <w:rPr>
                <w:lang w:val="it-IT"/>
              </w:rPr>
            </w:pPr>
            <w:r w:rsidRPr="0046246F">
              <w:rPr>
                <w:lang w:val="it-IT"/>
              </w:rPr>
              <w:t>Nel caso in cui l’assemblea decida di alienare le azioni proprie, l’eventuale differenza tra il valore contabile della voce AX “</w:t>
            </w:r>
            <w:r w:rsidRPr="0046246F">
              <w:rPr>
                <w:i/>
                <w:iCs/>
                <w:lang w:val="it-IT"/>
              </w:rPr>
              <w:t>Riserva negativa per azioni proprie in portafoglio</w:t>
            </w:r>
            <w:r w:rsidRPr="0046246F">
              <w:rPr>
                <w:lang w:val="it-IT"/>
              </w:rPr>
              <w:t>” e il valore di realizzo delle azioni alienate è stata imputata ad incremento o decremento di un’altra voce del patrimonio netto?</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50194D" w:rsidRDefault="00573EC9" w:rsidP="00D73E98">
            <w:pPr>
              <w:pStyle w:val="Titolo3"/>
            </w:pPr>
            <w:r w:rsidRPr="00D01930">
              <w:rPr>
                <w:lang w:val="it-IT"/>
              </w:rPr>
              <w:t>Acquisto azioni della controllante</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37</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Pr>
                <w:lang w:val="it-IT"/>
              </w:rPr>
              <w:t>OIC 28.40</w:t>
            </w:r>
          </w:p>
        </w:tc>
        <w:tc>
          <w:tcPr>
            <w:tcW w:w="7060" w:type="dxa"/>
            <w:tcMar>
              <w:left w:w="108" w:type="dxa"/>
            </w:tcMar>
          </w:tcPr>
          <w:p w:rsidR="00573EC9" w:rsidRPr="0046246F" w:rsidRDefault="00573EC9" w:rsidP="00D73E98">
            <w:pPr>
              <w:spacing w:after="0" w:line="230" w:lineRule="exact"/>
              <w:rPr>
                <w:lang w:val="it-IT"/>
              </w:rPr>
            </w:pPr>
            <w:r w:rsidRPr="0046246F">
              <w:rPr>
                <w:lang w:val="it-IT"/>
              </w:rPr>
              <w:t>Nel caso in cui un'impresa controllata detenga azioni della società controllante entro i limiti consentiti dall'articolo 2359-</w:t>
            </w:r>
            <w:r w:rsidRPr="0046246F">
              <w:rPr>
                <w:i/>
                <w:iCs/>
                <w:lang w:val="it-IT"/>
              </w:rPr>
              <w:t>bis</w:t>
            </w:r>
            <w:r w:rsidRPr="0046246F">
              <w:rPr>
                <w:lang w:val="it-IT"/>
              </w:rPr>
              <w:t>, comma 3, del codice civile, è stata costituita in contropartita una riserva di ammontare pari all'importo iscritto nell'attivo, da indicare nella voce AVI “</w:t>
            </w:r>
            <w:r w:rsidRPr="0046246F">
              <w:rPr>
                <w:i/>
                <w:iCs/>
                <w:lang w:val="it-IT"/>
              </w:rPr>
              <w:t>Altre</w:t>
            </w:r>
            <w:r w:rsidRPr="0046246F">
              <w:rPr>
                <w:lang w:val="it-IT"/>
              </w:rPr>
              <w:t xml:space="preserve"> </w:t>
            </w:r>
            <w:r w:rsidRPr="0046246F">
              <w:rPr>
                <w:i/>
                <w:iCs/>
                <w:lang w:val="it-IT"/>
              </w:rPr>
              <w:t>riserve</w:t>
            </w:r>
            <w:r w:rsidRPr="0046246F">
              <w:rPr>
                <w:lang w:val="it-IT"/>
              </w:rPr>
              <w:t>”?</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46246F" w:rsidRDefault="00573EC9" w:rsidP="00D73E98">
            <w:pPr>
              <w:pStyle w:val="Puntoelenco"/>
              <w:numPr>
                <w:ilvl w:val="0"/>
                <w:numId w:val="0"/>
              </w:numPr>
              <w:rPr>
                <w:b/>
                <w:sz w:val="22"/>
                <w:szCs w:val="22"/>
              </w:rPr>
            </w:pPr>
            <w:r>
              <w:rPr>
                <w:b/>
                <w:sz w:val="22"/>
                <w:szCs w:val="22"/>
              </w:rPr>
              <w:t>Nota Integrativa</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8904BD" w:rsidRDefault="00573EC9" w:rsidP="00D73E98">
            <w:pPr>
              <w:pStyle w:val="Titolo3"/>
              <w:rPr>
                <w:lang w:val="it-IT"/>
              </w:rPr>
            </w:pPr>
            <w:r w:rsidRPr="0046246F">
              <w:rPr>
                <w:lang w:val="it-IT"/>
              </w:rPr>
              <w:t>Informazioni relative alle società che redigono il bilancio in forma ordinaria</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CC242B" w:rsidTr="009869E8">
        <w:trPr>
          <w:cantSplit/>
          <w:trHeight w:val="20"/>
        </w:trPr>
        <w:tc>
          <w:tcPr>
            <w:tcW w:w="681" w:type="dxa"/>
          </w:tcPr>
          <w:p w:rsidR="00573EC9" w:rsidRPr="008216D3" w:rsidRDefault="00573EC9" w:rsidP="00D73E98">
            <w:pPr>
              <w:jc w:val="center"/>
              <w:rPr>
                <w:b/>
                <w:lang w:val="it-IT"/>
              </w:rPr>
            </w:pPr>
            <w:r>
              <w:rPr>
                <w:b/>
                <w:lang w:val="it-IT"/>
              </w:rPr>
              <w:t>38</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sidRPr="008F33F2">
              <w:t>Art. 2427, c</w:t>
            </w:r>
            <w:r>
              <w:t>.</w:t>
            </w:r>
            <w:r w:rsidRPr="008F33F2">
              <w:t>1,</w:t>
            </w:r>
            <w:r>
              <w:rPr>
                <w:lang w:val="it-IT"/>
              </w:rPr>
              <w:t xml:space="preserve"> OIC 28.41</w:t>
            </w:r>
          </w:p>
        </w:tc>
        <w:tc>
          <w:tcPr>
            <w:tcW w:w="7060" w:type="dxa"/>
            <w:tcMar>
              <w:left w:w="108" w:type="dxa"/>
            </w:tcMar>
          </w:tcPr>
          <w:p w:rsidR="00573EC9" w:rsidRPr="0050194D" w:rsidRDefault="00573EC9" w:rsidP="00D73E98">
            <w:pPr>
              <w:pStyle w:val="Puntoelenco"/>
              <w:numPr>
                <w:ilvl w:val="0"/>
                <w:numId w:val="0"/>
              </w:numPr>
              <w:spacing w:line="230" w:lineRule="exact"/>
            </w:pPr>
            <w:r>
              <w:t>La società ha indicato in Nota Integrativa le seguenti informazioni:</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6E6F76"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46246F" w:rsidRDefault="00573EC9" w:rsidP="00D73E98">
            <w:pPr>
              <w:pStyle w:val="PrincCont"/>
              <w:jc w:val="left"/>
            </w:pPr>
            <w:r w:rsidRPr="008F33F2">
              <w:t>Art. 2427, c</w:t>
            </w:r>
            <w:r>
              <w:t>.</w:t>
            </w:r>
            <w:r w:rsidRPr="008F33F2">
              <w:t>1, n</w:t>
            </w:r>
            <w:r>
              <w:t>.</w:t>
            </w:r>
            <w:r w:rsidRPr="008F33F2">
              <w:t>1, CC</w:t>
            </w:r>
          </w:p>
        </w:tc>
        <w:tc>
          <w:tcPr>
            <w:tcW w:w="7060" w:type="dxa"/>
            <w:tcMar>
              <w:left w:w="108" w:type="dxa"/>
            </w:tcMar>
          </w:tcPr>
          <w:p w:rsidR="00573EC9" w:rsidRPr="0046246F" w:rsidRDefault="006E6F76" w:rsidP="006E6F76">
            <w:pPr>
              <w:pStyle w:val="Rientroa"/>
              <w:numPr>
                <w:ilvl w:val="0"/>
                <w:numId w:val="0"/>
              </w:numPr>
              <w:spacing w:line="230" w:lineRule="exact"/>
              <w:ind w:left="392" w:hanging="360"/>
            </w:pPr>
            <w:r w:rsidRPr="006E6F76">
              <w:t>a)</w:t>
            </w:r>
            <w:r w:rsidRPr="006E6F76">
              <w:tab/>
            </w:r>
            <w:r w:rsidR="00573EC9" w:rsidRPr="0046246F">
              <w:t>“</w:t>
            </w:r>
            <w:r w:rsidR="00573EC9" w:rsidRPr="007552BF">
              <w:t>i criteri applicati nella valutazione delle voci del bilancio, nelle rettifiche di valore e nella conversione dei valori non espressi all’origine in moneta avente corso legale nello Stato</w:t>
            </w:r>
            <w:r w:rsidR="00573EC9" w:rsidRPr="0046246F">
              <w:t>”;</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CA1681">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r w:rsidRPr="006E6F76">
              <w:rPr>
                <w:lang w:val="it-IT"/>
              </w:rPr>
              <w:t>Art. 2427, c.1, n.4, CC</w:t>
            </w:r>
          </w:p>
        </w:tc>
        <w:tc>
          <w:tcPr>
            <w:tcW w:w="7060" w:type="dxa"/>
            <w:tcMar>
              <w:left w:w="108" w:type="dxa"/>
            </w:tcMar>
          </w:tcPr>
          <w:p w:rsidR="00573EC9" w:rsidRPr="0046246F" w:rsidRDefault="006E6F76" w:rsidP="006E6F76">
            <w:pPr>
              <w:pStyle w:val="Rientroa"/>
              <w:numPr>
                <w:ilvl w:val="0"/>
                <w:numId w:val="0"/>
              </w:numPr>
              <w:spacing w:line="230" w:lineRule="exact"/>
              <w:ind w:left="392" w:hanging="360"/>
            </w:pPr>
            <w:r>
              <w:t>b)</w:t>
            </w:r>
            <w:r>
              <w:tab/>
            </w:r>
            <w:r w:rsidR="00573EC9" w:rsidRPr="0046246F">
              <w:t>“</w:t>
            </w:r>
            <w:r w:rsidR="00573EC9" w:rsidRPr="007552BF">
              <w:t>le variazioni intervenute nella consistenza delle altre voci dell’attivo e del passivo; in particolare, per le voci del patrimonio netto, per i fondi e per il trattamento di fine rapporto, la formazione e le utilizzazioni</w:t>
            </w:r>
            <w:r w:rsidR="00573EC9" w:rsidRPr="0046246F">
              <w:t>”;</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6E6F76" w:rsidTr="009869E8">
        <w:trPr>
          <w:cantSplit/>
          <w:trHeight w:val="20"/>
        </w:trPr>
        <w:tc>
          <w:tcPr>
            <w:tcW w:w="681" w:type="dxa"/>
          </w:tcPr>
          <w:p w:rsidR="00573EC9" w:rsidRPr="00391E7E" w:rsidRDefault="00573EC9" w:rsidP="00D73E98">
            <w:pPr>
              <w:jc w:val="center"/>
              <w:rPr>
                <w:b/>
                <w:highlight w:val="yellow"/>
                <w:lang w:val="it-IT"/>
              </w:rPr>
            </w:pPr>
          </w:p>
        </w:tc>
        <w:tc>
          <w:tcPr>
            <w:tcW w:w="850" w:type="dxa"/>
            <w:tcMar>
              <w:left w:w="108" w:type="dxa"/>
              <w:right w:w="0" w:type="dxa"/>
            </w:tcMar>
          </w:tcPr>
          <w:p w:rsidR="00573EC9" w:rsidRPr="00391E7E" w:rsidRDefault="00573EC9" w:rsidP="00D73E98">
            <w:pPr>
              <w:pStyle w:val="PrincCont"/>
              <w:jc w:val="left"/>
              <w:rPr>
                <w:highlight w:val="yellow"/>
                <w:lang w:val="it-IT"/>
              </w:rPr>
            </w:pPr>
            <w:r w:rsidRPr="009514D5">
              <w:t>Art. 2427, c.1, n.7, CC</w:t>
            </w:r>
          </w:p>
        </w:tc>
        <w:tc>
          <w:tcPr>
            <w:tcW w:w="7060" w:type="dxa"/>
            <w:tcMar>
              <w:left w:w="108" w:type="dxa"/>
            </w:tcMar>
          </w:tcPr>
          <w:p w:rsidR="00573EC9" w:rsidRPr="0046246F" w:rsidRDefault="006E6F76" w:rsidP="006E6F76">
            <w:pPr>
              <w:pStyle w:val="Rientroa"/>
              <w:numPr>
                <w:ilvl w:val="0"/>
                <w:numId w:val="0"/>
              </w:numPr>
              <w:spacing w:line="230" w:lineRule="exact"/>
              <w:ind w:left="392" w:hanging="360"/>
            </w:pPr>
            <w:r>
              <w:t>c)</w:t>
            </w:r>
            <w:r>
              <w:tab/>
            </w:r>
            <w:r w:rsidR="00573EC9" w:rsidRPr="0046246F">
              <w:t xml:space="preserve">“(…) </w:t>
            </w:r>
            <w:r w:rsidR="00573EC9" w:rsidRPr="007552BF">
              <w:t>la composizione della voce «altre riserve</w:t>
            </w:r>
            <w:r w:rsidR="00573EC9" w:rsidRPr="0046246F">
              <w:t>»”;</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CA1681">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361E4F" w:rsidRDefault="00573EC9" w:rsidP="00D73E98">
            <w:pPr>
              <w:pStyle w:val="PrincCont"/>
              <w:jc w:val="left"/>
            </w:pPr>
            <w:r w:rsidRPr="00361E4F">
              <w:t>Art. 2427, c.1, n.7-bis, CC</w:t>
            </w:r>
          </w:p>
        </w:tc>
        <w:tc>
          <w:tcPr>
            <w:tcW w:w="7060" w:type="dxa"/>
            <w:tcMar>
              <w:left w:w="108" w:type="dxa"/>
            </w:tcMar>
          </w:tcPr>
          <w:p w:rsidR="00573EC9" w:rsidRPr="0046246F" w:rsidRDefault="006E6F76" w:rsidP="006E6F76">
            <w:pPr>
              <w:pStyle w:val="Rientroa"/>
              <w:numPr>
                <w:ilvl w:val="0"/>
                <w:numId w:val="0"/>
              </w:numPr>
              <w:spacing w:line="230" w:lineRule="exact"/>
              <w:ind w:left="392" w:hanging="360"/>
            </w:pPr>
            <w:r>
              <w:t>d)</w:t>
            </w:r>
            <w:r>
              <w:tab/>
            </w:r>
            <w:r w:rsidR="00573EC9" w:rsidRPr="0046246F">
              <w:t>“</w:t>
            </w:r>
            <w:r w:rsidR="00573EC9" w:rsidRPr="007552BF">
              <w:t>l’indicazione in modo analitico delle voci di patrimonio netto, con specificazione in appositi prospetti della loro origine, possibilità di utilizzazione e distribuibilità, nonché della loro avvenuta utilizzazione nei precedenti esercizi</w:t>
            </w:r>
            <w:r w:rsidR="00573EC9" w:rsidRPr="0046246F">
              <w:t>”;</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6E6F76"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pPr>
            <w:r>
              <w:t>Art. 2427, c.1, n.17</w:t>
            </w:r>
            <w:r w:rsidRPr="008F33F2">
              <w:t>, CC</w:t>
            </w:r>
          </w:p>
        </w:tc>
        <w:tc>
          <w:tcPr>
            <w:tcW w:w="7060" w:type="dxa"/>
            <w:tcMar>
              <w:left w:w="108" w:type="dxa"/>
            </w:tcMar>
          </w:tcPr>
          <w:p w:rsidR="00573EC9" w:rsidRPr="007552BF" w:rsidRDefault="006E6F76" w:rsidP="006E6F76">
            <w:pPr>
              <w:pStyle w:val="Rientroa"/>
              <w:numPr>
                <w:ilvl w:val="0"/>
                <w:numId w:val="0"/>
              </w:numPr>
              <w:ind w:left="392" w:hanging="360"/>
            </w:pPr>
            <w:r w:rsidRPr="006E6F76">
              <w:t>e)</w:t>
            </w:r>
            <w:r w:rsidRPr="006E6F76">
              <w:tab/>
            </w:r>
            <w:r w:rsidR="00573EC9" w:rsidRPr="007552BF">
              <w:t>“il numero e il valore nominale di ciascuna categoria di azioni della società ed il numero ed il valore nominale delle nuove azioni della società sottoscritte durante l’esercizio”;</w:t>
            </w:r>
          </w:p>
        </w:tc>
        <w:tc>
          <w:tcPr>
            <w:tcW w:w="586" w:type="dxa"/>
            <w:tcMar>
              <w:left w:w="85" w:type="dxa"/>
              <w:right w:w="85" w:type="dxa"/>
            </w:tcMar>
            <w:vAlign w:val="center"/>
          </w:tcPr>
          <w:p w:rsidR="00573EC9" w:rsidRPr="007552BF"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CA1681">
              <w:fldChar w:fldCharType="separate"/>
            </w:r>
            <w:r>
              <w:fldChar w:fldCharType="end"/>
            </w:r>
          </w:p>
        </w:tc>
        <w:tc>
          <w:tcPr>
            <w:tcW w:w="573" w:type="dxa"/>
            <w:tcMar>
              <w:left w:w="108" w:type="dxa"/>
            </w:tcMar>
            <w:vAlign w:val="center"/>
          </w:tcPr>
          <w:p w:rsidR="00573EC9" w:rsidRPr="007552BF"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CA1681">
              <w:fldChar w:fldCharType="separate"/>
            </w:r>
            <w:r>
              <w:fldChar w:fldCharType="end"/>
            </w:r>
          </w:p>
        </w:tc>
        <w:tc>
          <w:tcPr>
            <w:tcW w:w="570" w:type="dxa"/>
            <w:tcMar>
              <w:left w:w="108" w:type="dxa"/>
            </w:tcMar>
            <w:vAlign w:val="center"/>
          </w:tcPr>
          <w:p w:rsidR="00573EC9" w:rsidRPr="007552BF"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CA1681">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r w:rsidRPr="006E6F76">
              <w:rPr>
                <w:lang w:val="it-IT"/>
              </w:rPr>
              <w:t>Art. 2427, c.1, n.18, CC</w:t>
            </w:r>
          </w:p>
        </w:tc>
        <w:tc>
          <w:tcPr>
            <w:tcW w:w="7060" w:type="dxa"/>
            <w:tcMar>
              <w:left w:w="108" w:type="dxa"/>
            </w:tcMar>
          </w:tcPr>
          <w:p w:rsidR="00573EC9" w:rsidRPr="0050194D" w:rsidRDefault="006E6F76" w:rsidP="006E6F76">
            <w:pPr>
              <w:pStyle w:val="Rientroa"/>
              <w:numPr>
                <w:ilvl w:val="0"/>
                <w:numId w:val="0"/>
              </w:numPr>
              <w:spacing w:line="230" w:lineRule="exact"/>
              <w:ind w:left="392" w:hanging="360"/>
            </w:pPr>
            <w:r>
              <w:t>f)</w:t>
            </w:r>
            <w:r>
              <w:tab/>
            </w:r>
            <w:r w:rsidR="00573EC9">
              <w:t>“</w:t>
            </w:r>
            <w:r w:rsidR="00573EC9" w:rsidRPr="007552BF">
              <w:t>le azioni di godimento, le obbligazioni convertibili in azioni, i warrants, le opzioni e i titoli o valori simili emessi dalla società, specificando il loro numero e i diritti che essi attribuiscono”;</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6E6F76"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r>
              <w:t>Art. 2427, c.1, n.19</w:t>
            </w:r>
            <w:r w:rsidRPr="008F33F2">
              <w:t>, CC</w:t>
            </w:r>
          </w:p>
        </w:tc>
        <w:tc>
          <w:tcPr>
            <w:tcW w:w="7060" w:type="dxa"/>
            <w:tcMar>
              <w:left w:w="108" w:type="dxa"/>
            </w:tcMar>
          </w:tcPr>
          <w:p w:rsidR="00573EC9" w:rsidRPr="007552BF" w:rsidRDefault="006E6F76" w:rsidP="006E6F76">
            <w:pPr>
              <w:pStyle w:val="Rientroa"/>
              <w:numPr>
                <w:ilvl w:val="0"/>
                <w:numId w:val="0"/>
              </w:numPr>
              <w:spacing w:line="230" w:lineRule="exact"/>
              <w:ind w:left="392" w:hanging="360"/>
            </w:pPr>
            <w:r>
              <w:t>g)</w:t>
            </w:r>
            <w:r>
              <w:tab/>
            </w:r>
            <w:r w:rsidR="00573EC9" w:rsidRPr="007552BF">
              <w:t>“il numero e le caratteristiche degli altri strumenti finanziari emessi dalla società, con l’indicazione dei diritti patrimoniali e partecipativi che conferiscono e delle principali caratteristiche delle operazioni relative”</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CA1681">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CA1681">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CA1681">
              <w:fldChar w:fldCharType="separate"/>
            </w:r>
            <w:r>
              <w:fldChar w:fldCharType="end"/>
            </w:r>
          </w:p>
        </w:tc>
      </w:tr>
      <w:tr w:rsidR="00573EC9" w:rsidRPr="007552B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361E4F" w:rsidRDefault="00573EC9" w:rsidP="00D73E98">
            <w:pPr>
              <w:pStyle w:val="PrincCont"/>
              <w:jc w:val="left"/>
            </w:pPr>
            <w:r w:rsidRPr="00361E4F">
              <w:t>Art. 2427, c.1, n.22-septies, CC</w:t>
            </w:r>
          </w:p>
        </w:tc>
        <w:tc>
          <w:tcPr>
            <w:tcW w:w="7060" w:type="dxa"/>
            <w:tcMar>
              <w:left w:w="108" w:type="dxa"/>
            </w:tcMar>
          </w:tcPr>
          <w:p w:rsidR="00573EC9" w:rsidRPr="007552BF" w:rsidRDefault="006E6F76" w:rsidP="006E6F76">
            <w:pPr>
              <w:pStyle w:val="Rientroa"/>
              <w:numPr>
                <w:ilvl w:val="0"/>
                <w:numId w:val="0"/>
              </w:numPr>
              <w:spacing w:line="230" w:lineRule="exact"/>
              <w:ind w:left="392" w:hanging="360"/>
            </w:pPr>
            <w:r>
              <w:rPr>
                <w:lang w:eastAsia="it-IT"/>
              </w:rPr>
              <w:t>h)</w:t>
            </w:r>
            <w:r>
              <w:rPr>
                <w:lang w:eastAsia="it-IT"/>
              </w:rPr>
              <w:tab/>
            </w:r>
            <w:r w:rsidR="00573EC9">
              <w:rPr>
                <w:lang w:eastAsia="it-IT"/>
              </w:rPr>
              <w:t>“</w:t>
            </w:r>
            <w:r w:rsidR="00573EC9" w:rsidRPr="007552BF">
              <w:rPr>
                <w:lang w:eastAsia="it-IT"/>
              </w:rPr>
              <w:t>la proposta di destinazione degli utili o di copertura delle perdite</w:t>
            </w:r>
            <w:r w:rsidR="00573EC9">
              <w:rPr>
                <w:lang w:eastAsia="it-IT"/>
              </w:rPr>
              <w:t>”?</w:t>
            </w:r>
          </w:p>
        </w:tc>
        <w:tc>
          <w:tcPr>
            <w:tcW w:w="586" w:type="dxa"/>
            <w:tcMar>
              <w:left w:w="85" w:type="dxa"/>
              <w:right w:w="85" w:type="dxa"/>
            </w:tcMar>
            <w:vAlign w:val="center"/>
          </w:tcPr>
          <w:p w:rsidR="00573EC9" w:rsidRPr="007552BF"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7552BF"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7552BF"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7552BF" w:rsidRDefault="00573EC9" w:rsidP="00D73E98">
            <w:pPr>
              <w:pStyle w:val="PrincCont"/>
              <w:jc w:val="left"/>
              <w:rPr>
                <w:lang w:val="it-IT"/>
              </w:rPr>
            </w:pPr>
          </w:p>
        </w:tc>
        <w:tc>
          <w:tcPr>
            <w:tcW w:w="7060" w:type="dxa"/>
            <w:tcMar>
              <w:left w:w="108" w:type="dxa"/>
            </w:tcMar>
          </w:tcPr>
          <w:p w:rsidR="00573EC9" w:rsidRPr="00102CCA" w:rsidRDefault="00573EC9" w:rsidP="00D73E98">
            <w:pPr>
              <w:pStyle w:val="Commentiriquadro"/>
              <w:rPr>
                <w:lang w:eastAsia="it-IT"/>
              </w:rPr>
            </w:pPr>
            <w:r>
              <w:rPr>
                <w:lang w:eastAsia="it-IT"/>
              </w:rPr>
              <w:t>Ai sensi del numero 7-</w:t>
            </w:r>
            <w:r>
              <w:rPr>
                <w:i/>
                <w:iCs/>
                <w:lang w:eastAsia="it-IT"/>
              </w:rPr>
              <w:t>bis</w:t>
            </w:r>
            <w:r>
              <w:rPr>
                <w:lang w:eastAsia="it-IT"/>
              </w:rPr>
              <w:t>) con riguardo al numero degli esercizi precedenti per i quali occorre fornire l’informazione dell’avvenuta utilizzazione delle voci di patrimonio netto, in genere è sufficiente fornire un’informazione riferita agli ultimi tre esercizi. In presenza di particolari situazioni riguardanti l’importo e le modalità di utilizzo delle riserve, è opportuno includere un’informazione riferita a un numero di esercizi superiore ai tre indicati.</w:t>
            </w:r>
          </w:p>
        </w:tc>
        <w:tc>
          <w:tcPr>
            <w:tcW w:w="586" w:type="dxa"/>
            <w:tcMar>
              <w:left w:w="85" w:type="dxa"/>
              <w:right w:w="85" w:type="dxa"/>
            </w:tcMar>
            <w:vAlign w:val="center"/>
          </w:tcPr>
          <w:p w:rsidR="00573EC9" w:rsidRPr="007552BF" w:rsidRDefault="00573EC9" w:rsidP="00D73E98">
            <w:pPr>
              <w:jc w:val="center"/>
              <w:rPr>
                <w:lang w:val="it-IT"/>
              </w:rPr>
            </w:pPr>
          </w:p>
        </w:tc>
        <w:tc>
          <w:tcPr>
            <w:tcW w:w="573" w:type="dxa"/>
            <w:tcMar>
              <w:left w:w="108" w:type="dxa"/>
            </w:tcMar>
            <w:vAlign w:val="center"/>
          </w:tcPr>
          <w:p w:rsidR="00573EC9" w:rsidRPr="007552BF" w:rsidRDefault="00573EC9" w:rsidP="00D73E98">
            <w:pPr>
              <w:jc w:val="center"/>
              <w:rPr>
                <w:lang w:val="it-IT"/>
              </w:rPr>
            </w:pPr>
          </w:p>
        </w:tc>
        <w:tc>
          <w:tcPr>
            <w:tcW w:w="570" w:type="dxa"/>
            <w:tcMar>
              <w:left w:w="108" w:type="dxa"/>
            </w:tcMar>
            <w:vAlign w:val="center"/>
          </w:tcPr>
          <w:p w:rsidR="00573EC9" w:rsidRPr="007552BF" w:rsidRDefault="00573EC9" w:rsidP="00D73E98">
            <w:pPr>
              <w:jc w:val="center"/>
              <w:rPr>
                <w:lang w:val="it-IT"/>
              </w:rPr>
            </w:pPr>
          </w:p>
        </w:tc>
      </w:tr>
      <w:tr w:rsidR="00573EC9" w:rsidRPr="000F770B" w:rsidTr="009869E8">
        <w:trPr>
          <w:cantSplit/>
          <w:trHeight w:val="20"/>
        </w:trPr>
        <w:tc>
          <w:tcPr>
            <w:tcW w:w="681" w:type="dxa"/>
          </w:tcPr>
          <w:p w:rsidR="00573EC9" w:rsidRPr="008216D3" w:rsidRDefault="00573EC9" w:rsidP="00D73E98">
            <w:pPr>
              <w:jc w:val="center"/>
              <w:rPr>
                <w:b/>
                <w:lang w:val="it-IT"/>
              </w:rPr>
            </w:pPr>
            <w:r>
              <w:rPr>
                <w:b/>
                <w:lang w:val="it-IT"/>
              </w:rPr>
              <w:t>39</w:t>
            </w:r>
            <w:r w:rsidRPr="008216D3">
              <w:rPr>
                <w:b/>
                <w:lang w:val="it-IT"/>
              </w:rPr>
              <w:t>)</w:t>
            </w:r>
          </w:p>
        </w:tc>
        <w:tc>
          <w:tcPr>
            <w:tcW w:w="850" w:type="dxa"/>
            <w:tcMar>
              <w:left w:w="108" w:type="dxa"/>
              <w:right w:w="0" w:type="dxa"/>
            </w:tcMar>
          </w:tcPr>
          <w:p w:rsidR="00573EC9" w:rsidRPr="000F770B" w:rsidRDefault="00573EC9" w:rsidP="00D73E98">
            <w:pPr>
              <w:pStyle w:val="PrincCont"/>
              <w:jc w:val="left"/>
            </w:pPr>
            <w:r>
              <w:t>Art. 2427, c.1b-</w:t>
            </w:r>
            <w:r w:rsidRPr="00500855">
              <w:t>quater</w:t>
            </w:r>
            <w:r>
              <w:t>, CC             OIC 28.42</w:t>
            </w:r>
          </w:p>
        </w:tc>
        <w:tc>
          <w:tcPr>
            <w:tcW w:w="7060" w:type="dxa"/>
            <w:tcMar>
              <w:left w:w="108" w:type="dxa"/>
            </w:tcMar>
          </w:tcPr>
          <w:p w:rsidR="00573EC9" w:rsidRPr="00F70B5E" w:rsidRDefault="00573EC9" w:rsidP="00D73E98">
            <w:pPr>
              <w:spacing w:after="0" w:line="230" w:lineRule="exact"/>
              <w:rPr>
                <w:lang w:val="it-IT"/>
              </w:rPr>
            </w:pPr>
            <w:r w:rsidRPr="000F770B">
              <w:rPr>
                <w:lang w:val="it-IT"/>
              </w:rPr>
              <w:t xml:space="preserve">La società ha presentato in </w:t>
            </w:r>
            <w:r>
              <w:rPr>
                <w:lang w:val="it-IT"/>
              </w:rPr>
              <w:t>Nota Integrativa</w:t>
            </w:r>
            <w:r w:rsidRPr="000F770B">
              <w:rPr>
                <w:lang w:val="it-IT"/>
              </w:rPr>
              <w:t xml:space="preserve"> una tabella che indichi i movimenti delle riserve di </w:t>
            </w:r>
            <w:r w:rsidRPr="000F770B">
              <w:rPr>
                <w:i/>
                <w:iCs/>
                <w:lang w:val="it-IT"/>
              </w:rPr>
              <w:t xml:space="preserve">fair value </w:t>
            </w:r>
            <w:r w:rsidRPr="000F770B">
              <w:rPr>
                <w:lang w:val="it-IT"/>
              </w:rPr>
              <w:t>avvenuti nell’esercizio?</w:t>
            </w:r>
          </w:p>
        </w:tc>
        <w:tc>
          <w:tcPr>
            <w:tcW w:w="586" w:type="dxa"/>
            <w:tcMar>
              <w:left w:w="85" w:type="dxa"/>
              <w:right w:w="85"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0F770B" w:rsidTr="009869E8">
        <w:trPr>
          <w:cantSplit/>
          <w:trHeight w:val="20"/>
        </w:trPr>
        <w:tc>
          <w:tcPr>
            <w:tcW w:w="681" w:type="dxa"/>
          </w:tcPr>
          <w:p w:rsidR="00573EC9" w:rsidRPr="008216D3" w:rsidRDefault="00573EC9" w:rsidP="00D73E98">
            <w:pPr>
              <w:jc w:val="center"/>
              <w:rPr>
                <w:b/>
                <w:lang w:val="it-IT"/>
              </w:rPr>
            </w:pPr>
            <w:r>
              <w:rPr>
                <w:b/>
                <w:lang w:val="it-IT"/>
              </w:rPr>
              <w:t>40</w:t>
            </w:r>
            <w:r w:rsidRPr="008216D3">
              <w:rPr>
                <w:b/>
                <w:lang w:val="it-IT"/>
              </w:rPr>
              <w:t>)</w:t>
            </w:r>
          </w:p>
        </w:tc>
        <w:tc>
          <w:tcPr>
            <w:tcW w:w="850" w:type="dxa"/>
            <w:tcMar>
              <w:left w:w="108" w:type="dxa"/>
              <w:right w:w="0" w:type="dxa"/>
            </w:tcMar>
          </w:tcPr>
          <w:p w:rsidR="00573EC9" w:rsidRPr="000F770B" w:rsidRDefault="00573EC9" w:rsidP="00D73E98">
            <w:pPr>
              <w:pStyle w:val="PrincCont"/>
              <w:jc w:val="left"/>
              <w:rPr>
                <w:lang w:val="it-IT"/>
              </w:rPr>
            </w:pPr>
            <w:r>
              <w:rPr>
                <w:lang w:val="it-IT"/>
              </w:rPr>
              <w:t>Art. 2423, c.4, CC             OIC 28.43</w:t>
            </w:r>
          </w:p>
        </w:tc>
        <w:tc>
          <w:tcPr>
            <w:tcW w:w="7060" w:type="dxa"/>
            <w:tcMar>
              <w:left w:w="108" w:type="dxa"/>
            </w:tcMar>
          </w:tcPr>
          <w:p w:rsidR="00573EC9" w:rsidRPr="009C1CB2" w:rsidRDefault="00573EC9" w:rsidP="00D73E98">
            <w:pPr>
              <w:spacing w:after="0" w:line="230" w:lineRule="exact"/>
              <w:rPr>
                <w:iCs/>
                <w:lang w:val="it-IT"/>
              </w:rPr>
            </w:pPr>
            <w:r w:rsidRPr="009C1CB2">
              <w:rPr>
                <w:iCs/>
                <w:lang w:val="it-IT"/>
              </w:rPr>
              <w:t xml:space="preserve">La società ha illustrato nella </w:t>
            </w:r>
            <w:r>
              <w:rPr>
                <w:iCs/>
                <w:lang w:val="it-IT"/>
              </w:rPr>
              <w:t>Nota Integrativa</w:t>
            </w:r>
            <w:r w:rsidRPr="009C1CB2">
              <w:rPr>
                <w:iCs/>
                <w:lang w:val="it-IT"/>
              </w:rPr>
              <w:t xml:space="preserve"> i criteri con i quali hanno dato attuazione alle disposizioni dell’</w:t>
            </w:r>
            <w:r w:rsidRPr="009C1CB2">
              <w:rPr>
                <w:lang w:val="it-IT"/>
              </w:rPr>
              <w:t>articolo 2423, comma 4, codice civile?</w:t>
            </w:r>
          </w:p>
        </w:tc>
        <w:tc>
          <w:tcPr>
            <w:tcW w:w="586" w:type="dxa"/>
            <w:tcMar>
              <w:left w:w="85" w:type="dxa"/>
              <w:right w:w="85"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0F770B" w:rsidRDefault="00573EC9" w:rsidP="00D73E98">
            <w:pPr>
              <w:pStyle w:val="PrincCont"/>
              <w:jc w:val="left"/>
              <w:rPr>
                <w:lang w:val="it-IT"/>
              </w:rPr>
            </w:pPr>
            <w:r>
              <w:rPr>
                <w:lang w:val="it-IT"/>
              </w:rPr>
              <w:t>Art. 2423, c.4, CC</w:t>
            </w:r>
          </w:p>
        </w:tc>
        <w:tc>
          <w:tcPr>
            <w:tcW w:w="7060" w:type="dxa"/>
            <w:tcMar>
              <w:left w:w="108" w:type="dxa"/>
            </w:tcMar>
          </w:tcPr>
          <w:p w:rsidR="00573EC9" w:rsidRPr="000F770B" w:rsidRDefault="00573EC9" w:rsidP="00D73E98">
            <w:pPr>
              <w:pStyle w:val="Commentiriquadro"/>
            </w:pPr>
            <w:r w:rsidRPr="009C1CB2">
              <w:t xml:space="preserve">L’articolo 2423, comma 4,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w:t>
            </w:r>
          </w:p>
        </w:tc>
        <w:tc>
          <w:tcPr>
            <w:tcW w:w="586" w:type="dxa"/>
            <w:tcMar>
              <w:left w:w="85" w:type="dxa"/>
              <w:right w:w="85" w:type="dxa"/>
            </w:tcMar>
            <w:vAlign w:val="center"/>
          </w:tcPr>
          <w:p w:rsidR="00573EC9" w:rsidRPr="000F770B" w:rsidRDefault="00573EC9" w:rsidP="00D73E98">
            <w:pPr>
              <w:jc w:val="center"/>
              <w:rPr>
                <w:lang w:val="it-IT"/>
              </w:rPr>
            </w:pPr>
          </w:p>
        </w:tc>
        <w:tc>
          <w:tcPr>
            <w:tcW w:w="573" w:type="dxa"/>
            <w:tcMar>
              <w:left w:w="108" w:type="dxa"/>
            </w:tcMar>
            <w:vAlign w:val="center"/>
          </w:tcPr>
          <w:p w:rsidR="00573EC9" w:rsidRPr="000F770B" w:rsidRDefault="00573EC9" w:rsidP="00D73E98">
            <w:pPr>
              <w:jc w:val="center"/>
              <w:rPr>
                <w:lang w:val="it-IT"/>
              </w:rPr>
            </w:pPr>
          </w:p>
        </w:tc>
        <w:tc>
          <w:tcPr>
            <w:tcW w:w="570" w:type="dxa"/>
            <w:tcMar>
              <w:left w:w="108" w:type="dxa"/>
            </w:tcMar>
            <w:vAlign w:val="center"/>
          </w:tcPr>
          <w:p w:rsidR="00573EC9" w:rsidRPr="000F770B" w:rsidRDefault="00573EC9" w:rsidP="00D73E98">
            <w:pPr>
              <w:jc w:val="center"/>
              <w:rPr>
                <w:lang w:val="it-IT"/>
              </w:rPr>
            </w:pP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0F770B" w:rsidRDefault="00573EC9" w:rsidP="00D73E98">
            <w:pPr>
              <w:pStyle w:val="PrincCont"/>
              <w:pageBreakBefore/>
              <w:jc w:val="left"/>
              <w:rPr>
                <w:lang w:val="it-IT"/>
              </w:rPr>
            </w:pPr>
          </w:p>
        </w:tc>
        <w:tc>
          <w:tcPr>
            <w:tcW w:w="7060" w:type="dxa"/>
            <w:tcMar>
              <w:left w:w="108" w:type="dxa"/>
            </w:tcMar>
            <w:vAlign w:val="center"/>
          </w:tcPr>
          <w:p w:rsidR="00573EC9" w:rsidRPr="008904BD" w:rsidRDefault="00573EC9" w:rsidP="00D73E98">
            <w:pPr>
              <w:pStyle w:val="Titolo3"/>
              <w:keepNext w:val="0"/>
              <w:pageBreakBefore/>
              <w:jc w:val="left"/>
              <w:rPr>
                <w:lang w:val="it-IT"/>
              </w:rPr>
            </w:pPr>
            <w:r w:rsidRPr="00602129">
              <w:rPr>
                <w:lang w:val="it-IT"/>
              </w:rPr>
              <w:t>Informazioni relative alle società che redigono il bilancio in forma abbreviata</w:t>
            </w:r>
          </w:p>
        </w:tc>
        <w:tc>
          <w:tcPr>
            <w:tcW w:w="586" w:type="dxa"/>
            <w:tcMar>
              <w:left w:w="85" w:type="dxa"/>
              <w:right w:w="85" w:type="dxa"/>
            </w:tcMar>
            <w:vAlign w:val="center"/>
          </w:tcPr>
          <w:p w:rsidR="00573EC9" w:rsidRPr="000F770B" w:rsidRDefault="00573EC9" w:rsidP="00D73E98">
            <w:pPr>
              <w:pageBreakBefore/>
              <w:jc w:val="center"/>
              <w:rPr>
                <w:lang w:val="it-IT"/>
              </w:rPr>
            </w:pPr>
          </w:p>
        </w:tc>
        <w:tc>
          <w:tcPr>
            <w:tcW w:w="573" w:type="dxa"/>
            <w:tcMar>
              <w:left w:w="108" w:type="dxa"/>
            </w:tcMar>
            <w:vAlign w:val="center"/>
          </w:tcPr>
          <w:p w:rsidR="00573EC9" w:rsidRPr="000F770B" w:rsidRDefault="00573EC9" w:rsidP="00D73E98">
            <w:pPr>
              <w:pageBreakBefore/>
              <w:jc w:val="center"/>
              <w:rPr>
                <w:lang w:val="it-IT"/>
              </w:rPr>
            </w:pPr>
          </w:p>
        </w:tc>
        <w:tc>
          <w:tcPr>
            <w:tcW w:w="570" w:type="dxa"/>
            <w:tcMar>
              <w:left w:w="108" w:type="dxa"/>
            </w:tcMar>
            <w:vAlign w:val="center"/>
          </w:tcPr>
          <w:p w:rsidR="00573EC9" w:rsidRPr="000F770B" w:rsidRDefault="00573EC9" w:rsidP="00D73E98">
            <w:pPr>
              <w:pageBreakBefore/>
              <w:jc w:val="center"/>
              <w:rPr>
                <w:lang w:val="it-IT"/>
              </w:rPr>
            </w:pPr>
          </w:p>
        </w:tc>
      </w:tr>
      <w:tr w:rsidR="00573EC9" w:rsidRPr="000F770B" w:rsidTr="009869E8">
        <w:trPr>
          <w:cantSplit/>
          <w:trHeight w:val="20"/>
        </w:trPr>
        <w:tc>
          <w:tcPr>
            <w:tcW w:w="681" w:type="dxa"/>
          </w:tcPr>
          <w:p w:rsidR="00573EC9" w:rsidRPr="008216D3" w:rsidRDefault="00573EC9" w:rsidP="00D73E98">
            <w:pPr>
              <w:jc w:val="center"/>
              <w:rPr>
                <w:b/>
                <w:lang w:val="it-IT"/>
              </w:rPr>
            </w:pPr>
            <w:r>
              <w:rPr>
                <w:b/>
                <w:lang w:val="it-IT"/>
              </w:rPr>
              <w:t>41</w:t>
            </w:r>
            <w:r w:rsidRPr="008216D3">
              <w:rPr>
                <w:b/>
                <w:lang w:val="it-IT"/>
              </w:rPr>
              <w:t>)</w:t>
            </w:r>
          </w:p>
        </w:tc>
        <w:tc>
          <w:tcPr>
            <w:tcW w:w="850" w:type="dxa"/>
            <w:tcMar>
              <w:left w:w="108" w:type="dxa"/>
              <w:right w:w="0" w:type="dxa"/>
            </w:tcMar>
          </w:tcPr>
          <w:p w:rsidR="00573EC9" w:rsidRPr="000F770B" w:rsidRDefault="00573EC9" w:rsidP="00D73E98">
            <w:pPr>
              <w:pStyle w:val="PrincCont"/>
              <w:jc w:val="left"/>
              <w:rPr>
                <w:lang w:val="it-IT"/>
              </w:rPr>
            </w:pPr>
            <w:r w:rsidRPr="00D151AD">
              <w:t>Art. 2435-bis, CC</w:t>
            </w:r>
            <w:r>
              <w:t xml:space="preserve">             OIC 28.44</w:t>
            </w:r>
          </w:p>
        </w:tc>
        <w:tc>
          <w:tcPr>
            <w:tcW w:w="7060" w:type="dxa"/>
            <w:tcMar>
              <w:left w:w="108" w:type="dxa"/>
            </w:tcMar>
          </w:tcPr>
          <w:p w:rsidR="00573EC9" w:rsidRPr="00602129" w:rsidRDefault="00573EC9" w:rsidP="00D73E98">
            <w:pPr>
              <w:spacing w:line="230" w:lineRule="exact"/>
              <w:rPr>
                <w:lang w:val="it-IT"/>
              </w:rPr>
            </w:pPr>
            <w:r w:rsidRPr="00602129">
              <w:rPr>
                <w:lang w:val="it-IT"/>
              </w:rPr>
              <w:t>Le società che redigono il bilancio in forma abbreviata con riferimento al patrimonio netto hanno fornito le informazioni di cui all’articolo 2427 comma 1 numero 1 del codice civile (i.e. “</w:t>
            </w:r>
            <w:r w:rsidRPr="00602129">
              <w:rPr>
                <w:i/>
                <w:iCs/>
                <w:lang w:val="it-IT"/>
              </w:rPr>
              <w:t>i criteri applicati nella valutazione delle voci del</w:t>
            </w:r>
            <w:r w:rsidRPr="00602129">
              <w:rPr>
                <w:lang w:val="it-IT"/>
              </w:rPr>
              <w:t xml:space="preserve"> </w:t>
            </w:r>
            <w:r w:rsidRPr="00602129">
              <w:rPr>
                <w:i/>
                <w:iCs/>
                <w:lang w:val="it-IT"/>
              </w:rPr>
              <w:t>bilancio, nelle rettifiche di valore e nella conversione dei valori non espressi all’origine in</w:t>
            </w:r>
            <w:r w:rsidRPr="00602129">
              <w:rPr>
                <w:lang w:val="it-IT"/>
              </w:rPr>
              <w:t xml:space="preserve"> </w:t>
            </w:r>
            <w:r w:rsidRPr="00602129">
              <w:rPr>
                <w:i/>
                <w:iCs/>
                <w:lang w:val="it-IT"/>
              </w:rPr>
              <w:t>moneta avente corso legale nello Stato</w:t>
            </w:r>
            <w:r w:rsidRPr="00602129">
              <w:rPr>
                <w:lang w:val="it-IT"/>
              </w:rPr>
              <w:t>”)?</w:t>
            </w:r>
          </w:p>
        </w:tc>
        <w:tc>
          <w:tcPr>
            <w:tcW w:w="586" w:type="dxa"/>
            <w:tcMar>
              <w:left w:w="85" w:type="dxa"/>
              <w:right w:w="85"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0F770B" w:rsidTr="009869E8">
        <w:trPr>
          <w:cantSplit/>
          <w:trHeight w:val="20"/>
        </w:trPr>
        <w:tc>
          <w:tcPr>
            <w:tcW w:w="681" w:type="dxa"/>
          </w:tcPr>
          <w:p w:rsidR="00573EC9" w:rsidRPr="008216D3" w:rsidRDefault="00573EC9" w:rsidP="00D73E98">
            <w:pPr>
              <w:jc w:val="center"/>
              <w:rPr>
                <w:b/>
                <w:lang w:val="it-IT"/>
              </w:rPr>
            </w:pPr>
            <w:r>
              <w:rPr>
                <w:b/>
                <w:lang w:val="it-IT"/>
              </w:rPr>
              <w:t>42</w:t>
            </w:r>
            <w:r w:rsidRPr="008216D3">
              <w:rPr>
                <w:b/>
                <w:lang w:val="it-IT"/>
              </w:rPr>
              <w:t>)</w:t>
            </w:r>
          </w:p>
        </w:tc>
        <w:tc>
          <w:tcPr>
            <w:tcW w:w="850" w:type="dxa"/>
            <w:tcMar>
              <w:left w:w="108" w:type="dxa"/>
              <w:right w:w="0" w:type="dxa"/>
            </w:tcMar>
          </w:tcPr>
          <w:p w:rsidR="00573EC9" w:rsidRPr="000F770B" w:rsidRDefault="00573EC9" w:rsidP="00D73E98">
            <w:pPr>
              <w:pStyle w:val="PrincCont"/>
              <w:jc w:val="left"/>
              <w:rPr>
                <w:lang w:val="it-IT"/>
              </w:rPr>
            </w:pPr>
            <w:r w:rsidRPr="00D151AD">
              <w:t>Art. 2435-bis, CC</w:t>
            </w:r>
            <w:r>
              <w:t xml:space="preserve">             OIC 28.45</w:t>
            </w:r>
          </w:p>
        </w:tc>
        <w:tc>
          <w:tcPr>
            <w:tcW w:w="7060" w:type="dxa"/>
            <w:tcMar>
              <w:left w:w="108" w:type="dxa"/>
            </w:tcMar>
          </w:tcPr>
          <w:p w:rsidR="00573EC9" w:rsidRPr="00B05BE4" w:rsidRDefault="00573EC9" w:rsidP="00D73E98">
            <w:pPr>
              <w:spacing w:line="230" w:lineRule="exact"/>
              <w:rPr>
                <w:lang w:val="it-IT"/>
              </w:rPr>
            </w:pPr>
            <w:r w:rsidRPr="00B05BE4">
              <w:rPr>
                <w:lang w:val="it-IT"/>
              </w:rPr>
              <w:t>Le società che redigono il bilancio in forma abbreviata con riferimento al patrimonio netto hanno fornito le informazioni richieste dall’articolo 2427-</w:t>
            </w:r>
            <w:r w:rsidRPr="00B05BE4">
              <w:rPr>
                <w:i/>
                <w:iCs/>
                <w:lang w:val="it-IT"/>
              </w:rPr>
              <w:t xml:space="preserve">bis </w:t>
            </w:r>
            <w:r w:rsidRPr="00B05BE4">
              <w:rPr>
                <w:lang w:val="it-IT"/>
              </w:rPr>
              <w:t>comma 1 numero 1b-</w:t>
            </w:r>
            <w:r w:rsidRPr="00B05BE4">
              <w:rPr>
                <w:i/>
                <w:iCs/>
                <w:lang w:val="it-IT"/>
              </w:rPr>
              <w:t>quater</w:t>
            </w:r>
            <w:r w:rsidRPr="00B05BE4">
              <w:rPr>
                <w:lang w:val="it-IT"/>
              </w:rPr>
              <w:t>) del codice civile (</w:t>
            </w:r>
            <w:r w:rsidRPr="00B05BE4">
              <w:rPr>
                <w:i/>
                <w:iCs/>
                <w:lang w:val="it-IT"/>
              </w:rPr>
              <w:t>i.e. una tabella che indichi i movimenti</w:t>
            </w:r>
            <w:r w:rsidRPr="00B05BE4">
              <w:rPr>
                <w:lang w:val="it-IT"/>
              </w:rPr>
              <w:t xml:space="preserve"> </w:t>
            </w:r>
            <w:r w:rsidRPr="00B05BE4">
              <w:rPr>
                <w:i/>
                <w:iCs/>
                <w:lang w:val="it-IT"/>
              </w:rPr>
              <w:t>delle riserve di fair value avvenuti nell’esercizio</w:t>
            </w:r>
            <w:r w:rsidRPr="00B05BE4">
              <w:rPr>
                <w:lang w:val="it-IT"/>
              </w:rPr>
              <w:t>)?</w:t>
            </w:r>
          </w:p>
        </w:tc>
        <w:tc>
          <w:tcPr>
            <w:tcW w:w="586" w:type="dxa"/>
            <w:tcMar>
              <w:left w:w="85" w:type="dxa"/>
              <w:right w:w="85"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CC242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0F770B" w:rsidRDefault="00573EC9" w:rsidP="00D73E98">
            <w:pPr>
              <w:pStyle w:val="PrincCont"/>
              <w:jc w:val="left"/>
              <w:rPr>
                <w:lang w:val="it-IT"/>
              </w:rPr>
            </w:pPr>
            <w:r>
              <w:rPr>
                <w:lang w:val="it-IT"/>
              </w:rPr>
              <w:t>OIC 28.46</w:t>
            </w:r>
          </w:p>
        </w:tc>
        <w:tc>
          <w:tcPr>
            <w:tcW w:w="7060" w:type="dxa"/>
            <w:tcMar>
              <w:left w:w="108" w:type="dxa"/>
            </w:tcMar>
          </w:tcPr>
          <w:p w:rsidR="00573EC9" w:rsidRPr="000F770B" w:rsidRDefault="00573EC9" w:rsidP="00D73E98">
            <w:pPr>
              <w:pStyle w:val="Commentiriquadro"/>
            </w:pPr>
            <w:r>
              <w:t>L’articolo 2423, comma 4,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w:t>
            </w:r>
          </w:p>
        </w:tc>
        <w:tc>
          <w:tcPr>
            <w:tcW w:w="586" w:type="dxa"/>
            <w:tcMar>
              <w:left w:w="85" w:type="dxa"/>
              <w:right w:w="85" w:type="dxa"/>
            </w:tcMar>
            <w:vAlign w:val="center"/>
          </w:tcPr>
          <w:p w:rsidR="00573EC9" w:rsidRPr="000F770B" w:rsidRDefault="00573EC9" w:rsidP="00D73E98">
            <w:pPr>
              <w:jc w:val="center"/>
              <w:rPr>
                <w:lang w:val="it-IT"/>
              </w:rPr>
            </w:pPr>
          </w:p>
        </w:tc>
        <w:tc>
          <w:tcPr>
            <w:tcW w:w="573" w:type="dxa"/>
            <w:tcMar>
              <w:left w:w="108" w:type="dxa"/>
            </w:tcMar>
            <w:vAlign w:val="center"/>
          </w:tcPr>
          <w:p w:rsidR="00573EC9" w:rsidRPr="000F770B" w:rsidRDefault="00573EC9" w:rsidP="00D73E98">
            <w:pPr>
              <w:jc w:val="center"/>
              <w:rPr>
                <w:lang w:val="it-IT"/>
              </w:rPr>
            </w:pPr>
          </w:p>
        </w:tc>
        <w:tc>
          <w:tcPr>
            <w:tcW w:w="570" w:type="dxa"/>
            <w:tcMar>
              <w:left w:w="108" w:type="dxa"/>
            </w:tcMar>
            <w:vAlign w:val="center"/>
          </w:tcPr>
          <w:p w:rsidR="00573EC9" w:rsidRPr="000F770B" w:rsidRDefault="00573EC9" w:rsidP="00D73E98">
            <w:pPr>
              <w:jc w:val="center"/>
              <w:rPr>
                <w:lang w:val="it-IT"/>
              </w:rPr>
            </w:pPr>
          </w:p>
        </w:tc>
      </w:tr>
      <w:tr w:rsidR="00573EC9" w:rsidRPr="000F770B" w:rsidTr="009869E8">
        <w:trPr>
          <w:cantSplit/>
          <w:trHeight w:val="20"/>
        </w:trPr>
        <w:tc>
          <w:tcPr>
            <w:tcW w:w="681" w:type="dxa"/>
          </w:tcPr>
          <w:p w:rsidR="00573EC9" w:rsidRPr="008216D3" w:rsidRDefault="00573EC9" w:rsidP="00D73E98">
            <w:pPr>
              <w:jc w:val="center"/>
              <w:rPr>
                <w:b/>
                <w:lang w:val="it-IT"/>
              </w:rPr>
            </w:pPr>
            <w:r>
              <w:rPr>
                <w:b/>
                <w:lang w:val="it-IT"/>
              </w:rPr>
              <w:t>43</w:t>
            </w:r>
            <w:r w:rsidRPr="008216D3">
              <w:rPr>
                <w:b/>
                <w:lang w:val="it-IT"/>
              </w:rPr>
              <w:t>)</w:t>
            </w:r>
          </w:p>
        </w:tc>
        <w:tc>
          <w:tcPr>
            <w:tcW w:w="850" w:type="dxa"/>
            <w:tcMar>
              <w:left w:w="108" w:type="dxa"/>
              <w:right w:w="0" w:type="dxa"/>
            </w:tcMar>
          </w:tcPr>
          <w:p w:rsidR="00573EC9" w:rsidRPr="000F770B" w:rsidRDefault="00573EC9" w:rsidP="00D73E98">
            <w:pPr>
              <w:pStyle w:val="PrincCont"/>
              <w:jc w:val="left"/>
              <w:rPr>
                <w:lang w:val="it-IT"/>
              </w:rPr>
            </w:pPr>
          </w:p>
        </w:tc>
        <w:tc>
          <w:tcPr>
            <w:tcW w:w="7060" w:type="dxa"/>
            <w:tcMar>
              <w:left w:w="108" w:type="dxa"/>
            </w:tcMar>
          </w:tcPr>
          <w:p w:rsidR="00573EC9" w:rsidRPr="000F770B" w:rsidRDefault="00573EC9" w:rsidP="00D73E98">
            <w:pPr>
              <w:pStyle w:val="Puntoelenco"/>
              <w:numPr>
                <w:ilvl w:val="0"/>
                <w:numId w:val="0"/>
              </w:numPr>
              <w:spacing w:line="230" w:lineRule="exact"/>
            </w:pPr>
            <w:r w:rsidRPr="009C1CB2">
              <w:rPr>
                <w:iCs/>
              </w:rPr>
              <w:t xml:space="preserve">La società ha illustrato nella </w:t>
            </w:r>
            <w:r>
              <w:rPr>
                <w:iCs/>
              </w:rPr>
              <w:t>Nota Integrativa</w:t>
            </w:r>
            <w:r w:rsidRPr="009C1CB2">
              <w:rPr>
                <w:iCs/>
              </w:rPr>
              <w:t xml:space="preserve"> i criteri con i quali hanno dato attuazione alle disposizioni dell’</w:t>
            </w:r>
            <w:r w:rsidRPr="009C1CB2">
              <w:t>articolo 2423, comma 4, codice civile?</w:t>
            </w:r>
          </w:p>
        </w:tc>
        <w:tc>
          <w:tcPr>
            <w:tcW w:w="586" w:type="dxa"/>
            <w:tcMar>
              <w:left w:w="85" w:type="dxa"/>
              <w:right w:w="85"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0F770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0F770B" w:rsidRDefault="00573EC9" w:rsidP="00D73E98">
            <w:pPr>
              <w:pStyle w:val="PrincCont"/>
              <w:jc w:val="left"/>
              <w:rPr>
                <w:lang w:val="it-IT"/>
              </w:rPr>
            </w:pPr>
          </w:p>
        </w:tc>
        <w:tc>
          <w:tcPr>
            <w:tcW w:w="7060" w:type="dxa"/>
            <w:tcMar>
              <w:left w:w="108" w:type="dxa"/>
            </w:tcMar>
            <w:vAlign w:val="center"/>
          </w:tcPr>
          <w:p w:rsidR="00573EC9" w:rsidRPr="000F770B" w:rsidRDefault="00573EC9" w:rsidP="00D73E98">
            <w:pPr>
              <w:pStyle w:val="Puntoelenco"/>
              <w:numPr>
                <w:ilvl w:val="0"/>
                <w:numId w:val="0"/>
              </w:numPr>
              <w:jc w:val="left"/>
            </w:pPr>
            <w:r w:rsidRPr="00C128C6">
              <w:rPr>
                <w:b/>
                <w:sz w:val="22"/>
                <w:szCs w:val="22"/>
              </w:rPr>
              <w:t>Disposizioni di prima applicazione</w:t>
            </w:r>
          </w:p>
        </w:tc>
        <w:tc>
          <w:tcPr>
            <w:tcW w:w="586" w:type="dxa"/>
            <w:tcMar>
              <w:left w:w="85" w:type="dxa"/>
              <w:right w:w="85" w:type="dxa"/>
            </w:tcMar>
            <w:vAlign w:val="center"/>
          </w:tcPr>
          <w:p w:rsidR="00573EC9" w:rsidRPr="000F770B" w:rsidRDefault="00573EC9" w:rsidP="00D73E98">
            <w:pPr>
              <w:jc w:val="center"/>
              <w:rPr>
                <w:lang w:val="it-IT"/>
              </w:rPr>
            </w:pPr>
          </w:p>
        </w:tc>
        <w:tc>
          <w:tcPr>
            <w:tcW w:w="573" w:type="dxa"/>
            <w:tcMar>
              <w:left w:w="108" w:type="dxa"/>
            </w:tcMar>
            <w:vAlign w:val="center"/>
          </w:tcPr>
          <w:p w:rsidR="00573EC9" w:rsidRPr="000F770B" w:rsidRDefault="00573EC9" w:rsidP="00D73E98">
            <w:pPr>
              <w:jc w:val="center"/>
              <w:rPr>
                <w:lang w:val="it-IT"/>
              </w:rPr>
            </w:pPr>
          </w:p>
        </w:tc>
        <w:tc>
          <w:tcPr>
            <w:tcW w:w="570" w:type="dxa"/>
            <w:tcMar>
              <w:left w:w="108" w:type="dxa"/>
            </w:tcMar>
            <w:vAlign w:val="center"/>
          </w:tcPr>
          <w:p w:rsidR="00573EC9" w:rsidRPr="000F770B" w:rsidRDefault="00573EC9" w:rsidP="00D73E98">
            <w:pPr>
              <w:jc w:val="center"/>
              <w:rPr>
                <w:lang w:val="it-IT"/>
              </w:rPr>
            </w:pPr>
          </w:p>
        </w:tc>
      </w:tr>
      <w:tr w:rsidR="00573EC9" w:rsidRPr="000F770B" w:rsidTr="009869E8">
        <w:trPr>
          <w:cantSplit/>
          <w:trHeight w:val="20"/>
        </w:trPr>
        <w:tc>
          <w:tcPr>
            <w:tcW w:w="681" w:type="dxa"/>
          </w:tcPr>
          <w:p w:rsidR="00573EC9" w:rsidRPr="008216D3" w:rsidRDefault="00573EC9" w:rsidP="00D73E98">
            <w:pPr>
              <w:jc w:val="center"/>
              <w:rPr>
                <w:b/>
                <w:lang w:val="it-IT"/>
              </w:rPr>
            </w:pPr>
            <w:r>
              <w:rPr>
                <w:b/>
                <w:lang w:val="it-IT"/>
              </w:rPr>
              <w:t>44</w:t>
            </w:r>
            <w:r w:rsidRPr="008216D3">
              <w:rPr>
                <w:b/>
                <w:lang w:val="it-IT"/>
              </w:rPr>
              <w:t>)</w:t>
            </w:r>
          </w:p>
        </w:tc>
        <w:tc>
          <w:tcPr>
            <w:tcW w:w="850" w:type="dxa"/>
            <w:tcMar>
              <w:left w:w="108" w:type="dxa"/>
              <w:right w:w="0" w:type="dxa"/>
            </w:tcMar>
          </w:tcPr>
          <w:p w:rsidR="00573EC9" w:rsidRPr="000F770B" w:rsidRDefault="00573EC9" w:rsidP="00D73E98">
            <w:pPr>
              <w:pStyle w:val="PrincCont"/>
              <w:jc w:val="left"/>
              <w:rPr>
                <w:lang w:val="it-IT"/>
              </w:rPr>
            </w:pPr>
            <w:r>
              <w:rPr>
                <w:lang w:val="it-IT"/>
              </w:rPr>
              <w:t>OIC 28.50</w:t>
            </w:r>
          </w:p>
        </w:tc>
        <w:tc>
          <w:tcPr>
            <w:tcW w:w="7060" w:type="dxa"/>
            <w:tcMar>
              <w:left w:w="108" w:type="dxa"/>
            </w:tcMar>
          </w:tcPr>
          <w:p w:rsidR="00573EC9" w:rsidRPr="00A64667" w:rsidRDefault="00573EC9" w:rsidP="00D73E98">
            <w:pPr>
              <w:spacing w:line="230" w:lineRule="exact"/>
              <w:rPr>
                <w:lang w:val="it-IT"/>
              </w:rPr>
            </w:pPr>
            <w:r w:rsidRPr="00A64667">
              <w:rPr>
                <w:lang w:val="it-IT"/>
              </w:rPr>
              <w:t>Gli eventuali effetti derivanti dall’applicazione dei paragrafi 37-39 dell’OIC 28 in tema di acquisto, alienazione e annullamento di azioni proprie sono stati rilevati retroattivamente ai sensi dell’OIC 29?</w:t>
            </w:r>
          </w:p>
        </w:tc>
        <w:tc>
          <w:tcPr>
            <w:tcW w:w="586" w:type="dxa"/>
            <w:tcMar>
              <w:left w:w="85" w:type="dxa"/>
              <w:right w:w="85"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573EC9" w:rsidRPr="00CC242B" w:rsidTr="009869E8">
        <w:trPr>
          <w:cantSplit/>
          <w:trHeight w:val="20"/>
        </w:trPr>
        <w:tc>
          <w:tcPr>
            <w:tcW w:w="681" w:type="dxa"/>
          </w:tcPr>
          <w:p w:rsidR="00573EC9" w:rsidRPr="000F770B" w:rsidRDefault="00573EC9" w:rsidP="00D73E98">
            <w:pPr>
              <w:jc w:val="center"/>
              <w:rPr>
                <w:lang w:val="it-IT"/>
              </w:rPr>
            </w:pPr>
          </w:p>
        </w:tc>
        <w:tc>
          <w:tcPr>
            <w:tcW w:w="850" w:type="dxa"/>
            <w:tcMar>
              <w:left w:w="108" w:type="dxa"/>
              <w:right w:w="0" w:type="dxa"/>
            </w:tcMar>
          </w:tcPr>
          <w:p w:rsidR="00573EC9" w:rsidRPr="000F770B" w:rsidRDefault="00573EC9" w:rsidP="00D73E98">
            <w:pPr>
              <w:pStyle w:val="PrincCont"/>
              <w:jc w:val="left"/>
              <w:rPr>
                <w:lang w:val="it-IT"/>
              </w:rPr>
            </w:pPr>
            <w:r>
              <w:rPr>
                <w:lang w:val="it-IT"/>
              </w:rPr>
              <w:t>OIC 28.51</w:t>
            </w:r>
          </w:p>
        </w:tc>
        <w:tc>
          <w:tcPr>
            <w:tcW w:w="7060" w:type="dxa"/>
            <w:tcMar>
              <w:left w:w="108" w:type="dxa"/>
            </w:tcMar>
          </w:tcPr>
          <w:p w:rsidR="00573EC9" w:rsidRPr="00A64667" w:rsidRDefault="00573EC9" w:rsidP="00D73E98">
            <w:pPr>
              <w:pStyle w:val="Commentiriquadro"/>
              <w:rPr>
                <w:i/>
                <w:iCs/>
              </w:rPr>
            </w:pPr>
            <w:r w:rsidRPr="00A64667">
              <w:t>Per quanto riguarda l’iscrizione della voce AVII “</w:t>
            </w:r>
            <w:r w:rsidRPr="00A64667">
              <w:rPr>
                <w:i/>
                <w:iCs/>
              </w:rPr>
              <w:t>Riserva per operazioni di copertura dei flussi finanziari attesi</w:t>
            </w:r>
            <w:r w:rsidRPr="00A64667">
              <w:t>” e della riserva di cui al paragrafo 30 dell’OIC 28 si rimanda ai paragrafi relativi alle</w:t>
            </w:r>
            <w:r w:rsidRPr="00A64667">
              <w:rPr>
                <w:i/>
                <w:iCs/>
              </w:rPr>
              <w:t xml:space="preserve"> </w:t>
            </w:r>
            <w:r w:rsidRPr="00A64667">
              <w:t>disposizioni di prima applicazione dell’OIC 32 “Strumenti finanziari derivati”.</w:t>
            </w:r>
          </w:p>
        </w:tc>
        <w:tc>
          <w:tcPr>
            <w:tcW w:w="586" w:type="dxa"/>
            <w:tcMar>
              <w:left w:w="85" w:type="dxa"/>
              <w:right w:w="85" w:type="dxa"/>
            </w:tcMar>
            <w:vAlign w:val="center"/>
          </w:tcPr>
          <w:p w:rsidR="00573EC9" w:rsidRPr="000F770B" w:rsidRDefault="00573EC9" w:rsidP="00D73E98">
            <w:pPr>
              <w:jc w:val="center"/>
              <w:rPr>
                <w:lang w:val="it-IT"/>
              </w:rPr>
            </w:pPr>
          </w:p>
        </w:tc>
        <w:tc>
          <w:tcPr>
            <w:tcW w:w="573" w:type="dxa"/>
            <w:tcMar>
              <w:left w:w="108" w:type="dxa"/>
            </w:tcMar>
            <w:vAlign w:val="center"/>
          </w:tcPr>
          <w:p w:rsidR="00573EC9" w:rsidRPr="000F770B" w:rsidRDefault="00573EC9" w:rsidP="00D73E98">
            <w:pPr>
              <w:jc w:val="center"/>
              <w:rPr>
                <w:lang w:val="it-IT"/>
              </w:rPr>
            </w:pPr>
          </w:p>
        </w:tc>
        <w:tc>
          <w:tcPr>
            <w:tcW w:w="570" w:type="dxa"/>
            <w:tcMar>
              <w:left w:w="108" w:type="dxa"/>
            </w:tcMar>
            <w:vAlign w:val="center"/>
          </w:tcPr>
          <w:p w:rsidR="00573EC9" w:rsidRPr="000F770B" w:rsidRDefault="00573EC9" w:rsidP="00D73E98">
            <w:pPr>
              <w:jc w:val="center"/>
              <w:rPr>
                <w:lang w:val="it-IT"/>
              </w:rPr>
            </w:pPr>
          </w:p>
        </w:tc>
      </w:tr>
      <w:tr w:rsidR="00573EC9" w:rsidRPr="00CC242B" w:rsidTr="009869E8">
        <w:trPr>
          <w:cantSplit/>
          <w:trHeight w:val="20"/>
        </w:trPr>
        <w:tc>
          <w:tcPr>
            <w:tcW w:w="681" w:type="dxa"/>
          </w:tcPr>
          <w:p w:rsidR="00573EC9" w:rsidRPr="000F770B" w:rsidRDefault="00573EC9" w:rsidP="00D73E98">
            <w:pPr>
              <w:jc w:val="center"/>
              <w:rPr>
                <w:lang w:val="it-IT"/>
              </w:rPr>
            </w:pPr>
          </w:p>
        </w:tc>
        <w:tc>
          <w:tcPr>
            <w:tcW w:w="850" w:type="dxa"/>
            <w:tcMar>
              <w:left w:w="108" w:type="dxa"/>
              <w:right w:w="0" w:type="dxa"/>
            </w:tcMar>
          </w:tcPr>
          <w:p w:rsidR="00573EC9" w:rsidRPr="000F770B" w:rsidRDefault="00573EC9" w:rsidP="00D73E98">
            <w:pPr>
              <w:pStyle w:val="PrincCont"/>
              <w:jc w:val="left"/>
              <w:rPr>
                <w:lang w:val="it-IT"/>
              </w:rPr>
            </w:pPr>
            <w:r>
              <w:rPr>
                <w:lang w:val="it-IT"/>
              </w:rPr>
              <w:t>OIC 28.52</w:t>
            </w:r>
          </w:p>
        </w:tc>
        <w:tc>
          <w:tcPr>
            <w:tcW w:w="7060" w:type="dxa"/>
            <w:tcMar>
              <w:left w:w="108" w:type="dxa"/>
            </w:tcMar>
          </w:tcPr>
          <w:p w:rsidR="00573EC9" w:rsidRDefault="00573EC9" w:rsidP="00D73E98">
            <w:pPr>
              <w:pStyle w:val="Commentiriquadro"/>
              <w:rPr>
                <w:lang w:eastAsia="it-IT"/>
              </w:rPr>
            </w:pPr>
            <w:r>
              <w:rPr>
                <w:lang w:eastAsia="it-IT"/>
              </w:rPr>
              <w:t>Eventuali effetti derivanti dall’applicazione delle altre modifiche apportate alla precedente veersione dell’OIC 28 possono essere rilevati in bilancio prospetticamente ai sensi dell’OIC 29.</w:t>
            </w:r>
          </w:p>
          <w:p w:rsidR="00573EC9" w:rsidRPr="00A64667" w:rsidRDefault="00573EC9" w:rsidP="00D73E98">
            <w:pPr>
              <w:pStyle w:val="Commentiriquadro"/>
              <w:rPr>
                <w:lang w:eastAsia="it-IT"/>
              </w:rPr>
            </w:pPr>
            <w:r>
              <w:rPr>
                <w:lang w:eastAsia="it-IT"/>
              </w:rPr>
              <w:t>Pertanto le componenti delle voci riferite ad operazioni che non hanno ancora esaurito i loro effetti in bilancio possono continuare ad essere contabilizzate in conformità al precedente principio.</w:t>
            </w:r>
          </w:p>
        </w:tc>
        <w:tc>
          <w:tcPr>
            <w:tcW w:w="586" w:type="dxa"/>
            <w:tcMar>
              <w:left w:w="85" w:type="dxa"/>
              <w:right w:w="85" w:type="dxa"/>
            </w:tcMar>
            <w:vAlign w:val="center"/>
          </w:tcPr>
          <w:p w:rsidR="00573EC9" w:rsidRPr="000F770B" w:rsidRDefault="00573EC9" w:rsidP="00D73E98">
            <w:pPr>
              <w:jc w:val="center"/>
              <w:rPr>
                <w:lang w:val="it-IT"/>
              </w:rPr>
            </w:pPr>
          </w:p>
        </w:tc>
        <w:tc>
          <w:tcPr>
            <w:tcW w:w="573" w:type="dxa"/>
            <w:tcMar>
              <w:left w:w="108" w:type="dxa"/>
            </w:tcMar>
            <w:vAlign w:val="center"/>
          </w:tcPr>
          <w:p w:rsidR="00573EC9" w:rsidRPr="000F770B" w:rsidRDefault="00573EC9" w:rsidP="00D73E98">
            <w:pPr>
              <w:jc w:val="center"/>
              <w:rPr>
                <w:lang w:val="it-IT"/>
              </w:rPr>
            </w:pPr>
          </w:p>
        </w:tc>
        <w:tc>
          <w:tcPr>
            <w:tcW w:w="570" w:type="dxa"/>
            <w:tcMar>
              <w:left w:w="108" w:type="dxa"/>
            </w:tcMar>
            <w:vAlign w:val="center"/>
          </w:tcPr>
          <w:p w:rsidR="00573EC9" w:rsidRPr="000F770B" w:rsidRDefault="00573EC9" w:rsidP="00D73E98">
            <w:pPr>
              <w:jc w:val="center"/>
              <w:rPr>
                <w:lang w:val="it-IT"/>
              </w:rPr>
            </w:pPr>
          </w:p>
        </w:tc>
      </w:tr>
    </w:tbl>
    <w:p w:rsidR="00AD4AE2" w:rsidRDefault="00AD4AE2" w:rsidP="00AD4AE2">
      <w:pPr>
        <w:rPr>
          <w:lang w:val="it-IT"/>
        </w:rPr>
        <w:sectPr w:rsidR="00AD4AE2" w:rsidSect="00D73E98">
          <w:headerReference w:type="default" r:id="rId45"/>
          <w:footerReference w:type="default" r:id="rId46"/>
          <w:pgSz w:w="11906" w:h="16838" w:code="9"/>
          <w:pgMar w:top="1134" w:right="851" w:bottom="851" w:left="851" w:header="709" w:footer="567" w:gutter="0"/>
          <w:cols w:space="708"/>
          <w:docGrid w:linePitch="360"/>
        </w:sectPr>
      </w:pPr>
    </w:p>
    <w:p w:rsidR="00AD4AE2" w:rsidRPr="00655A70" w:rsidRDefault="00AD4AE2" w:rsidP="00AD4AE2">
      <w:pPr>
        <w:rPr>
          <w:lang w:val="it-IT"/>
        </w:rPr>
      </w:pPr>
    </w:p>
    <w:p w:rsidR="00AD4AE2" w:rsidRPr="00BF7CB6" w:rsidRDefault="00AD4AE2" w:rsidP="00AD4AE2">
      <w:pPr>
        <w:tabs>
          <w:tab w:val="left" w:pos="1890"/>
        </w:tabs>
        <w:spacing w:line="260" w:lineRule="exact"/>
        <w:ind w:left="990" w:hanging="990"/>
        <w:jc w:val="left"/>
        <w:rPr>
          <w:b/>
          <w:color w:val="0070C0"/>
          <w:lang w:val="it-IT"/>
        </w:rPr>
      </w:pPr>
      <w:r w:rsidRPr="00BF7CB6">
        <w:rPr>
          <w:b/>
          <w:color w:val="0070C0"/>
          <w:sz w:val="28"/>
          <w:lang w:val="it-IT"/>
        </w:rPr>
        <w:t>Fondi per rischi e oneri</w:t>
      </w:r>
      <w:r>
        <w:rPr>
          <w:b/>
          <w:color w:val="0070C0"/>
          <w:sz w:val="28"/>
          <w:lang w:val="it-IT"/>
        </w:rPr>
        <w:t xml:space="preserve"> e trattamento di fine rapporto</w:t>
      </w:r>
    </w:p>
    <w:p w:rsidR="00AD4AE2" w:rsidRPr="00BF7CB6" w:rsidRDefault="00AD4AE2" w:rsidP="00AD4AE2">
      <w:pPr>
        <w:rPr>
          <w:lang w:val="it-IT"/>
        </w:rPr>
      </w:pPr>
    </w:p>
    <w:p w:rsidR="00AD4AE2" w:rsidRPr="00BF7CB6" w:rsidRDefault="00AD4AE2" w:rsidP="00AD4AE2">
      <w:pPr>
        <w:rPr>
          <w:lang w:val="it-IT"/>
        </w:rPr>
      </w:pPr>
    </w:p>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2"/>
        <w:gridCol w:w="7059"/>
        <w:gridCol w:w="586"/>
        <w:gridCol w:w="573"/>
        <w:gridCol w:w="570"/>
      </w:tblGrid>
      <w:tr w:rsidR="00AD4AE2" w:rsidRPr="00BF7CB6" w:rsidTr="000D7E0A">
        <w:trPr>
          <w:cantSplit/>
          <w:trHeight w:val="20"/>
          <w:tblHeader/>
        </w:trPr>
        <w:tc>
          <w:tcPr>
            <w:tcW w:w="680" w:type="dxa"/>
            <w:shd w:val="clear" w:color="auto" w:fill="F2F2F2"/>
          </w:tcPr>
          <w:p w:rsidR="00AD4AE2" w:rsidRPr="00BF7CB6" w:rsidRDefault="00AD4AE2" w:rsidP="000D7E0A">
            <w:pPr>
              <w:jc w:val="center"/>
              <w:rPr>
                <w:lang w:val="it-IT"/>
              </w:rPr>
            </w:pPr>
          </w:p>
        </w:tc>
        <w:tc>
          <w:tcPr>
            <w:tcW w:w="852" w:type="dxa"/>
            <w:shd w:val="clear" w:color="auto" w:fill="F2F2F2"/>
            <w:tcMar>
              <w:left w:w="108" w:type="dxa"/>
              <w:right w:w="0" w:type="dxa"/>
            </w:tcMar>
          </w:tcPr>
          <w:p w:rsidR="00AD4AE2" w:rsidRPr="00BF7CB6" w:rsidRDefault="00AD4AE2" w:rsidP="000D7E0A">
            <w:pPr>
              <w:jc w:val="left"/>
              <w:rPr>
                <w:b/>
                <w:lang w:val="it-IT"/>
              </w:rPr>
            </w:pPr>
          </w:p>
        </w:tc>
        <w:tc>
          <w:tcPr>
            <w:tcW w:w="7059" w:type="dxa"/>
            <w:shd w:val="clear" w:color="auto" w:fill="F2F2F2"/>
            <w:tcMar>
              <w:left w:w="108" w:type="dxa"/>
            </w:tcMar>
          </w:tcPr>
          <w:p w:rsidR="00AD4AE2" w:rsidRPr="00BF7CB6" w:rsidRDefault="00AD4AE2" w:rsidP="000D7E0A">
            <w:pPr>
              <w:jc w:val="center"/>
              <w:rPr>
                <w:b/>
                <w:lang w:val="it-IT"/>
              </w:rPr>
            </w:pPr>
          </w:p>
        </w:tc>
        <w:tc>
          <w:tcPr>
            <w:tcW w:w="586" w:type="dxa"/>
            <w:shd w:val="clear" w:color="auto" w:fill="F2F2F2"/>
            <w:tcMar>
              <w:left w:w="85" w:type="dxa"/>
              <w:right w:w="85" w:type="dxa"/>
            </w:tcMar>
            <w:vAlign w:val="bottom"/>
          </w:tcPr>
          <w:p w:rsidR="00AD4AE2" w:rsidRPr="00BF7CB6" w:rsidRDefault="00AD4AE2" w:rsidP="000D7E0A">
            <w:pPr>
              <w:jc w:val="center"/>
              <w:rPr>
                <w:b/>
                <w:lang w:val="it-IT"/>
              </w:rPr>
            </w:pPr>
            <w:r w:rsidRPr="00BF7CB6">
              <w:rPr>
                <w:b/>
                <w:lang w:val="it-IT"/>
              </w:rPr>
              <w:t>SI</w:t>
            </w:r>
          </w:p>
        </w:tc>
        <w:tc>
          <w:tcPr>
            <w:tcW w:w="573" w:type="dxa"/>
            <w:shd w:val="clear" w:color="auto" w:fill="F2F2F2"/>
            <w:tcMar>
              <w:left w:w="108" w:type="dxa"/>
            </w:tcMar>
            <w:vAlign w:val="bottom"/>
          </w:tcPr>
          <w:p w:rsidR="00AD4AE2" w:rsidRPr="00BF7CB6" w:rsidRDefault="00AD4AE2" w:rsidP="000D7E0A">
            <w:pPr>
              <w:jc w:val="center"/>
              <w:rPr>
                <w:b/>
                <w:lang w:val="it-IT"/>
              </w:rPr>
            </w:pPr>
            <w:r w:rsidRPr="00BF7CB6">
              <w:rPr>
                <w:b/>
                <w:lang w:val="it-IT"/>
              </w:rPr>
              <w:t>NO</w:t>
            </w:r>
          </w:p>
        </w:tc>
        <w:tc>
          <w:tcPr>
            <w:tcW w:w="570" w:type="dxa"/>
            <w:shd w:val="clear" w:color="auto" w:fill="F2F2F2"/>
            <w:tcMar>
              <w:left w:w="108" w:type="dxa"/>
            </w:tcMar>
            <w:vAlign w:val="bottom"/>
          </w:tcPr>
          <w:p w:rsidR="00AD4AE2" w:rsidRPr="00BF7CB6" w:rsidRDefault="00AD4AE2" w:rsidP="000D7E0A">
            <w:pPr>
              <w:jc w:val="center"/>
              <w:rPr>
                <w:b/>
                <w:lang w:val="it-IT"/>
              </w:rPr>
            </w:pPr>
            <w:r w:rsidRPr="00BF7CB6">
              <w:rPr>
                <w:b/>
                <w:lang w:val="it-IT"/>
              </w:rPr>
              <w:t>N/A</w:t>
            </w:r>
          </w:p>
        </w:tc>
      </w:tr>
      <w:tr w:rsidR="00AD4AE2" w:rsidRPr="00CC242B"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vAlign w:val="center"/>
          </w:tcPr>
          <w:p w:rsidR="00AD4AE2" w:rsidRPr="00BF7CB6" w:rsidRDefault="00AD4AE2" w:rsidP="000D7E0A">
            <w:pPr>
              <w:pStyle w:val="PrincCont"/>
              <w:jc w:val="left"/>
              <w:rPr>
                <w:lang w:val="it-IT"/>
              </w:rPr>
            </w:pPr>
          </w:p>
        </w:tc>
        <w:tc>
          <w:tcPr>
            <w:tcW w:w="7059" w:type="dxa"/>
            <w:tcMar>
              <w:left w:w="108" w:type="dxa"/>
            </w:tcMar>
            <w:vAlign w:val="center"/>
          </w:tcPr>
          <w:p w:rsidR="00AD4AE2" w:rsidRPr="00AD4AE2" w:rsidRDefault="00AD4AE2" w:rsidP="000D7E0A">
            <w:pPr>
              <w:pStyle w:val="Titolo2"/>
              <w:rPr>
                <w:lang w:val="it-IT"/>
              </w:rPr>
            </w:pPr>
            <w:r w:rsidRPr="00AD4AE2">
              <w:rPr>
                <w:lang w:val="it-IT"/>
              </w:rPr>
              <w:t>FONDI PER RISCHI E ONERI E TRATTAMENTO DI FINE RAPPORTO</w:t>
            </w:r>
          </w:p>
        </w:tc>
        <w:tc>
          <w:tcPr>
            <w:tcW w:w="586" w:type="dxa"/>
            <w:tcMar>
              <w:left w:w="85" w:type="dxa"/>
              <w:right w:w="85" w:type="dxa"/>
            </w:tcMar>
            <w:vAlign w:val="center"/>
          </w:tcPr>
          <w:p w:rsidR="00AD4AE2" w:rsidRPr="00BF7CB6" w:rsidRDefault="00AD4AE2" w:rsidP="000D7E0A">
            <w:pPr>
              <w:jc w:val="left"/>
              <w:rPr>
                <w:lang w:val="it-IT"/>
              </w:rPr>
            </w:pPr>
          </w:p>
        </w:tc>
        <w:tc>
          <w:tcPr>
            <w:tcW w:w="573" w:type="dxa"/>
            <w:tcMar>
              <w:left w:w="108" w:type="dxa"/>
            </w:tcMar>
            <w:vAlign w:val="center"/>
          </w:tcPr>
          <w:p w:rsidR="00AD4AE2" w:rsidRPr="00BF7CB6" w:rsidRDefault="00AD4AE2" w:rsidP="000D7E0A">
            <w:pPr>
              <w:jc w:val="left"/>
              <w:rPr>
                <w:lang w:val="it-IT"/>
              </w:rPr>
            </w:pPr>
          </w:p>
        </w:tc>
        <w:tc>
          <w:tcPr>
            <w:tcW w:w="570" w:type="dxa"/>
            <w:tcMar>
              <w:left w:w="108" w:type="dxa"/>
            </w:tcMar>
            <w:vAlign w:val="center"/>
          </w:tcPr>
          <w:p w:rsidR="00AD4AE2" w:rsidRPr="00BF7CB6" w:rsidRDefault="00AD4AE2" w:rsidP="000D7E0A">
            <w:pPr>
              <w:jc w:val="left"/>
              <w:rPr>
                <w:lang w:val="it-IT"/>
              </w:rPr>
            </w:pPr>
          </w:p>
        </w:tc>
      </w:tr>
      <w:tr w:rsidR="00AD4AE2" w:rsidRPr="00CC242B"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vAlign w:val="center"/>
          </w:tcPr>
          <w:p w:rsidR="00AD4AE2" w:rsidRPr="00BF7CB6" w:rsidRDefault="00AD4AE2" w:rsidP="000D7E0A">
            <w:pPr>
              <w:pStyle w:val="PrincCont"/>
              <w:jc w:val="left"/>
              <w:rPr>
                <w:lang w:val="it-IT"/>
              </w:rPr>
            </w:pPr>
          </w:p>
        </w:tc>
        <w:tc>
          <w:tcPr>
            <w:tcW w:w="7059" w:type="dxa"/>
            <w:tcMar>
              <w:left w:w="108" w:type="dxa"/>
            </w:tcMar>
            <w:vAlign w:val="center"/>
          </w:tcPr>
          <w:p w:rsidR="00AD4AE2" w:rsidRPr="00AD4AE2" w:rsidRDefault="00AD4AE2" w:rsidP="000D7E0A">
            <w:pPr>
              <w:pStyle w:val="Titolo2"/>
              <w:rPr>
                <w:lang w:val="it-IT"/>
              </w:rPr>
            </w:pPr>
            <w:r w:rsidRPr="00AD4AE2">
              <w:rPr>
                <w:lang w:val="it-IT"/>
              </w:rPr>
              <w:t>Fondi per rischi e oneri</w:t>
            </w:r>
          </w:p>
        </w:tc>
        <w:tc>
          <w:tcPr>
            <w:tcW w:w="586" w:type="dxa"/>
            <w:tcMar>
              <w:left w:w="85" w:type="dxa"/>
              <w:right w:w="85" w:type="dxa"/>
            </w:tcMar>
            <w:vAlign w:val="center"/>
          </w:tcPr>
          <w:p w:rsidR="00AD4AE2" w:rsidRPr="00BF7CB6" w:rsidRDefault="00AD4AE2" w:rsidP="000D7E0A">
            <w:pPr>
              <w:jc w:val="left"/>
              <w:rPr>
                <w:lang w:val="it-IT"/>
              </w:rPr>
            </w:pPr>
          </w:p>
        </w:tc>
        <w:tc>
          <w:tcPr>
            <w:tcW w:w="573" w:type="dxa"/>
            <w:tcMar>
              <w:left w:w="108" w:type="dxa"/>
            </w:tcMar>
            <w:vAlign w:val="center"/>
          </w:tcPr>
          <w:p w:rsidR="00AD4AE2" w:rsidRPr="00BF7CB6" w:rsidRDefault="00AD4AE2" w:rsidP="000D7E0A">
            <w:pPr>
              <w:jc w:val="left"/>
              <w:rPr>
                <w:lang w:val="it-IT"/>
              </w:rPr>
            </w:pPr>
          </w:p>
        </w:tc>
        <w:tc>
          <w:tcPr>
            <w:tcW w:w="570" w:type="dxa"/>
            <w:tcMar>
              <w:left w:w="108" w:type="dxa"/>
            </w:tcMar>
            <w:vAlign w:val="center"/>
          </w:tcPr>
          <w:p w:rsidR="00AD4AE2" w:rsidRPr="00BF7CB6" w:rsidRDefault="00AD4AE2" w:rsidP="000D7E0A">
            <w:pPr>
              <w:jc w:val="left"/>
              <w:rPr>
                <w:lang w:val="it-IT"/>
              </w:rPr>
            </w:pPr>
          </w:p>
        </w:tc>
      </w:tr>
      <w:tr w:rsidR="00AD4AE2" w:rsidRPr="00BF7CB6"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vAlign w:val="center"/>
          </w:tcPr>
          <w:p w:rsidR="00AD4AE2" w:rsidRPr="00BF7CB6" w:rsidRDefault="00AD4AE2" w:rsidP="000D7E0A">
            <w:pPr>
              <w:pStyle w:val="PrincCont"/>
              <w:jc w:val="left"/>
              <w:rPr>
                <w:lang w:val="it-IT"/>
              </w:rPr>
            </w:pPr>
          </w:p>
        </w:tc>
        <w:tc>
          <w:tcPr>
            <w:tcW w:w="7059" w:type="dxa"/>
            <w:tcMar>
              <w:left w:w="108" w:type="dxa"/>
            </w:tcMar>
            <w:vAlign w:val="center"/>
          </w:tcPr>
          <w:p w:rsidR="00AD4AE2" w:rsidRPr="005E3C20" w:rsidRDefault="00AD4AE2" w:rsidP="000D7E0A">
            <w:pPr>
              <w:pStyle w:val="Titolo3"/>
            </w:pPr>
            <w:r w:rsidRPr="005E3C20">
              <w:t>Definizioni</w:t>
            </w:r>
          </w:p>
        </w:tc>
        <w:tc>
          <w:tcPr>
            <w:tcW w:w="586" w:type="dxa"/>
            <w:tcMar>
              <w:left w:w="85" w:type="dxa"/>
              <w:right w:w="85" w:type="dxa"/>
            </w:tcMar>
            <w:vAlign w:val="center"/>
          </w:tcPr>
          <w:p w:rsidR="00AD4AE2" w:rsidRPr="00BF7CB6" w:rsidRDefault="00AD4AE2" w:rsidP="000D7E0A">
            <w:pPr>
              <w:jc w:val="left"/>
              <w:rPr>
                <w:lang w:val="it-IT"/>
              </w:rPr>
            </w:pPr>
          </w:p>
        </w:tc>
        <w:tc>
          <w:tcPr>
            <w:tcW w:w="573" w:type="dxa"/>
            <w:tcMar>
              <w:left w:w="108" w:type="dxa"/>
            </w:tcMar>
            <w:vAlign w:val="center"/>
          </w:tcPr>
          <w:p w:rsidR="00AD4AE2" w:rsidRPr="00BF7CB6" w:rsidRDefault="00AD4AE2" w:rsidP="000D7E0A">
            <w:pPr>
              <w:jc w:val="left"/>
              <w:rPr>
                <w:lang w:val="it-IT"/>
              </w:rPr>
            </w:pPr>
          </w:p>
        </w:tc>
        <w:tc>
          <w:tcPr>
            <w:tcW w:w="570" w:type="dxa"/>
            <w:tcMar>
              <w:left w:w="108" w:type="dxa"/>
            </w:tcMar>
            <w:vAlign w:val="center"/>
          </w:tcPr>
          <w:p w:rsidR="00AD4AE2" w:rsidRPr="00BF7CB6" w:rsidRDefault="00AD4AE2" w:rsidP="000D7E0A">
            <w:pPr>
              <w:jc w:val="left"/>
              <w:rPr>
                <w:lang w:val="it-IT"/>
              </w:rPr>
            </w:pPr>
          </w:p>
        </w:tc>
      </w:tr>
      <w:tr w:rsidR="00AD4AE2" w:rsidRPr="00CC242B"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tcPr>
          <w:p w:rsidR="00AD4AE2" w:rsidRPr="00BF7CB6" w:rsidRDefault="00AD4AE2" w:rsidP="000D7E0A">
            <w:pPr>
              <w:pStyle w:val="PrincCont"/>
              <w:jc w:val="left"/>
              <w:rPr>
                <w:lang w:val="it-IT"/>
              </w:rPr>
            </w:pPr>
            <w:r w:rsidRPr="00BF7CB6">
              <w:rPr>
                <w:lang w:val="it-IT"/>
              </w:rPr>
              <w:t>OIC 31.4</w:t>
            </w:r>
          </w:p>
        </w:tc>
        <w:tc>
          <w:tcPr>
            <w:tcW w:w="7059" w:type="dxa"/>
            <w:tcMar>
              <w:left w:w="108" w:type="dxa"/>
            </w:tcMar>
            <w:vAlign w:val="center"/>
          </w:tcPr>
          <w:p w:rsidR="00AD4AE2" w:rsidRPr="00BF7CB6" w:rsidRDefault="00AD4AE2" w:rsidP="000D7E0A">
            <w:pPr>
              <w:pStyle w:val="Commentiriquadro"/>
            </w:pPr>
            <w:r w:rsidRPr="00BF7CB6">
              <w:t xml:space="preserve">I fondi per rischi e oneri rappresentano passività di natura determinata, certe o probabili, con data di sopravvenienza o ammontare indeterminati. </w:t>
            </w:r>
          </w:p>
        </w:tc>
        <w:tc>
          <w:tcPr>
            <w:tcW w:w="586" w:type="dxa"/>
            <w:tcMar>
              <w:left w:w="85" w:type="dxa"/>
              <w:right w:w="85" w:type="dxa"/>
            </w:tcMar>
            <w:vAlign w:val="center"/>
          </w:tcPr>
          <w:p w:rsidR="00AD4AE2" w:rsidRPr="00BF7CB6" w:rsidRDefault="00AD4AE2" w:rsidP="000D7E0A">
            <w:pPr>
              <w:jc w:val="left"/>
              <w:rPr>
                <w:lang w:val="it-IT"/>
              </w:rPr>
            </w:pPr>
          </w:p>
        </w:tc>
        <w:tc>
          <w:tcPr>
            <w:tcW w:w="573" w:type="dxa"/>
            <w:tcMar>
              <w:left w:w="108" w:type="dxa"/>
            </w:tcMar>
            <w:vAlign w:val="center"/>
          </w:tcPr>
          <w:p w:rsidR="00AD4AE2" w:rsidRPr="00BF7CB6" w:rsidRDefault="00AD4AE2" w:rsidP="000D7E0A">
            <w:pPr>
              <w:jc w:val="left"/>
              <w:rPr>
                <w:lang w:val="it-IT"/>
              </w:rPr>
            </w:pPr>
          </w:p>
        </w:tc>
        <w:tc>
          <w:tcPr>
            <w:tcW w:w="570" w:type="dxa"/>
            <w:tcMar>
              <w:left w:w="108" w:type="dxa"/>
            </w:tcMar>
            <w:vAlign w:val="center"/>
          </w:tcPr>
          <w:p w:rsidR="00AD4AE2" w:rsidRPr="00BF7CB6" w:rsidRDefault="00AD4AE2" w:rsidP="000D7E0A">
            <w:pPr>
              <w:jc w:val="left"/>
              <w:rPr>
                <w:lang w:val="it-IT"/>
              </w:rPr>
            </w:pPr>
          </w:p>
        </w:tc>
      </w:tr>
      <w:tr w:rsidR="00AD4AE2" w:rsidRPr="00CC242B"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tcPr>
          <w:p w:rsidR="00AD4AE2" w:rsidRPr="00BF7CB6" w:rsidRDefault="00AD4AE2" w:rsidP="000D7E0A">
            <w:pPr>
              <w:pStyle w:val="PrincCont"/>
              <w:jc w:val="left"/>
              <w:rPr>
                <w:lang w:val="it-IT"/>
              </w:rPr>
            </w:pPr>
            <w:r w:rsidRPr="00BF7CB6">
              <w:rPr>
                <w:lang w:val="it-IT"/>
              </w:rPr>
              <w:t>OIC 31.5</w:t>
            </w:r>
          </w:p>
        </w:tc>
        <w:tc>
          <w:tcPr>
            <w:tcW w:w="7059" w:type="dxa"/>
            <w:tcMar>
              <w:left w:w="108" w:type="dxa"/>
            </w:tcMar>
            <w:vAlign w:val="center"/>
          </w:tcPr>
          <w:p w:rsidR="00AD4AE2" w:rsidRPr="00BF7CB6" w:rsidRDefault="00AD4AE2" w:rsidP="000D7E0A">
            <w:pPr>
              <w:pStyle w:val="Commentiriquadro"/>
            </w:pPr>
            <w:r w:rsidRPr="00BF7CB6">
              <w:t>I fondi per rischi rappresentano passività di natura determinata ed esistenza probabile, i cui valori sono stimati. Si tratta, quindi, di passività potenziali connesse a situazioni già esistenti alla data di bilancio, ma caratterizzate da uno stato d’incertezza il cui esito dipende dal verificarsi o meno di uno o più eventi in futuro.</w:t>
            </w:r>
          </w:p>
        </w:tc>
        <w:tc>
          <w:tcPr>
            <w:tcW w:w="586" w:type="dxa"/>
            <w:tcMar>
              <w:left w:w="85" w:type="dxa"/>
              <w:right w:w="85" w:type="dxa"/>
            </w:tcMar>
            <w:vAlign w:val="center"/>
          </w:tcPr>
          <w:p w:rsidR="00AD4AE2" w:rsidRPr="00BF7CB6" w:rsidRDefault="00AD4AE2" w:rsidP="000D7E0A">
            <w:pPr>
              <w:jc w:val="left"/>
              <w:rPr>
                <w:lang w:val="it-IT"/>
              </w:rPr>
            </w:pPr>
          </w:p>
        </w:tc>
        <w:tc>
          <w:tcPr>
            <w:tcW w:w="573" w:type="dxa"/>
            <w:tcMar>
              <w:left w:w="108" w:type="dxa"/>
            </w:tcMar>
            <w:vAlign w:val="center"/>
          </w:tcPr>
          <w:p w:rsidR="00AD4AE2" w:rsidRPr="00BF7CB6" w:rsidRDefault="00AD4AE2" w:rsidP="000D7E0A">
            <w:pPr>
              <w:jc w:val="left"/>
              <w:rPr>
                <w:lang w:val="it-IT"/>
              </w:rPr>
            </w:pPr>
          </w:p>
        </w:tc>
        <w:tc>
          <w:tcPr>
            <w:tcW w:w="570" w:type="dxa"/>
            <w:tcMar>
              <w:left w:w="108" w:type="dxa"/>
            </w:tcMar>
            <w:vAlign w:val="center"/>
          </w:tcPr>
          <w:p w:rsidR="00AD4AE2" w:rsidRPr="00BF7CB6" w:rsidRDefault="00AD4AE2" w:rsidP="000D7E0A">
            <w:pPr>
              <w:jc w:val="left"/>
              <w:rPr>
                <w:lang w:val="it-IT"/>
              </w:rPr>
            </w:pPr>
          </w:p>
        </w:tc>
      </w:tr>
      <w:tr w:rsidR="00AD4AE2" w:rsidRPr="00CC242B"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tcPr>
          <w:p w:rsidR="00AD4AE2" w:rsidRPr="00BF7CB6" w:rsidRDefault="00AD4AE2" w:rsidP="000D7E0A">
            <w:pPr>
              <w:pStyle w:val="PrincCont"/>
              <w:jc w:val="left"/>
              <w:rPr>
                <w:lang w:val="it-IT"/>
              </w:rPr>
            </w:pPr>
            <w:r w:rsidRPr="00BF7CB6">
              <w:rPr>
                <w:lang w:val="it-IT"/>
              </w:rPr>
              <w:t>OIC 31.6</w:t>
            </w:r>
          </w:p>
        </w:tc>
        <w:tc>
          <w:tcPr>
            <w:tcW w:w="7059" w:type="dxa"/>
            <w:tcMar>
              <w:left w:w="108" w:type="dxa"/>
            </w:tcMar>
            <w:vAlign w:val="center"/>
          </w:tcPr>
          <w:p w:rsidR="00AD4AE2" w:rsidRPr="00BF7CB6" w:rsidRDefault="00AD4AE2" w:rsidP="000D7E0A">
            <w:pPr>
              <w:pStyle w:val="Commentiriquadro"/>
            </w:pPr>
            <w:r w:rsidRPr="00BF7CB6">
              <w:t>I fondi per oneri rappresentano passività di natura determinata ed esistenza certa, stimate nell'importo o nella data di sopravvenienza, connesse a obbligazioni già assunte alla data di bilancio, ma che avranno manifestazione numeraria negli esercizi successivi.</w:t>
            </w:r>
          </w:p>
        </w:tc>
        <w:tc>
          <w:tcPr>
            <w:tcW w:w="586" w:type="dxa"/>
            <w:tcMar>
              <w:left w:w="85" w:type="dxa"/>
              <w:right w:w="85" w:type="dxa"/>
            </w:tcMar>
            <w:vAlign w:val="center"/>
          </w:tcPr>
          <w:p w:rsidR="00AD4AE2" w:rsidRPr="00BF7CB6" w:rsidRDefault="00AD4AE2" w:rsidP="000D7E0A">
            <w:pPr>
              <w:jc w:val="left"/>
              <w:rPr>
                <w:lang w:val="it-IT"/>
              </w:rPr>
            </w:pPr>
          </w:p>
        </w:tc>
        <w:tc>
          <w:tcPr>
            <w:tcW w:w="573" w:type="dxa"/>
            <w:tcMar>
              <w:left w:w="108" w:type="dxa"/>
            </w:tcMar>
            <w:vAlign w:val="center"/>
          </w:tcPr>
          <w:p w:rsidR="00AD4AE2" w:rsidRPr="00BF7CB6" w:rsidRDefault="00AD4AE2" w:rsidP="000D7E0A">
            <w:pPr>
              <w:jc w:val="left"/>
              <w:rPr>
                <w:lang w:val="it-IT"/>
              </w:rPr>
            </w:pPr>
          </w:p>
        </w:tc>
        <w:tc>
          <w:tcPr>
            <w:tcW w:w="570" w:type="dxa"/>
            <w:tcMar>
              <w:left w:w="108" w:type="dxa"/>
            </w:tcMar>
            <w:vAlign w:val="center"/>
          </w:tcPr>
          <w:p w:rsidR="00AD4AE2" w:rsidRPr="00BF7CB6" w:rsidRDefault="00AD4AE2" w:rsidP="000D7E0A">
            <w:pPr>
              <w:jc w:val="left"/>
              <w:rPr>
                <w:lang w:val="it-IT"/>
              </w:rPr>
            </w:pPr>
          </w:p>
        </w:tc>
      </w:tr>
      <w:tr w:rsidR="00AD4AE2" w:rsidRPr="00CC242B"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tcPr>
          <w:p w:rsidR="00AD4AE2" w:rsidRPr="00BF7CB6" w:rsidRDefault="00AD4AE2" w:rsidP="000D7E0A">
            <w:pPr>
              <w:pStyle w:val="PrincCont"/>
              <w:jc w:val="left"/>
              <w:rPr>
                <w:lang w:val="it-IT"/>
              </w:rPr>
            </w:pPr>
            <w:r w:rsidRPr="00BF7CB6">
              <w:rPr>
                <w:lang w:val="it-IT"/>
              </w:rPr>
              <w:t>OIC 31.7</w:t>
            </w:r>
          </w:p>
        </w:tc>
        <w:tc>
          <w:tcPr>
            <w:tcW w:w="7059" w:type="dxa"/>
            <w:tcMar>
              <w:left w:w="108" w:type="dxa"/>
            </w:tcMar>
            <w:vAlign w:val="center"/>
          </w:tcPr>
          <w:p w:rsidR="00AD4AE2" w:rsidRPr="00BF7CB6" w:rsidRDefault="00AD4AE2" w:rsidP="000D7E0A">
            <w:pPr>
              <w:pStyle w:val="Commentiriquadro"/>
            </w:pPr>
            <w:r w:rsidRPr="00BF7CB6">
              <w:t>I fondi per trattamento di quiescenza e obblighi simili rappresentano accantonamenti per i trattamenti previdenziali integrativi, diversi dal trattamento di fine rapporto, nonché per le indennità una tantum spettanti ai lavoratori dipendenti, autonomi e collaboratori, in forza di legge o di contratto, al momento di cessazione del relativo rapporto. Si tratta, quindi, di fondi a copertura di oneri di natura determinata ed esistenza certa, il cui importo da riconoscere alla cessazione del rapporto è funzione della durata del rapporto stesso e delle altre condizioni di maturazione previste dalle contrattazioni sottostanti. Tali fondi sono indeterminati nell'ammontare, in quanto possono essere subordinati al verificarsi di varie condizioni di maturazione (età, anzianità di servizio, ecc.) e potrebbero richiedere anche il ricorso a calcoli matematico-attuariali. Tuttavia, per determinati trattamenti di quiescenza, tali fondi sono stimabili alla data di bilancio con ragionevole attendibilità.</w:t>
            </w:r>
          </w:p>
        </w:tc>
        <w:tc>
          <w:tcPr>
            <w:tcW w:w="586" w:type="dxa"/>
            <w:tcMar>
              <w:left w:w="85" w:type="dxa"/>
              <w:right w:w="85" w:type="dxa"/>
            </w:tcMar>
            <w:vAlign w:val="center"/>
          </w:tcPr>
          <w:p w:rsidR="00AD4AE2" w:rsidRPr="00BF7CB6" w:rsidRDefault="00AD4AE2" w:rsidP="000D7E0A">
            <w:pPr>
              <w:jc w:val="left"/>
              <w:rPr>
                <w:lang w:val="it-IT"/>
              </w:rPr>
            </w:pPr>
          </w:p>
        </w:tc>
        <w:tc>
          <w:tcPr>
            <w:tcW w:w="573" w:type="dxa"/>
            <w:tcMar>
              <w:left w:w="108" w:type="dxa"/>
            </w:tcMar>
            <w:vAlign w:val="center"/>
          </w:tcPr>
          <w:p w:rsidR="00AD4AE2" w:rsidRPr="00BF7CB6" w:rsidRDefault="00AD4AE2" w:rsidP="000D7E0A">
            <w:pPr>
              <w:jc w:val="left"/>
              <w:rPr>
                <w:lang w:val="it-IT"/>
              </w:rPr>
            </w:pPr>
          </w:p>
        </w:tc>
        <w:tc>
          <w:tcPr>
            <w:tcW w:w="570" w:type="dxa"/>
            <w:tcMar>
              <w:left w:w="108" w:type="dxa"/>
            </w:tcMar>
            <w:vAlign w:val="center"/>
          </w:tcPr>
          <w:p w:rsidR="00AD4AE2" w:rsidRPr="00BF7CB6" w:rsidRDefault="00AD4AE2" w:rsidP="000D7E0A">
            <w:pPr>
              <w:jc w:val="left"/>
              <w:rPr>
                <w:lang w:val="it-IT"/>
              </w:rPr>
            </w:pPr>
          </w:p>
        </w:tc>
      </w:tr>
      <w:tr w:rsidR="00AD4AE2" w:rsidRPr="00CC242B"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tcPr>
          <w:p w:rsidR="00AD4AE2" w:rsidRPr="00BF7CB6" w:rsidRDefault="00AD4AE2" w:rsidP="000D7E0A">
            <w:pPr>
              <w:pStyle w:val="PrincCont"/>
              <w:jc w:val="left"/>
              <w:rPr>
                <w:lang w:val="it-IT"/>
              </w:rPr>
            </w:pPr>
            <w:r w:rsidRPr="00BF7CB6">
              <w:rPr>
                <w:lang w:val="it-IT"/>
              </w:rPr>
              <w:t>OIC 31.8</w:t>
            </w:r>
          </w:p>
        </w:tc>
        <w:tc>
          <w:tcPr>
            <w:tcW w:w="7059" w:type="dxa"/>
            <w:tcMar>
              <w:left w:w="108" w:type="dxa"/>
            </w:tcMar>
            <w:vAlign w:val="center"/>
          </w:tcPr>
          <w:p w:rsidR="00AD4AE2" w:rsidRPr="00BF7CB6" w:rsidRDefault="00AD4AE2" w:rsidP="000D7E0A">
            <w:pPr>
              <w:pStyle w:val="Commentiriquadro"/>
            </w:pPr>
            <w:r w:rsidRPr="00BF7CB6">
              <w:t>L’accantonamento a fondo rappresenta la contropartita economica (onere o perdita) correlata alla rilevazione patrimoniale, di competenza dell’esercizio, nei fondi per rischi e oneri.</w:t>
            </w:r>
          </w:p>
        </w:tc>
        <w:tc>
          <w:tcPr>
            <w:tcW w:w="586" w:type="dxa"/>
            <w:tcMar>
              <w:left w:w="85" w:type="dxa"/>
              <w:right w:w="85" w:type="dxa"/>
            </w:tcMar>
            <w:vAlign w:val="center"/>
          </w:tcPr>
          <w:p w:rsidR="00AD4AE2" w:rsidRPr="00BF7CB6" w:rsidRDefault="00AD4AE2" w:rsidP="000D7E0A">
            <w:pPr>
              <w:jc w:val="left"/>
              <w:rPr>
                <w:lang w:val="it-IT"/>
              </w:rPr>
            </w:pPr>
          </w:p>
        </w:tc>
        <w:tc>
          <w:tcPr>
            <w:tcW w:w="573" w:type="dxa"/>
            <w:tcMar>
              <w:left w:w="108" w:type="dxa"/>
            </w:tcMar>
            <w:vAlign w:val="center"/>
          </w:tcPr>
          <w:p w:rsidR="00AD4AE2" w:rsidRPr="00BF7CB6" w:rsidRDefault="00AD4AE2" w:rsidP="000D7E0A">
            <w:pPr>
              <w:jc w:val="left"/>
              <w:rPr>
                <w:lang w:val="it-IT"/>
              </w:rPr>
            </w:pPr>
          </w:p>
        </w:tc>
        <w:tc>
          <w:tcPr>
            <w:tcW w:w="570" w:type="dxa"/>
            <w:tcMar>
              <w:left w:w="108" w:type="dxa"/>
            </w:tcMar>
            <w:vAlign w:val="center"/>
          </w:tcPr>
          <w:p w:rsidR="00AD4AE2" w:rsidRPr="00BF7CB6" w:rsidRDefault="00AD4AE2" w:rsidP="000D7E0A">
            <w:pPr>
              <w:jc w:val="left"/>
              <w:rPr>
                <w:lang w:val="it-IT"/>
              </w:rPr>
            </w:pPr>
          </w:p>
        </w:tc>
      </w:tr>
      <w:tr w:rsidR="00AD4AE2" w:rsidRPr="00CC242B"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tcPr>
          <w:p w:rsidR="00AD4AE2" w:rsidRPr="00BF7CB6" w:rsidRDefault="00AD4AE2" w:rsidP="000D7E0A">
            <w:pPr>
              <w:pStyle w:val="PrincCont"/>
              <w:jc w:val="left"/>
              <w:rPr>
                <w:lang w:val="it-IT"/>
              </w:rPr>
            </w:pPr>
            <w:r w:rsidRPr="00BF7CB6">
              <w:rPr>
                <w:lang w:val="it-IT"/>
              </w:rPr>
              <w:t>OIC 31.9</w:t>
            </w:r>
          </w:p>
        </w:tc>
        <w:tc>
          <w:tcPr>
            <w:tcW w:w="7059" w:type="dxa"/>
            <w:tcMar>
              <w:left w:w="108" w:type="dxa"/>
            </w:tcMar>
            <w:vAlign w:val="center"/>
          </w:tcPr>
          <w:p w:rsidR="00AD4AE2" w:rsidRPr="00BF7CB6" w:rsidRDefault="00AD4AE2" w:rsidP="000D7E0A">
            <w:pPr>
              <w:pStyle w:val="Commentiriquadro"/>
            </w:pPr>
            <w:r w:rsidRPr="00BF7CB6">
              <w:t>Per potenzialità si intende una situazione, una condizione o una fattispecie esistente alla data di bilancio,</w:t>
            </w:r>
            <w:r>
              <w:t xml:space="preserve"> </w:t>
            </w:r>
            <w:r w:rsidRPr="00BF7CB6">
              <w:t>caratterizzate da uno stato d'incertezza, che al verificarsi o meno di uno o più eventi futuri, potranno concretizzarsi in una perdita (passività potenziale), ovvero in un utile (attività potenziale).</w:t>
            </w:r>
          </w:p>
        </w:tc>
        <w:tc>
          <w:tcPr>
            <w:tcW w:w="586" w:type="dxa"/>
            <w:tcMar>
              <w:left w:w="85" w:type="dxa"/>
              <w:right w:w="85" w:type="dxa"/>
            </w:tcMar>
            <w:vAlign w:val="center"/>
          </w:tcPr>
          <w:p w:rsidR="00AD4AE2" w:rsidRPr="00BF7CB6" w:rsidRDefault="00AD4AE2" w:rsidP="000D7E0A">
            <w:pPr>
              <w:jc w:val="left"/>
              <w:rPr>
                <w:lang w:val="it-IT"/>
              </w:rPr>
            </w:pPr>
          </w:p>
        </w:tc>
        <w:tc>
          <w:tcPr>
            <w:tcW w:w="573" w:type="dxa"/>
            <w:tcMar>
              <w:left w:w="108" w:type="dxa"/>
            </w:tcMar>
            <w:vAlign w:val="center"/>
          </w:tcPr>
          <w:p w:rsidR="00AD4AE2" w:rsidRPr="00BF7CB6" w:rsidRDefault="00AD4AE2" w:rsidP="000D7E0A">
            <w:pPr>
              <w:jc w:val="left"/>
              <w:rPr>
                <w:lang w:val="it-IT"/>
              </w:rPr>
            </w:pPr>
          </w:p>
        </w:tc>
        <w:tc>
          <w:tcPr>
            <w:tcW w:w="570" w:type="dxa"/>
            <w:tcMar>
              <w:left w:w="108" w:type="dxa"/>
            </w:tcMar>
            <w:vAlign w:val="center"/>
          </w:tcPr>
          <w:p w:rsidR="00AD4AE2" w:rsidRPr="00BF7CB6" w:rsidRDefault="00AD4AE2" w:rsidP="000D7E0A">
            <w:pPr>
              <w:jc w:val="left"/>
              <w:rPr>
                <w:lang w:val="it-IT"/>
              </w:rPr>
            </w:pPr>
          </w:p>
        </w:tc>
      </w:tr>
      <w:tr w:rsidR="00AD4AE2" w:rsidRPr="00CC242B"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tcPr>
          <w:p w:rsidR="00AD4AE2" w:rsidRPr="00BF7CB6" w:rsidRDefault="00AD4AE2" w:rsidP="000D7E0A">
            <w:pPr>
              <w:pStyle w:val="PrincCont"/>
              <w:jc w:val="left"/>
              <w:rPr>
                <w:lang w:val="it-IT"/>
              </w:rPr>
            </w:pPr>
            <w:r w:rsidRPr="00BF7CB6">
              <w:rPr>
                <w:lang w:val="it-IT"/>
              </w:rPr>
              <w:t>OIC 31.10</w:t>
            </w:r>
          </w:p>
        </w:tc>
        <w:tc>
          <w:tcPr>
            <w:tcW w:w="7059" w:type="dxa"/>
            <w:tcMar>
              <w:left w:w="108" w:type="dxa"/>
            </w:tcMar>
            <w:vAlign w:val="center"/>
          </w:tcPr>
          <w:p w:rsidR="00AD4AE2" w:rsidRPr="00BF7CB6" w:rsidRDefault="00AD4AE2" w:rsidP="000D7E0A">
            <w:pPr>
              <w:pStyle w:val="Commentiriquadro"/>
            </w:pPr>
            <w:r w:rsidRPr="00BF7CB6">
              <w:t>Le passività potenziali rappresentano passività connesse a “potenzialità”, cioè a situazioni già esistenti alla data di bilancio, ma con esito pendente in quanto si risolveranno in futuro.</w:t>
            </w:r>
          </w:p>
        </w:tc>
        <w:tc>
          <w:tcPr>
            <w:tcW w:w="586" w:type="dxa"/>
            <w:tcMar>
              <w:left w:w="85" w:type="dxa"/>
              <w:right w:w="85" w:type="dxa"/>
            </w:tcMar>
            <w:vAlign w:val="center"/>
          </w:tcPr>
          <w:p w:rsidR="00AD4AE2" w:rsidRPr="00BF7CB6" w:rsidRDefault="00AD4AE2" w:rsidP="000D7E0A">
            <w:pPr>
              <w:jc w:val="left"/>
              <w:rPr>
                <w:lang w:val="it-IT"/>
              </w:rPr>
            </w:pPr>
          </w:p>
        </w:tc>
        <w:tc>
          <w:tcPr>
            <w:tcW w:w="573" w:type="dxa"/>
            <w:tcMar>
              <w:left w:w="108" w:type="dxa"/>
            </w:tcMar>
            <w:vAlign w:val="center"/>
          </w:tcPr>
          <w:p w:rsidR="00AD4AE2" w:rsidRPr="00BF7CB6" w:rsidRDefault="00AD4AE2" w:rsidP="000D7E0A">
            <w:pPr>
              <w:jc w:val="left"/>
              <w:rPr>
                <w:lang w:val="it-IT"/>
              </w:rPr>
            </w:pPr>
          </w:p>
        </w:tc>
        <w:tc>
          <w:tcPr>
            <w:tcW w:w="570" w:type="dxa"/>
            <w:tcMar>
              <w:left w:w="108" w:type="dxa"/>
            </w:tcMar>
            <w:vAlign w:val="center"/>
          </w:tcPr>
          <w:p w:rsidR="00AD4AE2" w:rsidRPr="00BF7CB6" w:rsidRDefault="00AD4AE2" w:rsidP="000D7E0A">
            <w:pPr>
              <w:jc w:val="left"/>
              <w:rPr>
                <w:lang w:val="it-IT"/>
              </w:rPr>
            </w:pPr>
          </w:p>
        </w:tc>
      </w:tr>
      <w:tr w:rsidR="00AD4AE2" w:rsidRPr="00CC242B"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tcPr>
          <w:p w:rsidR="00AD4AE2" w:rsidRPr="00BF7CB6" w:rsidRDefault="00AD4AE2" w:rsidP="000D7E0A">
            <w:pPr>
              <w:pStyle w:val="PrincCont"/>
              <w:jc w:val="left"/>
              <w:rPr>
                <w:lang w:val="it-IT"/>
              </w:rPr>
            </w:pPr>
            <w:r w:rsidRPr="00BF7CB6">
              <w:rPr>
                <w:lang w:val="it-IT"/>
              </w:rPr>
              <w:t>OIC 31.11</w:t>
            </w:r>
          </w:p>
        </w:tc>
        <w:tc>
          <w:tcPr>
            <w:tcW w:w="7059" w:type="dxa"/>
            <w:tcMar>
              <w:left w:w="108" w:type="dxa"/>
            </w:tcMar>
            <w:vAlign w:val="center"/>
          </w:tcPr>
          <w:p w:rsidR="00AD4AE2" w:rsidRPr="00BF7CB6" w:rsidRDefault="00AD4AE2" w:rsidP="000D7E0A">
            <w:pPr>
              <w:pStyle w:val="Commentiriquadro"/>
            </w:pPr>
            <w:r w:rsidRPr="00BF7CB6">
              <w:t>Le attività potenziali rappresentano attività connesse a situazioni già presenti alla data di bilancio, la cui esistenza sarà confermata solamente all’avverarsi o meno di uno o più eventi futuri incerti che non ricadono nell’ambito del controllo della società.</w:t>
            </w:r>
          </w:p>
        </w:tc>
        <w:tc>
          <w:tcPr>
            <w:tcW w:w="586" w:type="dxa"/>
            <w:tcMar>
              <w:left w:w="85" w:type="dxa"/>
              <w:right w:w="85" w:type="dxa"/>
            </w:tcMar>
            <w:vAlign w:val="center"/>
          </w:tcPr>
          <w:p w:rsidR="00AD4AE2" w:rsidRPr="00BF7CB6" w:rsidRDefault="00AD4AE2" w:rsidP="000D7E0A">
            <w:pPr>
              <w:jc w:val="left"/>
              <w:rPr>
                <w:lang w:val="it-IT"/>
              </w:rPr>
            </w:pPr>
          </w:p>
        </w:tc>
        <w:tc>
          <w:tcPr>
            <w:tcW w:w="573" w:type="dxa"/>
            <w:tcMar>
              <w:left w:w="108" w:type="dxa"/>
            </w:tcMar>
            <w:vAlign w:val="center"/>
          </w:tcPr>
          <w:p w:rsidR="00AD4AE2" w:rsidRPr="00BF7CB6" w:rsidRDefault="00AD4AE2" w:rsidP="000D7E0A">
            <w:pPr>
              <w:jc w:val="left"/>
              <w:rPr>
                <w:lang w:val="it-IT"/>
              </w:rPr>
            </w:pPr>
          </w:p>
        </w:tc>
        <w:tc>
          <w:tcPr>
            <w:tcW w:w="570" w:type="dxa"/>
            <w:tcMar>
              <w:left w:w="108" w:type="dxa"/>
            </w:tcMar>
            <w:vAlign w:val="center"/>
          </w:tcPr>
          <w:p w:rsidR="00AD4AE2" w:rsidRPr="00BF7CB6" w:rsidRDefault="00AD4AE2" w:rsidP="000D7E0A">
            <w:pPr>
              <w:jc w:val="left"/>
              <w:rPr>
                <w:lang w:val="it-IT"/>
              </w:rPr>
            </w:pPr>
          </w:p>
        </w:tc>
      </w:tr>
      <w:tr w:rsidR="00AD4AE2" w:rsidRPr="00CC242B"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tcPr>
          <w:p w:rsidR="00AD4AE2" w:rsidRPr="00BF7CB6" w:rsidRDefault="00AD4AE2" w:rsidP="000D7E0A">
            <w:pPr>
              <w:pStyle w:val="PrincCont"/>
              <w:jc w:val="left"/>
              <w:rPr>
                <w:lang w:val="it-IT"/>
              </w:rPr>
            </w:pPr>
            <w:r w:rsidRPr="00BF7CB6">
              <w:rPr>
                <w:lang w:val="it-IT"/>
              </w:rPr>
              <w:t>OIC 31.12</w:t>
            </w:r>
          </w:p>
        </w:tc>
        <w:tc>
          <w:tcPr>
            <w:tcW w:w="7059" w:type="dxa"/>
            <w:tcMar>
              <w:left w:w="108" w:type="dxa"/>
            </w:tcMar>
            <w:vAlign w:val="center"/>
          </w:tcPr>
          <w:p w:rsidR="00AD4AE2" w:rsidRPr="00BF7CB6" w:rsidRDefault="00AD4AE2" w:rsidP="000D7E0A">
            <w:pPr>
              <w:pStyle w:val="Commentiriquadro"/>
            </w:pPr>
            <w:r w:rsidRPr="00BF7CB6">
              <w:t>In relazione al grado di realizzazione e di accadimento, gli eventi futuri possono classificarsi come probabili, possibili o remoti. Un evento è probabile quando il suo accadimento è ritenuto più verosimile del contrario. Un evento è possibile quando dipende da una circostanza che può o meno verificarsi; quindi il grado di accadimento dell'evento futuro è inferiore al probabile. Si tratta dunque di eventi contraddistinti da una ridotta probabilità di realizzazione. Un evento è remoto quando ha scarsissime possibilità di verificarsi; ovvero, potrà accadere solo in situazioni eccezionali.</w:t>
            </w:r>
          </w:p>
        </w:tc>
        <w:tc>
          <w:tcPr>
            <w:tcW w:w="586" w:type="dxa"/>
            <w:tcMar>
              <w:left w:w="85" w:type="dxa"/>
              <w:right w:w="85" w:type="dxa"/>
            </w:tcMar>
            <w:vAlign w:val="center"/>
          </w:tcPr>
          <w:p w:rsidR="00AD4AE2" w:rsidRPr="008A0F36" w:rsidRDefault="00AD4AE2" w:rsidP="000D7E0A">
            <w:pPr>
              <w:jc w:val="left"/>
              <w:rPr>
                <w:lang w:val="it-IT"/>
              </w:rPr>
            </w:pPr>
          </w:p>
        </w:tc>
        <w:tc>
          <w:tcPr>
            <w:tcW w:w="573" w:type="dxa"/>
            <w:tcMar>
              <w:left w:w="108" w:type="dxa"/>
            </w:tcMar>
            <w:vAlign w:val="center"/>
          </w:tcPr>
          <w:p w:rsidR="00AD4AE2" w:rsidRPr="008A0F36" w:rsidRDefault="00AD4AE2" w:rsidP="000D7E0A">
            <w:pPr>
              <w:jc w:val="left"/>
              <w:rPr>
                <w:lang w:val="it-IT"/>
              </w:rPr>
            </w:pPr>
          </w:p>
        </w:tc>
        <w:tc>
          <w:tcPr>
            <w:tcW w:w="570" w:type="dxa"/>
            <w:tcMar>
              <w:left w:w="108" w:type="dxa"/>
            </w:tcMar>
            <w:vAlign w:val="center"/>
          </w:tcPr>
          <w:p w:rsidR="00AD4AE2" w:rsidRPr="008A0F36" w:rsidRDefault="00AD4AE2" w:rsidP="000D7E0A">
            <w:pPr>
              <w:jc w:val="left"/>
              <w:rPr>
                <w:lang w:val="it-IT"/>
              </w:rPr>
            </w:pPr>
          </w:p>
        </w:tc>
      </w:tr>
      <w:tr w:rsidR="00AD4AE2" w:rsidRPr="00CC242B" w:rsidTr="000D7E0A">
        <w:trPr>
          <w:cantSplit/>
          <w:trHeight w:val="34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vAlign w:val="center"/>
          </w:tcPr>
          <w:p w:rsidR="00AD4AE2" w:rsidRPr="00AD4AE2" w:rsidRDefault="00AD4AE2" w:rsidP="000D7E0A">
            <w:pPr>
              <w:pStyle w:val="Titolo3"/>
              <w:rPr>
                <w:lang w:val="it-IT"/>
              </w:rPr>
            </w:pPr>
            <w:r w:rsidRPr="00AD4AE2">
              <w:rPr>
                <w:lang w:val="it-IT"/>
              </w:rPr>
              <w:t>Classificazione e contenuto delle voci</w:t>
            </w:r>
          </w:p>
        </w:tc>
        <w:tc>
          <w:tcPr>
            <w:tcW w:w="586" w:type="dxa"/>
            <w:tcMar>
              <w:left w:w="85" w:type="dxa"/>
              <w:right w:w="85" w:type="dxa"/>
            </w:tcMar>
            <w:vAlign w:val="center"/>
          </w:tcPr>
          <w:p w:rsidR="00AD4AE2" w:rsidRPr="00FF19F7" w:rsidRDefault="00AD4AE2" w:rsidP="000D7E0A">
            <w:pPr>
              <w:jc w:val="center"/>
              <w:rPr>
                <w:lang w:val="it-IT"/>
              </w:rPr>
            </w:pPr>
          </w:p>
        </w:tc>
        <w:tc>
          <w:tcPr>
            <w:tcW w:w="573" w:type="dxa"/>
            <w:tcMar>
              <w:left w:w="108" w:type="dxa"/>
            </w:tcMar>
            <w:vAlign w:val="center"/>
          </w:tcPr>
          <w:p w:rsidR="00AD4AE2" w:rsidRPr="00FF19F7" w:rsidRDefault="00AD4AE2" w:rsidP="000D7E0A">
            <w:pPr>
              <w:jc w:val="center"/>
              <w:rPr>
                <w:lang w:val="it-IT"/>
              </w:rPr>
            </w:pPr>
          </w:p>
        </w:tc>
        <w:tc>
          <w:tcPr>
            <w:tcW w:w="570" w:type="dxa"/>
            <w:tcMar>
              <w:left w:w="108" w:type="dxa"/>
            </w:tcMar>
            <w:vAlign w:val="center"/>
          </w:tcPr>
          <w:p w:rsidR="00AD4AE2" w:rsidRPr="00FF19F7" w:rsidRDefault="00AD4AE2" w:rsidP="000D7E0A">
            <w:pPr>
              <w:jc w:val="center"/>
              <w:rPr>
                <w:lang w:val="it-IT"/>
              </w:rPr>
            </w:pPr>
          </w:p>
        </w:tc>
      </w:tr>
      <w:tr w:rsidR="00AD4AE2" w:rsidRPr="004A750E" w:rsidTr="000D7E0A">
        <w:trPr>
          <w:cantSplit/>
          <w:trHeight w:val="294"/>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vAlign w:val="center"/>
          </w:tcPr>
          <w:p w:rsidR="00AD4AE2" w:rsidRPr="00492518" w:rsidRDefault="00AD4AE2" w:rsidP="000D7E0A">
            <w:pPr>
              <w:pStyle w:val="Titolo4"/>
              <w:jc w:val="left"/>
            </w:pPr>
            <w:r w:rsidRPr="008B6F54">
              <w:t>Stato patrimoniale</w:t>
            </w:r>
          </w:p>
        </w:tc>
        <w:tc>
          <w:tcPr>
            <w:tcW w:w="586" w:type="dxa"/>
            <w:tcMar>
              <w:left w:w="85" w:type="dxa"/>
              <w:right w:w="85" w:type="dxa"/>
            </w:tcMar>
            <w:vAlign w:val="center"/>
          </w:tcPr>
          <w:p w:rsidR="00AD4AE2" w:rsidRPr="00FF19F7" w:rsidRDefault="00AD4AE2" w:rsidP="000D7E0A">
            <w:pPr>
              <w:jc w:val="center"/>
              <w:rPr>
                <w:lang w:val="it-IT"/>
              </w:rPr>
            </w:pPr>
          </w:p>
        </w:tc>
        <w:tc>
          <w:tcPr>
            <w:tcW w:w="573" w:type="dxa"/>
            <w:tcMar>
              <w:left w:w="108" w:type="dxa"/>
            </w:tcMar>
            <w:vAlign w:val="center"/>
          </w:tcPr>
          <w:p w:rsidR="00AD4AE2" w:rsidRPr="00FF19F7" w:rsidRDefault="00AD4AE2" w:rsidP="000D7E0A">
            <w:pPr>
              <w:jc w:val="center"/>
              <w:rPr>
                <w:lang w:val="it-IT"/>
              </w:rPr>
            </w:pPr>
          </w:p>
        </w:tc>
        <w:tc>
          <w:tcPr>
            <w:tcW w:w="570" w:type="dxa"/>
            <w:tcMar>
              <w:left w:w="108" w:type="dxa"/>
            </w:tcMar>
            <w:vAlign w:val="center"/>
          </w:tcPr>
          <w:p w:rsidR="00AD4AE2" w:rsidRPr="00FF19F7" w:rsidRDefault="00AD4AE2" w:rsidP="000D7E0A">
            <w:pPr>
              <w:jc w:val="center"/>
              <w:rPr>
                <w:lang w:val="it-IT"/>
              </w:rPr>
            </w:pPr>
          </w:p>
        </w:tc>
      </w:tr>
      <w:tr w:rsidR="00AD4AE2" w:rsidRPr="00CC242B" w:rsidTr="000D7E0A">
        <w:trPr>
          <w:cantSplit/>
          <w:trHeight w:val="20"/>
        </w:trPr>
        <w:tc>
          <w:tcPr>
            <w:tcW w:w="680" w:type="dxa"/>
          </w:tcPr>
          <w:p w:rsidR="00AD4AE2" w:rsidRPr="00BD1173" w:rsidRDefault="00AD4AE2" w:rsidP="000D7E0A">
            <w:pPr>
              <w:jc w:val="center"/>
              <w:rPr>
                <w:b/>
                <w:lang w:val="it-IT"/>
              </w:rPr>
            </w:pPr>
            <w:r w:rsidRPr="00BD1173">
              <w:rPr>
                <w:b/>
                <w:lang w:val="it-IT"/>
              </w:rPr>
              <w:t>1)</w:t>
            </w:r>
          </w:p>
        </w:tc>
        <w:tc>
          <w:tcPr>
            <w:tcW w:w="852" w:type="dxa"/>
            <w:tcMar>
              <w:left w:w="108" w:type="dxa"/>
              <w:right w:w="0" w:type="dxa"/>
            </w:tcMar>
          </w:tcPr>
          <w:p w:rsidR="00AD4AE2" w:rsidRPr="008A0F36" w:rsidRDefault="00AD4AE2" w:rsidP="000D7E0A">
            <w:pPr>
              <w:pStyle w:val="PrincCont"/>
              <w:jc w:val="left"/>
              <w:rPr>
                <w:lang w:val="it-IT"/>
              </w:rPr>
            </w:pPr>
            <w:r>
              <w:rPr>
                <w:lang w:val="it-IT"/>
              </w:rPr>
              <w:t>Art. 2424 CC OIC 31.14</w:t>
            </w:r>
          </w:p>
        </w:tc>
        <w:tc>
          <w:tcPr>
            <w:tcW w:w="7059" w:type="dxa"/>
            <w:tcMar>
              <w:left w:w="108" w:type="dxa"/>
            </w:tcMar>
          </w:tcPr>
          <w:p w:rsidR="00AD4AE2" w:rsidRPr="00A93E07" w:rsidRDefault="00AD4AE2" w:rsidP="000D7E0A">
            <w:pPr>
              <w:pStyle w:val="Commentiriquadro"/>
              <w:pBdr>
                <w:top w:val="none" w:sz="0" w:space="0" w:color="auto"/>
                <w:left w:val="none" w:sz="0" w:space="0" w:color="auto"/>
                <w:bottom w:val="none" w:sz="0" w:space="0" w:color="auto"/>
                <w:right w:val="none" w:sz="0" w:space="0" w:color="auto"/>
              </w:pBdr>
              <w:spacing w:line="230" w:lineRule="exact"/>
              <w:ind w:left="0"/>
              <w:rPr>
                <w:sz w:val="20"/>
                <w:szCs w:val="20"/>
              </w:rPr>
            </w:pPr>
            <w:r w:rsidRPr="00BC17DD">
              <w:rPr>
                <w:sz w:val="20"/>
                <w:szCs w:val="20"/>
              </w:rPr>
              <w:t>I fondi per rischi e oneri sono esposti nelle seguenti voci:</w:t>
            </w:r>
          </w:p>
        </w:tc>
        <w:tc>
          <w:tcPr>
            <w:tcW w:w="586" w:type="dxa"/>
            <w:tcMar>
              <w:left w:w="85" w:type="dxa"/>
              <w:right w:w="85" w:type="dxa"/>
            </w:tcMar>
            <w:vAlign w:val="center"/>
          </w:tcPr>
          <w:p w:rsidR="00AD4AE2" w:rsidRPr="00A32A16" w:rsidRDefault="00AD4AE2" w:rsidP="000D7E0A">
            <w:pPr>
              <w:jc w:val="center"/>
              <w:rPr>
                <w:lang w:val="it-IT"/>
              </w:rPr>
            </w:pPr>
          </w:p>
        </w:tc>
        <w:tc>
          <w:tcPr>
            <w:tcW w:w="573" w:type="dxa"/>
            <w:tcMar>
              <w:left w:w="108" w:type="dxa"/>
            </w:tcMar>
            <w:vAlign w:val="center"/>
          </w:tcPr>
          <w:p w:rsidR="00AD4AE2" w:rsidRPr="00A32A16" w:rsidRDefault="00AD4AE2" w:rsidP="000D7E0A">
            <w:pPr>
              <w:jc w:val="center"/>
              <w:rPr>
                <w:lang w:val="it-IT"/>
              </w:rPr>
            </w:pPr>
          </w:p>
        </w:tc>
        <w:tc>
          <w:tcPr>
            <w:tcW w:w="570" w:type="dxa"/>
            <w:tcMar>
              <w:left w:w="108" w:type="dxa"/>
            </w:tcMar>
            <w:vAlign w:val="center"/>
          </w:tcPr>
          <w:p w:rsidR="00AD4AE2" w:rsidRPr="00A32A16" w:rsidRDefault="00AD4AE2" w:rsidP="000D7E0A">
            <w:pPr>
              <w:jc w:val="center"/>
              <w:rPr>
                <w:lang w:val="it-IT"/>
              </w:rPr>
            </w:pPr>
          </w:p>
        </w:tc>
      </w:tr>
      <w:tr w:rsidR="00AD4AE2" w:rsidRPr="00CC242B"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CC11CE" w:rsidRDefault="00AD4AE2" w:rsidP="000D7E0A">
            <w:pPr>
              <w:spacing w:line="230" w:lineRule="exact"/>
              <w:rPr>
                <w:lang w:val="it-IT"/>
              </w:rPr>
            </w:pPr>
            <w:r w:rsidRPr="00CC11CE">
              <w:rPr>
                <w:lang w:val="it-IT"/>
              </w:rPr>
              <w:t>B - Fondi per rischi ed oneri</w:t>
            </w:r>
          </w:p>
        </w:tc>
        <w:tc>
          <w:tcPr>
            <w:tcW w:w="586" w:type="dxa"/>
            <w:tcMar>
              <w:left w:w="85" w:type="dxa"/>
              <w:right w:w="85" w:type="dxa"/>
            </w:tcMar>
            <w:vAlign w:val="center"/>
          </w:tcPr>
          <w:p w:rsidR="00AD4AE2" w:rsidRPr="00A32A16" w:rsidRDefault="00AD4AE2" w:rsidP="000D7E0A">
            <w:pPr>
              <w:jc w:val="center"/>
              <w:rPr>
                <w:lang w:val="it-IT"/>
              </w:rPr>
            </w:pPr>
          </w:p>
        </w:tc>
        <w:tc>
          <w:tcPr>
            <w:tcW w:w="573" w:type="dxa"/>
            <w:tcMar>
              <w:left w:w="108" w:type="dxa"/>
            </w:tcMar>
            <w:vAlign w:val="center"/>
          </w:tcPr>
          <w:p w:rsidR="00AD4AE2" w:rsidRPr="00A32A16" w:rsidRDefault="00AD4AE2" w:rsidP="000D7E0A">
            <w:pPr>
              <w:jc w:val="center"/>
              <w:rPr>
                <w:lang w:val="it-IT"/>
              </w:rPr>
            </w:pPr>
          </w:p>
        </w:tc>
        <w:tc>
          <w:tcPr>
            <w:tcW w:w="570" w:type="dxa"/>
            <w:tcMar>
              <w:left w:w="108" w:type="dxa"/>
            </w:tcMar>
            <w:vAlign w:val="center"/>
          </w:tcPr>
          <w:p w:rsidR="00AD4AE2" w:rsidRPr="00A32A16" w:rsidRDefault="00AD4AE2" w:rsidP="000D7E0A">
            <w:pPr>
              <w:jc w:val="center"/>
              <w:rPr>
                <w:lang w:val="it-IT"/>
              </w:rPr>
            </w:pPr>
          </w:p>
        </w:tc>
      </w:tr>
      <w:tr w:rsidR="00AD4AE2" w:rsidRPr="00BD07F7" w:rsidTr="000D7E0A">
        <w:trPr>
          <w:cantSplit/>
          <w:trHeight w:val="20"/>
        </w:trPr>
        <w:tc>
          <w:tcPr>
            <w:tcW w:w="680" w:type="dxa"/>
            <w:vAlign w:val="center"/>
          </w:tcPr>
          <w:p w:rsidR="00AD4AE2" w:rsidRPr="00BD1173" w:rsidRDefault="00AD4AE2" w:rsidP="000D7E0A">
            <w:pPr>
              <w:jc w:val="center"/>
              <w:rPr>
                <w:b/>
                <w:lang w:val="it-IT"/>
              </w:rPr>
            </w:pPr>
          </w:p>
        </w:tc>
        <w:tc>
          <w:tcPr>
            <w:tcW w:w="852" w:type="dxa"/>
            <w:tcMar>
              <w:left w:w="108" w:type="dxa"/>
              <w:right w:w="0" w:type="dxa"/>
            </w:tcMar>
            <w:vAlign w:val="center"/>
          </w:tcPr>
          <w:p w:rsidR="00AD4AE2" w:rsidRDefault="00AD4AE2" w:rsidP="000D7E0A">
            <w:pPr>
              <w:pStyle w:val="PrincCont"/>
              <w:jc w:val="left"/>
              <w:rPr>
                <w:lang w:val="it-IT"/>
              </w:rPr>
            </w:pPr>
          </w:p>
        </w:tc>
        <w:tc>
          <w:tcPr>
            <w:tcW w:w="7059" w:type="dxa"/>
            <w:tcMar>
              <w:left w:w="108" w:type="dxa"/>
            </w:tcMar>
            <w:vAlign w:val="center"/>
          </w:tcPr>
          <w:p w:rsidR="00AD4AE2" w:rsidRPr="00EB358A" w:rsidRDefault="00AD4AE2" w:rsidP="004E27C2">
            <w:pPr>
              <w:pStyle w:val="Paragrafoelenco"/>
              <w:numPr>
                <w:ilvl w:val="0"/>
                <w:numId w:val="42"/>
              </w:numPr>
              <w:spacing w:line="230" w:lineRule="exact"/>
              <w:ind w:left="511" w:hanging="227"/>
              <w:rPr>
                <w:lang w:val="it-IT"/>
              </w:rPr>
            </w:pPr>
            <w:r>
              <w:rPr>
                <w:lang w:val="it-IT"/>
              </w:rPr>
              <w:t>p</w:t>
            </w:r>
            <w:r w:rsidRPr="00EB358A">
              <w:rPr>
                <w:lang w:val="it-IT"/>
              </w:rPr>
              <w:t>er trattamento di quiescenza e obblighi simili</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492518" w:rsidTr="000D7E0A">
        <w:trPr>
          <w:cantSplit/>
          <w:trHeight w:val="20"/>
        </w:trPr>
        <w:tc>
          <w:tcPr>
            <w:tcW w:w="680" w:type="dxa"/>
            <w:vAlign w:val="center"/>
          </w:tcPr>
          <w:p w:rsidR="00AD4AE2" w:rsidRPr="00BD1173" w:rsidRDefault="00AD4AE2" w:rsidP="000D7E0A">
            <w:pPr>
              <w:jc w:val="center"/>
              <w:rPr>
                <w:b/>
                <w:lang w:val="it-IT"/>
              </w:rPr>
            </w:pPr>
          </w:p>
        </w:tc>
        <w:tc>
          <w:tcPr>
            <w:tcW w:w="852" w:type="dxa"/>
            <w:tcMar>
              <w:left w:w="108" w:type="dxa"/>
              <w:right w:w="0" w:type="dxa"/>
            </w:tcMar>
            <w:vAlign w:val="center"/>
          </w:tcPr>
          <w:p w:rsidR="00AD4AE2" w:rsidRDefault="00AD4AE2" w:rsidP="000D7E0A">
            <w:pPr>
              <w:pStyle w:val="PrincCont"/>
              <w:jc w:val="left"/>
              <w:rPr>
                <w:lang w:val="it-IT"/>
              </w:rPr>
            </w:pPr>
          </w:p>
        </w:tc>
        <w:tc>
          <w:tcPr>
            <w:tcW w:w="7059" w:type="dxa"/>
            <w:tcMar>
              <w:left w:w="108" w:type="dxa"/>
            </w:tcMar>
            <w:vAlign w:val="center"/>
          </w:tcPr>
          <w:p w:rsidR="00AD4AE2" w:rsidRPr="00EB358A" w:rsidRDefault="00AD4AE2" w:rsidP="004E27C2">
            <w:pPr>
              <w:pStyle w:val="Paragrafoelenco"/>
              <w:numPr>
                <w:ilvl w:val="0"/>
                <w:numId w:val="42"/>
              </w:numPr>
              <w:spacing w:line="230" w:lineRule="exact"/>
              <w:ind w:left="511" w:hanging="227"/>
              <w:rPr>
                <w:lang w:val="it-IT"/>
              </w:rPr>
            </w:pPr>
            <w:r>
              <w:rPr>
                <w:lang w:val="it-IT"/>
              </w:rPr>
              <w:t>p</w:t>
            </w:r>
            <w:r w:rsidRPr="00EB358A">
              <w:rPr>
                <w:lang w:val="it-IT"/>
              </w:rPr>
              <w:t>er imposte, anche differite</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492518" w:rsidTr="000D7E0A">
        <w:trPr>
          <w:cantSplit/>
          <w:trHeight w:val="20"/>
        </w:trPr>
        <w:tc>
          <w:tcPr>
            <w:tcW w:w="680" w:type="dxa"/>
            <w:vAlign w:val="center"/>
          </w:tcPr>
          <w:p w:rsidR="00AD4AE2" w:rsidRPr="00BD1173" w:rsidRDefault="00AD4AE2" w:rsidP="000D7E0A">
            <w:pPr>
              <w:jc w:val="center"/>
              <w:rPr>
                <w:b/>
                <w:lang w:val="it-IT"/>
              </w:rPr>
            </w:pPr>
          </w:p>
        </w:tc>
        <w:tc>
          <w:tcPr>
            <w:tcW w:w="852" w:type="dxa"/>
            <w:tcMar>
              <w:left w:w="108" w:type="dxa"/>
              <w:right w:w="0" w:type="dxa"/>
            </w:tcMar>
            <w:vAlign w:val="center"/>
          </w:tcPr>
          <w:p w:rsidR="00AD4AE2" w:rsidRDefault="00AD4AE2" w:rsidP="000D7E0A">
            <w:pPr>
              <w:pStyle w:val="PrincCont"/>
              <w:jc w:val="left"/>
              <w:rPr>
                <w:lang w:val="it-IT"/>
              </w:rPr>
            </w:pPr>
          </w:p>
        </w:tc>
        <w:tc>
          <w:tcPr>
            <w:tcW w:w="7059" w:type="dxa"/>
            <w:tcMar>
              <w:left w:w="108" w:type="dxa"/>
            </w:tcMar>
            <w:vAlign w:val="center"/>
          </w:tcPr>
          <w:p w:rsidR="00AD4AE2" w:rsidRPr="00EB358A" w:rsidRDefault="00AD4AE2" w:rsidP="004E27C2">
            <w:pPr>
              <w:pStyle w:val="Paragrafoelenco"/>
              <w:numPr>
                <w:ilvl w:val="0"/>
                <w:numId w:val="42"/>
              </w:numPr>
              <w:spacing w:line="230" w:lineRule="exact"/>
              <w:ind w:left="511" w:hanging="227"/>
              <w:rPr>
                <w:lang w:val="it-IT"/>
              </w:rPr>
            </w:pPr>
            <w:r>
              <w:rPr>
                <w:lang w:val="it-IT"/>
              </w:rPr>
              <w:t>strumenti finanziari derivati passivi</w:t>
            </w:r>
          </w:p>
        </w:tc>
        <w:tc>
          <w:tcPr>
            <w:tcW w:w="586" w:type="dxa"/>
            <w:tcMar>
              <w:left w:w="85" w:type="dxa"/>
              <w:right w:w="85" w:type="dxa"/>
            </w:tcMar>
            <w:vAlign w:val="center"/>
          </w:tcPr>
          <w:p w:rsidR="00AD4AE2" w:rsidRDefault="00AD4AE2" w:rsidP="000D7E0A">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Default="00AD4AE2" w:rsidP="000D7E0A">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Default="00AD4AE2" w:rsidP="000D7E0A">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492518" w:rsidTr="000D7E0A">
        <w:trPr>
          <w:cantSplit/>
          <w:trHeight w:val="20"/>
        </w:trPr>
        <w:tc>
          <w:tcPr>
            <w:tcW w:w="680" w:type="dxa"/>
            <w:vAlign w:val="center"/>
          </w:tcPr>
          <w:p w:rsidR="00AD4AE2" w:rsidRPr="00BD1173" w:rsidRDefault="00AD4AE2" w:rsidP="000D7E0A">
            <w:pPr>
              <w:jc w:val="center"/>
              <w:rPr>
                <w:b/>
                <w:lang w:val="it-IT"/>
              </w:rPr>
            </w:pPr>
          </w:p>
        </w:tc>
        <w:tc>
          <w:tcPr>
            <w:tcW w:w="852" w:type="dxa"/>
            <w:tcMar>
              <w:left w:w="108" w:type="dxa"/>
              <w:right w:w="0" w:type="dxa"/>
            </w:tcMar>
            <w:vAlign w:val="center"/>
          </w:tcPr>
          <w:p w:rsidR="00AD4AE2" w:rsidRDefault="00AD4AE2" w:rsidP="000D7E0A">
            <w:pPr>
              <w:pStyle w:val="PrincCont"/>
              <w:jc w:val="left"/>
              <w:rPr>
                <w:lang w:val="it-IT"/>
              </w:rPr>
            </w:pPr>
          </w:p>
        </w:tc>
        <w:tc>
          <w:tcPr>
            <w:tcW w:w="7059" w:type="dxa"/>
            <w:tcMar>
              <w:left w:w="108" w:type="dxa"/>
            </w:tcMar>
            <w:vAlign w:val="center"/>
          </w:tcPr>
          <w:p w:rsidR="00AD4AE2" w:rsidRPr="00EB358A" w:rsidRDefault="00AD4AE2" w:rsidP="004E27C2">
            <w:pPr>
              <w:pStyle w:val="Paragrafoelenco"/>
              <w:numPr>
                <w:ilvl w:val="0"/>
                <w:numId w:val="42"/>
              </w:numPr>
              <w:spacing w:line="230" w:lineRule="exact"/>
              <w:ind w:left="511" w:hanging="227"/>
              <w:rPr>
                <w:lang w:val="it-IT"/>
              </w:rPr>
            </w:pPr>
            <w:r>
              <w:rPr>
                <w:lang w:val="it-IT"/>
              </w:rPr>
              <w:t>a</w:t>
            </w:r>
            <w:r w:rsidRPr="00EB358A">
              <w:rPr>
                <w:lang w:val="it-IT"/>
              </w:rPr>
              <w:t>ltri</w:t>
            </w:r>
            <w:r>
              <w:rPr>
                <w:lang w:val="it-IT"/>
              </w:rPr>
              <w:t>?</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D94711" w:rsidTr="000D7E0A">
        <w:trPr>
          <w:cantSplit/>
          <w:trHeight w:val="20"/>
        </w:trPr>
        <w:tc>
          <w:tcPr>
            <w:tcW w:w="680" w:type="dxa"/>
          </w:tcPr>
          <w:p w:rsidR="00AD4AE2" w:rsidRPr="00BD1173" w:rsidRDefault="00AD4AE2" w:rsidP="000D7E0A">
            <w:pPr>
              <w:jc w:val="center"/>
              <w:rPr>
                <w:b/>
                <w:lang w:val="it-IT"/>
              </w:rPr>
            </w:pPr>
            <w:r w:rsidRPr="00BD1173">
              <w:rPr>
                <w:b/>
                <w:lang w:val="it-IT"/>
              </w:rPr>
              <w:t>2)</w:t>
            </w:r>
          </w:p>
        </w:tc>
        <w:tc>
          <w:tcPr>
            <w:tcW w:w="852" w:type="dxa"/>
            <w:tcMar>
              <w:left w:w="108" w:type="dxa"/>
              <w:right w:w="0" w:type="dxa"/>
            </w:tcMar>
          </w:tcPr>
          <w:p w:rsidR="00AD4AE2" w:rsidRDefault="00AD4AE2" w:rsidP="000D7E0A">
            <w:pPr>
              <w:pStyle w:val="PrincCont"/>
              <w:jc w:val="left"/>
              <w:rPr>
                <w:lang w:val="it-IT"/>
              </w:rPr>
            </w:pPr>
            <w:r>
              <w:rPr>
                <w:lang w:val="it-IT"/>
              </w:rPr>
              <w:t>OIC 31.15</w:t>
            </w:r>
          </w:p>
        </w:tc>
        <w:tc>
          <w:tcPr>
            <w:tcW w:w="7059" w:type="dxa"/>
            <w:tcMar>
              <w:left w:w="108" w:type="dxa"/>
            </w:tcMar>
            <w:vAlign w:val="center"/>
          </w:tcPr>
          <w:p w:rsidR="00AD4AE2" w:rsidRPr="00D94711" w:rsidRDefault="00AD4AE2" w:rsidP="000D7E0A">
            <w:pPr>
              <w:spacing w:line="230" w:lineRule="exact"/>
              <w:rPr>
                <w:lang w:val="it-IT"/>
              </w:rPr>
            </w:pPr>
            <w:r>
              <w:rPr>
                <w:lang w:val="it-IT"/>
              </w:rPr>
              <w:t>La voce B1 “per trattamento di quiescenza ed obblighi simili” accogli i fondi previdenziali integrativi, diversi dal trattamento di fine rapporto ex art. 2120 CC, nonché le indennità una tantum?</w:t>
            </w:r>
          </w:p>
        </w:tc>
        <w:tc>
          <w:tcPr>
            <w:tcW w:w="586" w:type="dxa"/>
            <w:tcMar>
              <w:left w:w="85" w:type="dxa"/>
              <w:right w:w="85" w:type="dxa"/>
            </w:tcMar>
            <w:vAlign w:val="center"/>
          </w:tcPr>
          <w:p w:rsidR="00AD4AE2" w:rsidRPr="009D437A"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Pr="009D437A"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9D437A"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CC242B"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BF5EED" w:rsidRDefault="00AD4AE2" w:rsidP="000D7E0A">
            <w:pPr>
              <w:pStyle w:val="PrincCont"/>
              <w:jc w:val="left"/>
              <w:rPr>
                <w:lang w:val="it-IT"/>
              </w:rPr>
            </w:pPr>
          </w:p>
        </w:tc>
        <w:tc>
          <w:tcPr>
            <w:tcW w:w="7059" w:type="dxa"/>
            <w:tcMar>
              <w:left w:w="108" w:type="dxa"/>
            </w:tcMar>
          </w:tcPr>
          <w:p w:rsidR="00AD4AE2" w:rsidRPr="009D437A" w:rsidRDefault="00AD4AE2" w:rsidP="000D7E0A">
            <w:pPr>
              <w:pStyle w:val="Commentiriquadro"/>
              <w:rPr>
                <w:color w:val="000000"/>
              </w:rPr>
            </w:pPr>
            <w:r>
              <w:rPr>
                <w:color w:val="000000"/>
              </w:rPr>
              <w:t>Esempi di tali fondi possono essere:</w:t>
            </w:r>
          </w:p>
          <w:p w:rsidR="00AD4AE2" w:rsidRPr="009D437A" w:rsidRDefault="00AD4AE2" w:rsidP="000D7E0A">
            <w:pPr>
              <w:pStyle w:val="Commentiriquadro"/>
              <w:ind w:left="176" w:hanging="119"/>
            </w:pPr>
            <w:r>
              <w:t>-</w:t>
            </w:r>
            <w:r>
              <w:tab/>
            </w:r>
            <w:r w:rsidRPr="009D437A">
              <w:t>Fondi di indennità per cessazione di rapporti di collaborazione coordinata e continuativa</w:t>
            </w:r>
          </w:p>
          <w:p w:rsidR="00AD4AE2" w:rsidRPr="009D437A" w:rsidRDefault="00AD4AE2" w:rsidP="000D7E0A">
            <w:pPr>
              <w:pStyle w:val="Commentiriquadro"/>
              <w:ind w:left="176" w:hanging="119"/>
              <w:rPr>
                <w:color w:val="000000"/>
              </w:rPr>
            </w:pPr>
            <w:r>
              <w:rPr>
                <w:color w:val="000000"/>
              </w:rPr>
              <w:t>-</w:t>
            </w:r>
            <w:r>
              <w:rPr>
                <w:color w:val="000000"/>
              </w:rPr>
              <w:tab/>
            </w:r>
            <w:r w:rsidRPr="009D437A">
              <w:rPr>
                <w:color w:val="000000"/>
              </w:rPr>
              <w:t>Fondi di indennità per cessazione di rapporti di agenzia, rappresentanza, ecc.</w:t>
            </w:r>
          </w:p>
          <w:p w:rsidR="00AD4AE2" w:rsidRPr="009D437A" w:rsidRDefault="00AD4AE2" w:rsidP="000D7E0A">
            <w:pPr>
              <w:pStyle w:val="Commentiriquadro"/>
              <w:ind w:left="176" w:hanging="119"/>
              <w:rPr>
                <w:color w:val="000000"/>
              </w:rPr>
            </w:pPr>
            <w:r>
              <w:rPr>
                <w:color w:val="000000"/>
              </w:rPr>
              <w:t>-</w:t>
            </w:r>
            <w:r>
              <w:rPr>
                <w:color w:val="000000"/>
              </w:rPr>
              <w:tab/>
            </w:r>
            <w:r w:rsidRPr="009D437A">
              <w:rPr>
                <w:color w:val="000000"/>
              </w:rPr>
              <w:t>Fondi di indennità suppletiva di clientela</w:t>
            </w:r>
          </w:p>
          <w:p w:rsidR="00AD4AE2" w:rsidRPr="00942F5B" w:rsidRDefault="00AD4AE2" w:rsidP="000D7E0A">
            <w:pPr>
              <w:pStyle w:val="Commentiriquadro"/>
              <w:ind w:left="176" w:hanging="119"/>
              <w:rPr>
                <w:color w:val="000000"/>
              </w:rPr>
            </w:pPr>
            <w:r>
              <w:rPr>
                <w:color w:val="000000"/>
              </w:rPr>
              <w:t>-</w:t>
            </w:r>
            <w:r>
              <w:rPr>
                <w:color w:val="000000"/>
              </w:rPr>
              <w:tab/>
            </w:r>
            <w:r w:rsidRPr="009D437A">
              <w:rPr>
                <w:color w:val="000000"/>
              </w:rPr>
              <w:t>Fondi per premi di fedeltà riconosciuti ai dipendenti?</w:t>
            </w:r>
          </w:p>
        </w:tc>
        <w:tc>
          <w:tcPr>
            <w:tcW w:w="586" w:type="dxa"/>
            <w:tcMar>
              <w:left w:w="85" w:type="dxa"/>
              <w:right w:w="85" w:type="dxa"/>
            </w:tcMar>
            <w:vAlign w:val="center"/>
          </w:tcPr>
          <w:p w:rsidR="00AD4AE2" w:rsidRPr="00BF5EED" w:rsidRDefault="00AD4AE2" w:rsidP="000D7E0A">
            <w:pPr>
              <w:jc w:val="center"/>
              <w:rPr>
                <w:lang w:val="it-IT"/>
              </w:rPr>
            </w:pPr>
          </w:p>
        </w:tc>
        <w:tc>
          <w:tcPr>
            <w:tcW w:w="573" w:type="dxa"/>
            <w:tcMar>
              <w:left w:w="108" w:type="dxa"/>
            </w:tcMar>
            <w:vAlign w:val="center"/>
          </w:tcPr>
          <w:p w:rsidR="00AD4AE2" w:rsidRPr="00BF5EED" w:rsidRDefault="00AD4AE2" w:rsidP="000D7E0A">
            <w:pPr>
              <w:jc w:val="center"/>
              <w:rPr>
                <w:lang w:val="it-IT"/>
              </w:rPr>
            </w:pPr>
          </w:p>
        </w:tc>
        <w:tc>
          <w:tcPr>
            <w:tcW w:w="570" w:type="dxa"/>
            <w:tcMar>
              <w:left w:w="108" w:type="dxa"/>
            </w:tcMar>
            <w:vAlign w:val="center"/>
          </w:tcPr>
          <w:p w:rsidR="00AD4AE2" w:rsidRPr="00BF5EED" w:rsidRDefault="00AD4AE2" w:rsidP="000D7E0A">
            <w:pPr>
              <w:jc w:val="center"/>
              <w:rPr>
                <w:lang w:val="it-IT"/>
              </w:rPr>
            </w:pPr>
          </w:p>
        </w:tc>
      </w:tr>
      <w:tr w:rsidR="00AD4AE2" w:rsidRPr="00CC242B" w:rsidTr="000D7E0A">
        <w:trPr>
          <w:cantSplit/>
          <w:trHeight w:val="20"/>
        </w:trPr>
        <w:tc>
          <w:tcPr>
            <w:tcW w:w="680" w:type="dxa"/>
            <w:vAlign w:val="center"/>
          </w:tcPr>
          <w:p w:rsidR="00AD4AE2" w:rsidRPr="00BD1173" w:rsidRDefault="00AD4AE2" w:rsidP="000D7E0A">
            <w:pPr>
              <w:pageBreakBefore/>
              <w:jc w:val="center"/>
              <w:rPr>
                <w:b/>
                <w:lang w:val="it-IT"/>
              </w:rPr>
            </w:pPr>
            <w:r w:rsidRPr="00BD1173">
              <w:rPr>
                <w:b/>
                <w:lang w:val="it-IT"/>
              </w:rPr>
              <w:t>3)</w:t>
            </w:r>
          </w:p>
        </w:tc>
        <w:tc>
          <w:tcPr>
            <w:tcW w:w="852" w:type="dxa"/>
            <w:tcMar>
              <w:left w:w="108" w:type="dxa"/>
              <w:right w:w="0" w:type="dxa"/>
            </w:tcMar>
          </w:tcPr>
          <w:p w:rsidR="00AD4AE2" w:rsidRDefault="00AD4AE2" w:rsidP="000D7E0A">
            <w:pPr>
              <w:pStyle w:val="PrincCont"/>
              <w:pageBreakBefore/>
              <w:jc w:val="left"/>
              <w:rPr>
                <w:lang w:val="it-IT"/>
              </w:rPr>
            </w:pPr>
            <w:r>
              <w:rPr>
                <w:lang w:val="it-IT"/>
              </w:rPr>
              <w:t>OIC 31.16</w:t>
            </w:r>
          </w:p>
        </w:tc>
        <w:tc>
          <w:tcPr>
            <w:tcW w:w="7059" w:type="dxa"/>
            <w:tcMar>
              <w:left w:w="108" w:type="dxa"/>
            </w:tcMar>
            <w:vAlign w:val="center"/>
          </w:tcPr>
          <w:p w:rsidR="00AD4AE2" w:rsidRPr="000E34D2" w:rsidRDefault="00AD4AE2" w:rsidP="000D7E0A">
            <w:pPr>
              <w:pStyle w:val="Commentiriquadro"/>
              <w:pBdr>
                <w:top w:val="none" w:sz="0" w:space="0" w:color="auto"/>
                <w:left w:val="none" w:sz="0" w:space="0" w:color="auto"/>
                <w:bottom w:val="none" w:sz="0" w:space="0" w:color="auto"/>
                <w:right w:val="none" w:sz="0" w:space="0" w:color="auto"/>
              </w:pBdr>
              <w:rPr>
                <w:color w:val="000000"/>
              </w:rPr>
            </w:pPr>
            <w:r w:rsidRPr="00BF181A">
              <w:rPr>
                <w:color w:val="000000"/>
                <w:sz w:val="20"/>
                <w:szCs w:val="20"/>
              </w:rPr>
              <w:t>La voce B2 “</w:t>
            </w:r>
            <w:r>
              <w:rPr>
                <w:color w:val="000000"/>
                <w:sz w:val="20"/>
                <w:szCs w:val="20"/>
              </w:rPr>
              <w:t>p</w:t>
            </w:r>
            <w:r w:rsidRPr="009D437A">
              <w:rPr>
                <w:color w:val="000000"/>
                <w:sz w:val="20"/>
                <w:szCs w:val="20"/>
              </w:rPr>
              <w:t>er imposte, anche differit</w:t>
            </w:r>
            <w:r w:rsidRPr="00BF181A">
              <w:rPr>
                <w:i/>
                <w:color w:val="000000"/>
                <w:sz w:val="20"/>
                <w:szCs w:val="20"/>
              </w:rPr>
              <w:t>e</w:t>
            </w:r>
            <w:r w:rsidRPr="00BF181A">
              <w:rPr>
                <w:color w:val="000000"/>
                <w:sz w:val="20"/>
                <w:szCs w:val="20"/>
              </w:rPr>
              <w:t>” accoglie:</w:t>
            </w:r>
          </w:p>
        </w:tc>
        <w:tc>
          <w:tcPr>
            <w:tcW w:w="586" w:type="dxa"/>
            <w:tcMar>
              <w:left w:w="85" w:type="dxa"/>
              <w:right w:w="85" w:type="dxa"/>
            </w:tcMar>
            <w:vAlign w:val="center"/>
          </w:tcPr>
          <w:p w:rsidR="00AD4AE2" w:rsidRPr="009D437A" w:rsidRDefault="00AD4AE2" w:rsidP="000D7E0A">
            <w:pPr>
              <w:jc w:val="center"/>
              <w:rPr>
                <w:lang w:val="it-IT"/>
              </w:rPr>
            </w:pPr>
          </w:p>
        </w:tc>
        <w:tc>
          <w:tcPr>
            <w:tcW w:w="573" w:type="dxa"/>
            <w:tcMar>
              <w:left w:w="108" w:type="dxa"/>
            </w:tcMar>
            <w:vAlign w:val="center"/>
          </w:tcPr>
          <w:p w:rsidR="00AD4AE2" w:rsidRPr="009D437A" w:rsidRDefault="00AD4AE2" w:rsidP="000D7E0A">
            <w:pPr>
              <w:jc w:val="center"/>
              <w:rPr>
                <w:lang w:val="it-IT"/>
              </w:rPr>
            </w:pPr>
          </w:p>
        </w:tc>
        <w:tc>
          <w:tcPr>
            <w:tcW w:w="570" w:type="dxa"/>
            <w:tcMar>
              <w:left w:w="108" w:type="dxa"/>
            </w:tcMar>
            <w:vAlign w:val="center"/>
          </w:tcPr>
          <w:p w:rsidR="00AD4AE2" w:rsidRPr="009D437A" w:rsidRDefault="00AD4AE2" w:rsidP="000D7E0A">
            <w:pPr>
              <w:jc w:val="center"/>
              <w:rPr>
                <w:lang w:val="it-IT"/>
              </w:rPr>
            </w:pPr>
          </w:p>
        </w:tc>
      </w:tr>
      <w:tr w:rsidR="00AD4AE2" w:rsidRPr="00BF181A" w:rsidTr="000D7E0A">
        <w:trPr>
          <w:cantSplit/>
          <w:trHeight w:val="20"/>
        </w:trPr>
        <w:tc>
          <w:tcPr>
            <w:tcW w:w="680" w:type="dxa"/>
            <w:vAlign w:val="center"/>
          </w:tcPr>
          <w:p w:rsidR="00AD4AE2" w:rsidRPr="00BD1173" w:rsidRDefault="00AD4AE2" w:rsidP="000D7E0A">
            <w:pPr>
              <w:jc w:val="center"/>
              <w:rPr>
                <w:b/>
                <w:lang w:val="it-IT"/>
              </w:rPr>
            </w:pPr>
          </w:p>
        </w:tc>
        <w:tc>
          <w:tcPr>
            <w:tcW w:w="852" w:type="dxa"/>
            <w:tcMar>
              <w:left w:w="108" w:type="dxa"/>
              <w:right w:w="0" w:type="dxa"/>
            </w:tcMar>
            <w:vAlign w:val="center"/>
          </w:tcPr>
          <w:p w:rsidR="00AD4AE2" w:rsidRDefault="00AD4AE2" w:rsidP="000D7E0A">
            <w:pPr>
              <w:pStyle w:val="PrincCont"/>
              <w:jc w:val="left"/>
              <w:rPr>
                <w:lang w:val="it-IT"/>
              </w:rPr>
            </w:pPr>
          </w:p>
        </w:tc>
        <w:tc>
          <w:tcPr>
            <w:tcW w:w="7059" w:type="dxa"/>
            <w:tcMar>
              <w:left w:w="108" w:type="dxa"/>
            </w:tcMar>
            <w:vAlign w:val="center"/>
          </w:tcPr>
          <w:p w:rsidR="00AD4AE2" w:rsidRPr="00BF181A" w:rsidRDefault="00AD4AE2" w:rsidP="004E27C2">
            <w:pPr>
              <w:pStyle w:val="Commentiriquadro"/>
              <w:numPr>
                <w:ilvl w:val="0"/>
                <w:numId w:val="43"/>
              </w:numPr>
              <w:pBdr>
                <w:top w:val="none" w:sz="0" w:space="0" w:color="auto"/>
                <w:left w:val="none" w:sz="0" w:space="0" w:color="auto"/>
                <w:bottom w:val="none" w:sz="0" w:space="0" w:color="auto"/>
                <w:right w:val="none" w:sz="0" w:space="0" w:color="auto"/>
              </w:pBdr>
              <w:spacing w:line="230" w:lineRule="exact"/>
              <w:ind w:left="414" w:hanging="238"/>
              <w:rPr>
                <w:color w:val="000000"/>
                <w:sz w:val="20"/>
                <w:szCs w:val="20"/>
              </w:rPr>
            </w:pPr>
            <w:r w:rsidRPr="000E34D2">
              <w:rPr>
                <w:color w:val="000000"/>
                <w:sz w:val="20"/>
                <w:szCs w:val="20"/>
              </w:rPr>
              <w:t>le passività per imposte probabili, aventi ammontare o data di sopravvenienza indeterminata, derivanti, ad esempio, da accertamenti non definitivi o contenziosi in corso e altre fattispecie similari</w:t>
            </w:r>
          </w:p>
        </w:tc>
        <w:tc>
          <w:tcPr>
            <w:tcW w:w="586" w:type="dxa"/>
            <w:tcMar>
              <w:left w:w="85" w:type="dxa"/>
              <w:right w:w="85" w:type="dxa"/>
            </w:tcMar>
            <w:vAlign w:val="center"/>
          </w:tcPr>
          <w:p w:rsidR="00AD4AE2" w:rsidRPr="009D437A"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Pr="009D437A"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9D437A"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BF181A" w:rsidTr="000D7E0A">
        <w:trPr>
          <w:cantSplit/>
          <w:trHeight w:val="20"/>
        </w:trPr>
        <w:tc>
          <w:tcPr>
            <w:tcW w:w="680" w:type="dxa"/>
            <w:vAlign w:val="center"/>
          </w:tcPr>
          <w:p w:rsidR="00AD4AE2" w:rsidRPr="00BD1173" w:rsidRDefault="00AD4AE2" w:rsidP="000D7E0A">
            <w:pPr>
              <w:jc w:val="center"/>
              <w:rPr>
                <w:b/>
                <w:lang w:val="it-IT"/>
              </w:rPr>
            </w:pPr>
          </w:p>
        </w:tc>
        <w:tc>
          <w:tcPr>
            <w:tcW w:w="852" w:type="dxa"/>
            <w:tcMar>
              <w:left w:w="108" w:type="dxa"/>
              <w:right w:w="0" w:type="dxa"/>
            </w:tcMar>
            <w:vAlign w:val="center"/>
          </w:tcPr>
          <w:p w:rsidR="00AD4AE2" w:rsidRDefault="00AD4AE2" w:rsidP="000D7E0A">
            <w:pPr>
              <w:pStyle w:val="PrincCont"/>
              <w:jc w:val="left"/>
              <w:rPr>
                <w:lang w:val="it-IT"/>
              </w:rPr>
            </w:pPr>
          </w:p>
        </w:tc>
        <w:tc>
          <w:tcPr>
            <w:tcW w:w="7059" w:type="dxa"/>
            <w:tcMar>
              <w:left w:w="108" w:type="dxa"/>
            </w:tcMar>
            <w:vAlign w:val="center"/>
          </w:tcPr>
          <w:p w:rsidR="00AD4AE2" w:rsidRPr="00BF181A" w:rsidRDefault="00AD4AE2" w:rsidP="004E27C2">
            <w:pPr>
              <w:pStyle w:val="Commentiriquadro"/>
              <w:numPr>
                <w:ilvl w:val="0"/>
                <w:numId w:val="43"/>
              </w:numPr>
              <w:pBdr>
                <w:top w:val="none" w:sz="0" w:space="0" w:color="auto"/>
                <w:left w:val="none" w:sz="0" w:space="0" w:color="auto"/>
                <w:bottom w:val="none" w:sz="0" w:space="0" w:color="auto"/>
                <w:right w:val="none" w:sz="0" w:space="0" w:color="auto"/>
              </w:pBdr>
              <w:spacing w:before="20" w:line="230" w:lineRule="exact"/>
              <w:ind w:left="414" w:hanging="238"/>
              <w:rPr>
                <w:color w:val="000000"/>
                <w:sz w:val="20"/>
                <w:szCs w:val="20"/>
              </w:rPr>
            </w:pPr>
            <w:r w:rsidRPr="000E34D2">
              <w:rPr>
                <w:color w:val="000000"/>
                <w:sz w:val="20"/>
                <w:szCs w:val="20"/>
              </w:rPr>
              <w:t>le passività per imposte differite determinate in base alle differenze temporanee imponibili?</w:t>
            </w:r>
          </w:p>
        </w:tc>
        <w:tc>
          <w:tcPr>
            <w:tcW w:w="586" w:type="dxa"/>
            <w:tcMar>
              <w:left w:w="85" w:type="dxa"/>
              <w:right w:w="85" w:type="dxa"/>
            </w:tcMar>
            <w:vAlign w:val="center"/>
          </w:tcPr>
          <w:p w:rsidR="00AD4AE2" w:rsidRPr="009D437A"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Pr="009D437A"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9D437A"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2B2EE2" w:rsidTr="000D7E0A">
        <w:trPr>
          <w:cantSplit/>
          <w:trHeight w:val="20"/>
        </w:trPr>
        <w:tc>
          <w:tcPr>
            <w:tcW w:w="680" w:type="dxa"/>
          </w:tcPr>
          <w:p w:rsidR="00AD4AE2" w:rsidRPr="00BD1173" w:rsidRDefault="00AD4AE2" w:rsidP="000D7E0A">
            <w:pPr>
              <w:jc w:val="center"/>
              <w:rPr>
                <w:b/>
                <w:lang w:val="it-IT"/>
              </w:rPr>
            </w:pPr>
            <w:r w:rsidRPr="00BD1173">
              <w:rPr>
                <w:b/>
                <w:lang w:val="it-IT"/>
              </w:rPr>
              <w:t>4)</w:t>
            </w:r>
          </w:p>
        </w:tc>
        <w:tc>
          <w:tcPr>
            <w:tcW w:w="852" w:type="dxa"/>
            <w:tcMar>
              <w:left w:w="108" w:type="dxa"/>
              <w:right w:w="0" w:type="dxa"/>
            </w:tcMar>
          </w:tcPr>
          <w:p w:rsidR="00AD4AE2" w:rsidRDefault="00AD4AE2" w:rsidP="000D7E0A">
            <w:pPr>
              <w:pStyle w:val="PrincCont"/>
              <w:jc w:val="left"/>
              <w:rPr>
                <w:lang w:val="it-IT"/>
              </w:rPr>
            </w:pPr>
            <w:r>
              <w:rPr>
                <w:lang w:val="it-IT"/>
              </w:rPr>
              <w:t>OIC 31.17</w:t>
            </w:r>
          </w:p>
        </w:tc>
        <w:tc>
          <w:tcPr>
            <w:tcW w:w="7059" w:type="dxa"/>
            <w:tcBorders>
              <w:bottom w:val="single" w:sz="4" w:space="0" w:color="auto"/>
            </w:tcBorders>
            <w:tcMar>
              <w:left w:w="108" w:type="dxa"/>
            </w:tcMar>
            <w:vAlign w:val="center"/>
          </w:tcPr>
          <w:p w:rsidR="00AD4AE2" w:rsidRPr="002B2EE2" w:rsidRDefault="00AD4AE2" w:rsidP="000D7E0A">
            <w:pPr>
              <w:pStyle w:val="Commentiriquadro"/>
              <w:pBdr>
                <w:top w:val="none" w:sz="0" w:space="0" w:color="auto"/>
                <w:left w:val="none" w:sz="0" w:space="0" w:color="auto"/>
                <w:bottom w:val="none" w:sz="0" w:space="0" w:color="auto"/>
                <w:right w:val="none" w:sz="0" w:space="0" w:color="auto"/>
              </w:pBdr>
              <w:spacing w:line="230" w:lineRule="exact"/>
              <w:rPr>
                <w:color w:val="000000"/>
                <w:sz w:val="20"/>
                <w:szCs w:val="20"/>
              </w:rPr>
            </w:pPr>
            <w:r>
              <w:rPr>
                <w:color w:val="000000"/>
                <w:sz w:val="20"/>
                <w:szCs w:val="20"/>
              </w:rPr>
              <w:t xml:space="preserve">La voce B3 “strumenti finanziari derivati passivi” accoglie gli strumenti finanziari derivati con </w:t>
            </w:r>
            <w:r w:rsidRPr="00D32C6A">
              <w:rPr>
                <w:i/>
                <w:color w:val="000000"/>
                <w:sz w:val="20"/>
                <w:szCs w:val="20"/>
              </w:rPr>
              <w:t>fair value</w:t>
            </w:r>
            <w:r>
              <w:rPr>
                <w:color w:val="000000"/>
                <w:sz w:val="20"/>
                <w:szCs w:val="20"/>
              </w:rPr>
              <w:t xml:space="preserve"> negativo alla data di valutazione?</w:t>
            </w:r>
          </w:p>
        </w:tc>
        <w:tc>
          <w:tcPr>
            <w:tcW w:w="586" w:type="dxa"/>
            <w:tcMar>
              <w:left w:w="85" w:type="dxa"/>
              <w:right w:w="85" w:type="dxa"/>
            </w:tcMar>
            <w:vAlign w:val="center"/>
          </w:tcPr>
          <w:p w:rsidR="00AD4AE2" w:rsidRPr="00CF6941"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Pr="00CF6941"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CF6941"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CC242B"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BF5EED" w:rsidRDefault="00AD4AE2" w:rsidP="000D7E0A">
            <w:pPr>
              <w:pStyle w:val="PrincCont"/>
              <w:jc w:val="left"/>
              <w:rPr>
                <w:lang w:val="it-IT"/>
              </w:rPr>
            </w:pPr>
            <w:r>
              <w:rPr>
                <w:lang w:val="it-IT"/>
              </w:rPr>
              <w:t>OIC 31.17</w:t>
            </w:r>
          </w:p>
        </w:tc>
        <w:tc>
          <w:tcPr>
            <w:tcW w:w="7059" w:type="dxa"/>
            <w:tcMar>
              <w:left w:w="108" w:type="dxa"/>
            </w:tcMar>
          </w:tcPr>
          <w:p w:rsidR="00AD4AE2" w:rsidRPr="00942F5B" w:rsidRDefault="00AD4AE2" w:rsidP="000D7E0A">
            <w:pPr>
              <w:pStyle w:val="Commentiriquadro"/>
              <w:rPr>
                <w:color w:val="000000"/>
              </w:rPr>
            </w:pPr>
            <w:r>
              <w:rPr>
                <w:color w:val="000000"/>
              </w:rPr>
              <w:t>Per la definizione di strumento derivato, le modalità di rilevazione e valutazione in bilancio, i relativi obblighi e le disposizioni di prima applicazione si rinvia all’OIC 32 “Strumenti finanziari derivati”.</w:t>
            </w:r>
          </w:p>
        </w:tc>
        <w:tc>
          <w:tcPr>
            <w:tcW w:w="586" w:type="dxa"/>
            <w:tcMar>
              <w:left w:w="85" w:type="dxa"/>
              <w:right w:w="85" w:type="dxa"/>
            </w:tcMar>
            <w:vAlign w:val="center"/>
          </w:tcPr>
          <w:p w:rsidR="00AD4AE2" w:rsidRPr="00BF5EED" w:rsidRDefault="00AD4AE2" w:rsidP="000D7E0A">
            <w:pPr>
              <w:jc w:val="center"/>
              <w:rPr>
                <w:lang w:val="it-IT"/>
              </w:rPr>
            </w:pPr>
          </w:p>
        </w:tc>
        <w:tc>
          <w:tcPr>
            <w:tcW w:w="573" w:type="dxa"/>
            <w:tcMar>
              <w:left w:w="108" w:type="dxa"/>
            </w:tcMar>
            <w:vAlign w:val="center"/>
          </w:tcPr>
          <w:p w:rsidR="00AD4AE2" w:rsidRPr="00BF5EED" w:rsidRDefault="00AD4AE2" w:rsidP="000D7E0A">
            <w:pPr>
              <w:jc w:val="center"/>
              <w:rPr>
                <w:lang w:val="it-IT"/>
              </w:rPr>
            </w:pPr>
          </w:p>
        </w:tc>
        <w:tc>
          <w:tcPr>
            <w:tcW w:w="570" w:type="dxa"/>
            <w:tcMar>
              <w:left w:w="108" w:type="dxa"/>
            </w:tcMar>
            <w:vAlign w:val="center"/>
          </w:tcPr>
          <w:p w:rsidR="00AD4AE2" w:rsidRPr="00BF5EED" w:rsidRDefault="00AD4AE2" w:rsidP="000D7E0A">
            <w:pPr>
              <w:jc w:val="center"/>
              <w:rPr>
                <w:lang w:val="it-IT"/>
              </w:rPr>
            </w:pPr>
          </w:p>
        </w:tc>
      </w:tr>
      <w:tr w:rsidR="00AD4AE2" w:rsidRPr="002B2EE2" w:rsidTr="000D7E0A">
        <w:trPr>
          <w:cantSplit/>
          <w:trHeight w:val="20"/>
        </w:trPr>
        <w:tc>
          <w:tcPr>
            <w:tcW w:w="680" w:type="dxa"/>
          </w:tcPr>
          <w:p w:rsidR="00AD4AE2" w:rsidRPr="00BD1173" w:rsidRDefault="00AD4AE2" w:rsidP="000D7E0A">
            <w:pPr>
              <w:jc w:val="center"/>
              <w:rPr>
                <w:b/>
                <w:lang w:val="it-IT"/>
              </w:rPr>
            </w:pPr>
            <w:r w:rsidRPr="00BD1173">
              <w:rPr>
                <w:b/>
                <w:lang w:val="it-IT"/>
              </w:rPr>
              <w:t>5)</w:t>
            </w:r>
          </w:p>
        </w:tc>
        <w:tc>
          <w:tcPr>
            <w:tcW w:w="852" w:type="dxa"/>
            <w:tcMar>
              <w:left w:w="108" w:type="dxa"/>
              <w:right w:w="0" w:type="dxa"/>
            </w:tcMar>
          </w:tcPr>
          <w:p w:rsidR="00AD4AE2" w:rsidRDefault="00AD4AE2" w:rsidP="000D7E0A">
            <w:pPr>
              <w:pStyle w:val="PrincCont"/>
              <w:jc w:val="left"/>
              <w:rPr>
                <w:lang w:val="it-IT"/>
              </w:rPr>
            </w:pPr>
            <w:r>
              <w:rPr>
                <w:lang w:val="it-IT"/>
              </w:rPr>
              <w:t>OIC 31.18</w:t>
            </w:r>
          </w:p>
        </w:tc>
        <w:tc>
          <w:tcPr>
            <w:tcW w:w="7059" w:type="dxa"/>
            <w:tcBorders>
              <w:top w:val="single" w:sz="4" w:space="0" w:color="auto"/>
            </w:tcBorders>
            <w:tcMar>
              <w:left w:w="108" w:type="dxa"/>
            </w:tcMar>
            <w:vAlign w:val="center"/>
          </w:tcPr>
          <w:p w:rsidR="00AD4AE2" w:rsidRPr="00BF181A" w:rsidRDefault="00AD4AE2" w:rsidP="000D7E0A">
            <w:pPr>
              <w:pStyle w:val="Commentiriquadro"/>
              <w:pBdr>
                <w:top w:val="none" w:sz="0" w:space="0" w:color="auto"/>
                <w:left w:val="none" w:sz="0" w:space="0" w:color="auto"/>
                <w:bottom w:val="none" w:sz="0" w:space="0" w:color="auto"/>
                <w:right w:val="none" w:sz="0" w:space="0" w:color="auto"/>
              </w:pBdr>
              <w:spacing w:line="230" w:lineRule="exact"/>
              <w:rPr>
                <w:color w:val="000000"/>
                <w:sz w:val="20"/>
                <w:szCs w:val="20"/>
              </w:rPr>
            </w:pPr>
            <w:r w:rsidRPr="00BF181A">
              <w:rPr>
                <w:color w:val="000000"/>
                <w:sz w:val="20"/>
                <w:szCs w:val="20"/>
              </w:rPr>
              <w:t>La voce B</w:t>
            </w:r>
            <w:r>
              <w:rPr>
                <w:color w:val="000000"/>
                <w:sz w:val="20"/>
                <w:szCs w:val="20"/>
              </w:rPr>
              <w:t>4</w:t>
            </w:r>
            <w:r w:rsidRPr="00BF181A">
              <w:rPr>
                <w:color w:val="000000"/>
                <w:sz w:val="20"/>
                <w:szCs w:val="20"/>
              </w:rPr>
              <w:t xml:space="preserve"> “</w:t>
            </w:r>
            <w:r>
              <w:rPr>
                <w:color w:val="000000"/>
                <w:sz w:val="20"/>
                <w:szCs w:val="20"/>
              </w:rPr>
              <w:t>a</w:t>
            </w:r>
            <w:r w:rsidRPr="00CF6941">
              <w:rPr>
                <w:color w:val="000000"/>
                <w:sz w:val="20"/>
                <w:szCs w:val="20"/>
              </w:rPr>
              <w:t>ltri</w:t>
            </w:r>
            <w:r w:rsidRPr="00BF181A">
              <w:rPr>
                <w:color w:val="000000"/>
                <w:sz w:val="20"/>
                <w:szCs w:val="20"/>
              </w:rPr>
              <w:t>” accoglie le tipologie di fondi per rischi e on</w:t>
            </w:r>
            <w:r w:rsidRPr="006950A1">
              <w:rPr>
                <w:color w:val="000000"/>
                <w:sz w:val="20"/>
                <w:szCs w:val="20"/>
              </w:rPr>
              <w:t>eri diverse da quelle precedent</w:t>
            </w:r>
            <w:r>
              <w:rPr>
                <w:color w:val="000000"/>
                <w:sz w:val="20"/>
                <w:szCs w:val="20"/>
              </w:rPr>
              <w:t>i?</w:t>
            </w:r>
          </w:p>
        </w:tc>
        <w:tc>
          <w:tcPr>
            <w:tcW w:w="586" w:type="dxa"/>
            <w:tcMar>
              <w:left w:w="85" w:type="dxa"/>
              <w:right w:w="85" w:type="dxa"/>
            </w:tcMar>
            <w:vAlign w:val="center"/>
          </w:tcPr>
          <w:p w:rsidR="00AD4AE2" w:rsidRPr="00CF6941"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Pr="00CF6941"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CF6941"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2B2EE2"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BF5EED" w:rsidRDefault="00AD4AE2" w:rsidP="000D7E0A">
            <w:pPr>
              <w:pStyle w:val="PrincCont"/>
              <w:jc w:val="left"/>
              <w:rPr>
                <w:lang w:val="it-IT"/>
              </w:rPr>
            </w:pPr>
          </w:p>
        </w:tc>
        <w:tc>
          <w:tcPr>
            <w:tcW w:w="7059" w:type="dxa"/>
            <w:tcMar>
              <w:left w:w="108" w:type="dxa"/>
            </w:tcMar>
          </w:tcPr>
          <w:p w:rsidR="00AD4AE2" w:rsidRDefault="00AD4AE2" w:rsidP="000D7E0A">
            <w:pPr>
              <w:pStyle w:val="Commentiriquadro"/>
              <w:rPr>
                <w:color w:val="000000"/>
              </w:rPr>
            </w:pPr>
            <w:r w:rsidRPr="00CF6941">
              <w:rPr>
                <w:color w:val="000000"/>
              </w:rPr>
              <w:t>Esempio dei fondi che rientrano nella voce “altri” sono i seguenti:</w:t>
            </w:r>
          </w:p>
          <w:p w:rsidR="00AD4AE2" w:rsidRDefault="00AD4AE2" w:rsidP="000D7E0A">
            <w:pPr>
              <w:pStyle w:val="Commentiriquadro"/>
              <w:ind w:left="176" w:hanging="119"/>
            </w:pPr>
            <w:r>
              <w:t>-</w:t>
            </w:r>
            <w:r>
              <w:tab/>
            </w:r>
            <w:r w:rsidRPr="00CF6941">
              <w:t>Fondi per cause in corso</w:t>
            </w:r>
          </w:p>
          <w:p w:rsidR="00AD4AE2" w:rsidRDefault="00AD4AE2" w:rsidP="000D7E0A">
            <w:pPr>
              <w:pStyle w:val="Commentiriquadro"/>
              <w:ind w:left="176" w:hanging="119"/>
            </w:pPr>
            <w:r>
              <w:t>-</w:t>
            </w:r>
            <w:r>
              <w:tab/>
            </w:r>
            <w:r w:rsidRPr="00CF6941">
              <w:t>Fondi per garanzie prestate</w:t>
            </w:r>
          </w:p>
          <w:p w:rsidR="00AD4AE2" w:rsidRDefault="00AD4AE2" w:rsidP="000D7E0A">
            <w:pPr>
              <w:pStyle w:val="Commentiriquadro"/>
              <w:ind w:left="176" w:hanging="119"/>
            </w:pPr>
            <w:r>
              <w:t>-</w:t>
            </w:r>
            <w:r>
              <w:tab/>
            </w:r>
            <w:r w:rsidRPr="00A95A6D">
              <w:t>Fondi per eventuali contestazioni da parte di terzi</w:t>
            </w:r>
          </w:p>
          <w:p w:rsidR="00AD4AE2" w:rsidRDefault="00AD4AE2" w:rsidP="000D7E0A">
            <w:pPr>
              <w:pStyle w:val="Commentiriquadro"/>
              <w:ind w:left="176" w:hanging="119"/>
            </w:pPr>
            <w:r>
              <w:t>-</w:t>
            </w:r>
            <w:r>
              <w:tab/>
            </w:r>
            <w:r w:rsidRPr="00A95A6D">
              <w:t>Fondi per manutenzione ciclica</w:t>
            </w:r>
          </w:p>
          <w:p w:rsidR="00AD4AE2" w:rsidRDefault="00AD4AE2" w:rsidP="000D7E0A">
            <w:pPr>
              <w:pStyle w:val="Commentiriquadro"/>
              <w:ind w:left="176" w:hanging="119"/>
            </w:pPr>
            <w:r>
              <w:t>-</w:t>
            </w:r>
            <w:r>
              <w:tab/>
            </w:r>
            <w:r w:rsidRPr="00A95A6D">
              <w:t>Fondi per manutenzione e ripristino dei beni gratuitamente devolvibili</w:t>
            </w:r>
          </w:p>
          <w:p w:rsidR="00AD4AE2" w:rsidRDefault="00AD4AE2" w:rsidP="000D7E0A">
            <w:pPr>
              <w:pStyle w:val="Commentiriquadro"/>
              <w:ind w:left="176" w:hanging="119"/>
            </w:pPr>
            <w:r>
              <w:t>-</w:t>
            </w:r>
            <w:r>
              <w:tab/>
            </w:r>
            <w:r w:rsidRPr="00A95A6D">
              <w:t>Fondi per operazioni e concorsi a premio</w:t>
            </w:r>
          </w:p>
          <w:p w:rsidR="00AD4AE2" w:rsidRDefault="00AD4AE2" w:rsidP="000D7E0A">
            <w:pPr>
              <w:pStyle w:val="Commentiriquadro"/>
              <w:ind w:left="176" w:hanging="119"/>
            </w:pPr>
            <w:r>
              <w:t>-</w:t>
            </w:r>
            <w:r>
              <w:tab/>
            </w:r>
            <w:r w:rsidRPr="00A95A6D">
              <w:t>Fondi per resi di prodotti</w:t>
            </w:r>
          </w:p>
          <w:p w:rsidR="00AD4AE2" w:rsidRDefault="00AD4AE2" w:rsidP="000D7E0A">
            <w:pPr>
              <w:pStyle w:val="Commentiriquadro"/>
              <w:ind w:left="176" w:hanging="119"/>
            </w:pPr>
            <w:r>
              <w:t>-</w:t>
            </w:r>
            <w:r>
              <w:tab/>
            </w:r>
            <w:r w:rsidRPr="00A95A6D">
              <w:t>Fondi per recupero ambientale</w:t>
            </w:r>
          </w:p>
          <w:p w:rsidR="00AD4AE2" w:rsidRDefault="00AD4AE2" w:rsidP="000D7E0A">
            <w:pPr>
              <w:pStyle w:val="Commentiriquadro"/>
              <w:ind w:left="176" w:hanging="119"/>
            </w:pPr>
            <w:r>
              <w:t>-</w:t>
            </w:r>
            <w:r>
              <w:tab/>
            </w:r>
            <w:r w:rsidRPr="00CF6941">
              <w:t>Fondi per prepensionamento e ristrutturazioni aziendali</w:t>
            </w:r>
          </w:p>
          <w:p w:rsidR="00AD4AE2" w:rsidRPr="00CF6941" w:rsidRDefault="00AD4AE2" w:rsidP="000D7E0A">
            <w:pPr>
              <w:pStyle w:val="Commentiriquadro"/>
              <w:ind w:left="176" w:hanging="119"/>
            </w:pPr>
            <w:r>
              <w:t>-</w:t>
            </w:r>
            <w:r>
              <w:tab/>
              <w:t>Fondi per contratti onerosi.</w:t>
            </w:r>
          </w:p>
        </w:tc>
        <w:tc>
          <w:tcPr>
            <w:tcW w:w="586" w:type="dxa"/>
            <w:tcMar>
              <w:left w:w="85" w:type="dxa"/>
              <w:right w:w="85" w:type="dxa"/>
            </w:tcMar>
            <w:vAlign w:val="center"/>
          </w:tcPr>
          <w:p w:rsidR="00AD4AE2" w:rsidRPr="00BF5EED" w:rsidRDefault="00AD4AE2" w:rsidP="000D7E0A">
            <w:pPr>
              <w:jc w:val="center"/>
              <w:rPr>
                <w:lang w:val="it-IT"/>
              </w:rPr>
            </w:pPr>
          </w:p>
        </w:tc>
        <w:tc>
          <w:tcPr>
            <w:tcW w:w="573" w:type="dxa"/>
            <w:tcMar>
              <w:left w:w="108" w:type="dxa"/>
            </w:tcMar>
            <w:vAlign w:val="center"/>
          </w:tcPr>
          <w:p w:rsidR="00AD4AE2" w:rsidRPr="00BF5EED" w:rsidRDefault="00AD4AE2" w:rsidP="000D7E0A">
            <w:pPr>
              <w:jc w:val="center"/>
              <w:rPr>
                <w:lang w:val="it-IT"/>
              </w:rPr>
            </w:pPr>
          </w:p>
        </w:tc>
        <w:tc>
          <w:tcPr>
            <w:tcW w:w="570" w:type="dxa"/>
            <w:tcMar>
              <w:left w:w="108" w:type="dxa"/>
            </w:tcMar>
            <w:vAlign w:val="center"/>
          </w:tcPr>
          <w:p w:rsidR="00AD4AE2" w:rsidRPr="00BF5EED" w:rsidRDefault="00AD4AE2" w:rsidP="000D7E0A">
            <w:pPr>
              <w:jc w:val="center"/>
              <w:rPr>
                <w:lang w:val="it-IT"/>
              </w:rPr>
            </w:pPr>
          </w:p>
        </w:tc>
      </w:tr>
      <w:tr w:rsidR="00AD4AE2" w:rsidRPr="00CC242B"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vAlign w:val="center"/>
          </w:tcPr>
          <w:p w:rsidR="00AD4AE2" w:rsidRDefault="00AD4AE2" w:rsidP="000D7E0A">
            <w:pPr>
              <w:pStyle w:val="Titolo4"/>
              <w:jc w:val="left"/>
            </w:pPr>
            <w:r w:rsidRPr="008B6F54">
              <w:t>Componenti economiche relative ai fondi per rischi ed oneri</w:t>
            </w:r>
          </w:p>
        </w:tc>
        <w:tc>
          <w:tcPr>
            <w:tcW w:w="586" w:type="dxa"/>
            <w:tcMar>
              <w:left w:w="85" w:type="dxa"/>
              <w:right w:w="85" w:type="dxa"/>
            </w:tcMar>
            <w:vAlign w:val="center"/>
          </w:tcPr>
          <w:p w:rsidR="00AD4AE2" w:rsidRPr="00492518" w:rsidRDefault="00AD4AE2" w:rsidP="000D7E0A">
            <w:pPr>
              <w:jc w:val="center"/>
              <w:rPr>
                <w:lang w:val="it-IT"/>
              </w:rPr>
            </w:pPr>
          </w:p>
        </w:tc>
        <w:tc>
          <w:tcPr>
            <w:tcW w:w="573" w:type="dxa"/>
            <w:tcMar>
              <w:left w:w="108" w:type="dxa"/>
            </w:tcMar>
            <w:vAlign w:val="center"/>
          </w:tcPr>
          <w:p w:rsidR="00AD4AE2" w:rsidRPr="00492518" w:rsidRDefault="00AD4AE2" w:rsidP="000D7E0A">
            <w:pPr>
              <w:jc w:val="center"/>
              <w:rPr>
                <w:lang w:val="it-IT"/>
              </w:rPr>
            </w:pPr>
          </w:p>
        </w:tc>
        <w:tc>
          <w:tcPr>
            <w:tcW w:w="570" w:type="dxa"/>
            <w:tcMar>
              <w:left w:w="108" w:type="dxa"/>
            </w:tcMar>
            <w:vAlign w:val="center"/>
          </w:tcPr>
          <w:p w:rsidR="00AD4AE2" w:rsidRPr="00492518" w:rsidRDefault="00AD4AE2" w:rsidP="000D7E0A">
            <w:pPr>
              <w:jc w:val="center"/>
              <w:rPr>
                <w:lang w:val="it-IT"/>
              </w:rPr>
            </w:pPr>
          </w:p>
        </w:tc>
      </w:tr>
      <w:tr w:rsidR="00AD4AE2" w:rsidRPr="004C7CBE" w:rsidTr="000D7E0A">
        <w:trPr>
          <w:cantSplit/>
          <w:trHeight w:val="20"/>
        </w:trPr>
        <w:tc>
          <w:tcPr>
            <w:tcW w:w="680" w:type="dxa"/>
          </w:tcPr>
          <w:p w:rsidR="00AD4AE2" w:rsidRPr="00BD1173" w:rsidRDefault="00AD4AE2" w:rsidP="000D7E0A">
            <w:pPr>
              <w:jc w:val="center"/>
              <w:rPr>
                <w:b/>
                <w:lang w:val="it-IT"/>
              </w:rPr>
            </w:pPr>
            <w:r w:rsidRPr="00BD1173">
              <w:rPr>
                <w:b/>
                <w:lang w:val="it-IT"/>
              </w:rPr>
              <w:t>6)</w:t>
            </w:r>
          </w:p>
        </w:tc>
        <w:tc>
          <w:tcPr>
            <w:tcW w:w="852" w:type="dxa"/>
            <w:tcMar>
              <w:left w:w="108" w:type="dxa"/>
              <w:right w:w="0" w:type="dxa"/>
            </w:tcMar>
          </w:tcPr>
          <w:p w:rsidR="00AD4AE2" w:rsidRDefault="00AD4AE2" w:rsidP="000D7E0A">
            <w:pPr>
              <w:pStyle w:val="PrincCont"/>
              <w:jc w:val="left"/>
              <w:rPr>
                <w:lang w:val="it-IT"/>
              </w:rPr>
            </w:pPr>
            <w:r>
              <w:rPr>
                <w:lang w:val="it-IT"/>
              </w:rPr>
              <w:t>OIC 31.19</w:t>
            </w:r>
          </w:p>
        </w:tc>
        <w:tc>
          <w:tcPr>
            <w:tcW w:w="7059" w:type="dxa"/>
            <w:tcMar>
              <w:left w:w="108" w:type="dxa"/>
            </w:tcMar>
          </w:tcPr>
          <w:p w:rsidR="00AD4AE2" w:rsidRPr="00E35E21" w:rsidRDefault="00AD4AE2" w:rsidP="000D7E0A">
            <w:pPr>
              <w:spacing w:line="240" w:lineRule="exact"/>
              <w:rPr>
                <w:lang w:val="it-IT"/>
              </w:rPr>
            </w:pPr>
            <w:r w:rsidRPr="00E35E21">
              <w:rPr>
                <w:color w:val="000000"/>
                <w:lang w:val="it-IT"/>
              </w:rPr>
              <w:t>Gli accantonamenti ai fondi rischi e oneri sono</w:t>
            </w:r>
            <w:r>
              <w:rPr>
                <w:color w:val="000000"/>
                <w:lang w:val="it-IT"/>
              </w:rPr>
              <w:t xml:space="preserve"> stati</w:t>
            </w:r>
            <w:r w:rsidRPr="00E35E21">
              <w:rPr>
                <w:color w:val="000000"/>
                <w:lang w:val="it-IT"/>
              </w:rPr>
              <w:t xml:space="preserve"> iscritti</w:t>
            </w:r>
            <w:r>
              <w:rPr>
                <w:color w:val="000000"/>
                <w:lang w:val="it-IT"/>
              </w:rPr>
              <w:t xml:space="preserve"> prioritariamente</w:t>
            </w:r>
            <w:r w:rsidRPr="00E35E21">
              <w:rPr>
                <w:color w:val="000000"/>
                <w:lang w:val="it-IT"/>
              </w:rPr>
              <w:t xml:space="preserve"> </w:t>
            </w:r>
            <w:r>
              <w:rPr>
                <w:color w:val="000000"/>
                <w:lang w:val="it-IT"/>
              </w:rPr>
              <w:t>nelle</w:t>
            </w:r>
            <w:r w:rsidRPr="00E35E21">
              <w:rPr>
                <w:color w:val="000000"/>
                <w:lang w:val="it-IT"/>
              </w:rPr>
              <w:t xml:space="preserve"> voci </w:t>
            </w:r>
            <w:r>
              <w:rPr>
                <w:color w:val="000000"/>
                <w:lang w:val="it-IT"/>
              </w:rPr>
              <w:t>di costo di conto economico delle pertinenti classi (B, C o D), dovendo prevalere il criterio della classificazione “per natura” dei costi?</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CC242B"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BF5EED" w:rsidRDefault="00AD4AE2" w:rsidP="000D7E0A">
            <w:pPr>
              <w:pStyle w:val="PrincCont"/>
              <w:jc w:val="left"/>
              <w:rPr>
                <w:lang w:val="it-IT"/>
              </w:rPr>
            </w:pPr>
            <w:r>
              <w:rPr>
                <w:lang w:val="it-IT"/>
              </w:rPr>
              <w:t>OIC 31.19</w:t>
            </w:r>
          </w:p>
        </w:tc>
        <w:tc>
          <w:tcPr>
            <w:tcW w:w="7059" w:type="dxa"/>
            <w:tcMar>
              <w:left w:w="108" w:type="dxa"/>
            </w:tcMar>
          </w:tcPr>
          <w:p w:rsidR="00AD4AE2" w:rsidRPr="00942F5B" w:rsidRDefault="00AD4AE2" w:rsidP="000D7E0A">
            <w:pPr>
              <w:pStyle w:val="Commentiriquadro"/>
              <w:rPr>
                <w:color w:val="000000"/>
              </w:rPr>
            </w:pPr>
            <w:r>
              <w:rPr>
                <w:color w:val="000000"/>
              </w:rPr>
              <w:t>Tutte le volte in cui non è attuabile questa correlazione tra la natura dell’accantonamento ed una delle voci delle suddette classi, gli accantonamenti per rischi ed oneri sono iscritti ale voci B12 e B13 del conto economico.</w:t>
            </w:r>
          </w:p>
        </w:tc>
        <w:tc>
          <w:tcPr>
            <w:tcW w:w="586" w:type="dxa"/>
            <w:tcMar>
              <w:left w:w="85" w:type="dxa"/>
              <w:right w:w="85" w:type="dxa"/>
            </w:tcMar>
            <w:vAlign w:val="center"/>
          </w:tcPr>
          <w:p w:rsidR="00AD4AE2" w:rsidRPr="00BF5EED" w:rsidRDefault="00AD4AE2" w:rsidP="000D7E0A">
            <w:pPr>
              <w:jc w:val="center"/>
              <w:rPr>
                <w:lang w:val="it-IT"/>
              </w:rPr>
            </w:pPr>
          </w:p>
        </w:tc>
        <w:tc>
          <w:tcPr>
            <w:tcW w:w="573" w:type="dxa"/>
            <w:tcMar>
              <w:left w:w="108" w:type="dxa"/>
            </w:tcMar>
            <w:vAlign w:val="center"/>
          </w:tcPr>
          <w:p w:rsidR="00AD4AE2" w:rsidRPr="00BF5EED" w:rsidRDefault="00AD4AE2" w:rsidP="000D7E0A">
            <w:pPr>
              <w:jc w:val="center"/>
              <w:rPr>
                <w:lang w:val="it-IT"/>
              </w:rPr>
            </w:pPr>
          </w:p>
        </w:tc>
        <w:tc>
          <w:tcPr>
            <w:tcW w:w="570" w:type="dxa"/>
            <w:tcMar>
              <w:left w:w="108" w:type="dxa"/>
            </w:tcMar>
            <w:vAlign w:val="center"/>
          </w:tcPr>
          <w:p w:rsidR="00AD4AE2" w:rsidRPr="00BF5EED" w:rsidRDefault="00AD4AE2" w:rsidP="000D7E0A">
            <w:pPr>
              <w:jc w:val="center"/>
              <w:rPr>
                <w:lang w:val="it-IT"/>
              </w:rPr>
            </w:pPr>
          </w:p>
        </w:tc>
      </w:tr>
      <w:tr w:rsidR="00AD4AE2" w:rsidRPr="00CC242B"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r>
              <w:rPr>
                <w:lang w:val="it-IT"/>
              </w:rPr>
              <w:t>OIC 31.20</w:t>
            </w:r>
          </w:p>
        </w:tc>
        <w:tc>
          <w:tcPr>
            <w:tcW w:w="7059" w:type="dxa"/>
            <w:tcMar>
              <w:left w:w="108" w:type="dxa"/>
            </w:tcMar>
          </w:tcPr>
          <w:p w:rsidR="00AD4AE2" w:rsidRDefault="00AD4AE2" w:rsidP="000D7E0A">
            <w:pPr>
              <w:pStyle w:val="Commentiriquadro"/>
              <w:rPr>
                <w:color w:val="000000"/>
              </w:rPr>
            </w:pPr>
            <w:r>
              <w:t>Nel conto economico gli accantonamenti ai fondi per trattamento di quiescenza ed obblighi simili sono in linea generale rilevati alla voce B9d. Si rilevano, tuttavia, alla voce B7, gli altri accantonamenti relativi a trattamenti di fine rapporto, diversi da quelli di lavoro subordinato. Ciò, in coerenza con la voce nella quale sono rilevate le competenze ordinarie, in costanza di rapporto. Rientrano, ad esempio, nella voce B7, gli accantonamenti ai fondi indennità suppletiva di clientela, ai fondi indennità per la cessazione di rapporti di agenzia e rappresentanza, ed ai fondi di indennità per la cessazione di rapporti di collaborazione coordinata e continuativa.</w:t>
            </w:r>
          </w:p>
        </w:tc>
        <w:tc>
          <w:tcPr>
            <w:tcW w:w="586" w:type="dxa"/>
            <w:tcMar>
              <w:left w:w="85" w:type="dxa"/>
              <w:right w:w="85" w:type="dxa"/>
            </w:tcMar>
            <w:vAlign w:val="center"/>
          </w:tcPr>
          <w:p w:rsidR="00AD4AE2" w:rsidRPr="00BF5EED" w:rsidRDefault="00AD4AE2" w:rsidP="000D7E0A">
            <w:pPr>
              <w:jc w:val="center"/>
              <w:rPr>
                <w:lang w:val="it-IT"/>
              </w:rPr>
            </w:pPr>
          </w:p>
        </w:tc>
        <w:tc>
          <w:tcPr>
            <w:tcW w:w="573" w:type="dxa"/>
            <w:tcMar>
              <w:left w:w="108" w:type="dxa"/>
            </w:tcMar>
            <w:vAlign w:val="center"/>
          </w:tcPr>
          <w:p w:rsidR="00AD4AE2" w:rsidRPr="00BF5EED" w:rsidRDefault="00AD4AE2" w:rsidP="000D7E0A">
            <w:pPr>
              <w:jc w:val="center"/>
              <w:rPr>
                <w:lang w:val="it-IT"/>
              </w:rPr>
            </w:pPr>
          </w:p>
        </w:tc>
        <w:tc>
          <w:tcPr>
            <w:tcW w:w="570" w:type="dxa"/>
            <w:tcMar>
              <w:left w:w="108" w:type="dxa"/>
            </w:tcMar>
            <w:vAlign w:val="center"/>
          </w:tcPr>
          <w:p w:rsidR="00AD4AE2" w:rsidRPr="00BF5EED" w:rsidRDefault="00AD4AE2" w:rsidP="000D7E0A">
            <w:pPr>
              <w:jc w:val="center"/>
              <w:rPr>
                <w:lang w:val="it-IT"/>
              </w:rPr>
            </w:pPr>
          </w:p>
        </w:tc>
      </w:tr>
      <w:tr w:rsidR="00AD4AE2" w:rsidRPr="009F46CA"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8A0F36" w:rsidRDefault="00AD4AE2" w:rsidP="000D7E0A">
            <w:pPr>
              <w:pStyle w:val="PrincCont"/>
              <w:jc w:val="left"/>
              <w:rPr>
                <w:lang w:val="it-IT"/>
              </w:rPr>
            </w:pPr>
          </w:p>
        </w:tc>
        <w:tc>
          <w:tcPr>
            <w:tcW w:w="7059" w:type="dxa"/>
            <w:tcMar>
              <w:left w:w="108" w:type="dxa"/>
            </w:tcMar>
            <w:vAlign w:val="center"/>
          </w:tcPr>
          <w:p w:rsidR="00AD4AE2" w:rsidRPr="009F46CA" w:rsidRDefault="00AD4AE2" w:rsidP="000D7E0A">
            <w:pPr>
              <w:pStyle w:val="Titolo4"/>
              <w:jc w:val="left"/>
            </w:pPr>
            <w:r w:rsidRPr="008B6F54">
              <w:t>Bilancio in forma abbreviata</w:t>
            </w:r>
          </w:p>
        </w:tc>
        <w:tc>
          <w:tcPr>
            <w:tcW w:w="586" w:type="dxa"/>
            <w:tcMar>
              <w:left w:w="85" w:type="dxa"/>
              <w:right w:w="85" w:type="dxa"/>
            </w:tcMar>
            <w:vAlign w:val="center"/>
          </w:tcPr>
          <w:p w:rsidR="00AD4AE2" w:rsidRPr="00A32A16" w:rsidRDefault="00AD4AE2" w:rsidP="000D7E0A">
            <w:pPr>
              <w:jc w:val="center"/>
              <w:rPr>
                <w:lang w:val="it-IT"/>
              </w:rPr>
            </w:pPr>
          </w:p>
        </w:tc>
        <w:tc>
          <w:tcPr>
            <w:tcW w:w="573" w:type="dxa"/>
            <w:tcMar>
              <w:left w:w="108" w:type="dxa"/>
            </w:tcMar>
            <w:vAlign w:val="center"/>
          </w:tcPr>
          <w:p w:rsidR="00AD4AE2" w:rsidRPr="00A32A16" w:rsidRDefault="00AD4AE2" w:rsidP="000D7E0A">
            <w:pPr>
              <w:jc w:val="center"/>
              <w:rPr>
                <w:lang w:val="it-IT"/>
              </w:rPr>
            </w:pPr>
          </w:p>
        </w:tc>
        <w:tc>
          <w:tcPr>
            <w:tcW w:w="570" w:type="dxa"/>
            <w:tcMar>
              <w:left w:w="108" w:type="dxa"/>
            </w:tcMar>
            <w:vAlign w:val="center"/>
          </w:tcPr>
          <w:p w:rsidR="00AD4AE2" w:rsidRPr="00A32A16" w:rsidRDefault="00AD4AE2" w:rsidP="000D7E0A">
            <w:pPr>
              <w:jc w:val="center"/>
              <w:rPr>
                <w:lang w:val="it-IT"/>
              </w:rPr>
            </w:pPr>
          </w:p>
        </w:tc>
      </w:tr>
      <w:tr w:rsidR="00AD4AE2" w:rsidRPr="009F46CA" w:rsidTr="000D7E0A">
        <w:trPr>
          <w:cantSplit/>
          <w:trHeight w:val="20"/>
        </w:trPr>
        <w:tc>
          <w:tcPr>
            <w:tcW w:w="680" w:type="dxa"/>
          </w:tcPr>
          <w:p w:rsidR="00AD4AE2" w:rsidRPr="00BD1173" w:rsidRDefault="00AD4AE2" w:rsidP="000D7E0A">
            <w:pPr>
              <w:jc w:val="center"/>
              <w:rPr>
                <w:b/>
                <w:lang w:val="it-IT"/>
              </w:rPr>
            </w:pPr>
            <w:r>
              <w:rPr>
                <w:b/>
                <w:lang w:val="it-IT"/>
              </w:rPr>
              <w:t>7)</w:t>
            </w:r>
          </w:p>
        </w:tc>
        <w:tc>
          <w:tcPr>
            <w:tcW w:w="852" w:type="dxa"/>
            <w:tcMar>
              <w:left w:w="108" w:type="dxa"/>
              <w:right w:w="0" w:type="dxa"/>
            </w:tcMar>
          </w:tcPr>
          <w:p w:rsidR="00AD4AE2" w:rsidRPr="008A0F36" w:rsidRDefault="00AD4AE2" w:rsidP="000D7E0A">
            <w:pPr>
              <w:pStyle w:val="PrincCont"/>
              <w:jc w:val="left"/>
              <w:rPr>
                <w:lang w:val="it-IT"/>
              </w:rPr>
            </w:pPr>
            <w:r>
              <w:rPr>
                <w:lang w:val="it-IT"/>
              </w:rPr>
              <w:t>Art. 2435-bis CC             OIC 31.21</w:t>
            </w:r>
          </w:p>
        </w:tc>
        <w:tc>
          <w:tcPr>
            <w:tcW w:w="7059" w:type="dxa"/>
            <w:tcMar>
              <w:left w:w="108" w:type="dxa"/>
            </w:tcMar>
          </w:tcPr>
          <w:p w:rsidR="00AD4AE2" w:rsidRPr="00DE38DC" w:rsidRDefault="00AD4AE2" w:rsidP="000D7E0A">
            <w:pPr>
              <w:pStyle w:val="Titolo2"/>
              <w:jc w:val="both"/>
              <w:rPr>
                <w:lang w:val="it-IT"/>
              </w:rPr>
            </w:pPr>
            <w:r w:rsidRPr="009F46CA">
              <w:rPr>
                <w:b w:val="0"/>
                <w:sz w:val="20"/>
                <w:lang w:val="it-IT"/>
              </w:rPr>
              <w:t>Le società che redigono il blancio in for</w:t>
            </w:r>
            <w:r>
              <w:rPr>
                <w:b w:val="0"/>
                <w:sz w:val="20"/>
                <w:lang w:val="it-IT"/>
              </w:rPr>
              <w:t>ma abbreviata</w:t>
            </w:r>
            <w:r w:rsidRPr="009F46CA">
              <w:rPr>
                <w:b w:val="0"/>
                <w:sz w:val="20"/>
                <w:lang w:val="it-IT"/>
              </w:rPr>
              <w:t xml:space="preserve"> presentano</w:t>
            </w:r>
            <w:r>
              <w:rPr>
                <w:b w:val="0"/>
                <w:sz w:val="20"/>
                <w:lang w:val="it-IT"/>
              </w:rPr>
              <w:t xml:space="preserve"> i fondi rischi e oneri nel loro complesso come un’unica voce?</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CC242B"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9F46CA" w:rsidRDefault="00AD4AE2" w:rsidP="000D7E0A">
            <w:pPr>
              <w:pStyle w:val="PrincCont"/>
              <w:jc w:val="left"/>
            </w:pPr>
            <w:r w:rsidRPr="009F46CA">
              <w:t>Art. 2435-ter, c.3</w:t>
            </w:r>
            <w:r>
              <w:t>,</w:t>
            </w:r>
            <w:r w:rsidRPr="009F46CA">
              <w:t xml:space="preserve"> CC</w:t>
            </w:r>
            <w:r>
              <w:t xml:space="preserve">      </w:t>
            </w:r>
            <w:r w:rsidRPr="009F46CA">
              <w:t>OIC 31.20</w:t>
            </w:r>
          </w:p>
        </w:tc>
        <w:tc>
          <w:tcPr>
            <w:tcW w:w="7059" w:type="dxa"/>
            <w:tcMar>
              <w:left w:w="108" w:type="dxa"/>
            </w:tcMar>
          </w:tcPr>
          <w:p w:rsidR="00AD4AE2" w:rsidRDefault="00AD4AE2" w:rsidP="000D7E0A">
            <w:pPr>
              <w:pStyle w:val="Commentiriquadro"/>
              <w:rPr>
                <w:color w:val="000000"/>
              </w:rPr>
            </w:pPr>
            <w:r>
              <w:t>Eventuali effetti derivanti dall’applicazione delle altre modifiche apportate alla precedente versione dell’OIC 31 possono essere rilevati prospetticamente ai sensi dell’OIC 29. Pertanto le componenti delle voci riferite ad operazioni che non hanno ancora esaurito i loro effetti in bilancio possono continuare ad essere contabilizzate in conformità al precedente principio.</w:t>
            </w:r>
          </w:p>
        </w:tc>
        <w:tc>
          <w:tcPr>
            <w:tcW w:w="586" w:type="dxa"/>
            <w:tcMar>
              <w:left w:w="85" w:type="dxa"/>
              <w:right w:w="85" w:type="dxa"/>
            </w:tcMar>
            <w:vAlign w:val="center"/>
          </w:tcPr>
          <w:p w:rsidR="00AD4AE2" w:rsidRPr="00BF5EED" w:rsidRDefault="00AD4AE2" w:rsidP="000D7E0A">
            <w:pPr>
              <w:jc w:val="center"/>
              <w:rPr>
                <w:lang w:val="it-IT"/>
              </w:rPr>
            </w:pPr>
          </w:p>
        </w:tc>
        <w:tc>
          <w:tcPr>
            <w:tcW w:w="573" w:type="dxa"/>
            <w:tcMar>
              <w:left w:w="108" w:type="dxa"/>
            </w:tcMar>
            <w:vAlign w:val="center"/>
          </w:tcPr>
          <w:p w:rsidR="00AD4AE2" w:rsidRPr="00BF5EED" w:rsidRDefault="00AD4AE2" w:rsidP="000D7E0A">
            <w:pPr>
              <w:jc w:val="center"/>
              <w:rPr>
                <w:lang w:val="it-IT"/>
              </w:rPr>
            </w:pPr>
          </w:p>
        </w:tc>
        <w:tc>
          <w:tcPr>
            <w:tcW w:w="570" w:type="dxa"/>
            <w:tcMar>
              <w:left w:w="108" w:type="dxa"/>
            </w:tcMar>
            <w:vAlign w:val="center"/>
          </w:tcPr>
          <w:p w:rsidR="00AD4AE2" w:rsidRPr="00BF5EED" w:rsidRDefault="00AD4AE2" w:rsidP="000D7E0A">
            <w:pPr>
              <w:jc w:val="center"/>
              <w:rPr>
                <w:lang w:val="it-IT"/>
              </w:rPr>
            </w:pPr>
          </w:p>
        </w:tc>
      </w:tr>
      <w:tr w:rsidR="00AD4AE2" w:rsidRPr="00F50B82"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8A0F36" w:rsidRDefault="00AD4AE2" w:rsidP="000D7E0A">
            <w:pPr>
              <w:pStyle w:val="PrincCont"/>
              <w:jc w:val="left"/>
              <w:rPr>
                <w:lang w:val="it-IT"/>
              </w:rPr>
            </w:pPr>
          </w:p>
        </w:tc>
        <w:tc>
          <w:tcPr>
            <w:tcW w:w="7059" w:type="dxa"/>
            <w:tcMar>
              <w:left w:w="108" w:type="dxa"/>
            </w:tcMar>
          </w:tcPr>
          <w:p w:rsidR="00AD4AE2" w:rsidRPr="00A93BDD" w:rsidRDefault="00AD4AE2" w:rsidP="000D7E0A">
            <w:pPr>
              <w:pStyle w:val="Titolo3"/>
              <w:rPr>
                <w:i w:val="0"/>
                <w:lang w:val="it-IT"/>
              </w:rPr>
            </w:pPr>
            <w:r w:rsidRPr="00A93BDD">
              <w:rPr>
                <w:i w:val="0"/>
                <w:lang w:val="it-IT"/>
              </w:rPr>
              <w:t>Rilevazione iniziale</w:t>
            </w:r>
          </w:p>
        </w:tc>
        <w:tc>
          <w:tcPr>
            <w:tcW w:w="586" w:type="dxa"/>
            <w:tcMar>
              <w:left w:w="85" w:type="dxa"/>
              <w:right w:w="85" w:type="dxa"/>
            </w:tcMar>
            <w:vAlign w:val="center"/>
          </w:tcPr>
          <w:p w:rsidR="00AD4AE2" w:rsidRPr="00A32A16" w:rsidRDefault="00AD4AE2" w:rsidP="000D7E0A">
            <w:pPr>
              <w:jc w:val="center"/>
              <w:rPr>
                <w:lang w:val="it-IT"/>
              </w:rPr>
            </w:pPr>
          </w:p>
        </w:tc>
        <w:tc>
          <w:tcPr>
            <w:tcW w:w="573" w:type="dxa"/>
            <w:tcMar>
              <w:left w:w="108" w:type="dxa"/>
            </w:tcMar>
            <w:vAlign w:val="center"/>
          </w:tcPr>
          <w:p w:rsidR="00AD4AE2" w:rsidRPr="00A32A16" w:rsidRDefault="00AD4AE2" w:rsidP="000D7E0A">
            <w:pPr>
              <w:jc w:val="center"/>
              <w:rPr>
                <w:lang w:val="it-IT"/>
              </w:rPr>
            </w:pPr>
          </w:p>
        </w:tc>
        <w:tc>
          <w:tcPr>
            <w:tcW w:w="570" w:type="dxa"/>
            <w:tcMar>
              <w:left w:w="108" w:type="dxa"/>
            </w:tcMar>
            <w:vAlign w:val="center"/>
          </w:tcPr>
          <w:p w:rsidR="00AD4AE2" w:rsidRPr="00A32A16" w:rsidRDefault="00AD4AE2" w:rsidP="000D7E0A">
            <w:pPr>
              <w:jc w:val="center"/>
              <w:rPr>
                <w:lang w:val="it-IT"/>
              </w:rPr>
            </w:pPr>
          </w:p>
        </w:tc>
      </w:tr>
      <w:tr w:rsidR="00AD4AE2" w:rsidRPr="004C7CBE" w:rsidTr="000D7E0A">
        <w:trPr>
          <w:cantSplit/>
          <w:trHeight w:val="20"/>
        </w:trPr>
        <w:tc>
          <w:tcPr>
            <w:tcW w:w="680" w:type="dxa"/>
          </w:tcPr>
          <w:p w:rsidR="00AD4AE2" w:rsidRPr="00BD1173" w:rsidRDefault="00AD4AE2" w:rsidP="000D7E0A">
            <w:pPr>
              <w:jc w:val="center"/>
              <w:rPr>
                <w:b/>
                <w:lang w:val="it-IT"/>
              </w:rPr>
            </w:pPr>
            <w:r>
              <w:rPr>
                <w:b/>
                <w:lang w:val="it-IT"/>
              </w:rPr>
              <w:t>8</w:t>
            </w:r>
            <w:r w:rsidRPr="00BD1173">
              <w:rPr>
                <w:b/>
                <w:lang w:val="it-IT"/>
              </w:rPr>
              <w:t>)</w:t>
            </w:r>
          </w:p>
        </w:tc>
        <w:tc>
          <w:tcPr>
            <w:tcW w:w="852" w:type="dxa"/>
            <w:tcMar>
              <w:left w:w="108" w:type="dxa"/>
              <w:right w:w="0" w:type="dxa"/>
            </w:tcMar>
          </w:tcPr>
          <w:p w:rsidR="00AD4AE2" w:rsidRPr="008A5919" w:rsidRDefault="00AD4AE2" w:rsidP="000D7E0A">
            <w:pPr>
              <w:pStyle w:val="PrincCont"/>
              <w:jc w:val="left"/>
            </w:pPr>
            <w:r>
              <w:t xml:space="preserve">Art. 2424-bis, c.3, CC      </w:t>
            </w:r>
            <w:r w:rsidRPr="008A5919">
              <w:t>OIC 31.</w:t>
            </w:r>
            <w:r>
              <w:t>23</w:t>
            </w:r>
          </w:p>
        </w:tc>
        <w:tc>
          <w:tcPr>
            <w:tcW w:w="7059" w:type="dxa"/>
            <w:tcMar>
              <w:left w:w="108" w:type="dxa"/>
            </w:tcMar>
          </w:tcPr>
          <w:p w:rsidR="00AD4AE2" w:rsidRPr="002B2EE2" w:rsidRDefault="00AD4AE2" w:rsidP="000D7E0A">
            <w:pPr>
              <w:spacing w:line="230" w:lineRule="exact"/>
              <w:rPr>
                <w:lang w:val="it-IT"/>
              </w:rPr>
            </w:pPr>
            <w:r w:rsidRPr="002B2EE2">
              <w:rPr>
                <w:lang w:val="it-IT"/>
              </w:rPr>
              <w:t>Gli accantonamenti per rischi ed oneri sono destinati soltanto a coprire perdite o debiti di natura determinata, di esistenza certa o probabile, dei quali tuttavia alla chiusura dell’esercizio sono indeterminati o l’ammontare o la data di sopravvenienza?</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C73496" w:rsidTr="000D7E0A">
        <w:trPr>
          <w:cantSplit/>
          <w:trHeight w:val="20"/>
        </w:trPr>
        <w:tc>
          <w:tcPr>
            <w:tcW w:w="680" w:type="dxa"/>
          </w:tcPr>
          <w:p w:rsidR="00AD4AE2" w:rsidRPr="00BD1173" w:rsidRDefault="00AD4AE2" w:rsidP="000D7E0A">
            <w:pPr>
              <w:jc w:val="center"/>
              <w:rPr>
                <w:b/>
                <w:lang w:val="it-IT"/>
              </w:rPr>
            </w:pPr>
            <w:r>
              <w:rPr>
                <w:b/>
                <w:lang w:val="it-IT"/>
              </w:rPr>
              <w:t>9</w:t>
            </w:r>
            <w:r w:rsidRPr="00BD1173">
              <w:rPr>
                <w:b/>
                <w:lang w:val="it-IT"/>
              </w:rPr>
              <w:t>)</w:t>
            </w:r>
          </w:p>
        </w:tc>
        <w:tc>
          <w:tcPr>
            <w:tcW w:w="852" w:type="dxa"/>
            <w:tcMar>
              <w:left w:w="108" w:type="dxa"/>
              <w:right w:w="0" w:type="dxa"/>
            </w:tcMar>
          </w:tcPr>
          <w:p w:rsidR="00AD4AE2" w:rsidRPr="00C73496" w:rsidRDefault="00AD4AE2" w:rsidP="000D7E0A">
            <w:pPr>
              <w:pStyle w:val="PrincCont"/>
              <w:jc w:val="left"/>
            </w:pPr>
            <w:r>
              <w:t>Art. 2423-bis, c.1, n</w:t>
            </w:r>
            <w:r w:rsidRPr="00C73496">
              <w:t>.4</w:t>
            </w:r>
            <w:r>
              <w:t>)</w:t>
            </w:r>
            <w:r w:rsidRPr="00C73496">
              <w:t>, CC</w:t>
            </w:r>
            <w:r>
              <w:t xml:space="preserve">    OIC 31.24</w:t>
            </w:r>
          </w:p>
        </w:tc>
        <w:tc>
          <w:tcPr>
            <w:tcW w:w="7059" w:type="dxa"/>
            <w:tcMar>
              <w:left w:w="108" w:type="dxa"/>
            </w:tcMar>
          </w:tcPr>
          <w:p w:rsidR="00AD4AE2" w:rsidRPr="00C73496" w:rsidRDefault="00AD4AE2" w:rsidP="000D7E0A">
            <w:pPr>
              <w:pStyle w:val="Titolo2"/>
              <w:spacing w:line="230" w:lineRule="exact"/>
              <w:jc w:val="both"/>
              <w:rPr>
                <w:i/>
                <w:lang w:val="it-IT"/>
              </w:rPr>
            </w:pPr>
            <w:r w:rsidRPr="00C73496">
              <w:rPr>
                <w:b w:val="0"/>
                <w:sz w:val="20"/>
                <w:lang w:val="it-IT"/>
              </w:rPr>
              <w:t>S</w:t>
            </w:r>
            <w:r>
              <w:rPr>
                <w:b w:val="0"/>
                <w:sz w:val="20"/>
                <w:lang w:val="it-IT"/>
              </w:rPr>
              <w:t xml:space="preserve">i è </w:t>
            </w:r>
            <w:r w:rsidRPr="00C73496">
              <w:rPr>
                <w:b w:val="0"/>
                <w:sz w:val="20"/>
                <w:lang w:val="it-IT"/>
              </w:rPr>
              <w:t>tenuto conto dei rischi e delle perdite di competenza dell’esercizio, anche se conosciuti</w:t>
            </w:r>
            <w:r w:rsidRPr="00C73496">
              <w:rPr>
                <w:sz w:val="20"/>
                <w:lang w:val="it-IT"/>
              </w:rPr>
              <w:t xml:space="preserve"> </w:t>
            </w:r>
            <w:r>
              <w:rPr>
                <w:b w:val="0"/>
                <w:sz w:val="20"/>
                <w:lang w:val="it-IT"/>
              </w:rPr>
              <w:t>dopo la chiusura dell’esercizio stesso</w:t>
            </w:r>
            <w:r w:rsidRPr="00C73496">
              <w:rPr>
                <w:b w:val="0"/>
                <w:sz w:val="20"/>
                <w:lang w:val="it-IT"/>
              </w:rPr>
              <w:t>?</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CA1681">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CC242B" w:rsidTr="000D7E0A">
        <w:trPr>
          <w:cantSplit/>
          <w:trHeight w:val="20"/>
        </w:trPr>
        <w:tc>
          <w:tcPr>
            <w:tcW w:w="680" w:type="dxa"/>
          </w:tcPr>
          <w:p w:rsidR="00AD4AE2" w:rsidRPr="00BD1173" w:rsidRDefault="00AD4AE2" w:rsidP="000D7E0A">
            <w:pPr>
              <w:jc w:val="center"/>
              <w:rPr>
                <w:b/>
                <w:lang w:val="it-IT"/>
              </w:rPr>
            </w:pPr>
            <w:r>
              <w:rPr>
                <w:b/>
                <w:lang w:val="it-IT"/>
              </w:rPr>
              <w:t>10)</w:t>
            </w:r>
          </w:p>
        </w:tc>
        <w:tc>
          <w:tcPr>
            <w:tcW w:w="852" w:type="dxa"/>
            <w:tcMar>
              <w:left w:w="108" w:type="dxa"/>
              <w:right w:w="0" w:type="dxa"/>
            </w:tcMar>
          </w:tcPr>
          <w:p w:rsidR="00AD4AE2" w:rsidRDefault="00AD4AE2" w:rsidP="000D7E0A">
            <w:pPr>
              <w:pStyle w:val="PrincCont"/>
              <w:jc w:val="left"/>
            </w:pPr>
            <w:r>
              <w:t>OIC 31.25</w:t>
            </w:r>
          </w:p>
        </w:tc>
        <w:tc>
          <w:tcPr>
            <w:tcW w:w="7059" w:type="dxa"/>
            <w:tcMar>
              <w:left w:w="108" w:type="dxa"/>
            </w:tcMar>
          </w:tcPr>
          <w:p w:rsidR="00AD4AE2" w:rsidRPr="00031A34" w:rsidRDefault="00AD4AE2" w:rsidP="000B29F2">
            <w:pPr>
              <w:pStyle w:val="Titolo2"/>
              <w:jc w:val="both"/>
              <w:rPr>
                <w:b w:val="0"/>
                <w:sz w:val="20"/>
                <w:lang w:val="it-IT"/>
              </w:rPr>
            </w:pPr>
            <w:r w:rsidRPr="00031A34">
              <w:rPr>
                <w:b w:val="0"/>
                <w:sz w:val="20"/>
                <w:lang w:val="it-IT"/>
              </w:rPr>
              <w:t xml:space="preserve">I fondi per rischi e oneri accolgono gli accantonamenti destinati a coprire perdite o debiti aventi, alla chiusura dell’esercizio, le seguenti caratteristiche: </w:t>
            </w:r>
          </w:p>
        </w:tc>
        <w:tc>
          <w:tcPr>
            <w:tcW w:w="586" w:type="dxa"/>
            <w:tcMar>
              <w:left w:w="85" w:type="dxa"/>
              <w:right w:w="85" w:type="dxa"/>
            </w:tcMar>
            <w:vAlign w:val="center"/>
          </w:tcPr>
          <w:p w:rsidR="00AD4AE2" w:rsidRPr="00CF6B66" w:rsidRDefault="00AD4AE2" w:rsidP="000D7E0A">
            <w:pPr>
              <w:jc w:val="center"/>
              <w:rPr>
                <w:highlight w:val="yellow"/>
                <w:lang w:val="it-IT"/>
              </w:rPr>
            </w:pPr>
          </w:p>
        </w:tc>
        <w:tc>
          <w:tcPr>
            <w:tcW w:w="573" w:type="dxa"/>
            <w:tcMar>
              <w:left w:w="108" w:type="dxa"/>
            </w:tcMar>
            <w:vAlign w:val="center"/>
          </w:tcPr>
          <w:p w:rsidR="00AD4AE2" w:rsidRPr="00CF6B66" w:rsidRDefault="00AD4AE2" w:rsidP="000D7E0A">
            <w:pPr>
              <w:jc w:val="center"/>
              <w:rPr>
                <w:highlight w:val="yellow"/>
                <w:lang w:val="it-IT"/>
              </w:rPr>
            </w:pPr>
          </w:p>
        </w:tc>
        <w:tc>
          <w:tcPr>
            <w:tcW w:w="570" w:type="dxa"/>
            <w:tcMar>
              <w:left w:w="108" w:type="dxa"/>
            </w:tcMar>
            <w:vAlign w:val="center"/>
          </w:tcPr>
          <w:p w:rsidR="00AD4AE2" w:rsidRPr="00CF6B66" w:rsidRDefault="00AD4AE2" w:rsidP="000D7E0A">
            <w:pPr>
              <w:jc w:val="center"/>
              <w:rPr>
                <w:highlight w:val="yellow"/>
                <w:lang w:val="it-IT"/>
              </w:rPr>
            </w:pPr>
          </w:p>
        </w:tc>
      </w:tr>
      <w:tr w:rsidR="00AD4AE2" w:rsidRPr="00733366" w:rsidTr="000D7E0A">
        <w:trPr>
          <w:cantSplit/>
          <w:trHeight w:val="20"/>
        </w:trPr>
        <w:tc>
          <w:tcPr>
            <w:tcW w:w="680" w:type="dxa"/>
          </w:tcPr>
          <w:p w:rsidR="00AD4AE2" w:rsidRDefault="00AD4AE2" w:rsidP="000D7E0A">
            <w:pPr>
              <w:jc w:val="center"/>
              <w:rPr>
                <w:b/>
                <w:lang w:val="it-IT"/>
              </w:rPr>
            </w:pPr>
          </w:p>
        </w:tc>
        <w:tc>
          <w:tcPr>
            <w:tcW w:w="852" w:type="dxa"/>
            <w:tcMar>
              <w:left w:w="108" w:type="dxa"/>
              <w:right w:w="0" w:type="dxa"/>
            </w:tcMar>
          </w:tcPr>
          <w:p w:rsidR="00AD4AE2" w:rsidRPr="00AD4AE2" w:rsidRDefault="00AD4AE2" w:rsidP="000D7E0A">
            <w:pPr>
              <w:pStyle w:val="PrincCont"/>
              <w:jc w:val="left"/>
              <w:rPr>
                <w:lang w:val="it-IT"/>
              </w:rPr>
            </w:pPr>
          </w:p>
        </w:tc>
        <w:tc>
          <w:tcPr>
            <w:tcW w:w="7059" w:type="dxa"/>
            <w:tcMar>
              <w:left w:w="108" w:type="dxa"/>
            </w:tcMar>
          </w:tcPr>
          <w:p w:rsidR="00AD4AE2" w:rsidRPr="00031A34" w:rsidRDefault="00AD4AE2" w:rsidP="000B29F2">
            <w:pPr>
              <w:pStyle w:val="rientrotrattinook"/>
              <w:tabs>
                <w:tab w:val="clear" w:pos="704"/>
                <w:tab w:val="num" w:pos="459"/>
              </w:tabs>
              <w:spacing w:line="240" w:lineRule="exact"/>
              <w:ind w:left="459" w:hanging="284"/>
            </w:pPr>
            <w:r w:rsidRPr="00031A34">
              <w:t>natura determinata</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CA1681">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733366" w:rsidTr="000D7E0A">
        <w:trPr>
          <w:cantSplit/>
          <w:trHeight w:val="20"/>
        </w:trPr>
        <w:tc>
          <w:tcPr>
            <w:tcW w:w="680" w:type="dxa"/>
          </w:tcPr>
          <w:p w:rsidR="00AD4AE2"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pPr>
          </w:p>
        </w:tc>
        <w:tc>
          <w:tcPr>
            <w:tcW w:w="7059" w:type="dxa"/>
            <w:tcMar>
              <w:left w:w="108" w:type="dxa"/>
            </w:tcMar>
          </w:tcPr>
          <w:p w:rsidR="00AD4AE2" w:rsidRPr="00031A34" w:rsidRDefault="00AD4AE2" w:rsidP="000B29F2">
            <w:pPr>
              <w:pStyle w:val="rientrotrattinook"/>
              <w:tabs>
                <w:tab w:val="clear" w:pos="704"/>
                <w:tab w:val="num" w:pos="459"/>
              </w:tabs>
              <w:spacing w:line="240" w:lineRule="exact"/>
              <w:ind w:left="459" w:hanging="284"/>
            </w:pPr>
            <w:r w:rsidRPr="00031A34">
              <w:t>esistenza certa o probabile</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CA1681">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733366" w:rsidTr="000D7E0A">
        <w:trPr>
          <w:cantSplit/>
          <w:trHeight w:val="20"/>
        </w:trPr>
        <w:tc>
          <w:tcPr>
            <w:tcW w:w="680" w:type="dxa"/>
          </w:tcPr>
          <w:p w:rsidR="00AD4AE2"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pPr>
          </w:p>
        </w:tc>
        <w:tc>
          <w:tcPr>
            <w:tcW w:w="7059" w:type="dxa"/>
            <w:tcMar>
              <w:left w:w="108" w:type="dxa"/>
            </w:tcMar>
          </w:tcPr>
          <w:p w:rsidR="00AD4AE2" w:rsidRPr="00031A34" w:rsidRDefault="00AD4AE2" w:rsidP="000B29F2">
            <w:pPr>
              <w:pStyle w:val="rientrotrattinook"/>
              <w:tabs>
                <w:tab w:val="clear" w:pos="704"/>
                <w:tab w:val="num" w:pos="459"/>
              </w:tabs>
              <w:spacing w:line="240" w:lineRule="exact"/>
              <w:ind w:left="459" w:hanging="284"/>
            </w:pPr>
            <w:r w:rsidRPr="00031A34">
              <w:t>ammontare o data di sopravvenienza della passività indeterminati</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CA1681">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733366" w:rsidTr="000D7E0A">
        <w:trPr>
          <w:cantSplit/>
          <w:trHeight w:val="20"/>
        </w:trPr>
        <w:tc>
          <w:tcPr>
            <w:tcW w:w="680" w:type="dxa"/>
          </w:tcPr>
          <w:p w:rsidR="00AD4AE2"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pPr>
          </w:p>
        </w:tc>
        <w:tc>
          <w:tcPr>
            <w:tcW w:w="7059" w:type="dxa"/>
            <w:tcMar>
              <w:left w:w="108" w:type="dxa"/>
            </w:tcMar>
          </w:tcPr>
          <w:p w:rsidR="00AD4AE2" w:rsidRPr="00031A34" w:rsidRDefault="00AD4AE2" w:rsidP="000B29F2">
            <w:pPr>
              <w:pStyle w:val="Puntoelenco"/>
              <w:tabs>
                <w:tab w:val="clear" w:pos="704"/>
                <w:tab w:val="num" w:pos="459"/>
              </w:tabs>
              <w:spacing w:line="240" w:lineRule="exact"/>
              <w:ind w:left="459" w:hanging="284"/>
            </w:pPr>
            <w:r w:rsidRPr="00031A34">
              <w:t>ammontare della passività attendibilmente stimabile?</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CA1681">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2B2EE2" w:rsidTr="000D7E0A">
        <w:trPr>
          <w:cantSplit/>
          <w:trHeight w:val="20"/>
        </w:trPr>
        <w:tc>
          <w:tcPr>
            <w:tcW w:w="680" w:type="dxa"/>
          </w:tcPr>
          <w:p w:rsidR="00AD4AE2" w:rsidRPr="00BD1173" w:rsidRDefault="00AD4AE2" w:rsidP="000D7E0A">
            <w:pPr>
              <w:jc w:val="center"/>
              <w:rPr>
                <w:b/>
                <w:lang w:val="it-IT"/>
              </w:rPr>
            </w:pPr>
            <w:r>
              <w:rPr>
                <w:b/>
                <w:lang w:val="it-IT"/>
              </w:rPr>
              <w:t>11</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31.26</w:t>
            </w:r>
          </w:p>
        </w:tc>
        <w:tc>
          <w:tcPr>
            <w:tcW w:w="7059" w:type="dxa"/>
            <w:tcMar>
              <w:left w:w="108" w:type="dxa"/>
            </w:tcMar>
          </w:tcPr>
          <w:p w:rsidR="00AD4AE2" w:rsidRDefault="00AD4AE2" w:rsidP="000D7E0A">
            <w:pPr>
              <w:pStyle w:val="Titolo2"/>
              <w:jc w:val="both"/>
              <w:rPr>
                <w:b w:val="0"/>
                <w:color w:val="000000"/>
                <w:sz w:val="20"/>
                <w:lang w:val="it-IT"/>
              </w:rPr>
            </w:pPr>
            <w:r>
              <w:rPr>
                <w:b w:val="0"/>
                <w:color w:val="000000"/>
                <w:sz w:val="20"/>
                <w:lang w:val="it-IT"/>
              </w:rPr>
              <w:t>I fondi sono iscritti nel rispetto del principio di competenza a fronte di somme che si prevede verranno pagate ovvero di beni e servizi che dovranno essere forniti al tempo in cui l’obbligazione dovrà essere soddisfatta?</w:t>
            </w:r>
          </w:p>
        </w:tc>
        <w:tc>
          <w:tcPr>
            <w:tcW w:w="586" w:type="dxa"/>
            <w:tcMar>
              <w:left w:w="85" w:type="dxa"/>
              <w:right w:w="85" w:type="dxa"/>
            </w:tcMar>
            <w:vAlign w:val="center"/>
          </w:tcPr>
          <w:p w:rsidR="00AD4AE2" w:rsidRPr="00CC11CE"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Pr="00CC11CE"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CC11CE"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CC242B" w:rsidTr="000D7E0A">
        <w:trPr>
          <w:cantSplit/>
          <w:trHeight w:val="20"/>
        </w:trPr>
        <w:tc>
          <w:tcPr>
            <w:tcW w:w="680" w:type="dxa"/>
          </w:tcPr>
          <w:p w:rsidR="00AD4AE2" w:rsidRPr="00BD1173" w:rsidRDefault="00AD4AE2" w:rsidP="000D7E0A">
            <w:pPr>
              <w:jc w:val="center"/>
              <w:rPr>
                <w:b/>
                <w:lang w:val="it-IT"/>
              </w:rPr>
            </w:pPr>
            <w:r>
              <w:rPr>
                <w:b/>
                <w:lang w:val="it-IT"/>
              </w:rPr>
              <w:t>12</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31.27</w:t>
            </w:r>
          </w:p>
        </w:tc>
        <w:tc>
          <w:tcPr>
            <w:tcW w:w="7059" w:type="dxa"/>
            <w:tcMar>
              <w:left w:w="108" w:type="dxa"/>
            </w:tcMar>
          </w:tcPr>
          <w:p w:rsidR="00AD4AE2" w:rsidRPr="00CC11CE" w:rsidRDefault="00AD4AE2" w:rsidP="000D7E0A">
            <w:pPr>
              <w:pStyle w:val="Titolo2"/>
              <w:spacing w:line="230" w:lineRule="exact"/>
              <w:rPr>
                <w:b w:val="0"/>
                <w:sz w:val="20"/>
                <w:lang w:val="it-IT"/>
              </w:rPr>
            </w:pPr>
            <w:r>
              <w:rPr>
                <w:b w:val="0"/>
                <w:color w:val="000000"/>
                <w:sz w:val="20"/>
                <w:lang w:val="it-IT"/>
              </w:rPr>
              <w:t xml:space="preserve">E’ </w:t>
            </w:r>
            <w:r w:rsidRPr="00CC11CE">
              <w:rPr>
                <w:b w:val="0"/>
                <w:color w:val="000000"/>
                <w:sz w:val="20"/>
                <w:lang w:val="it-IT"/>
              </w:rPr>
              <w:t>stato rispettato il div</w:t>
            </w:r>
            <w:r>
              <w:rPr>
                <w:b w:val="0"/>
                <w:color w:val="000000"/>
                <w:sz w:val="20"/>
                <w:lang w:val="it-IT"/>
              </w:rPr>
              <w:t>ieto ad iscrivere</w:t>
            </w:r>
            <w:r w:rsidRPr="00CC11CE">
              <w:rPr>
                <w:b w:val="0"/>
                <w:color w:val="000000"/>
                <w:sz w:val="20"/>
                <w:lang w:val="it-IT"/>
              </w:rPr>
              <w:t xml:space="preserve"> fondi per:</w:t>
            </w:r>
          </w:p>
        </w:tc>
        <w:tc>
          <w:tcPr>
            <w:tcW w:w="586" w:type="dxa"/>
            <w:tcMar>
              <w:left w:w="85" w:type="dxa"/>
              <w:right w:w="85" w:type="dxa"/>
            </w:tcMar>
            <w:vAlign w:val="center"/>
          </w:tcPr>
          <w:p w:rsidR="00AD4AE2" w:rsidRPr="00CC11CE" w:rsidRDefault="00AD4AE2" w:rsidP="000D7E0A">
            <w:pPr>
              <w:jc w:val="center"/>
              <w:rPr>
                <w:lang w:val="it-IT"/>
              </w:rPr>
            </w:pPr>
          </w:p>
        </w:tc>
        <w:tc>
          <w:tcPr>
            <w:tcW w:w="573" w:type="dxa"/>
            <w:tcMar>
              <w:left w:w="108" w:type="dxa"/>
            </w:tcMar>
            <w:vAlign w:val="center"/>
          </w:tcPr>
          <w:p w:rsidR="00AD4AE2" w:rsidRPr="00CC11CE" w:rsidRDefault="00AD4AE2" w:rsidP="000D7E0A">
            <w:pPr>
              <w:jc w:val="center"/>
              <w:rPr>
                <w:lang w:val="it-IT"/>
              </w:rPr>
            </w:pPr>
          </w:p>
        </w:tc>
        <w:tc>
          <w:tcPr>
            <w:tcW w:w="570" w:type="dxa"/>
            <w:tcMar>
              <w:left w:w="108" w:type="dxa"/>
            </w:tcMar>
            <w:vAlign w:val="center"/>
          </w:tcPr>
          <w:p w:rsidR="00AD4AE2" w:rsidRPr="00CC11CE" w:rsidRDefault="00AD4AE2" w:rsidP="000D7E0A">
            <w:pPr>
              <w:jc w:val="center"/>
              <w:rPr>
                <w:lang w:val="it-IT"/>
              </w:rPr>
            </w:pPr>
          </w:p>
        </w:tc>
      </w:tr>
      <w:tr w:rsidR="00AD4AE2" w:rsidRPr="004B4AC8"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B86853" w:rsidRDefault="007B5744" w:rsidP="007B5744">
            <w:pPr>
              <w:pStyle w:val="Rientroa"/>
              <w:numPr>
                <w:ilvl w:val="0"/>
                <w:numId w:val="0"/>
              </w:numPr>
              <w:ind w:left="392" w:hanging="360"/>
            </w:pPr>
            <w:r>
              <w:t>a)</w:t>
            </w:r>
            <w:r>
              <w:tab/>
            </w:r>
            <w:r w:rsidR="00AD4AE2" w:rsidRPr="00B86853">
              <w:t>rettificare i valori dell’attivo</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CA1681">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4B4AC8"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B86853" w:rsidRDefault="007B5744" w:rsidP="007B5744">
            <w:pPr>
              <w:pStyle w:val="Rientroa"/>
              <w:numPr>
                <w:ilvl w:val="0"/>
                <w:numId w:val="0"/>
              </w:numPr>
              <w:ind w:left="392" w:hanging="360"/>
            </w:pPr>
            <w:r>
              <w:t>b)</w:t>
            </w:r>
            <w:r>
              <w:tab/>
            </w:r>
            <w:r w:rsidR="00AD4AE2" w:rsidRPr="00B86853">
              <w:t>coprire rischi generici</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CA1681">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4B4AC8"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B86853" w:rsidRDefault="007B5744" w:rsidP="007B5744">
            <w:pPr>
              <w:pStyle w:val="Rientroa"/>
              <w:numPr>
                <w:ilvl w:val="0"/>
                <w:numId w:val="0"/>
              </w:numPr>
              <w:ind w:left="392" w:hanging="360"/>
            </w:pPr>
            <w:r>
              <w:t>c)</w:t>
            </w:r>
            <w:r>
              <w:tab/>
            </w:r>
            <w:r w:rsidR="00AD4AE2" w:rsidRPr="00B86853">
              <w:t>effettuare accantonamenti per oneri o perdite derivanti da eventi avvenuti dopo la chiusura dell’esercizio e relativi a situazioni che non erano in essere alla data di bilancio</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CA1681">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4B4AC8"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B86853" w:rsidRDefault="007B5744" w:rsidP="007B5744">
            <w:pPr>
              <w:pStyle w:val="Rientroa"/>
              <w:numPr>
                <w:ilvl w:val="0"/>
                <w:numId w:val="0"/>
              </w:numPr>
              <w:ind w:left="392" w:hanging="360"/>
            </w:pPr>
            <w:r>
              <w:t>d)</w:t>
            </w:r>
            <w:r>
              <w:tab/>
            </w:r>
            <w:r w:rsidR="00AD4AE2" w:rsidRPr="00B86853">
              <w:t>rilevare passività potenziali ritenute probabili, ma il cui ammontare non può essere determinato se non in modo aleatorio ed arbitrario</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CA1681">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4B4AC8"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B86853" w:rsidRDefault="007B5744" w:rsidP="007B5744">
            <w:pPr>
              <w:pStyle w:val="Rientroa"/>
              <w:numPr>
                <w:ilvl w:val="0"/>
                <w:numId w:val="0"/>
              </w:numPr>
              <w:ind w:left="392" w:hanging="360"/>
            </w:pPr>
            <w:r>
              <w:t>e)</w:t>
            </w:r>
            <w:r>
              <w:tab/>
            </w:r>
            <w:r w:rsidR="00AD4AE2" w:rsidRPr="00B86853">
              <w:t>rilevare passività potenziali ritenute possibili o remote?</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CA1681">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CC242B" w:rsidTr="000D7E0A">
        <w:trPr>
          <w:cantSplit/>
          <w:trHeight w:val="20"/>
        </w:trPr>
        <w:tc>
          <w:tcPr>
            <w:tcW w:w="680" w:type="dxa"/>
          </w:tcPr>
          <w:p w:rsidR="00AD4AE2" w:rsidRPr="00BD1173" w:rsidRDefault="00AD4AE2" w:rsidP="000D7E0A">
            <w:pPr>
              <w:jc w:val="center"/>
              <w:rPr>
                <w:b/>
                <w:lang w:val="it-IT"/>
              </w:rPr>
            </w:pPr>
            <w:r>
              <w:rPr>
                <w:b/>
                <w:lang w:val="it-IT"/>
              </w:rPr>
              <w:t>13)</w:t>
            </w:r>
          </w:p>
        </w:tc>
        <w:tc>
          <w:tcPr>
            <w:tcW w:w="852" w:type="dxa"/>
            <w:tcMar>
              <w:left w:w="108" w:type="dxa"/>
              <w:right w:w="0" w:type="dxa"/>
            </w:tcMar>
          </w:tcPr>
          <w:p w:rsidR="00AD4AE2" w:rsidRDefault="00AD4AE2" w:rsidP="000D7E0A">
            <w:pPr>
              <w:pStyle w:val="PrincCont"/>
              <w:jc w:val="left"/>
              <w:rPr>
                <w:lang w:val="it-IT"/>
              </w:rPr>
            </w:pPr>
            <w:r>
              <w:rPr>
                <w:lang w:val="it-IT"/>
              </w:rPr>
              <w:t>OIC 31.28</w:t>
            </w:r>
          </w:p>
        </w:tc>
        <w:tc>
          <w:tcPr>
            <w:tcW w:w="7059" w:type="dxa"/>
            <w:tcMar>
              <w:left w:w="108" w:type="dxa"/>
            </w:tcMar>
          </w:tcPr>
          <w:p w:rsidR="00AD4AE2" w:rsidRPr="00B86853" w:rsidRDefault="00AD4AE2" w:rsidP="000D7E0A">
            <w:pPr>
              <w:pStyle w:val="Rientroa"/>
              <w:numPr>
                <w:ilvl w:val="0"/>
                <w:numId w:val="0"/>
              </w:numPr>
              <w:spacing w:line="230" w:lineRule="exact"/>
              <w:ind w:left="35" w:hanging="3"/>
            </w:pPr>
            <w:r>
              <w:t>Gli accantonamenti ai fondi per rischi e oneri sono rilevati nell’esercizio in cui sono soddisfatti tutti i requisiti indicati nei paragrafi 23-26 dell’OIC 31?</w:t>
            </w:r>
          </w:p>
        </w:tc>
        <w:tc>
          <w:tcPr>
            <w:tcW w:w="586" w:type="dxa"/>
            <w:tcMar>
              <w:left w:w="85" w:type="dxa"/>
              <w:right w:w="85" w:type="dxa"/>
            </w:tcMar>
            <w:vAlign w:val="center"/>
          </w:tcPr>
          <w:p w:rsidR="00AD4AE2" w:rsidRPr="00733366" w:rsidRDefault="00AD4AE2" w:rsidP="000D7E0A">
            <w:pPr>
              <w:jc w:val="center"/>
              <w:rPr>
                <w:lang w:val="it-IT"/>
              </w:rPr>
            </w:pPr>
          </w:p>
        </w:tc>
        <w:tc>
          <w:tcPr>
            <w:tcW w:w="573" w:type="dxa"/>
            <w:tcMar>
              <w:left w:w="108" w:type="dxa"/>
            </w:tcMar>
            <w:vAlign w:val="center"/>
          </w:tcPr>
          <w:p w:rsidR="00AD4AE2" w:rsidRPr="00733366" w:rsidRDefault="00AD4AE2" w:rsidP="000D7E0A">
            <w:pPr>
              <w:jc w:val="center"/>
              <w:rPr>
                <w:lang w:val="it-IT"/>
              </w:rPr>
            </w:pPr>
          </w:p>
        </w:tc>
        <w:tc>
          <w:tcPr>
            <w:tcW w:w="570" w:type="dxa"/>
            <w:tcMar>
              <w:left w:w="108" w:type="dxa"/>
            </w:tcMar>
            <w:vAlign w:val="center"/>
          </w:tcPr>
          <w:p w:rsidR="00AD4AE2" w:rsidRPr="00733366" w:rsidRDefault="00AD4AE2" w:rsidP="000D7E0A">
            <w:pPr>
              <w:jc w:val="center"/>
              <w:rPr>
                <w:lang w:val="it-IT"/>
              </w:rPr>
            </w:pPr>
          </w:p>
        </w:tc>
      </w:tr>
      <w:tr w:rsidR="00AD4AE2" w:rsidRPr="0049572F" w:rsidTr="000D7E0A">
        <w:trPr>
          <w:cantSplit/>
          <w:trHeight w:val="20"/>
        </w:trPr>
        <w:tc>
          <w:tcPr>
            <w:tcW w:w="680" w:type="dxa"/>
          </w:tcPr>
          <w:p w:rsidR="00AD4AE2" w:rsidRPr="00BD1173" w:rsidRDefault="00AD4AE2" w:rsidP="000D7E0A">
            <w:pPr>
              <w:jc w:val="center"/>
              <w:rPr>
                <w:b/>
                <w:lang w:val="it-IT"/>
              </w:rPr>
            </w:pPr>
            <w:r>
              <w:rPr>
                <w:b/>
                <w:lang w:val="it-IT"/>
              </w:rPr>
              <w:t>14</w:t>
            </w:r>
            <w:r w:rsidRPr="00BD1173">
              <w:rPr>
                <w:b/>
                <w:lang w:val="it-IT"/>
              </w:rPr>
              <w:t>)</w:t>
            </w:r>
          </w:p>
        </w:tc>
        <w:tc>
          <w:tcPr>
            <w:tcW w:w="852" w:type="dxa"/>
            <w:tcMar>
              <w:left w:w="108" w:type="dxa"/>
              <w:right w:w="0" w:type="dxa"/>
            </w:tcMar>
          </w:tcPr>
          <w:p w:rsidR="00AD4AE2" w:rsidRPr="008A0F36" w:rsidRDefault="00AD4AE2" w:rsidP="000D7E0A">
            <w:pPr>
              <w:pStyle w:val="PrincCont"/>
              <w:jc w:val="left"/>
              <w:rPr>
                <w:lang w:val="it-IT"/>
              </w:rPr>
            </w:pPr>
            <w:r>
              <w:rPr>
                <w:lang w:val="it-IT"/>
              </w:rPr>
              <w:t>OIC 31.31</w:t>
            </w:r>
          </w:p>
        </w:tc>
        <w:tc>
          <w:tcPr>
            <w:tcW w:w="7059" w:type="dxa"/>
            <w:tcMar>
              <w:left w:w="108" w:type="dxa"/>
            </w:tcMar>
          </w:tcPr>
          <w:p w:rsidR="00AD4AE2" w:rsidRPr="004529D9" w:rsidRDefault="00AD4AE2" w:rsidP="000D7E0A">
            <w:pPr>
              <w:pStyle w:val="Titolo2"/>
              <w:spacing w:line="230" w:lineRule="exact"/>
              <w:jc w:val="both"/>
              <w:rPr>
                <w:b w:val="0"/>
                <w:sz w:val="20"/>
                <w:lang w:val="it-IT"/>
              </w:rPr>
            </w:pPr>
            <w:r w:rsidRPr="004529D9">
              <w:rPr>
                <w:b w:val="0"/>
                <w:color w:val="000000"/>
                <w:sz w:val="20"/>
                <w:lang w:val="it-IT"/>
              </w:rPr>
              <w:t xml:space="preserve">In presenza di </w:t>
            </w:r>
            <w:r>
              <w:rPr>
                <w:b w:val="0"/>
                <w:color w:val="000000"/>
                <w:sz w:val="20"/>
                <w:lang w:val="it-IT"/>
              </w:rPr>
              <w:t>polizze assicurative a copertura di passività potenziali</w:t>
            </w:r>
            <w:r w:rsidRPr="004529D9">
              <w:rPr>
                <w:b w:val="0"/>
                <w:color w:val="000000"/>
                <w:sz w:val="20"/>
                <w:lang w:val="it-IT"/>
              </w:rPr>
              <w:t>,</w:t>
            </w:r>
            <w:r>
              <w:rPr>
                <w:b w:val="0"/>
                <w:color w:val="000000"/>
                <w:sz w:val="20"/>
                <w:lang w:val="it-IT"/>
              </w:rPr>
              <w:t xml:space="preserve"> nella stima dei fondi si è tenuto conto di eventuali rimborsi assicurativi qualora si ritenga che in caso di soccombenza il risarcimento sia ragionevolmente certo</w:t>
            </w:r>
            <w:r w:rsidRPr="004529D9">
              <w:rPr>
                <w:b w:val="0"/>
                <w:color w:val="000000"/>
                <w:sz w:val="20"/>
                <w:lang w:val="it-IT"/>
              </w:rPr>
              <w:t xml:space="preserve">? </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CA1681">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1F4E4A" w:rsidTr="000D7E0A">
        <w:trPr>
          <w:cantSplit/>
          <w:trHeight w:val="20"/>
        </w:trPr>
        <w:tc>
          <w:tcPr>
            <w:tcW w:w="680" w:type="dxa"/>
          </w:tcPr>
          <w:p w:rsidR="00AD4AE2" w:rsidRPr="00BD1173" w:rsidRDefault="00AD4AE2" w:rsidP="000D7E0A">
            <w:pPr>
              <w:jc w:val="center"/>
              <w:rPr>
                <w:b/>
                <w:lang w:val="it-IT"/>
              </w:rPr>
            </w:pPr>
            <w:r>
              <w:rPr>
                <w:b/>
                <w:lang w:val="it-IT"/>
              </w:rPr>
              <w:t>15</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31.32</w:t>
            </w:r>
          </w:p>
        </w:tc>
        <w:tc>
          <w:tcPr>
            <w:tcW w:w="7059" w:type="dxa"/>
            <w:tcMar>
              <w:left w:w="108" w:type="dxa"/>
            </w:tcMar>
          </w:tcPr>
          <w:p w:rsidR="00AD4AE2" w:rsidRDefault="00AD4AE2" w:rsidP="000D7E0A">
            <w:pPr>
              <w:pStyle w:val="Titolo2"/>
              <w:spacing w:line="230" w:lineRule="exact"/>
              <w:jc w:val="both"/>
              <w:rPr>
                <w:b w:val="0"/>
                <w:sz w:val="20"/>
                <w:lang w:val="it-IT"/>
              </w:rPr>
            </w:pPr>
            <w:r w:rsidRPr="008C34E0">
              <w:rPr>
                <w:b w:val="0"/>
                <w:sz w:val="20"/>
                <w:lang w:val="it-IT"/>
              </w:rPr>
              <w:t>L’entità dell’accantonamento ai fondi è misurata facendo riferimento alla miglior stima dei costi alla data di bilancio, ivi incluse le spese legali determinabili in modo non aleatorio ed arbitrario, necessari per fronteggiare la sottostante passività, certa o probabile</w:t>
            </w:r>
            <w:r>
              <w:rPr>
                <w:b w:val="0"/>
                <w:sz w:val="20"/>
                <w:lang w:val="it-IT"/>
              </w:rPr>
              <w:t>?</w:t>
            </w:r>
          </w:p>
        </w:tc>
        <w:tc>
          <w:tcPr>
            <w:tcW w:w="586" w:type="dxa"/>
            <w:tcMar>
              <w:left w:w="85" w:type="dxa"/>
              <w:right w:w="85" w:type="dxa"/>
            </w:tcMar>
            <w:vAlign w:val="center"/>
          </w:tcPr>
          <w:p w:rsidR="00AD4AE2" w:rsidRPr="001F4E4A"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CA1681">
              <w:fldChar w:fldCharType="separate"/>
            </w:r>
            <w:r>
              <w:fldChar w:fldCharType="end"/>
            </w:r>
          </w:p>
        </w:tc>
        <w:tc>
          <w:tcPr>
            <w:tcW w:w="573" w:type="dxa"/>
            <w:tcMar>
              <w:left w:w="108" w:type="dxa"/>
            </w:tcMar>
            <w:vAlign w:val="center"/>
          </w:tcPr>
          <w:p w:rsidR="00AD4AE2" w:rsidRPr="001F4E4A"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Pr="001F4E4A"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CC242B"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FA1AD4" w:rsidRDefault="00AD4AE2" w:rsidP="000D7E0A">
            <w:pPr>
              <w:pStyle w:val="Titolo4"/>
              <w:rPr>
                <w:rFonts w:cs="Arial"/>
                <w:sz w:val="24"/>
                <w:szCs w:val="24"/>
              </w:rPr>
            </w:pPr>
            <w:r w:rsidRPr="00FA1AD4">
              <w:t>Il processo di stima del fondo</w:t>
            </w:r>
          </w:p>
        </w:tc>
        <w:tc>
          <w:tcPr>
            <w:tcW w:w="586" w:type="dxa"/>
            <w:tcMar>
              <w:left w:w="85" w:type="dxa"/>
              <w:right w:w="85" w:type="dxa"/>
            </w:tcMar>
            <w:vAlign w:val="center"/>
          </w:tcPr>
          <w:p w:rsidR="00AD4AE2" w:rsidRPr="00FA1AD4" w:rsidRDefault="00AD4AE2" w:rsidP="000D7E0A">
            <w:pPr>
              <w:jc w:val="center"/>
              <w:rPr>
                <w:lang w:val="it-IT"/>
              </w:rPr>
            </w:pPr>
          </w:p>
        </w:tc>
        <w:tc>
          <w:tcPr>
            <w:tcW w:w="573" w:type="dxa"/>
            <w:tcMar>
              <w:left w:w="108" w:type="dxa"/>
            </w:tcMar>
            <w:vAlign w:val="center"/>
          </w:tcPr>
          <w:p w:rsidR="00AD4AE2" w:rsidRPr="00FA1AD4" w:rsidRDefault="00AD4AE2" w:rsidP="000D7E0A">
            <w:pPr>
              <w:jc w:val="center"/>
              <w:rPr>
                <w:lang w:val="it-IT"/>
              </w:rPr>
            </w:pPr>
          </w:p>
        </w:tc>
        <w:tc>
          <w:tcPr>
            <w:tcW w:w="570" w:type="dxa"/>
            <w:tcMar>
              <w:left w:w="108" w:type="dxa"/>
            </w:tcMar>
            <w:vAlign w:val="center"/>
          </w:tcPr>
          <w:p w:rsidR="00AD4AE2" w:rsidRPr="00FA1AD4" w:rsidRDefault="00AD4AE2" w:rsidP="000D7E0A">
            <w:pPr>
              <w:jc w:val="center"/>
              <w:rPr>
                <w:lang w:val="it-IT"/>
              </w:rPr>
            </w:pPr>
          </w:p>
        </w:tc>
      </w:tr>
      <w:tr w:rsidR="00AD4AE2" w:rsidRPr="0049572F" w:rsidTr="000D7E0A">
        <w:trPr>
          <w:cantSplit/>
          <w:trHeight w:val="20"/>
        </w:trPr>
        <w:tc>
          <w:tcPr>
            <w:tcW w:w="680" w:type="dxa"/>
          </w:tcPr>
          <w:p w:rsidR="00AD4AE2" w:rsidRPr="00BD1173" w:rsidRDefault="00AD4AE2" w:rsidP="000D7E0A">
            <w:pPr>
              <w:jc w:val="center"/>
              <w:rPr>
                <w:b/>
                <w:lang w:val="it-IT"/>
              </w:rPr>
            </w:pPr>
            <w:r>
              <w:rPr>
                <w:b/>
                <w:lang w:val="it-IT"/>
              </w:rPr>
              <w:t>16</w:t>
            </w:r>
            <w:r w:rsidRPr="00BD1173">
              <w:rPr>
                <w:b/>
                <w:lang w:val="it-IT"/>
              </w:rPr>
              <w:t>)</w:t>
            </w:r>
          </w:p>
        </w:tc>
        <w:tc>
          <w:tcPr>
            <w:tcW w:w="852" w:type="dxa"/>
            <w:tcMar>
              <w:left w:w="108" w:type="dxa"/>
              <w:right w:w="0" w:type="dxa"/>
            </w:tcMar>
          </w:tcPr>
          <w:p w:rsidR="00AD4AE2" w:rsidRPr="008A0F36" w:rsidRDefault="00AD4AE2" w:rsidP="000D7E0A">
            <w:pPr>
              <w:pStyle w:val="PrincCont"/>
              <w:jc w:val="left"/>
              <w:rPr>
                <w:lang w:val="it-IT"/>
              </w:rPr>
            </w:pPr>
            <w:r>
              <w:rPr>
                <w:lang w:val="it-IT"/>
              </w:rPr>
              <w:t>OIC 31.33</w:t>
            </w:r>
          </w:p>
        </w:tc>
        <w:tc>
          <w:tcPr>
            <w:tcW w:w="7059" w:type="dxa"/>
            <w:tcMar>
              <w:left w:w="108" w:type="dxa"/>
            </w:tcMar>
          </w:tcPr>
          <w:p w:rsidR="00AD4AE2" w:rsidRPr="00CE0930" w:rsidRDefault="00AD4AE2" w:rsidP="000D7E0A">
            <w:pPr>
              <w:pStyle w:val="Titolo2"/>
              <w:spacing w:line="230" w:lineRule="exact"/>
              <w:jc w:val="both"/>
              <w:rPr>
                <w:b w:val="0"/>
                <w:color w:val="000000"/>
                <w:sz w:val="20"/>
                <w:lang w:val="it-IT"/>
              </w:rPr>
            </w:pPr>
            <w:r w:rsidRPr="00CE0930">
              <w:rPr>
                <w:b w:val="0"/>
                <w:color w:val="000000"/>
                <w:sz w:val="20"/>
                <w:lang w:val="it-IT"/>
              </w:rPr>
              <w:t>Nella stima deg</w:t>
            </w:r>
            <w:r>
              <w:rPr>
                <w:b w:val="0"/>
                <w:color w:val="000000"/>
                <w:sz w:val="20"/>
                <w:lang w:val="it-IT"/>
              </w:rPr>
              <w:t>li accantonamenti si è tenuto</w:t>
            </w:r>
            <w:r w:rsidRPr="00CE0930">
              <w:rPr>
                <w:b w:val="0"/>
                <w:color w:val="000000"/>
                <w:sz w:val="20"/>
                <w:lang w:val="it-IT"/>
              </w:rPr>
              <w:t xml:space="preserve"> conto</w:t>
            </w:r>
            <w:r>
              <w:rPr>
                <w:b w:val="0"/>
                <w:color w:val="000000"/>
                <w:sz w:val="20"/>
                <w:lang w:val="it-IT"/>
              </w:rPr>
              <w:t xml:space="preserve"> anche</w:t>
            </w:r>
            <w:r w:rsidRPr="00CE0930">
              <w:rPr>
                <w:b w:val="0"/>
                <w:color w:val="000000"/>
                <w:sz w:val="20"/>
                <w:lang w:val="it-IT"/>
              </w:rPr>
              <w:t xml:space="preserve"> di tutti gli aumenti di costo già noti e determinabili al</w:t>
            </w:r>
            <w:r>
              <w:rPr>
                <w:b w:val="0"/>
                <w:color w:val="000000"/>
                <w:sz w:val="20"/>
                <w:lang w:val="it-IT"/>
              </w:rPr>
              <w:t>la data di bilancio?</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CA1681">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CC242B" w:rsidTr="000D7E0A">
        <w:trPr>
          <w:cantSplit/>
          <w:trHeight w:val="20"/>
        </w:trPr>
        <w:tc>
          <w:tcPr>
            <w:tcW w:w="680" w:type="dxa"/>
          </w:tcPr>
          <w:p w:rsidR="00AD4AE2" w:rsidRPr="00BD1173" w:rsidRDefault="00AD4AE2" w:rsidP="000D7E0A">
            <w:pPr>
              <w:jc w:val="center"/>
              <w:rPr>
                <w:b/>
                <w:lang w:val="it-IT"/>
              </w:rPr>
            </w:pPr>
            <w:r>
              <w:rPr>
                <w:b/>
                <w:lang w:val="it-IT"/>
              </w:rPr>
              <w:t>17</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31.34</w:t>
            </w:r>
          </w:p>
        </w:tc>
        <w:tc>
          <w:tcPr>
            <w:tcW w:w="7059" w:type="dxa"/>
            <w:tcMar>
              <w:left w:w="108" w:type="dxa"/>
            </w:tcMar>
          </w:tcPr>
          <w:p w:rsidR="00AD4AE2" w:rsidRPr="00031A34" w:rsidRDefault="00AD4AE2" w:rsidP="000D7E0A">
            <w:pPr>
              <w:pStyle w:val="Titolo2"/>
              <w:spacing w:line="230" w:lineRule="exact"/>
              <w:jc w:val="both"/>
              <w:rPr>
                <w:b w:val="0"/>
                <w:color w:val="000000"/>
                <w:sz w:val="20"/>
                <w:lang w:val="it-IT"/>
              </w:rPr>
            </w:pPr>
            <w:r w:rsidRPr="00031A34">
              <w:rPr>
                <w:b w:val="0"/>
                <w:color w:val="000000"/>
                <w:sz w:val="20"/>
                <w:lang w:val="it-IT"/>
              </w:rPr>
              <w:t>Nel processo di stima, è stato tenuto conto dell’orizzonte temporale di riferimento ove siano ricorse le seguenti circostanze:</w:t>
            </w:r>
          </w:p>
        </w:tc>
        <w:tc>
          <w:tcPr>
            <w:tcW w:w="586" w:type="dxa"/>
            <w:tcMar>
              <w:left w:w="85" w:type="dxa"/>
              <w:right w:w="85" w:type="dxa"/>
            </w:tcMar>
            <w:vAlign w:val="center"/>
          </w:tcPr>
          <w:p w:rsidR="00AD4AE2" w:rsidRPr="00D32C6A" w:rsidRDefault="00AD4AE2" w:rsidP="000D7E0A">
            <w:pPr>
              <w:jc w:val="center"/>
              <w:rPr>
                <w:lang w:val="it-IT"/>
              </w:rPr>
            </w:pPr>
          </w:p>
        </w:tc>
        <w:tc>
          <w:tcPr>
            <w:tcW w:w="573" w:type="dxa"/>
            <w:tcMar>
              <w:left w:w="108" w:type="dxa"/>
            </w:tcMar>
            <w:vAlign w:val="center"/>
          </w:tcPr>
          <w:p w:rsidR="00AD4AE2" w:rsidRPr="00D32C6A" w:rsidRDefault="00AD4AE2" w:rsidP="000D7E0A">
            <w:pPr>
              <w:jc w:val="center"/>
              <w:rPr>
                <w:lang w:val="it-IT"/>
              </w:rPr>
            </w:pPr>
          </w:p>
        </w:tc>
        <w:tc>
          <w:tcPr>
            <w:tcW w:w="570" w:type="dxa"/>
            <w:tcMar>
              <w:left w:w="108" w:type="dxa"/>
            </w:tcMar>
            <w:vAlign w:val="center"/>
          </w:tcPr>
          <w:p w:rsidR="00AD4AE2" w:rsidRPr="00D32C6A" w:rsidRDefault="00AD4AE2" w:rsidP="000D7E0A">
            <w:pPr>
              <w:jc w:val="center"/>
              <w:rPr>
                <w:lang w:val="it-IT"/>
              </w:rPr>
            </w:pPr>
          </w:p>
        </w:tc>
      </w:tr>
      <w:tr w:rsidR="00AD4AE2" w:rsidRPr="002332E6" w:rsidTr="000D7E0A">
        <w:trPr>
          <w:cantSplit/>
          <w:trHeight w:val="20"/>
        </w:trPr>
        <w:tc>
          <w:tcPr>
            <w:tcW w:w="680" w:type="dxa"/>
          </w:tcPr>
          <w:p w:rsidR="00AD4AE2"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031A34" w:rsidRDefault="00AD4AE2" w:rsidP="000B29F2">
            <w:pPr>
              <w:pStyle w:val="Puntoelenco"/>
              <w:tabs>
                <w:tab w:val="clear" w:pos="704"/>
              </w:tabs>
              <w:spacing w:line="230" w:lineRule="exact"/>
              <w:ind w:left="460" w:hanging="284"/>
            </w:pPr>
            <w:r w:rsidRPr="00031A34">
              <w:t>presenza di un fondo oneri, quindi alla data di bilancio esiste un’obbligazione certa, in forza di un vincolo contrattuale o di legge;</w:t>
            </w:r>
          </w:p>
        </w:tc>
        <w:tc>
          <w:tcPr>
            <w:tcW w:w="586" w:type="dxa"/>
            <w:tcMar>
              <w:left w:w="85" w:type="dxa"/>
              <w:right w:w="85" w:type="dxa"/>
            </w:tcMar>
            <w:vAlign w:val="center"/>
          </w:tcPr>
          <w:p w:rsidR="00AD4AE2" w:rsidRPr="00D32C6A"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CA1681">
              <w:fldChar w:fldCharType="separate"/>
            </w:r>
            <w:r>
              <w:fldChar w:fldCharType="end"/>
            </w:r>
          </w:p>
        </w:tc>
        <w:tc>
          <w:tcPr>
            <w:tcW w:w="573" w:type="dxa"/>
            <w:tcMar>
              <w:left w:w="108" w:type="dxa"/>
            </w:tcMar>
            <w:vAlign w:val="center"/>
          </w:tcPr>
          <w:p w:rsidR="00AD4AE2" w:rsidRPr="00D32C6A"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Pr="00D32C6A"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2332E6" w:rsidTr="000D7E0A">
        <w:trPr>
          <w:cantSplit/>
          <w:trHeight w:val="20"/>
        </w:trPr>
        <w:tc>
          <w:tcPr>
            <w:tcW w:w="680" w:type="dxa"/>
          </w:tcPr>
          <w:p w:rsidR="00AD4AE2"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031A34" w:rsidRDefault="00AD4AE2" w:rsidP="000B29F2">
            <w:pPr>
              <w:pStyle w:val="Puntoelenco"/>
              <w:tabs>
                <w:tab w:val="clear" w:pos="704"/>
              </w:tabs>
              <w:spacing w:line="230" w:lineRule="exact"/>
              <w:ind w:left="460" w:hanging="284"/>
            </w:pPr>
            <w:r w:rsidRPr="00031A34">
              <w:t>è possibile operare una stima ragionevolmente attendibile dell’esborso connesso all’obbligazione e della data di sopravvenienza;</w:t>
            </w:r>
          </w:p>
        </w:tc>
        <w:tc>
          <w:tcPr>
            <w:tcW w:w="586" w:type="dxa"/>
            <w:tcMar>
              <w:left w:w="85" w:type="dxa"/>
              <w:right w:w="85" w:type="dxa"/>
            </w:tcMar>
            <w:vAlign w:val="center"/>
          </w:tcPr>
          <w:p w:rsidR="00AD4AE2" w:rsidRPr="00D32C6A"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CA1681">
              <w:fldChar w:fldCharType="separate"/>
            </w:r>
            <w:r>
              <w:fldChar w:fldCharType="end"/>
            </w:r>
          </w:p>
        </w:tc>
        <w:tc>
          <w:tcPr>
            <w:tcW w:w="573" w:type="dxa"/>
            <w:tcMar>
              <w:left w:w="108" w:type="dxa"/>
            </w:tcMar>
            <w:vAlign w:val="center"/>
          </w:tcPr>
          <w:p w:rsidR="00AD4AE2" w:rsidRPr="00D32C6A"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Pr="00D32C6A"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2332E6" w:rsidTr="000D7E0A">
        <w:trPr>
          <w:cantSplit/>
          <w:trHeight w:val="20"/>
        </w:trPr>
        <w:tc>
          <w:tcPr>
            <w:tcW w:w="680" w:type="dxa"/>
          </w:tcPr>
          <w:p w:rsidR="00AD4AE2"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031A34" w:rsidRDefault="00AD4AE2" w:rsidP="00AD4AE2">
            <w:pPr>
              <w:pStyle w:val="Puntoelenco"/>
              <w:tabs>
                <w:tab w:val="clear" w:pos="704"/>
              </w:tabs>
              <w:spacing w:line="230" w:lineRule="exact"/>
              <w:ind w:left="460" w:hanging="284"/>
              <w:rPr>
                <w:color w:val="000000"/>
              </w:rPr>
            </w:pPr>
            <w:r w:rsidRPr="00031A34">
              <w:t>la data di sopravvenienza è così lontana nel tempo da rendere significativamente diverso il valore attuale dell’obbligazione e la passività stimata al momento dell’esborso?</w:t>
            </w:r>
          </w:p>
        </w:tc>
        <w:tc>
          <w:tcPr>
            <w:tcW w:w="586" w:type="dxa"/>
            <w:tcMar>
              <w:left w:w="85" w:type="dxa"/>
              <w:right w:w="85" w:type="dxa"/>
            </w:tcMar>
            <w:vAlign w:val="center"/>
          </w:tcPr>
          <w:p w:rsidR="00AD4AE2" w:rsidRPr="00D32C6A"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CA1681">
              <w:fldChar w:fldCharType="separate"/>
            </w:r>
            <w:r>
              <w:fldChar w:fldCharType="end"/>
            </w:r>
          </w:p>
        </w:tc>
        <w:tc>
          <w:tcPr>
            <w:tcW w:w="573" w:type="dxa"/>
            <w:tcMar>
              <w:left w:w="108" w:type="dxa"/>
            </w:tcMar>
            <w:vAlign w:val="center"/>
          </w:tcPr>
          <w:p w:rsidR="00AD4AE2" w:rsidRPr="00D32C6A"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Pr="00D32C6A"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CC242B" w:rsidTr="000D7E0A">
        <w:trPr>
          <w:cantSplit/>
          <w:trHeight w:val="20"/>
        </w:trPr>
        <w:tc>
          <w:tcPr>
            <w:tcW w:w="680" w:type="dxa"/>
          </w:tcPr>
          <w:p w:rsidR="00AD4AE2" w:rsidRPr="00BD1173" w:rsidRDefault="00AD4AE2" w:rsidP="000D7E0A">
            <w:pPr>
              <w:jc w:val="center"/>
              <w:rPr>
                <w:b/>
                <w:lang w:val="it-IT"/>
              </w:rPr>
            </w:pPr>
            <w:r>
              <w:rPr>
                <w:b/>
                <w:lang w:val="it-IT"/>
              </w:rPr>
              <w:t>18</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31.35</w:t>
            </w:r>
          </w:p>
        </w:tc>
        <w:tc>
          <w:tcPr>
            <w:tcW w:w="7059" w:type="dxa"/>
            <w:tcMar>
              <w:left w:w="108" w:type="dxa"/>
            </w:tcMar>
          </w:tcPr>
          <w:p w:rsidR="00AD4AE2" w:rsidRPr="007451FD" w:rsidRDefault="00AD4AE2" w:rsidP="000D7E0A">
            <w:pPr>
              <w:pStyle w:val="Titolo2"/>
              <w:spacing w:line="230" w:lineRule="exact"/>
              <w:jc w:val="both"/>
              <w:rPr>
                <w:b w:val="0"/>
                <w:color w:val="000000"/>
                <w:sz w:val="20"/>
                <w:lang w:val="it-IT"/>
              </w:rPr>
            </w:pPr>
            <w:r w:rsidRPr="007451FD">
              <w:rPr>
                <w:b w:val="0"/>
                <w:color w:val="000000"/>
                <w:sz w:val="20"/>
                <w:lang w:val="it-IT"/>
              </w:rPr>
              <w:t>Nell’ambito del processo di stima, tra gli elementi utili per la valutazione complessiva della congruità del fondo, la società ha considerato la necessità di:</w:t>
            </w:r>
          </w:p>
        </w:tc>
        <w:tc>
          <w:tcPr>
            <w:tcW w:w="586" w:type="dxa"/>
            <w:tcMar>
              <w:left w:w="85" w:type="dxa"/>
              <w:right w:w="85" w:type="dxa"/>
            </w:tcMar>
            <w:vAlign w:val="center"/>
          </w:tcPr>
          <w:p w:rsidR="00AD4AE2" w:rsidRPr="00313EEF" w:rsidRDefault="00AD4AE2" w:rsidP="000D7E0A">
            <w:pPr>
              <w:jc w:val="center"/>
              <w:rPr>
                <w:lang w:val="it-IT"/>
              </w:rPr>
            </w:pPr>
          </w:p>
        </w:tc>
        <w:tc>
          <w:tcPr>
            <w:tcW w:w="573" w:type="dxa"/>
            <w:tcMar>
              <w:left w:w="108" w:type="dxa"/>
            </w:tcMar>
            <w:vAlign w:val="center"/>
          </w:tcPr>
          <w:p w:rsidR="00AD4AE2" w:rsidRPr="00313EEF" w:rsidRDefault="00AD4AE2" w:rsidP="000D7E0A">
            <w:pPr>
              <w:jc w:val="center"/>
              <w:rPr>
                <w:lang w:val="it-IT"/>
              </w:rPr>
            </w:pPr>
          </w:p>
        </w:tc>
        <w:tc>
          <w:tcPr>
            <w:tcW w:w="570" w:type="dxa"/>
            <w:tcMar>
              <w:left w:w="108" w:type="dxa"/>
            </w:tcMar>
            <w:vAlign w:val="center"/>
          </w:tcPr>
          <w:p w:rsidR="00AD4AE2" w:rsidRPr="00313EEF" w:rsidRDefault="00AD4AE2" w:rsidP="000D7E0A">
            <w:pPr>
              <w:jc w:val="center"/>
              <w:rPr>
                <w:lang w:val="it-IT"/>
              </w:rPr>
            </w:pPr>
          </w:p>
        </w:tc>
      </w:tr>
      <w:tr w:rsidR="00AD4AE2" w:rsidRPr="00313EEF" w:rsidTr="000D7E0A">
        <w:trPr>
          <w:cantSplit/>
          <w:trHeight w:val="20"/>
        </w:trPr>
        <w:tc>
          <w:tcPr>
            <w:tcW w:w="680" w:type="dxa"/>
          </w:tcPr>
          <w:p w:rsidR="00AD4AE2"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7451FD" w:rsidRDefault="00AD4AE2" w:rsidP="000B29F2">
            <w:pPr>
              <w:pStyle w:val="Puntoelenco"/>
              <w:tabs>
                <w:tab w:val="clear" w:pos="704"/>
              </w:tabs>
              <w:spacing w:line="230" w:lineRule="exact"/>
              <w:ind w:left="460" w:hanging="284"/>
            </w:pPr>
            <w:r w:rsidRPr="007451FD">
              <w:t>conseguire specifiche conoscenze della situazione di rischio ed incertezza in essere</w:t>
            </w:r>
          </w:p>
        </w:tc>
        <w:tc>
          <w:tcPr>
            <w:tcW w:w="586" w:type="dxa"/>
            <w:tcMar>
              <w:left w:w="85" w:type="dxa"/>
              <w:right w:w="85" w:type="dxa"/>
            </w:tcMar>
            <w:vAlign w:val="center"/>
          </w:tcPr>
          <w:p w:rsidR="00AD4AE2" w:rsidRPr="00313EEF"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CA1681">
              <w:fldChar w:fldCharType="separate"/>
            </w:r>
            <w:r>
              <w:fldChar w:fldCharType="end"/>
            </w:r>
          </w:p>
        </w:tc>
        <w:tc>
          <w:tcPr>
            <w:tcW w:w="573" w:type="dxa"/>
            <w:tcMar>
              <w:left w:w="108" w:type="dxa"/>
            </w:tcMar>
            <w:vAlign w:val="center"/>
          </w:tcPr>
          <w:p w:rsidR="00AD4AE2" w:rsidRPr="00313EEF"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Pr="00313EEF"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313EEF" w:rsidTr="000D7E0A">
        <w:trPr>
          <w:cantSplit/>
          <w:trHeight w:val="20"/>
        </w:trPr>
        <w:tc>
          <w:tcPr>
            <w:tcW w:w="680" w:type="dxa"/>
          </w:tcPr>
          <w:p w:rsidR="00AD4AE2"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7451FD" w:rsidRDefault="00AD4AE2" w:rsidP="000B29F2">
            <w:pPr>
              <w:pStyle w:val="Puntoelenco"/>
              <w:tabs>
                <w:tab w:val="clear" w:pos="704"/>
              </w:tabs>
              <w:spacing w:line="230" w:lineRule="exact"/>
              <w:ind w:left="460" w:hanging="284"/>
            </w:pPr>
            <w:r w:rsidRPr="007451FD">
              <w:t>elaborare statistiche per operazioni similari e serie storiche di accadimento in similari fattispecie</w:t>
            </w:r>
          </w:p>
        </w:tc>
        <w:tc>
          <w:tcPr>
            <w:tcW w:w="586" w:type="dxa"/>
            <w:tcMar>
              <w:left w:w="85" w:type="dxa"/>
              <w:right w:w="85" w:type="dxa"/>
            </w:tcMar>
            <w:vAlign w:val="center"/>
          </w:tcPr>
          <w:p w:rsidR="00AD4AE2" w:rsidRPr="00313EEF"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CA1681">
              <w:fldChar w:fldCharType="separate"/>
            </w:r>
            <w:r>
              <w:fldChar w:fldCharType="end"/>
            </w:r>
          </w:p>
        </w:tc>
        <w:tc>
          <w:tcPr>
            <w:tcW w:w="573" w:type="dxa"/>
            <w:tcMar>
              <w:left w:w="108" w:type="dxa"/>
            </w:tcMar>
            <w:vAlign w:val="center"/>
          </w:tcPr>
          <w:p w:rsidR="00AD4AE2" w:rsidRPr="00313EEF"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Pr="00313EEF"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313EEF" w:rsidTr="000D7E0A">
        <w:trPr>
          <w:cantSplit/>
          <w:trHeight w:val="20"/>
        </w:trPr>
        <w:tc>
          <w:tcPr>
            <w:tcW w:w="680" w:type="dxa"/>
          </w:tcPr>
          <w:p w:rsidR="00AD4AE2"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7451FD" w:rsidRDefault="00AD4AE2" w:rsidP="000B29F2">
            <w:pPr>
              <w:pStyle w:val="Puntoelenco"/>
              <w:tabs>
                <w:tab w:val="clear" w:pos="704"/>
              </w:tabs>
              <w:spacing w:line="230" w:lineRule="exact"/>
              <w:ind w:left="460" w:hanging="284"/>
            </w:pPr>
            <w:r w:rsidRPr="007451FD">
              <w:t>acquisire il supporto di pareri di consulenti esterni (ad esempio, pareri legali per una stima dell’esito della causa in situazioni di contenzioso in corso)</w:t>
            </w:r>
          </w:p>
        </w:tc>
        <w:tc>
          <w:tcPr>
            <w:tcW w:w="586" w:type="dxa"/>
            <w:tcMar>
              <w:left w:w="85" w:type="dxa"/>
              <w:right w:w="85" w:type="dxa"/>
            </w:tcMar>
            <w:vAlign w:val="center"/>
          </w:tcPr>
          <w:p w:rsidR="00AD4AE2" w:rsidRPr="00313EEF"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CA1681">
              <w:fldChar w:fldCharType="separate"/>
            </w:r>
            <w:r>
              <w:fldChar w:fldCharType="end"/>
            </w:r>
          </w:p>
        </w:tc>
        <w:tc>
          <w:tcPr>
            <w:tcW w:w="573" w:type="dxa"/>
            <w:tcMar>
              <w:left w:w="108" w:type="dxa"/>
            </w:tcMar>
            <w:vAlign w:val="center"/>
          </w:tcPr>
          <w:p w:rsidR="00AD4AE2" w:rsidRPr="00313EEF"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Pr="00313EEF"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313EEF" w:rsidTr="000D7E0A">
        <w:trPr>
          <w:cantSplit/>
          <w:trHeight w:val="20"/>
        </w:trPr>
        <w:tc>
          <w:tcPr>
            <w:tcW w:w="680" w:type="dxa"/>
          </w:tcPr>
          <w:p w:rsidR="00AD4AE2"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7451FD" w:rsidRDefault="00AD4AE2" w:rsidP="00AD4AE2">
            <w:pPr>
              <w:pStyle w:val="Puntoelenco"/>
              <w:tabs>
                <w:tab w:val="clear" w:pos="704"/>
              </w:tabs>
              <w:spacing w:line="230" w:lineRule="exact"/>
              <w:ind w:left="460" w:hanging="284"/>
              <w:rPr>
                <w:color w:val="000000"/>
              </w:rPr>
            </w:pPr>
            <w:r w:rsidRPr="007451FD">
              <w:t>disporre di tutti quegli altri elementi pertinenti che consentono di effettuare una stima ragionevolmente attendibile?</w:t>
            </w:r>
          </w:p>
        </w:tc>
        <w:tc>
          <w:tcPr>
            <w:tcW w:w="586" w:type="dxa"/>
            <w:tcMar>
              <w:left w:w="85" w:type="dxa"/>
              <w:right w:w="85" w:type="dxa"/>
            </w:tcMar>
            <w:vAlign w:val="center"/>
          </w:tcPr>
          <w:p w:rsidR="00AD4AE2" w:rsidRPr="00313EEF"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CA1681">
              <w:fldChar w:fldCharType="separate"/>
            </w:r>
            <w:r>
              <w:fldChar w:fldCharType="end"/>
            </w:r>
          </w:p>
        </w:tc>
        <w:tc>
          <w:tcPr>
            <w:tcW w:w="573" w:type="dxa"/>
            <w:tcMar>
              <w:left w:w="108" w:type="dxa"/>
            </w:tcMar>
            <w:vAlign w:val="center"/>
          </w:tcPr>
          <w:p w:rsidR="00AD4AE2" w:rsidRPr="00313EEF"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Pr="00313EEF"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49572F"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8A0F36" w:rsidRDefault="00AD4AE2" w:rsidP="000D7E0A">
            <w:pPr>
              <w:pStyle w:val="PrincCont"/>
              <w:jc w:val="left"/>
              <w:rPr>
                <w:lang w:val="it-IT"/>
              </w:rPr>
            </w:pPr>
          </w:p>
        </w:tc>
        <w:tc>
          <w:tcPr>
            <w:tcW w:w="7059" w:type="dxa"/>
            <w:tcMar>
              <w:left w:w="108" w:type="dxa"/>
            </w:tcMar>
          </w:tcPr>
          <w:p w:rsidR="00AD4AE2" w:rsidRPr="00A93BDD" w:rsidRDefault="00AD4AE2" w:rsidP="000D7E0A">
            <w:pPr>
              <w:pStyle w:val="Titolo3"/>
              <w:rPr>
                <w:i w:val="0"/>
                <w:lang w:val="it-IT"/>
              </w:rPr>
            </w:pPr>
            <w:r w:rsidRPr="008B6F54">
              <w:rPr>
                <w:i w:val="0"/>
                <w:lang w:val="it-IT"/>
              </w:rPr>
              <w:t>Valutazioni successive</w:t>
            </w:r>
          </w:p>
        </w:tc>
        <w:tc>
          <w:tcPr>
            <w:tcW w:w="586" w:type="dxa"/>
            <w:tcMar>
              <w:left w:w="85" w:type="dxa"/>
              <w:right w:w="85" w:type="dxa"/>
            </w:tcMar>
            <w:vAlign w:val="center"/>
          </w:tcPr>
          <w:p w:rsidR="00AD4AE2" w:rsidRPr="00A32A16" w:rsidRDefault="00AD4AE2" w:rsidP="000D7E0A">
            <w:pPr>
              <w:jc w:val="center"/>
              <w:rPr>
                <w:lang w:val="it-IT"/>
              </w:rPr>
            </w:pPr>
          </w:p>
        </w:tc>
        <w:tc>
          <w:tcPr>
            <w:tcW w:w="573" w:type="dxa"/>
            <w:tcMar>
              <w:left w:w="108" w:type="dxa"/>
            </w:tcMar>
            <w:vAlign w:val="center"/>
          </w:tcPr>
          <w:p w:rsidR="00AD4AE2" w:rsidRPr="00A32A16" w:rsidRDefault="00AD4AE2" w:rsidP="000D7E0A">
            <w:pPr>
              <w:jc w:val="center"/>
              <w:rPr>
                <w:lang w:val="it-IT"/>
              </w:rPr>
            </w:pPr>
          </w:p>
        </w:tc>
        <w:tc>
          <w:tcPr>
            <w:tcW w:w="570" w:type="dxa"/>
            <w:tcMar>
              <w:left w:w="108" w:type="dxa"/>
            </w:tcMar>
            <w:vAlign w:val="center"/>
          </w:tcPr>
          <w:p w:rsidR="00AD4AE2" w:rsidRPr="00A32A16" w:rsidRDefault="00AD4AE2" w:rsidP="000D7E0A">
            <w:pPr>
              <w:jc w:val="center"/>
              <w:rPr>
                <w:lang w:val="it-IT"/>
              </w:rPr>
            </w:pPr>
          </w:p>
        </w:tc>
      </w:tr>
      <w:tr w:rsidR="00AD4AE2" w:rsidRPr="00F0679B" w:rsidTr="000D7E0A">
        <w:trPr>
          <w:cantSplit/>
          <w:trHeight w:val="20"/>
        </w:trPr>
        <w:tc>
          <w:tcPr>
            <w:tcW w:w="680" w:type="dxa"/>
          </w:tcPr>
          <w:p w:rsidR="00AD4AE2" w:rsidRPr="00BD1173" w:rsidRDefault="00AD4AE2" w:rsidP="000D7E0A">
            <w:pPr>
              <w:jc w:val="center"/>
              <w:rPr>
                <w:b/>
                <w:lang w:val="it-IT"/>
              </w:rPr>
            </w:pPr>
            <w:r>
              <w:rPr>
                <w:b/>
                <w:lang w:val="it-IT"/>
              </w:rPr>
              <w:t>19</w:t>
            </w:r>
            <w:r w:rsidRPr="00BD1173">
              <w:rPr>
                <w:b/>
                <w:lang w:val="it-IT"/>
              </w:rPr>
              <w:t>)</w:t>
            </w:r>
          </w:p>
        </w:tc>
        <w:tc>
          <w:tcPr>
            <w:tcW w:w="852" w:type="dxa"/>
            <w:tcMar>
              <w:left w:w="108" w:type="dxa"/>
              <w:right w:w="0" w:type="dxa"/>
            </w:tcMar>
          </w:tcPr>
          <w:p w:rsidR="00AD4AE2" w:rsidRPr="008A0F36" w:rsidRDefault="00AD4AE2" w:rsidP="000D7E0A">
            <w:pPr>
              <w:pStyle w:val="PrincCont"/>
              <w:jc w:val="left"/>
              <w:rPr>
                <w:lang w:val="it-IT"/>
              </w:rPr>
            </w:pPr>
            <w:r>
              <w:rPr>
                <w:lang w:val="it-IT"/>
              </w:rPr>
              <w:t>OIC 31.37</w:t>
            </w:r>
          </w:p>
        </w:tc>
        <w:tc>
          <w:tcPr>
            <w:tcW w:w="7059" w:type="dxa"/>
            <w:tcMar>
              <w:left w:w="108" w:type="dxa"/>
            </w:tcMar>
          </w:tcPr>
          <w:p w:rsidR="00AD4AE2" w:rsidRPr="00CE0930" w:rsidRDefault="00AD4AE2" w:rsidP="000D7E0A">
            <w:pPr>
              <w:pStyle w:val="Titolo2"/>
              <w:spacing w:line="230" w:lineRule="exact"/>
              <w:jc w:val="both"/>
              <w:rPr>
                <w:lang w:val="it-IT"/>
              </w:rPr>
            </w:pPr>
            <w:r w:rsidRPr="00CE0930">
              <w:rPr>
                <w:b w:val="0"/>
                <w:color w:val="000000"/>
                <w:sz w:val="20"/>
                <w:lang w:val="it-IT"/>
              </w:rPr>
              <w:t>I fondi per rischi e oneri iscritti</w:t>
            </w:r>
            <w:r>
              <w:rPr>
                <w:b w:val="0"/>
                <w:color w:val="000000"/>
                <w:sz w:val="20"/>
                <w:lang w:val="it-IT"/>
              </w:rPr>
              <w:t xml:space="preserve"> in un periodo precedente sono stati</w:t>
            </w:r>
            <w:r w:rsidRPr="00CE0930">
              <w:rPr>
                <w:b w:val="0"/>
                <w:color w:val="000000"/>
                <w:sz w:val="20"/>
                <w:lang w:val="it-IT"/>
              </w:rPr>
              <w:t xml:space="preserve"> oggetto di riesame per verificarne la corretta mi</w:t>
            </w:r>
            <w:r>
              <w:rPr>
                <w:b w:val="0"/>
                <w:color w:val="000000"/>
                <w:sz w:val="20"/>
                <w:lang w:val="it-IT"/>
              </w:rPr>
              <w:t>surazione alla data di bilancio?</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6A1A9F" w:rsidTr="000D7E0A">
        <w:trPr>
          <w:cantSplit/>
          <w:trHeight w:val="20"/>
        </w:trPr>
        <w:tc>
          <w:tcPr>
            <w:tcW w:w="680" w:type="dxa"/>
          </w:tcPr>
          <w:p w:rsidR="00AD4AE2" w:rsidRPr="00BD1173" w:rsidRDefault="00AD4AE2" w:rsidP="000D7E0A">
            <w:pPr>
              <w:jc w:val="center"/>
              <w:rPr>
                <w:b/>
                <w:lang w:val="it-IT"/>
              </w:rPr>
            </w:pPr>
            <w:r>
              <w:rPr>
                <w:b/>
                <w:lang w:val="it-IT"/>
              </w:rPr>
              <w:t>20</w:t>
            </w:r>
            <w:r w:rsidRPr="00BD1173">
              <w:rPr>
                <w:b/>
                <w:lang w:val="it-IT"/>
              </w:rPr>
              <w:t>)</w:t>
            </w:r>
          </w:p>
        </w:tc>
        <w:tc>
          <w:tcPr>
            <w:tcW w:w="852" w:type="dxa"/>
            <w:tcMar>
              <w:left w:w="108" w:type="dxa"/>
              <w:right w:w="0" w:type="dxa"/>
            </w:tcMar>
          </w:tcPr>
          <w:p w:rsidR="00AD4AE2" w:rsidRPr="008A0F36" w:rsidRDefault="00AD4AE2" w:rsidP="000D7E0A">
            <w:pPr>
              <w:pStyle w:val="PrincCont"/>
              <w:jc w:val="left"/>
              <w:rPr>
                <w:lang w:val="it-IT"/>
              </w:rPr>
            </w:pPr>
            <w:r>
              <w:rPr>
                <w:lang w:val="it-IT"/>
              </w:rPr>
              <w:t>OIC 31.40</w:t>
            </w:r>
          </w:p>
        </w:tc>
        <w:tc>
          <w:tcPr>
            <w:tcW w:w="7059" w:type="dxa"/>
            <w:tcMar>
              <w:left w:w="108" w:type="dxa"/>
            </w:tcMar>
          </w:tcPr>
          <w:p w:rsidR="00AD4AE2" w:rsidRPr="00FA1AD4" w:rsidRDefault="00AD4AE2" w:rsidP="000D7E0A">
            <w:pPr>
              <w:keepNext/>
              <w:spacing w:line="230" w:lineRule="exact"/>
              <w:rPr>
                <w:lang w:val="it-IT"/>
              </w:rPr>
            </w:pPr>
            <w:r w:rsidRPr="00FA1AD4">
              <w:rPr>
                <w:color w:val="000000"/>
                <w:lang w:val="it-IT"/>
              </w:rPr>
              <w:t>Nel caso si manifestino eventi dopo la chiusura dell’esercizio, ma prima della formazione del</w:t>
            </w:r>
            <w:r>
              <w:rPr>
                <w:color w:val="000000"/>
                <w:lang w:val="it-IT"/>
              </w:rPr>
              <w:t xml:space="preserve"> </w:t>
            </w:r>
            <w:r w:rsidRPr="00FA1AD4">
              <w:rPr>
                <w:color w:val="000000"/>
                <w:lang w:val="it-IT"/>
              </w:rPr>
              <w:t>bilancio, che evidenziano condizioni che già esistevano alla data di bilancio, e che richiedono</w:t>
            </w:r>
            <w:r>
              <w:rPr>
                <w:color w:val="000000"/>
                <w:lang w:val="it-IT"/>
              </w:rPr>
              <w:t xml:space="preserve"> </w:t>
            </w:r>
            <w:r w:rsidRPr="00FA1AD4">
              <w:rPr>
                <w:color w:val="000000"/>
                <w:lang w:val="it-IT"/>
              </w:rPr>
              <w:t>quindi modi</w:t>
            </w:r>
            <w:r>
              <w:rPr>
                <w:color w:val="000000"/>
                <w:lang w:val="it-IT"/>
              </w:rPr>
              <w:t>fiche al fondo iscritto, il bilancio è stato modificato</w:t>
            </w:r>
            <w:r w:rsidRPr="00FA1AD4">
              <w:rPr>
                <w:color w:val="000000"/>
                <w:lang w:val="it-IT"/>
              </w:rPr>
              <w:t xml:space="preserve"> p</w:t>
            </w:r>
            <w:r>
              <w:rPr>
                <w:color w:val="000000"/>
                <w:lang w:val="it-IT"/>
              </w:rPr>
              <w:t xml:space="preserve">er tenere conto di tali effetti (cfr. OIC 29 </w:t>
            </w:r>
            <w:r w:rsidRPr="006A1A9F">
              <w:rPr>
                <w:lang w:val="it-IT"/>
              </w:rPr>
              <w:t>“Cambiamenti di principi contabili, cambiamenti di stime contabili, correzioni di errori, fatti intervenuti dopo la chiusura dell’esercizio”</w:t>
            </w:r>
            <w:r>
              <w:rPr>
                <w:lang w:val="it-IT"/>
              </w:rPr>
              <w:t>)</w:t>
            </w:r>
            <w:r>
              <w:rPr>
                <w:color w:val="000000"/>
                <w:lang w:val="it-IT"/>
              </w:rPr>
              <w:t>?</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DE38DC" w:rsidRDefault="00AD4AE2"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AD4AE2" w:rsidRPr="00DE38DC" w:rsidRDefault="00AD4AE2"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AD4AE2" w:rsidRPr="006A1A9F" w:rsidTr="000D7E0A">
        <w:trPr>
          <w:cantSplit/>
          <w:trHeight w:val="20"/>
        </w:trPr>
        <w:tc>
          <w:tcPr>
            <w:tcW w:w="680" w:type="dxa"/>
          </w:tcPr>
          <w:p w:rsidR="00AD4AE2" w:rsidRPr="00BD1173" w:rsidRDefault="00AD4AE2" w:rsidP="000D7E0A">
            <w:pPr>
              <w:jc w:val="center"/>
              <w:rPr>
                <w:b/>
                <w:lang w:val="it-IT"/>
              </w:rPr>
            </w:pPr>
            <w:r>
              <w:rPr>
                <w:b/>
                <w:lang w:val="it-IT"/>
              </w:rPr>
              <w:t>21</w:t>
            </w:r>
            <w:r w:rsidRPr="00BD1173">
              <w:rPr>
                <w:b/>
                <w:lang w:val="it-IT"/>
              </w:rPr>
              <w:t>)</w:t>
            </w:r>
          </w:p>
        </w:tc>
        <w:tc>
          <w:tcPr>
            <w:tcW w:w="852" w:type="dxa"/>
            <w:tcMar>
              <w:left w:w="108" w:type="dxa"/>
              <w:right w:w="0" w:type="dxa"/>
            </w:tcMar>
          </w:tcPr>
          <w:p w:rsidR="00AD4AE2" w:rsidDel="00632BB7" w:rsidRDefault="00AD4AE2" w:rsidP="000D7E0A">
            <w:pPr>
              <w:pStyle w:val="PrincCont"/>
              <w:jc w:val="left"/>
              <w:rPr>
                <w:lang w:val="it-IT"/>
              </w:rPr>
            </w:pPr>
            <w:r>
              <w:rPr>
                <w:lang w:val="it-IT"/>
              </w:rPr>
              <w:t>OIC 31.41</w:t>
            </w:r>
          </w:p>
        </w:tc>
        <w:tc>
          <w:tcPr>
            <w:tcW w:w="7059" w:type="dxa"/>
            <w:tcMar>
              <w:left w:w="108" w:type="dxa"/>
            </w:tcMar>
          </w:tcPr>
          <w:p w:rsidR="00AD4AE2" w:rsidRPr="00F25D44" w:rsidRDefault="00AD4AE2" w:rsidP="000D7E0A">
            <w:pPr>
              <w:keepNext/>
              <w:widowControl w:val="0"/>
              <w:spacing w:after="0" w:line="230" w:lineRule="exact"/>
              <w:rPr>
                <w:color w:val="000000"/>
                <w:lang w:val="it-IT"/>
              </w:rPr>
            </w:pPr>
            <w:r>
              <w:rPr>
                <w:color w:val="000000"/>
                <w:lang w:val="it-IT"/>
              </w:rPr>
              <w:t xml:space="preserve">L’accantonamento annuale per trattamento di quiescenza ed obblighi simili è stato determinato in misura idonea a consentire un progressivo adeguamento del relativo fondo per renderlo congruo rispetto alla passività che sarà maturata alla cessazione del rapporto nei confronti dei dipendenti o di altri soggetti, </w:t>
            </w:r>
            <w:r w:rsidRPr="00C9773D">
              <w:rPr>
                <w:lang w:val="it-IT"/>
              </w:rPr>
              <w:t>in applicazione di norme di legge, diverse dall'articolo 2120 codice civile, di contratti di lavoro, piani aziendali, ecc.</w:t>
            </w:r>
            <w:r>
              <w:rPr>
                <w:color w:val="000000"/>
                <w:lang w:val="it-IT"/>
              </w:rPr>
              <w:t>?</w:t>
            </w:r>
          </w:p>
        </w:tc>
        <w:tc>
          <w:tcPr>
            <w:tcW w:w="586" w:type="dxa"/>
            <w:tcMar>
              <w:left w:w="85" w:type="dxa"/>
              <w:right w:w="85" w:type="dxa"/>
            </w:tcMar>
            <w:vAlign w:val="center"/>
          </w:tcPr>
          <w:p w:rsidR="00AD4AE2" w:rsidRPr="00D32C6A"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CA1681">
              <w:fldChar w:fldCharType="separate"/>
            </w:r>
            <w:r>
              <w:fldChar w:fldCharType="end"/>
            </w:r>
          </w:p>
        </w:tc>
        <w:tc>
          <w:tcPr>
            <w:tcW w:w="573" w:type="dxa"/>
            <w:tcMar>
              <w:left w:w="108" w:type="dxa"/>
            </w:tcMar>
            <w:vAlign w:val="center"/>
          </w:tcPr>
          <w:p w:rsidR="00AD4AE2" w:rsidRPr="00D32C6A"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Pr="00D32C6A"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6A1A9F" w:rsidTr="000D7E0A">
        <w:trPr>
          <w:cantSplit/>
          <w:trHeight w:val="20"/>
        </w:trPr>
        <w:tc>
          <w:tcPr>
            <w:tcW w:w="680" w:type="dxa"/>
          </w:tcPr>
          <w:p w:rsidR="00AD4AE2" w:rsidRPr="00BD1173" w:rsidRDefault="00AD4AE2" w:rsidP="000D7E0A">
            <w:pPr>
              <w:jc w:val="center"/>
              <w:rPr>
                <w:b/>
                <w:lang w:val="it-IT"/>
              </w:rPr>
            </w:pPr>
            <w:r>
              <w:rPr>
                <w:b/>
                <w:lang w:val="it-IT"/>
              </w:rPr>
              <w:t>22)</w:t>
            </w:r>
          </w:p>
        </w:tc>
        <w:tc>
          <w:tcPr>
            <w:tcW w:w="852" w:type="dxa"/>
            <w:tcMar>
              <w:left w:w="108" w:type="dxa"/>
              <w:right w:w="0" w:type="dxa"/>
            </w:tcMar>
          </w:tcPr>
          <w:p w:rsidR="00AD4AE2" w:rsidRDefault="00AD4AE2" w:rsidP="000D7E0A">
            <w:pPr>
              <w:pStyle w:val="PrincCont"/>
              <w:jc w:val="left"/>
              <w:rPr>
                <w:lang w:val="it-IT"/>
              </w:rPr>
            </w:pPr>
            <w:r>
              <w:rPr>
                <w:lang w:val="it-IT"/>
              </w:rPr>
              <w:t>OIC 31.42</w:t>
            </w:r>
          </w:p>
        </w:tc>
        <w:tc>
          <w:tcPr>
            <w:tcW w:w="7059" w:type="dxa"/>
            <w:tcMar>
              <w:left w:w="108" w:type="dxa"/>
            </w:tcMar>
          </w:tcPr>
          <w:p w:rsidR="00AD4AE2" w:rsidRPr="00F25D44" w:rsidRDefault="00AD4AE2" w:rsidP="000D7E0A">
            <w:pPr>
              <w:keepNext/>
              <w:widowControl w:val="0"/>
              <w:spacing w:after="0" w:line="230" w:lineRule="exact"/>
              <w:rPr>
                <w:color w:val="000000"/>
                <w:lang w:val="it-IT"/>
              </w:rPr>
            </w:pPr>
            <w:r>
              <w:rPr>
                <w:color w:val="000000"/>
                <w:lang w:val="it-IT"/>
              </w:rPr>
              <w:t>Se la società ha stipulato una polizza per trasferire ad una compagnia di assicurazione l’intera obbligazione per la corresponsione dei trattamenti di quiescenza previsti dal piano, sono stati imputati al conto economico i soli premi annualmente pagati, in sostituzione degli accantonamenti ad un apposito fondo?</w:t>
            </w:r>
          </w:p>
        </w:tc>
        <w:tc>
          <w:tcPr>
            <w:tcW w:w="586" w:type="dxa"/>
            <w:tcMar>
              <w:left w:w="85" w:type="dxa"/>
              <w:right w:w="85" w:type="dxa"/>
            </w:tcMar>
            <w:vAlign w:val="center"/>
          </w:tcPr>
          <w:p w:rsidR="00AD4AE2" w:rsidRPr="00A671FA" w:rsidRDefault="00AD4AE2"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A671FA" w:rsidRDefault="00AD4AE2"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AD4AE2" w:rsidRPr="00A671FA" w:rsidRDefault="00AD4AE2"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AD4AE2" w:rsidRPr="00CC242B"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FA1AD4" w:rsidRDefault="00AD4AE2" w:rsidP="000D7E0A">
            <w:pPr>
              <w:pStyle w:val="Titolo4"/>
            </w:pPr>
            <w:r w:rsidRPr="00FA1AD4">
              <w:t>Utilizzazione dei fondi e fondi eccedenti</w:t>
            </w:r>
          </w:p>
        </w:tc>
        <w:tc>
          <w:tcPr>
            <w:tcW w:w="586" w:type="dxa"/>
            <w:tcMar>
              <w:left w:w="85" w:type="dxa"/>
              <w:right w:w="85" w:type="dxa"/>
            </w:tcMar>
            <w:vAlign w:val="center"/>
          </w:tcPr>
          <w:p w:rsidR="00AD4AE2" w:rsidRPr="00FF19F7" w:rsidRDefault="00AD4AE2" w:rsidP="000D7E0A">
            <w:pPr>
              <w:jc w:val="center"/>
              <w:rPr>
                <w:lang w:val="it-IT"/>
              </w:rPr>
            </w:pPr>
          </w:p>
        </w:tc>
        <w:tc>
          <w:tcPr>
            <w:tcW w:w="573" w:type="dxa"/>
            <w:tcMar>
              <w:left w:w="108" w:type="dxa"/>
            </w:tcMar>
            <w:vAlign w:val="center"/>
          </w:tcPr>
          <w:p w:rsidR="00AD4AE2" w:rsidRPr="00DE38DC" w:rsidRDefault="00AD4AE2" w:rsidP="000D7E0A">
            <w:pPr>
              <w:jc w:val="center"/>
              <w:rPr>
                <w:lang w:val="it-IT"/>
              </w:rPr>
            </w:pPr>
          </w:p>
        </w:tc>
        <w:tc>
          <w:tcPr>
            <w:tcW w:w="570" w:type="dxa"/>
            <w:tcMar>
              <w:left w:w="108" w:type="dxa"/>
            </w:tcMar>
            <w:vAlign w:val="center"/>
          </w:tcPr>
          <w:p w:rsidR="00AD4AE2" w:rsidRPr="00DE38DC" w:rsidRDefault="00AD4AE2" w:rsidP="000D7E0A">
            <w:pPr>
              <w:jc w:val="center"/>
              <w:rPr>
                <w:lang w:val="it-IT"/>
              </w:rPr>
            </w:pPr>
          </w:p>
        </w:tc>
      </w:tr>
      <w:tr w:rsidR="00AD4AE2" w:rsidRPr="004C7CBE" w:rsidTr="000D7E0A">
        <w:trPr>
          <w:cantSplit/>
          <w:trHeight w:val="20"/>
        </w:trPr>
        <w:tc>
          <w:tcPr>
            <w:tcW w:w="680" w:type="dxa"/>
          </w:tcPr>
          <w:p w:rsidR="00AD4AE2" w:rsidRPr="00BD1173" w:rsidRDefault="00AD4AE2" w:rsidP="000D7E0A">
            <w:pPr>
              <w:jc w:val="center"/>
              <w:rPr>
                <w:b/>
                <w:lang w:val="it-IT"/>
              </w:rPr>
            </w:pPr>
            <w:r>
              <w:rPr>
                <w:b/>
                <w:lang w:val="it-IT"/>
              </w:rPr>
              <w:t>23</w:t>
            </w:r>
            <w:r w:rsidRPr="00BD1173">
              <w:rPr>
                <w:b/>
                <w:lang w:val="it-IT"/>
              </w:rPr>
              <w:t>)</w:t>
            </w:r>
          </w:p>
        </w:tc>
        <w:tc>
          <w:tcPr>
            <w:tcW w:w="852" w:type="dxa"/>
            <w:tcMar>
              <w:left w:w="108" w:type="dxa"/>
              <w:right w:w="0" w:type="dxa"/>
            </w:tcMar>
          </w:tcPr>
          <w:p w:rsidR="00AD4AE2" w:rsidRPr="00BD1173" w:rsidRDefault="00AD4AE2" w:rsidP="000D7E0A">
            <w:pPr>
              <w:pStyle w:val="PrincCont"/>
              <w:jc w:val="left"/>
              <w:rPr>
                <w:b/>
                <w:lang w:val="it-IT"/>
              </w:rPr>
            </w:pPr>
            <w:r>
              <w:rPr>
                <w:lang w:val="it-IT"/>
              </w:rPr>
              <w:t>OIC 31.42</w:t>
            </w:r>
          </w:p>
        </w:tc>
        <w:tc>
          <w:tcPr>
            <w:tcW w:w="7059" w:type="dxa"/>
            <w:tcMar>
              <w:left w:w="108" w:type="dxa"/>
            </w:tcMar>
          </w:tcPr>
          <w:p w:rsidR="00AD4AE2" w:rsidRPr="00FA1AD4" w:rsidRDefault="00AD4AE2" w:rsidP="000D7E0A">
            <w:pPr>
              <w:keepNext/>
              <w:spacing w:line="230" w:lineRule="exact"/>
              <w:rPr>
                <w:lang w:val="it-IT"/>
              </w:rPr>
            </w:pPr>
            <w:r w:rsidRPr="00FA1AD4">
              <w:rPr>
                <w:color w:val="000000"/>
                <w:lang w:val="it-IT"/>
              </w:rPr>
              <w:t>L’utilizzazione del fondo è effettuata in modo diretto e solo per quelle</w:t>
            </w:r>
            <w:r>
              <w:rPr>
                <w:color w:val="000000"/>
                <w:lang w:val="it-IT"/>
              </w:rPr>
              <w:t xml:space="preserve"> </w:t>
            </w:r>
            <w:r w:rsidRPr="00FA1AD4">
              <w:rPr>
                <w:color w:val="000000"/>
                <w:lang w:val="it-IT"/>
              </w:rPr>
              <w:t>spese e passività per le quali lo stesso fondo era s</w:t>
            </w:r>
            <w:r>
              <w:rPr>
                <w:color w:val="000000"/>
                <w:lang w:val="it-IT"/>
              </w:rPr>
              <w:t>tato originariamente costituito?</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DE38DC" w:rsidRDefault="00AD4AE2"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AD4AE2" w:rsidRPr="00DE38DC" w:rsidRDefault="00AD4AE2"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AD4AE2" w:rsidRPr="00F0679B" w:rsidTr="000D7E0A">
        <w:trPr>
          <w:cantSplit/>
          <w:trHeight w:val="20"/>
        </w:trPr>
        <w:tc>
          <w:tcPr>
            <w:tcW w:w="680" w:type="dxa"/>
          </w:tcPr>
          <w:p w:rsidR="00AD4AE2" w:rsidRPr="00BD1173" w:rsidRDefault="00AD4AE2" w:rsidP="000D7E0A">
            <w:pPr>
              <w:jc w:val="center"/>
              <w:rPr>
                <w:b/>
                <w:lang w:val="it-IT"/>
              </w:rPr>
            </w:pPr>
            <w:r>
              <w:rPr>
                <w:b/>
                <w:lang w:val="it-IT"/>
              </w:rPr>
              <w:t>24</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31.45</w:t>
            </w:r>
          </w:p>
          <w:p w:rsidR="00AD4AE2" w:rsidRDefault="00AD4AE2" w:rsidP="000D7E0A">
            <w:pPr>
              <w:pStyle w:val="PrincCont"/>
              <w:jc w:val="left"/>
              <w:rPr>
                <w:lang w:val="it-IT"/>
              </w:rPr>
            </w:pPr>
          </w:p>
        </w:tc>
        <w:tc>
          <w:tcPr>
            <w:tcW w:w="7059" w:type="dxa"/>
            <w:tcMar>
              <w:left w:w="108" w:type="dxa"/>
            </w:tcMar>
          </w:tcPr>
          <w:p w:rsidR="00AD4AE2" w:rsidRPr="00793CE4" w:rsidRDefault="00AD4AE2" w:rsidP="000D7E0A">
            <w:pPr>
              <w:keepNext/>
              <w:spacing w:line="230" w:lineRule="exact"/>
              <w:rPr>
                <w:lang w:val="it-IT"/>
              </w:rPr>
            </w:pPr>
            <w:r w:rsidRPr="00FA1AD4">
              <w:rPr>
                <w:color w:val="000000"/>
                <w:lang w:val="it-IT"/>
              </w:rPr>
              <w:t>Nel caso in</w:t>
            </w:r>
            <w:r>
              <w:rPr>
                <w:color w:val="000000"/>
                <w:lang w:val="it-IT"/>
              </w:rPr>
              <w:t xml:space="preserve"> cui </w:t>
            </w:r>
            <w:r w:rsidRPr="00FA1AD4">
              <w:rPr>
                <w:color w:val="000000"/>
                <w:lang w:val="it-IT"/>
              </w:rPr>
              <w:t>il fondo iscritto non sia sufficiente a coprire</w:t>
            </w:r>
            <w:r>
              <w:rPr>
                <w:color w:val="000000"/>
                <w:lang w:val="it-IT"/>
              </w:rPr>
              <w:t xml:space="preserve"> </w:t>
            </w:r>
            <w:r w:rsidRPr="00FA1AD4">
              <w:rPr>
                <w:color w:val="000000"/>
                <w:lang w:val="it-IT"/>
              </w:rPr>
              <w:t>l’ammontare degli oneri effettivamente sostenuti, la differenza negativa è</w:t>
            </w:r>
            <w:r>
              <w:rPr>
                <w:color w:val="000000"/>
                <w:lang w:val="it-IT"/>
              </w:rPr>
              <w:t xml:space="preserve"> stata </w:t>
            </w:r>
            <w:r w:rsidRPr="00FA1AD4">
              <w:rPr>
                <w:color w:val="000000"/>
                <w:lang w:val="it-IT"/>
              </w:rPr>
              <w:t>rilevata nelle</w:t>
            </w:r>
            <w:r>
              <w:rPr>
                <w:color w:val="000000"/>
                <w:lang w:val="it-IT"/>
              </w:rPr>
              <w:t xml:space="preserve"> </w:t>
            </w:r>
            <w:r w:rsidRPr="00FA1AD4">
              <w:rPr>
                <w:color w:val="000000"/>
                <w:lang w:val="it-IT"/>
              </w:rPr>
              <w:t>voci di conto economico in coerenza con l’accantoname</w:t>
            </w:r>
            <w:r>
              <w:rPr>
                <w:color w:val="000000"/>
                <w:lang w:val="it-IT"/>
              </w:rPr>
              <w:t>nto originario?</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DE38DC" w:rsidRDefault="00AD4AE2"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AD4AE2" w:rsidRPr="00DE38DC" w:rsidRDefault="00AD4AE2"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AD4AE2" w:rsidRPr="004C7CBE" w:rsidTr="000D7E0A">
        <w:trPr>
          <w:cantSplit/>
          <w:trHeight w:val="20"/>
        </w:trPr>
        <w:tc>
          <w:tcPr>
            <w:tcW w:w="680" w:type="dxa"/>
          </w:tcPr>
          <w:p w:rsidR="00AD4AE2" w:rsidRPr="00BD1173" w:rsidRDefault="00AD4AE2" w:rsidP="000D7E0A">
            <w:pPr>
              <w:jc w:val="center"/>
              <w:rPr>
                <w:b/>
                <w:lang w:val="it-IT"/>
              </w:rPr>
            </w:pPr>
            <w:r>
              <w:rPr>
                <w:b/>
                <w:lang w:val="it-IT"/>
              </w:rPr>
              <w:t>25</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31.46  OIC 31.47</w:t>
            </w:r>
          </w:p>
          <w:p w:rsidR="00AD4AE2" w:rsidRDefault="00AD4AE2" w:rsidP="000D7E0A">
            <w:pPr>
              <w:pStyle w:val="PrincCont"/>
              <w:jc w:val="left"/>
              <w:rPr>
                <w:lang w:val="it-IT"/>
              </w:rPr>
            </w:pPr>
          </w:p>
        </w:tc>
        <w:tc>
          <w:tcPr>
            <w:tcW w:w="7059" w:type="dxa"/>
            <w:tcMar>
              <w:left w:w="108" w:type="dxa"/>
            </w:tcMar>
          </w:tcPr>
          <w:p w:rsidR="00AD4AE2" w:rsidRPr="00F25D44" w:rsidRDefault="00AD4AE2" w:rsidP="000D7E0A">
            <w:pPr>
              <w:keepNext/>
              <w:spacing w:line="230" w:lineRule="exact"/>
              <w:rPr>
                <w:lang w:val="it-IT"/>
              </w:rPr>
            </w:pPr>
            <w:r>
              <w:rPr>
                <w:color w:val="000000"/>
                <w:lang w:val="it-IT"/>
              </w:rPr>
              <w:t xml:space="preserve">Nel caso in cui </w:t>
            </w:r>
            <w:r w:rsidRPr="00F25D44">
              <w:rPr>
                <w:color w:val="000000"/>
                <w:lang w:val="it-IT"/>
              </w:rPr>
              <w:t>il fondo precedentemente iscritto risulti</w:t>
            </w:r>
            <w:r>
              <w:rPr>
                <w:color w:val="000000"/>
                <w:lang w:val="it-IT"/>
              </w:rPr>
              <w:t xml:space="preserve"> </w:t>
            </w:r>
            <w:r w:rsidRPr="00F25D44">
              <w:rPr>
                <w:color w:val="000000"/>
                <w:lang w:val="it-IT"/>
              </w:rPr>
              <w:t>parz</w:t>
            </w:r>
            <w:r>
              <w:rPr>
                <w:color w:val="000000"/>
                <w:lang w:val="it-IT"/>
              </w:rPr>
              <w:t xml:space="preserve">ialmente o totalmente eccedente, </w:t>
            </w:r>
            <w:r w:rsidRPr="00F25D44">
              <w:rPr>
                <w:color w:val="000000"/>
                <w:lang w:val="it-IT"/>
              </w:rPr>
              <w:t>l’eliminazione o riduzione del fondo eccedente è</w:t>
            </w:r>
            <w:r>
              <w:rPr>
                <w:color w:val="000000"/>
                <w:lang w:val="it-IT"/>
              </w:rPr>
              <w:t xml:space="preserve"> stata </w:t>
            </w:r>
            <w:r w:rsidRPr="00F25D44">
              <w:rPr>
                <w:color w:val="000000"/>
                <w:lang w:val="it-IT"/>
              </w:rPr>
              <w:t xml:space="preserve">contabilizzata fra i componenti positivi del reddito </w:t>
            </w:r>
            <w:r>
              <w:rPr>
                <w:color w:val="000000"/>
                <w:lang w:val="it-IT"/>
              </w:rPr>
              <w:t>della classe avente la stessa natura</w:t>
            </w:r>
            <w:r w:rsidRPr="00F25D44">
              <w:rPr>
                <w:color w:val="000000"/>
                <w:lang w:val="it-IT"/>
              </w:rPr>
              <w:t xml:space="preserve"> in cui era stato rilevato l’originario accantonamento</w:t>
            </w:r>
            <w:r>
              <w:rPr>
                <w:color w:val="000000"/>
                <w:lang w:val="it-IT"/>
              </w:rPr>
              <w:t>?</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DE38DC" w:rsidRDefault="00AD4AE2"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AD4AE2" w:rsidRPr="00DE38DC" w:rsidRDefault="00AD4AE2"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AD4AE2" w:rsidRPr="0000372D"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00372D" w:rsidRDefault="00AD4AE2" w:rsidP="000D7E0A">
            <w:pPr>
              <w:jc w:val="left"/>
              <w:rPr>
                <w:b/>
                <w:lang w:val="it-IT"/>
              </w:rPr>
            </w:pPr>
          </w:p>
        </w:tc>
        <w:tc>
          <w:tcPr>
            <w:tcW w:w="7059" w:type="dxa"/>
            <w:tcMar>
              <w:left w:w="108" w:type="dxa"/>
            </w:tcMar>
          </w:tcPr>
          <w:p w:rsidR="00AD4AE2" w:rsidRPr="008A26AB" w:rsidRDefault="00AD4AE2" w:rsidP="000D7E0A">
            <w:pPr>
              <w:pStyle w:val="Titolo3"/>
            </w:pPr>
            <w:r w:rsidRPr="008A26AB">
              <w:t>Attività ed utili potenziali</w:t>
            </w:r>
          </w:p>
        </w:tc>
        <w:tc>
          <w:tcPr>
            <w:tcW w:w="586" w:type="dxa"/>
            <w:tcMar>
              <w:left w:w="85" w:type="dxa"/>
              <w:right w:w="85" w:type="dxa"/>
            </w:tcMar>
            <w:vAlign w:val="center"/>
          </w:tcPr>
          <w:p w:rsidR="00AD4AE2" w:rsidRPr="0000372D" w:rsidRDefault="00AD4AE2" w:rsidP="000D7E0A">
            <w:pPr>
              <w:jc w:val="center"/>
              <w:rPr>
                <w:b/>
                <w:lang w:val="it-IT"/>
              </w:rPr>
            </w:pPr>
          </w:p>
        </w:tc>
        <w:tc>
          <w:tcPr>
            <w:tcW w:w="573" w:type="dxa"/>
            <w:tcMar>
              <w:left w:w="108" w:type="dxa"/>
            </w:tcMar>
            <w:vAlign w:val="center"/>
          </w:tcPr>
          <w:p w:rsidR="00AD4AE2" w:rsidRPr="0000372D" w:rsidRDefault="00AD4AE2" w:rsidP="000D7E0A">
            <w:pPr>
              <w:jc w:val="center"/>
              <w:rPr>
                <w:b/>
                <w:lang w:val="it-IT"/>
              </w:rPr>
            </w:pPr>
          </w:p>
        </w:tc>
        <w:tc>
          <w:tcPr>
            <w:tcW w:w="570" w:type="dxa"/>
            <w:tcMar>
              <w:left w:w="108" w:type="dxa"/>
            </w:tcMar>
            <w:vAlign w:val="center"/>
          </w:tcPr>
          <w:p w:rsidR="00AD4AE2" w:rsidRPr="0000372D" w:rsidRDefault="00AD4AE2" w:rsidP="000D7E0A">
            <w:pPr>
              <w:jc w:val="center"/>
              <w:rPr>
                <w:b/>
                <w:lang w:val="it-IT"/>
              </w:rPr>
            </w:pPr>
          </w:p>
        </w:tc>
      </w:tr>
      <w:tr w:rsidR="00AD4AE2" w:rsidRPr="0000372D" w:rsidTr="000D7E0A">
        <w:trPr>
          <w:cantSplit/>
          <w:trHeight w:val="20"/>
        </w:trPr>
        <w:tc>
          <w:tcPr>
            <w:tcW w:w="680" w:type="dxa"/>
          </w:tcPr>
          <w:p w:rsidR="00AD4AE2" w:rsidRPr="00BD1173" w:rsidRDefault="00AD4AE2" w:rsidP="000D7E0A">
            <w:pPr>
              <w:jc w:val="center"/>
              <w:rPr>
                <w:b/>
                <w:lang w:val="it-IT"/>
              </w:rPr>
            </w:pPr>
            <w:r>
              <w:rPr>
                <w:b/>
                <w:lang w:val="it-IT"/>
              </w:rPr>
              <w:t>26</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31.48</w:t>
            </w:r>
          </w:p>
        </w:tc>
        <w:tc>
          <w:tcPr>
            <w:tcW w:w="7059" w:type="dxa"/>
            <w:tcMar>
              <w:left w:w="108" w:type="dxa"/>
            </w:tcMar>
          </w:tcPr>
          <w:p w:rsidR="00AD4AE2" w:rsidRPr="0000372D" w:rsidRDefault="00AD4AE2" w:rsidP="000D7E0A">
            <w:pPr>
              <w:widowControl w:val="0"/>
              <w:spacing w:after="0" w:line="230" w:lineRule="exact"/>
              <w:rPr>
                <w:rFonts w:cs="Arial"/>
                <w:sz w:val="24"/>
                <w:szCs w:val="24"/>
                <w:lang w:val="it-IT"/>
              </w:rPr>
            </w:pPr>
            <w:r w:rsidRPr="0000372D">
              <w:rPr>
                <w:color w:val="000000"/>
                <w:lang w:val="it-IT"/>
              </w:rPr>
              <w:t xml:space="preserve">Le attività e gli utili potenziali, anche se probabili, non sono rilevati in bilancio per il rispetto del </w:t>
            </w:r>
            <w:r>
              <w:rPr>
                <w:color w:val="000000"/>
                <w:lang w:val="it-IT"/>
              </w:rPr>
              <w:t>principio della prudenza?</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00372D">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00372D">
              <w:rPr>
                <w:lang w:val="it-IT"/>
              </w:rP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00372D">
              <w:rPr>
                <w:lang w:val="it-IT"/>
              </w:rPr>
              <w:instrText xml:space="preserve"> FORMCHECKBOX </w:instrText>
            </w:r>
            <w:r w:rsidR="00CA1681">
              <w:fldChar w:fldCharType="separate"/>
            </w:r>
            <w:r>
              <w:fldChar w:fldCharType="end"/>
            </w:r>
          </w:p>
        </w:tc>
      </w:tr>
      <w:tr w:rsidR="00AD4AE2" w:rsidRPr="00705B57" w:rsidTr="000D7E0A">
        <w:trPr>
          <w:cantSplit/>
          <w:trHeight w:val="20"/>
        </w:trPr>
        <w:tc>
          <w:tcPr>
            <w:tcW w:w="680" w:type="dxa"/>
          </w:tcPr>
          <w:p w:rsidR="00AD4AE2" w:rsidRPr="00BD1173" w:rsidRDefault="00AD4AE2" w:rsidP="000D7E0A">
            <w:pPr>
              <w:jc w:val="center"/>
              <w:rPr>
                <w:b/>
                <w:lang w:val="it-IT"/>
              </w:rPr>
            </w:pPr>
            <w:r>
              <w:rPr>
                <w:b/>
                <w:lang w:val="it-IT"/>
              </w:rPr>
              <w:t>27</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31.48</w:t>
            </w:r>
          </w:p>
        </w:tc>
        <w:tc>
          <w:tcPr>
            <w:tcW w:w="7059" w:type="dxa"/>
            <w:tcMar>
              <w:left w:w="108" w:type="dxa"/>
            </w:tcMar>
          </w:tcPr>
          <w:p w:rsidR="00AD4AE2" w:rsidRPr="0000372D" w:rsidRDefault="00AD4AE2" w:rsidP="000D7E0A">
            <w:pPr>
              <w:widowControl w:val="0"/>
              <w:spacing w:after="0" w:line="230" w:lineRule="exact"/>
              <w:rPr>
                <w:color w:val="000000"/>
                <w:lang w:val="it-IT"/>
              </w:rPr>
            </w:pPr>
            <w:r w:rsidRPr="00E12662">
              <w:rPr>
                <w:color w:val="000000"/>
                <w:lang w:val="it-IT"/>
              </w:rPr>
              <w:t>Quando il realizzo dell’utile è certo e l’ammontare può essere determinato con un considerevole grado di accuratezza</w:t>
            </w:r>
            <w:r>
              <w:rPr>
                <w:color w:val="000000"/>
                <w:lang w:val="it-IT"/>
              </w:rPr>
              <w:t xml:space="preserve"> e quindi non costituisce una potenzialità</w:t>
            </w:r>
            <w:r w:rsidRPr="00E12662">
              <w:rPr>
                <w:color w:val="000000"/>
                <w:lang w:val="it-IT"/>
              </w:rPr>
              <w:t xml:space="preserve">, tale utile </w:t>
            </w:r>
            <w:r>
              <w:rPr>
                <w:color w:val="000000"/>
                <w:lang w:val="it-IT"/>
              </w:rPr>
              <w:t>è rilevato in bilancio?</w:t>
            </w:r>
          </w:p>
        </w:tc>
        <w:tc>
          <w:tcPr>
            <w:tcW w:w="586" w:type="dxa"/>
            <w:tcMar>
              <w:left w:w="85" w:type="dxa"/>
              <w:right w:w="85" w:type="dxa"/>
            </w:tcMar>
            <w:vAlign w:val="center"/>
          </w:tcPr>
          <w:p w:rsidR="00AD4AE2" w:rsidRPr="00705B57" w:rsidRDefault="00AD4AE2" w:rsidP="000D7E0A">
            <w:pPr>
              <w:jc w:val="center"/>
              <w:rPr>
                <w:lang w:val="it-IT"/>
              </w:rPr>
            </w:pPr>
            <w:r>
              <w:fldChar w:fldCharType="begin">
                <w:ffData>
                  <w:name w:val="Check4"/>
                  <w:enabled/>
                  <w:calcOnExit w:val="0"/>
                  <w:checkBox>
                    <w:sizeAuto/>
                    <w:default w:val="0"/>
                  </w:checkBox>
                </w:ffData>
              </w:fldChar>
            </w:r>
            <w:r w:rsidRPr="0000372D">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705B57" w:rsidRDefault="00AD4AE2" w:rsidP="000D7E0A">
            <w:pPr>
              <w:jc w:val="center"/>
              <w:rPr>
                <w:lang w:val="it-IT"/>
              </w:rPr>
            </w:pPr>
            <w:r>
              <w:fldChar w:fldCharType="begin">
                <w:ffData>
                  <w:name w:val="Check4"/>
                  <w:enabled/>
                  <w:calcOnExit w:val="0"/>
                  <w:checkBox>
                    <w:sizeAuto/>
                    <w:default w:val="0"/>
                  </w:checkBox>
                </w:ffData>
              </w:fldChar>
            </w:r>
            <w:r w:rsidRPr="0000372D">
              <w:rPr>
                <w:lang w:val="it-IT"/>
              </w:rPr>
              <w:instrText xml:space="preserve"> FORMCHECKBOX </w:instrText>
            </w:r>
            <w:r w:rsidR="00CA1681">
              <w:fldChar w:fldCharType="separate"/>
            </w:r>
            <w:r>
              <w:fldChar w:fldCharType="end"/>
            </w:r>
          </w:p>
        </w:tc>
        <w:tc>
          <w:tcPr>
            <w:tcW w:w="570" w:type="dxa"/>
            <w:tcMar>
              <w:left w:w="108" w:type="dxa"/>
            </w:tcMar>
            <w:vAlign w:val="center"/>
          </w:tcPr>
          <w:p w:rsidR="00AD4AE2" w:rsidRPr="00705B57" w:rsidRDefault="00AD4AE2" w:rsidP="000D7E0A">
            <w:pPr>
              <w:jc w:val="center"/>
              <w:rPr>
                <w:lang w:val="it-IT"/>
              </w:rPr>
            </w:pPr>
            <w:r>
              <w:fldChar w:fldCharType="begin">
                <w:ffData>
                  <w:name w:val="Check4"/>
                  <w:enabled/>
                  <w:calcOnExit w:val="0"/>
                  <w:checkBox>
                    <w:sizeAuto/>
                    <w:default w:val="0"/>
                  </w:checkBox>
                </w:ffData>
              </w:fldChar>
            </w:r>
            <w:r w:rsidRPr="0000372D">
              <w:rPr>
                <w:lang w:val="it-IT"/>
              </w:rPr>
              <w:instrText xml:space="preserve"> FORMCHECKBOX </w:instrText>
            </w:r>
            <w:r w:rsidR="00CA1681">
              <w:fldChar w:fldCharType="separate"/>
            </w:r>
            <w:r>
              <w:fldChar w:fldCharType="end"/>
            </w:r>
          </w:p>
        </w:tc>
      </w:tr>
      <w:tr w:rsidR="00AD4AE2" w:rsidRPr="0000372D" w:rsidTr="000D7E0A">
        <w:trPr>
          <w:cantSplit/>
          <w:trHeight w:val="20"/>
        </w:trPr>
        <w:tc>
          <w:tcPr>
            <w:tcW w:w="680" w:type="dxa"/>
          </w:tcPr>
          <w:p w:rsidR="00AD4AE2" w:rsidRPr="00BD1173" w:rsidRDefault="00AD4AE2" w:rsidP="000D7E0A">
            <w:pPr>
              <w:jc w:val="center"/>
              <w:rPr>
                <w:b/>
                <w:lang w:val="it-IT"/>
              </w:rPr>
            </w:pPr>
            <w:r>
              <w:rPr>
                <w:b/>
                <w:lang w:val="it-IT"/>
              </w:rPr>
              <w:t>28</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31.49</w:t>
            </w:r>
          </w:p>
        </w:tc>
        <w:tc>
          <w:tcPr>
            <w:tcW w:w="7059" w:type="dxa"/>
            <w:tcBorders>
              <w:bottom w:val="single" w:sz="4" w:space="0" w:color="auto"/>
            </w:tcBorders>
            <w:tcMar>
              <w:left w:w="108" w:type="dxa"/>
            </w:tcMar>
          </w:tcPr>
          <w:p w:rsidR="00AD4AE2" w:rsidRPr="008A5919" w:rsidRDefault="00AD4AE2" w:rsidP="000D7E0A">
            <w:pPr>
              <w:widowControl w:val="0"/>
              <w:spacing w:after="0" w:line="230" w:lineRule="exact"/>
              <w:rPr>
                <w:color w:val="000000"/>
                <w:lang w:val="it-IT"/>
              </w:rPr>
            </w:pPr>
            <w:r w:rsidRPr="00AF66EC">
              <w:rPr>
                <w:color w:val="000000"/>
                <w:lang w:val="it-IT"/>
              </w:rPr>
              <w:t xml:space="preserve">Se l’evento è probabile, sono stati evidenziati in </w:t>
            </w:r>
            <w:r>
              <w:rPr>
                <w:color w:val="000000"/>
                <w:lang w:val="it-IT"/>
              </w:rPr>
              <w:t>Nota Integrativa</w:t>
            </w:r>
            <w:r w:rsidRPr="00AF66EC">
              <w:rPr>
                <w:color w:val="000000"/>
                <w:lang w:val="it-IT"/>
              </w:rPr>
              <w:t xml:space="preserve"> l’esistenza di u</w:t>
            </w:r>
            <w:r>
              <w:rPr>
                <w:color w:val="000000"/>
                <w:lang w:val="it-IT"/>
              </w:rPr>
              <w:t xml:space="preserve">n’attività potenziale, </w:t>
            </w:r>
            <w:r w:rsidRPr="00AF66EC">
              <w:rPr>
                <w:color w:val="000000"/>
                <w:lang w:val="it-IT"/>
              </w:rPr>
              <w:t>la natura ed i fattori d’incertezza che hanno effetto</w:t>
            </w:r>
            <w:r w:rsidRPr="008A5919">
              <w:rPr>
                <w:color w:val="000000"/>
                <w:lang w:val="it-IT"/>
              </w:rPr>
              <w:t xml:space="preserve"> </w:t>
            </w:r>
            <w:r w:rsidRPr="00AF66EC">
              <w:rPr>
                <w:color w:val="000000"/>
                <w:lang w:val="it-IT"/>
              </w:rPr>
              <w:t>sul verificarsi dell’evento, la stima dell’ammontare se attuabile e l’impatto sul bilancio tenendo conto d</w:t>
            </w:r>
            <w:r>
              <w:rPr>
                <w:color w:val="000000"/>
                <w:lang w:val="it-IT"/>
              </w:rPr>
              <w:t>egli effetti fiscali</w:t>
            </w:r>
            <w:r w:rsidRPr="00AF66EC">
              <w:rPr>
                <w:color w:val="000000"/>
                <w:lang w:val="it-IT"/>
              </w:rPr>
              <w:t xml:space="preserve">? </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00372D">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00372D">
              <w:rPr>
                <w:lang w:val="it-IT"/>
              </w:rP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00372D">
              <w:rPr>
                <w:lang w:val="it-IT"/>
              </w:rPr>
              <w:instrText xml:space="preserve"> FORMCHECKBOX </w:instrText>
            </w:r>
            <w:r w:rsidR="00CA1681">
              <w:fldChar w:fldCharType="separate"/>
            </w:r>
            <w:r>
              <w:fldChar w:fldCharType="end"/>
            </w:r>
          </w:p>
        </w:tc>
      </w:tr>
      <w:tr w:rsidR="00AD4AE2" w:rsidRPr="0000372D"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8A26AB" w:rsidRDefault="00AD4AE2" w:rsidP="000D7E0A">
            <w:pPr>
              <w:pStyle w:val="Titolo3"/>
            </w:pPr>
            <w:r w:rsidRPr="008A26AB">
              <w:t>Nota Integrativa</w:t>
            </w:r>
          </w:p>
        </w:tc>
        <w:tc>
          <w:tcPr>
            <w:tcW w:w="586" w:type="dxa"/>
            <w:tcMar>
              <w:left w:w="85" w:type="dxa"/>
              <w:right w:w="85" w:type="dxa"/>
            </w:tcMar>
            <w:vAlign w:val="center"/>
          </w:tcPr>
          <w:p w:rsidR="00AD4AE2" w:rsidRPr="00B94B6C" w:rsidRDefault="00AD4AE2" w:rsidP="000D7E0A">
            <w:pPr>
              <w:jc w:val="center"/>
              <w:rPr>
                <w:lang w:val="it-IT"/>
              </w:rPr>
            </w:pPr>
          </w:p>
        </w:tc>
        <w:tc>
          <w:tcPr>
            <w:tcW w:w="573" w:type="dxa"/>
            <w:tcMar>
              <w:left w:w="108" w:type="dxa"/>
            </w:tcMar>
            <w:vAlign w:val="center"/>
          </w:tcPr>
          <w:p w:rsidR="00AD4AE2" w:rsidRPr="00B94B6C" w:rsidRDefault="00AD4AE2" w:rsidP="000D7E0A">
            <w:pPr>
              <w:jc w:val="center"/>
              <w:rPr>
                <w:lang w:val="it-IT"/>
              </w:rPr>
            </w:pPr>
          </w:p>
        </w:tc>
        <w:tc>
          <w:tcPr>
            <w:tcW w:w="570" w:type="dxa"/>
            <w:tcMar>
              <w:left w:w="108" w:type="dxa"/>
            </w:tcMar>
            <w:vAlign w:val="center"/>
          </w:tcPr>
          <w:p w:rsidR="00AD4AE2" w:rsidRPr="00B94B6C" w:rsidRDefault="00AD4AE2" w:rsidP="000D7E0A">
            <w:pPr>
              <w:jc w:val="center"/>
              <w:rPr>
                <w:lang w:val="it-IT"/>
              </w:rPr>
            </w:pPr>
          </w:p>
        </w:tc>
      </w:tr>
      <w:tr w:rsidR="00AD4AE2" w:rsidRPr="00CC242B"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vAlign w:val="center"/>
          </w:tcPr>
          <w:p w:rsidR="00AD4AE2" w:rsidRPr="00720DAE" w:rsidRDefault="00AD4AE2" w:rsidP="000D7E0A">
            <w:pPr>
              <w:pStyle w:val="Titolo4"/>
              <w:jc w:val="left"/>
            </w:pPr>
            <w:r w:rsidRPr="00720DAE">
              <w:t>Informazioni relative alle società che redigono il bilancio in forma ordinaria</w:t>
            </w:r>
          </w:p>
        </w:tc>
        <w:tc>
          <w:tcPr>
            <w:tcW w:w="586" w:type="dxa"/>
            <w:tcMar>
              <w:left w:w="85" w:type="dxa"/>
              <w:right w:w="85" w:type="dxa"/>
            </w:tcMar>
            <w:vAlign w:val="center"/>
          </w:tcPr>
          <w:p w:rsidR="00AD4AE2" w:rsidRPr="00B94B6C" w:rsidRDefault="00AD4AE2" w:rsidP="000D7E0A">
            <w:pPr>
              <w:jc w:val="center"/>
              <w:rPr>
                <w:lang w:val="it-IT"/>
              </w:rPr>
            </w:pPr>
          </w:p>
        </w:tc>
        <w:tc>
          <w:tcPr>
            <w:tcW w:w="573" w:type="dxa"/>
            <w:tcMar>
              <w:left w:w="108" w:type="dxa"/>
            </w:tcMar>
            <w:vAlign w:val="center"/>
          </w:tcPr>
          <w:p w:rsidR="00AD4AE2" w:rsidRPr="00B94B6C" w:rsidRDefault="00AD4AE2" w:rsidP="000D7E0A">
            <w:pPr>
              <w:jc w:val="center"/>
              <w:rPr>
                <w:lang w:val="it-IT"/>
              </w:rPr>
            </w:pPr>
          </w:p>
        </w:tc>
        <w:tc>
          <w:tcPr>
            <w:tcW w:w="570" w:type="dxa"/>
            <w:tcMar>
              <w:left w:w="108" w:type="dxa"/>
            </w:tcMar>
            <w:vAlign w:val="center"/>
          </w:tcPr>
          <w:p w:rsidR="00AD4AE2" w:rsidRPr="00B94B6C" w:rsidRDefault="00AD4AE2" w:rsidP="000D7E0A">
            <w:pPr>
              <w:jc w:val="center"/>
              <w:rPr>
                <w:lang w:val="it-IT"/>
              </w:rPr>
            </w:pPr>
          </w:p>
        </w:tc>
      </w:tr>
      <w:tr w:rsidR="00AD4AE2" w:rsidRPr="00CC242B" w:rsidTr="000D7E0A">
        <w:trPr>
          <w:cantSplit/>
          <w:trHeight w:val="20"/>
        </w:trPr>
        <w:tc>
          <w:tcPr>
            <w:tcW w:w="680" w:type="dxa"/>
          </w:tcPr>
          <w:p w:rsidR="00AD4AE2" w:rsidRPr="00BD1173" w:rsidRDefault="00AD4AE2" w:rsidP="000D7E0A">
            <w:pPr>
              <w:jc w:val="center"/>
              <w:rPr>
                <w:b/>
                <w:lang w:val="it-IT"/>
              </w:rPr>
            </w:pPr>
            <w:r>
              <w:rPr>
                <w:b/>
                <w:lang w:val="it-IT"/>
              </w:rPr>
              <w:t>29</w:t>
            </w:r>
            <w:r w:rsidRPr="00BD1173">
              <w:rPr>
                <w:b/>
                <w:lang w:val="it-IT"/>
              </w:rPr>
              <w:t>)</w:t>
            </w:r>
          </w:p>
        </w:tc>
        <w:tc>
          <w:tcPr>
            <w:tcW w:w="852" w:type="dxa"/>
            <w:tcMar>
              <w:left w:w="108" w:type="dxa"/>
              <w:right w:w="0" w:type="dxa"/>
            </w:tcMar>
          </w:tcPr>
          <w:p w:rsidR="00AD4AE2" w:rsidRPr="008A5919" w:rsidRDefault="00AD4AE2" w:rsidP="000D7E0A">
            <w:pPr>
              <w:pStyle w:val="PrincCont"/>
              <w:jc w:val="left"/>
            </w:pPr>
            <w:r>
              <w:t>Art</w:t>
            </w:r>
            <w:r w:rsidRPr="008A5919">
              <w:t>.2427, c.1, CC</w:t>
            </w:r>
            <w:r>
              <w:t xml:space="preserve">             OIC 31.49</w:t>
            </w:r>
          </w:p>
        </w:tc>
        <w:tc>
          <w:tcPr>
            <w:tcW w:w="7059" w:type="dxa"/>
            <w:tcMar>
              <w:left w:w="108" w:type="dxa"/>
            </w:tcMar>
            <w:vAlign w:val="center"/>
          </w:tcPr>
          <w:p w:rsidR="00AD4AE2" w:rsidRPr="00B94B6C" w:rsidRDefault="00AD4AE2" w:rsidP="000D7E0A">
            <w:pPr>
              <w:spacing w:line="240" w:lineRule="exact"/>
              <w:rPr>
                <w:rFonts w:ascii="Times New Roman" w:hAnsi="Times New Roman"/>
                <w:sz w:val="22"/>
                <w:szCs w:val="22"/>
                <w:lang w:val="it-IT" w:eastAsia="it-IT"/>
              </w:rPr>
            </w:pPr>
            <w:r w:rsidRPr="008A5919">
              <w:rPr>
                <w:lang w:val="it-IT"/>
              </w:rPr>
              <w:t>N</w:t>
            </w:r>
            <w:r w:rsidRPr="008516E9">
              <w:rPr>
                <w:lang w:val="it-IT"/>
              </w:rPr>
              <w:t xml:space="preserve">ella </w:t>
            </w:r>
            <w:r>
              <w:rPr>
                <w:lang w:val="it-IT"/>
              </w:rPr>
              <w:t>Nota Integrativa</w:t>
            </w:r>
            <w:r w:rsidRPr="008516E9">
              <w:rPr>
                <w:lang w:val="it-IT"/>
              </w:rPr>
              <w:t xml:space="preserve"> sono state fornite le seguenti informazioni:</w:t>
            </w:r>
          </w:p>
        </w:tc>
        <w:tc>
          <w:tcPr>
            <w:tcW w:w="586" w:type="dxa"/>
            <w:tcMar>
              <w:left w:w="85" w:type="dxa"/>
              <w:right w:w="85" w:type="dxa"/>
            </w:tcMar>
            <w:vAlign w:val="center"/>
          </w:tcPr>
          <w:p w:rsidR="00AD4AE2" w:rsidRPr="00FF19F7" w:rsidRDefault="00AD4AE2" w:rsidP="000D7E0A">
            <w:pPr>
              <w:jc w:val="center"/>
              <w:rPr>
                <w:lang w:val="it-IT"/>
              </w:rPr>
            </w:pPr>
          </w:p>
        </w:tc>
        <w:tc>
          <w:tcPr>
            <w:tcW w:w="573" w:type="dxa"/>
            <w:tcMar>
              <w:left w:w="108" w:type="dxa"/>
            </w:tcMar>
            <w:vAlign w:val="center"/>
          </w:tcPr>
          <w:p w:rsidR="00AD4AE2" w:rsidRPr="00FF19F7" w:rsidRDefault="00AD4AE2" w:rsidP="000D7E0A">
            <w:pPr>
              <w:jc w:val="center"/>
              <w:rPr>
                <w:lang w:val="it-IT"/>
              </w:rPr>
            </w:pPr>
          </w:p>
        </w:tc>
        <w:tc>
          <w:tcPr>
            <w:tcW w:w="570" w:type="dxa"/>
            <w:tcMar>
              <w:left w:w="108" w:type="dxa"/>
            </w:tcMar>
            <w:vAlign w:val="center"/>
          </w:tcPr>
          <w:p w:rsidR="00AD4AE2" w:rsidRPr="00FF19F7" w:rsidRDefault="00AD4AE2" w:rsidP="000D7E0A">
            <w:pPr>
              <w:jc w:val="center"/>
              <w:rPr>
                <w:lang w:val="it-IT"/>
              </w:rPr>
            </w:pPr>
          </w:p>
        </w:tc>
      </w:tr>
      <w:tr w:rsidR="00AD4AE2" w:rsidRPr="00EA46CB" w:rsidTr="000D7E0A">
        <w:trPr>
          <w:cantSplit/>
          <w:trHeight w:val="465"/>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r w:rsidRPr="008A5919">
              <w:rPr>
                <w:lang w:val="it-IT"/>
              </w:rPr>
              <w:t>Art.2427, c.1,</w:t>
            </w:r>
            <w:r>
              <w:rPr>
                <w:lang w:val="it-IT"/>
              </w:rPr>
              <w:t xml:space="preserve"> </w:t>
            </w:r>
            <w:r w:rsidRPr="008A5919">
              <w:rPr>
                <w:lang w:val="it-IT"/>
              </w:rPr>
              <w:t>n.</w:t>
            </w:r>
            <w:r>
              <w:rPr>
                <w:lang w:val="it-IT"/>
              </w:rPr>
              <w:t xml:space="preserve">1), CC </w:t>
            </w:r>
          </w:p>
        </w:tc>
        <w:tc>
          <w:tcPr>
            <w:tcW w:w="7059" w:type="dxa"/>
            <w:tcMar>
              <w:left w:w="108" w:type="dxa"/>
            </w:tcMar>
          </w:tcPr>
          <w:p w:rsidR="00AD4AE2" w:rsidRPr="008516E9" w:rsidRDefault="00AD4AE2" w:rsidP="000B29F2">
            <w:pPr>
              <w:pStyle w:val="rientrotrattinook"/>
              <w:tabs>
                <w:tab w:val="clear" w:pos="704"/>
                <w:tab w:val="num" w:pos="459"/>
              </w:tabs>
              <w:ind w:left="459" w:hanging="284"/>
            </w:pPr>
            <w:r w:rsidRPr="008516E9">
              <w:t>il criterio applicato nella valutazione, nelle rettifiche di valore e nella conversione dei valori non espressi all'origine in moneta avente corso legale nel</w:t>
            </w:r>
            <w:r>
              <w:t xml:space="preserve">lo Stato </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D32C6A">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D32C6A">
              <w:rPr>
                <w:lang w:val="it-IT"/>
              </w:rP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D32C6A">
              <w:rPr>
                <w:lang w:val="it-IT"/>
              </w:rPr>
              <w:instrText xml:space="preserve"> </w:instrText>
            </w:r>
            <w:r>
              <w:instrText xml:space="preserve">FORMCHECKBOX </w:instrText>
            </w:r>
            <w:r w:rsidR="00CA1681">
              <w:fldChar w:fldCharType="separate"/>
            </w:r>
            <w:r>
              <w:fldChar w:fldCharType="end"/>
            </w:r>
          </w:p>
        </w:tc>
      </w:tr>
      <w:tr w:rsidR="00AD4AE2" w:rsidRPr="004C7CBE"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8A5919" w:rsidRDefault="00AD4AE2" w:rsidP="000D7E0A">
            <w:pPr>
              <w:pStyle w:val="PrincCont"/>
              <w:jc w:val="left"/>
              <w:rPr>
                <w:lang w:val="it-IT"/>
              </w:rPr>
            </w:pPr>
            <w:r w:rsidRPr="008A5919">
              <w:rPr>
                <w:lang w:val="it-IT"/>
              </w:rPr>
              <w:t>Art.2427, c.1,</w:t>
            </w:r>
            <w:r>
              <w:rPr>
                <w:lang w:val="it-IT"/>
              </w:rPr>
              <w:t xml:space="preserve"> </w:t>
            </w:r>
            <w:r w:rsidRPr="008A5919">
              <w:rPr>
                <w:lang w:val="it-IT"/>
              </w:rPr>
              <w:t>n.</w:t>
            </w:r>
            <w:r>
              <w:rPr>
                <w:lang w:val="it-IT"/>
              </w:rPr>
              <w:t>4)</w:t>
            </w:r>
            <w:r w:rsidRPr="008A5919">
              <w:rPr>
                <w:lang w:val="it-IT"/>
              </w:rPr>
              <w:t xml:space="preserve">, CC </w:t>
            </w:r>
          </w:p>
          <w:p w:rsidR="00AD4AE2" w:rsidRDefault="00AD4AE2" w:rsidP="000D7E0A">
            <w:pPr>
              <w:pStyle w:val="PrincCont"/>
              <w:jc w:val="left"/>
              <w:rPr>
                <w:lang w:val="it-IT"/>
              </w:rPr>
            </w:pPr>
          </w:p>
        </w:tc>
        <w:tc>
          <w:tcPr>
            <w:tcW w:w="7059" w:type="dxa"/>
            <w:tcMar>
              <w:left w:w="108" w:type="dxa"/>
            </w:tcMar>
          </w:tcPr>
          <w:p w:rsidR="00AD4AE2" w:rsidRPr="0081642F" w:rsidRDefault="00AD4AE2" w:rsidP="000B29F2">
            <w:pPr>
              <w:pStyle w:val="rientrotrattinook"/>
              <w:tabs>
                <w:tab w:val="clear" w:pos="704"/>
                <w:tab w:val="num" w:pos="459"/>
              </w:tabs>
              <w:ind w:left="459" w:hanging="284"/>
              <w:rPr>
                <w:rFonts w:ascii="Times New Roman" w:hAnsi="Times New Roman"/>
                <w:sz w:val="22"/>
                <w:szCs w:val="22"/>
                <w:lang w:eastAsia="it-IT"/>
              </w:rPr>
            </w:pPr>
            <w:r w:rsidRPr="00F818D7">
              <w:t>le variazioni intervenute nella consistenza delle altre voci dell’attivo e del passivo;</w:t>
            </w:r>
            <w:r>
              <w:t xml:space="preserve"> in particolare (…) </w:t>
            </w:r>
            <w:r w:rsidRPr="00F818D7">
              <w:t>per i fondi e per il trattamento di fine rapporto, l</w:t>
            </w:r>
            <w:r>
              <w:t>a formazione e le utilizzazioni</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EA46CB"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r w:rsidRPr="008A5919">
              <w:rPr>
                <w:lang w:val="it-IT"/>
              </w:rPr>
              <w:t>Art.2427, c.1,</w:t>
            </w:r>
            <w:r>
              <w:rPr>
                <w:lang w:val="it-IT"/>
              </w:rPr>
              <w:t xml:space="preserve"> </w:t>
            </w:r>
            <w:r w:rsidRPr="008A5919">
              <w:rPr>
                <w:lang w:val="it-IT"/>
              </w:rPr>
              <w:t>n.</w:t>
            </w:r>
            <w:r>
              <w:rPr>
                <w:lang w:val="it-IT"/>
              </w:rPr>
              <w:t xml:space="preserve">7), CC </w:t>
            </w:r>
          </w:p>
        </w:tc>
        <w:tc>
          <w:tcPr>
            <w:tcW w:w="7059" w:type="dxa"/>
            <w:tcMar>
              <w:left w:w="108" w:type="dxa"/>
            </w:tcMar>
          </w:tcPr>
          <w:p w:rsidR="00AD4AE2" w:rsidRPr="008516E9" w:rsidRDefault="00AD4AE2" w:rsidP="000B29F2">
            <w:pPr>
              <w:pStyle w:val="rientrotrattinook"/>
              <w:tabs>
                <w:tab w:val="clear" w:pos="704"/>
                <w:tab w:val="num" w:pos="459"/>
              </w:tabs>
              <w:ind w:left="459" w:hanging="284"/>
              <w:rPr>
                <w:rFonts w:ascii="Times New Roman" w:hAnsi="Times New Roman"/>
                <w:sz w:val="22"/>
                <w:szCs w:val="22"/>
                <w:lang w:eastAsia="it-IT"/>
              </w:rPr>
            </w:pPr>
            <w:r w:rsidRPr="00F818D7">
              <w:t>l</w:t>
            </w:r>
            <w:r>
              <w:t>a composizione (…) della voce “A</w:t>
            </w:r>
            <w:r w:rsidRPr="00F818D7">
              <w:t>ltri fondi” dello stato patrimoniale; (…)</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A5919">
              <w:rPr>
                <w:lang w:val="it-IT"/>
              </w:rPr>
              <w:instrText xml:space="preserve"> FO</w:instrText>
            </w:r>
            <w:r>
              <w:instrText xml:space="preserve">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2B2EE2" w:rsidTr="000D7E0A">
        <w:trPr>
          <w:cantSplit/>
          <w:trHeight w:val="314"/>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pPr>
            <w:r w:rsidRPr="008A5919">
              <w:rPr>
                <w:lang w:val="it-IT"/>
              </w:rPr>
              <w:t>Art.2427, c.1,</w:t>
            </w:r>
            <w:r>
              <w:rPr>
                <w:lang w:val="it-IT"/>
              </w:rPr>
              <w:t xml:space="preserve"> </w:t>
            </w:r>
            <w:r w:rsidRPr="008A5919">
              <w:rPr>
                <w:lang w:val="it-IT"/>
              </w:rPr>
              <w:t>n.</w:t>
            </w:r>
            <w:r>
              <w:rPr>
                <w:lang w:val="it-IT"/>
              </w:rPr>
              <w:t>9),</w:t>
            </w:r>
            <w:r w:rsidRPr="008A5919">
              <w:rPr>
                <w:lang w:val="it-IT"/>
              </w:rPr>
              <w:t xml:space="preserve"> CC</w:t>
            </w:r>
          </w:p>
        </w:tc>
        <w:tc>
          <w:tcPr>
            <w:tcW w:w="7059" w:type="dxa"/>
            <w:tcMar>
              <w:left w:w="108" w:type="dxa"/>
            </w:tcMar>
            <w:vAlign w:val="center"/>
          </w:tcPr>
          <w:p w:rsidR="00AD4AE2" w:rsidRPr="00F818D7" w:rsidRDefault="00AD4AE2" w:rsidP="000B29F2">
            <w:pPr>
              <w:pStyle w:val="Puntoelenco"/>
              <w:tabs>
                <w:tab w:val="clear" w:pos="704"/>
                <w:tab w:val="num" w:pos="171"/>
                <w:tab w:val="num" w:pos="459"/>
              </w:tabs>
              <w:spacing w:line="230" w:lineRule="exact"/>
              <w:ind w:left="459" w:hanging="284"/>
            </w:pPr>
            <w:r>
              <w:t xml:space="preserve">l’importo complessivo (…) delle passività potenziali non risultanti dallo stato patrimoniale, (…) gli impegni esistenti in materia di trattamento di quiescenza e simili, (…) </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A5919">
              <w:rPr>
                <w:lang w:val="it-IT"/>
              </w:rPr>
              <w:instrText xml:space="preserve"> FO</w:instrText>
            </w:r>
            <w:r>
              <w:instrText xml:space="preserve">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CC242B" w:rsidTr="000D7E0A">
        <w:trPr>
          <w:cantSplit/>
          <w:trHeight w:val="314"/>
        </w:trPr>
        <w:tc>
          <w:tcPr>
            <w:tcW w:w="680" w:type="dxa"/>
          </w:tcPr>
          <w:p w:rsidR="00AD4AE2" w:rsidRPr="00BD1173" w:rsidRDefault="00AD4AE2" w:rsidP="000D7E0A">
            <w:pPr>
              <w:jc w:val="center"/>
              <w:rPr>
                <w:b/>
                <w:lang w:val="it-IT"/>
              </w:rPr>
            </w:pPr>
            <w:r>
              <w:rPr>
                <w:b/>
                <w:lang w:val="it-IT"/>
              </w:rPr>
              <w:t>30</w:t>
            </w:r>
            <w:r w:rsidRPr="00BD1173">
              <w:rPr>
                <w:b/>
                <w:lang w:val="it-IT"/>
              </w:rPr>
              <w:t>)</w:t>
            </w:r>
          </w:p>
        </w:tc>
        <w:tc>
          <w:tcPr>
            <w:tcW w:w="852" w:type="dxa"/>
            <w:tcMar>
              <w:left w:w="108" w:type="dxa"/>
              <w:right w:w="0" w:type="dxa"/>
            </w:tcMar>
          </w:tcPr>
          <w:p w:rsidR="00AD4AE2" w:rsidRPr="00EB358A" w:rsidRDefault="00AD4AE2" w:rsidP="000D7E0A">
            <w:pPr>
              <w:pStyle w:val="PrincCont"/>
              <w:jc w:val="left"/>
            </w:pPr>
            <w:r>
              <w:t>Art.2427 c.1, n</w:t>
            </w:r>
            <w:r w:rsidRPr="00EB358A">
              <w:t>.7</w:t>
            </w:r>
            <w:r>
              <w:t>)</w:t>
            </w:r>
            <w:r w:rsidRPr="00EB358A">
              <w:t>, CC</w:t>
            </w:r>
            <w:r>
              <w:t xml:space="preserve">     OIC 31.49</w:t>
            </w:r>
          </w:p>
        </w:tc>
        <w:tc>
          <w:tcPr>
            <w:tcW w:w="7059" w:type="dxa"/>
            <w:tcMar>
              <w:left w:w="108" w:type="dxa"/>
            </w:tcMar>
            <w:vAlign w:val="center"/>
          </w:tcPr>
          <w:p w:rsidR="00AD4AE2" w:rsidRPr="00907D1A" w:rsidRDefault="00AD4AE2" w:rsidP="000D7E0A">
            <w:pPr>
              <w:spacing w:line="230" w:lineRule="exact"/>
              <w:rPr>
                <w:lang w:val="it-IT"/>
              </w:rPr>
            </w:pPr>
            <w:r w:rsidRPr="00F818D7">
              <w:rPr>
                <w:color w:val="000000"/>
                <w:lang w:val="it-IT"/>
              </w:rPr>
              <w:t>Nell’</w:t>
            </w:r>
            <w:r>
              <w:rPr>
                <w:color w:val="000000"/>
                <w:lang w:val="it-IT"/>
              </w:rPr>
              <w:t xml:space="preserve"> </w:t>
            </w:r>
            <w:r w:rsidRPr="00F818D7">
              <w:rPr>
                <w:color w:val="000000"/>
                <w:lang w:val="it-IT"/>
              </w:rPr>
              <w:t xml:space="preserve">illustrazione della composizione della </w:t>
            </w:r>
            <w:r w:rsidRPr="008A5919">
              <w:rPr>
                <w:color w:val="000000"/>
                <w:lang w:val="it-IT"/>
              </w:rPr>
              <w:t>voce “</w:t>
            </w:r>
            <w:r>
              <w:rPr>
                <w:rFonts w:cs="Arial"/>
                <w:iCs/>
                <w:color w:val="000000"/>
                <w:lang w:val="it-IT"/>
              </w:rPr>
              <w:t>a</w:t>
            </w:r>
            <w:r w:rsidRPr="008A5919">
              <w:rPr>
                <w:rFonts w:cs="Arial"/>
                <w:iCs/>
                <w:color w:val="000000"/>
                <w:lang w:val="it-IT"/>
              </w:rPr>
              <w:t>ltri fondi</w:t>
            </w:r>
            <w:r w:rsidRPr="008A5919">
              <w:rPr>
                <w:color w:val="000000"/>
                <w:lang w:val="it-IT"/>
              </w:rPr>
              <w:t>” la</w:t>
            </w:r>
            <w:r w:rsidRPr="00F818D7">
              <w:rPr>
                <w:color w:val="000000"/>
                <w:lang w:val="it-IT"/>
              </w:rPr>
              <w:t xml:space="preserve"> </w:t>
            </w:r>
            <w:r>
              <w:rPr>
                <w:color w:val="000000"/>
                <w:lang w:val="it-IT"/>
              </w:rPr>
              <w:t>Nota Integrativa</w:t>
            </w:r>
            <w:r w:rsidRPr="00F818D7">
              <w:rPr>
                <w:color w:val="000000"/>
                <w:lang w:val="it-IT"/>
              </w:rPr>
              <w:t xml:space="preserve"> fornisce</w:t>
            </w:r>
            <w:r>
              <w:rPr>
                <w:lang w:val="it-IT"/>
              </w:rPr>
              <w:t>:</w:t>
            </w:r>
          </w:p>
        </w:tc>
        <w:tc>
          <w:tcPr>
            <w:tcW w:w="586" w:type="dxa"/>
            <w:tcMar>
              <w:left w:w="85" w:type="dxa"/>
              <w:right w:w="85" w:type="dxa"/>
            </w:tcMar>
            <w:vAlign w:val="center"/>
          </w:tcPr>
          <w:p w:rsidR="00AD4AE2" w:rsidRPr="00A32A16" w:rsidRDefault="00AD4AE2" w:rsidP="000D7E0A">
            <w:pPr>
              <w:jc w:val="center"/>
              <w:rPr>
                <w:lang w:val="it-IT"/>
              </w:rPr>
            </w:pPr>
          </w:p>
        </w:tc>
        <w:tc>
          <w:tcPr>
            <w:tcW w:w="573" w:type="dxa"/>
            <w:tcMar>
              <w:left w:w="108" w:type="dxa"/>
            </w:tcMar>
            <w:vAlign w:val="center"/>
          </w:tcPr>
          <w:p w:rsidR="00AD4AE2" w:rsidRPr="00A32A16" w:rsidRDefault="00AD4AE2" w:rsidP="000D7E0A">
            <w:pPr>
              <w:rPr>
                <w:lang w:val="it-IT"/>
              </w:rPr>
            </w:pPr>
          </w:p>
        </w:tc>
        <w:tc>
          <w:tcPr>
            <w:tcW w:w="570" w:type="dxa"/>
            <w:tcMar>
              <w:left w:w="108" w:type="dxa"/>
            </w:tcMar>
            <w:vAlign w:val="center"/>
          </w:tcPr>
          <w:p w:rsidR="00AD4AE2" w:rsidRPr="00A32A16" w:rsidRDefault="00AD4AE2" w:rsidP="000D7E0A">
            <w:pPr>
              <w:rPr>
                <w:lang w:val="it-IT"/>
              </w:rPr>
            </w:pPr>
          </w:p>
        </w:tc>
      </w:tr>
      <w:tr w:rsidR="00AD4AE2" w:rsidRPr="008516E9" w:rsidTr="000D7E0A">
        <w:trPr>
          <w:cantSplit/>
          <w:trHeight w:val="314"/>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907D1A" w:rsidRDefault="00AD4AE2" w:rsidP="000B29F2">
            <w:pPr>
              <w:pStyle w:val="rientrotrattinook"/>
              <w:tabs>
                <w:tab w:val="clear" w:pos="704"/>
              </w:tabs>
              <w:ind w:left="459" w:hanging="284"/>
            </w:pPr>
            <w:r w:rsidRPr="0055161B">
              <w:t>la descrizione della situazione d’incertezza e l’indicazione dell’ammontare dello stanziamento, relativo alla perdita con</w:t>
            </w:r>
            <w:r>
              <w:t>nessa da considerarsi probabile</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AD4AE2" w:rsidRPr="008516E9" w:rsidTr="000D7E0A">
        <w:trPr>
          <w:cantSplit/>
          <w:trHeight w:val="314"/>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907D1A" w:rsidRDefault="00AD4AE2" w:rsidP="000B29F2">
            <w:pPr>
              <w:pStyle w:val="rientrotrattinook"/>
              <w:tabs>
                <w:tab w:val="clear" w:pos="704"/>
              </w:tabs>
              <w:ind w:left="459" w:hanging="284"/>
            </w:pPr>
            <w:r w:rsidRPr="0055161B">
              <w:t>l’evidenza del rischio di ulteriori perdite, se vi è la possibilità di subire perdite addizionali rispetto agli ammontar</w:t>
            </w:r>
            <w:r>
              <w:t>i degli accantonamenti iscritti</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AD4AE2" w:rsidRPr="008516E9" w:rsidTr="000D7E0A">
        <w:trPr>
          <w:cantSplit/>
          <w:trHeight w:val="314"/>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907D1A" w:rsidRDefault="00AD4AE2" w:rsidP="000B29F2">
            <w:pPr>
              <w:pStyle w:val="rientrotrattinook"/>
              <w:tabs>
                <w:tab w:val="clear" w:pos="704"/>
              </w:tabs>
              <w:ind w:left="459" w:hanging="284"/>
            </w:pPr>
            <w:r w:rsidRPr="0055161B">
              <w:t>nel caso di passività potenziali ritenute probabili, ma il cui ammontare non può essere determinato se non in modo aleatorio ed arbitrario, l’indicazione che l’evento è probabile e le stesse informazioni da fornire nel caso di passività potenziali riten</w:t>
            </w:r>
            <w:r>
              <w:t>ute possibili</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AD4AE2" w:rsidRPr="004C7CBE" w:rsidTr="000D7E0A">
        <w:trPr>
          <w:cantSplit/>
          <w:trHeight w:val="314"/>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216D43" w:rsidRDefault="00AD4AE2" w:rsidP="000B29F2">
            <w:pPr>
              <w:pStyle w:val="rientrotrattinook"/>
              <w:tabs>
                <w:tab w:val="clear" w:pos="704"/>
              </w:tabs>
              <w:ind w:left="459" w:hanging="284"/>
            </w:pPr>
            <w:r w:rsidRPr="0055161B">
              <w:t>l’evidenza della possibilità di sostenere perdite connesse alla mancata assicurazione di rischi solitamente assicurati (ad esempio, quando l’impresa decide di auto assicurarsi), ovvero nel caso di i</w:t>
            </w:r>
            <w:r>
              <w:t>ndisponibilità di assicurazione</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AD4AE2" w:rsidRPr="004C7CBE" w:rsidTr="000D7E0A">
        <w:trPr>
          <w:cantSplit/>
          <w:trHeight w:val="314"/>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216D43" w:rsidRDefault="00AD4AE2" w:rsidP="000B29F2">
            <w:pPr>
              <w:pStyle w:val="rientrotrattinook"/>
              <w:tabs>
                <w:tab w:val="clear" w:pos="704"/>
              </w:tabs>
              <w:ind w:left="459" w:hanging="284"/>
            </w:pPr>
            <w:r w:rsidRPr="0055161B">
              <w:t>l’evidenza delle variazioni dei fondi relative ad accantonamenti che hanno trovato contropartita in voci del conto economi</w:t>
            </w:r>
            <w:r>
              <w:t>co diverse dalle voci B12 e B13?</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AD4AE2" w:rsidRPr="00CC242B" w:rsidTr="000D7E0A">
        <w:trPr>
          <w:cantSplit/>
          <w:trHeight w:val="314"/>
        </w:trPr>
        <w:tc>
          <w:tcPr>
            <w:tcW w:w="680" w:type="dxa"/>
          </w:tcPr>
          <w:p w:rsidR="00AD4AE2" w:rsidRPr="00BD1173" w:rsidRDefault="00AD4AE2" w:rsidP="000D7E0A">
            <w:pPr>
              <w:jc w:val="center"/>
              <w:rPr>
                <w:b/>
                <w:lang w:val="it-IT"/>
              </w:rPr>
            </w:pPr>
            <w:r>
              <w:rPr>
                <w:b/>
                <w:lang w:val="it-IT"/>
              </w:rPr>
              <w:t>31</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31.49</w:t>
            </w:r>
          </w:p>
        </w:tc>
        <w:tc>
          <w:tcPr>
            <w:tcW w:w="7059" w:type="dxa"/>
            <w:tcMar>
              <w:left w:w="108" w:type="dxa"/>
            </w:tcMar>
          </w:tcPr>
          <w:p w:rsidR="00AD4AE2" w:rsidRPr="0055161B" w:rsidRDefault="00AD4AE2" w:rsidP="000D7E0A">
            <w:pPr>
              <w:spacing w:line="230" w:lineRule="exact"/>
              <w:rPr>
                <w:lang w:val="it-IT"/>
              </w:rPr>
            </w:pPr>
            <w:r w:rsidRPr="0055161B">
              <w:rPr>
                <w:lang w:val="it-IT"/>
              </w:rPr>
              <w:t xml:space="preserve">Nel caso di passività potenziali ritenute possibili, sono indicate in </w:t>
            </w:r>
            <w:r>
              <w:rPr>
                <w:lang w:val="it-IT"/>
              </w:rPr>
              <w:t>Nota Integrativa</w:t>
            </w:r>
            <w:r w:rsidRPr="0055161B">
              <w:rPr>
                <w:lang w:val="it-IT"/>
              </w:rPr>
              <w:t xml:space="preserve"> le seguenti</w:t>
            </w:r>
            <w:r>
              <w:rPr>
                <w:lang w:val="it-IT"/>
              </w:rPr>
              <w:t xml:space="preserve"> </w:t>
            </w:r>
            <w:r w:rsidRPr="0055161B">
              <w:rPr>
                <w:lang w:val="it-IT"/>
              </w:rPr>
              <w:t>informazioni:</w:t>
            </w:r>
          </w:p>
        </w:tc>
        <w:tc>
          <w:tcPr>
            <w:tcW w:w="586" w:type="dxa"/>
            <w:tcMar>
              <w:left w:w="85" w:type="dxa"/>
              <w:right w:w="85" w:type="dxa"/>
            </w:tcMar>
            <w:vAlign w:val="center"/>
          </w:tcPr>
          <w:p w:rsidR="00AD4AE2" w:rsidRPr="00A32A16" w:rsidRDefault="00AD4AE2" w:rsidP="000D7E0A">
            <w:pPr>
              <w:jc w:val="center"/>
              <w:rPr>
                <w:lang w:val="it-IT"/>
              </w:rPr>
            </w:pPr>
          </w:p>
        </w:tc>
        <w:tc>
          <w:tcPr>
            <w:tcW w:w="573" w:type="dxa"/>
            <w:tcMar>
              <w:left w:w="108" w:type="dxa"/>
            </w:tcMar>
            <w:vAlign w:val="center"/>
          </w:tcPr>
          <w:p w:rsidR="00AD4AE2" w:rsidRPr="00A32A16" w:rsidRDefault="00AD4AE2" w:rsidP="000D7E0A">
            <w:pPr>
              <w:jc w:val="center"/>
              <w:rPr>
                <w:lang w:val="it-IT"/>
              </w:rPr>
            </w:pPr>
          </w:p>
        </w:tc>
        <w:tc>
          <w:tcPr>
            <w:tcW w:w="570" w:type="dxa"/>
            <w:tcMar>
              <w:left w:w="108" w:type="dxa"/>
            </w:tcMar>
            <w:vAlign w:val="center"/>
          </w:tcPr>
          <w:p w:rsidR="00AD4AE2" w:rsidRPr="00A32A16" w:rsidRDefault="00AD4AE2" w:rsidP="000D7E0A">
            <w:pPr>
              <w:jc w:val="center"/>
              <w:rPr>
                <w:lang w:val="it-IT"/>
              </w:rPr>
            </w:pPr>
          </w:p>
        </w:tc>
      </w:tr>
      <w:tr w:rsidR="00AD4AE2" w:rsidRPr="008516E9" w:rsidTr="000D7E0A">
        <w:trPr>
          <w:cantSplit/>
          <w:trHeight w:val="288"/>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907D1A" w:rsidRDefault="00AD4AE2" w:rsidP="000B29F2">
            <w:pPr>
              <w:pStyle w:val="rientrotrattinook"/>
              <w:tabs>
                <w:tab w:val="clear" w:pos="704"/>
              </w:tabs>
              <w:ind w:left="459" w:hanging="284"/>
            </w:pPr>
            <w:r w:rsidRPr="004814BD">
              <w:t>la situazione d’incertezza, ove rilevante, che procure</w:t>
            </w:r>
            <w:r>
              <w:t>rebbe la perdita</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AD4AE2" w:rsidRPr="008516E9" w:rsidTr="000D7E0A">
        <w:trPr>
          <w:cantSplit/>
          <w:trHeight w:val="279"/>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216D43" w:rsidRDefault="00AD4AE2" w:rsidP="000B29F2">
            <w:pPr>
              <w:pStyle w:val="rientrotrattinook"/>
              <w:tabs>
                <w:tab w:val="clear" w:pos="704"/>
              </w:tabs>
              <w:ind w:left="459" w:hanging="284"/>
            </w:pPr>
            <w:r>
              <w:t>l’importo stimato o l’indicazione che lo stesso non può essere determinato</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AD4AE2" w:rsidRPr="004814BD"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8A0F36" w:rsidRDefault="00AD4AE2" w:rsidP="000D7E0A">
            <w:pPr>
              <w:pStyle w:val="PrincCont"/>
              <w:jc w:val="left"/>
              <w:rPr>
                <w:lang w:val="it-IT"/>
              </w:rPr>
            </w:pPr>
          </w:p>
        </w:tc>
        <w:tc>
          <w:tcPr>
            <w:tcW w:w="7059" w:type="dxa"/>
            <w:tcMar>
              <w:left w:w="108" w:type="dxa"/>
            </w:tcMar>
          </w:tcPr>
          <w:p w:rsidR="00AD4AE2" w:rsidRPr="004814BD" w:rsidRDefault="00AD4AE2" w:rsidP="000B29F2">
            <w:pPr>
              <w:pStyle w:val="rientrotrattinook"/>
              <w:tabs>
                <w:tab w:val="clear" w:pos="704"/>
              </w:tabs>
              <w:ind w:left="459" w:hanging="284"/>
            </w:pPr>
            <w:r w:rsidRPr="004814BD">
              <w:t>altri po</w:t>
            </w:r>
            <w:r>
              <w:t>ssibili effetti se non evidenti</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AD4AE2" w:rsidRPr="004814BD"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8A0F36" w:rsidRDefault="00AD4AE2" w:rsidP="000D7E0A">
            <w:pPr>
              <w:pStyle w:val="PrincCont"/>
              <w:jc w:val="left"/>
              <w:rPr>
                <w:lang w:val="it-IT"/>
              </w:rPr>
            </w:pPr>
          </w:p>
        </w:tc>
        <w:tc>
          <w:tcPr>
            <w:tcW w:w="7059" w:type="dxa"/>
            <w:tcMar>
              <w:left w:w="108" w:type="dxa"/>
            </w:tcMar>
          </w:tcPr>
          <w:p w:rsidR="00AD4AE2" w:rsidRPr="00BF7CB6" w:rsidRDefault="00AD4AE2" w:rsidP="000B29F2">
            <w:pPr>
              <w:pStyle w:val="rientrotrattinook"/>
              <w:tabs>
                <w:tab w:val="clear" w:pos="704"/>
              </w:tabs>
              <w:ind w:left="459" w:hanging="284"/>
            </w:pPr>
            <w:r w:rsidRPr="00BF7CB6">
              <w:t>l’indicazione del parere della direzione dell’impresa e dei suoi consulenti legali ed altri esperti, ove disponibili?</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AD4AE2" w:rsidRPr="00CC242B"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0A64DC" w:rsidRDefault="00AD4AE2" w:rsidP="000D7E0A">
            <w:pPr>
              <w:pStyle w:val="PrincCont"/>
              <w:jc w:val="left"/>
              <w:rPr>
                <w:lang w:val="it-IT"/>
              </w:rPr>
            </w:pPr>
            <w:r w:rsidRPr="00AF1CAD">
              <w:rPr>
                <w:lang w:val="it-IT"/>
              </w:rPr>
              <w:t>OIC 31.49</w:t>
            </w:r>
          </w:p>
        </w:tc>
        <w:tc>
          <w:tcPr>
            <w:tcW w:w="7059" w:type="dxa"/>
            <w:tcMar>
              <w:left w:w="108" w:type="dxa"/>
            </w:tcMar>
          </w:tcPr>
          <w:p w:rsidR="00AD4AE2" w:rsidRPr="00BF7CB6" w:rsidRDefault="00AD4AE2" w:rsidP="000D7E0A">
            <w:pPr>
              <w:pStyle w:val="Commentiriquadro"/>
            </w:pPr>
            <w:r w:rsidRPr="00BF7CB6">
              <w:t>Tale informativa non è richiesta per le passività potenziali ritenute remote</w:t>
            </w:r>
          </w:p>
        </w:tc>
        <w:tc>
          <w:tcPr>
            <w:tcW w:w="586" w:type="dxa"/>
            <w:tcMar>
              <w:left w:w="85" w:type="dxa"/>
              <w:right w:w="85" w:type="dxa"/>
            </w:tcMar>
            <w:vAlign w:val="center"/>
          </w:tcPr>
          <w:p w:rsidR="00AD4AE2" w:rsidRPr="000A64DC" w:rsidRDefault="00AD4AE2" w:rsidP="000D7E0A">
            <w:pPr>
              <w:jc w:val="center"/>
              <w:rPr>
                <w:lang w:val="it-IT"/>
              </w:rPr>
            </w:pPr>
          </w:p>
        </w:tc>
        <w:tc>
          <w:tcPr>
            <w:tcW w:w="573" w:type="dxa"/>
            <w:tcMar>
              <w:left w:w="108" w:type="dxa"/>
            </w:tcMar>
            <w:vAlign w:val="center"/>
          </w:tcPr>
          <w:p w:rsidR="00AD4AE2" w:rsidRPr="000A64DC" w:rsidRDefault="00AD4AE2" w:rsidP="000D7E0A">
            <w:pPr>
              <w:jc w:val="center"/>
              <w:rPr>
                <w:lang w:val="it-IT"/>
              </w:rPr>
            </w:pPr>
          </w:p>
        </w:tc>
        <w:tc>
          <w:tcPr>
            <w:tcW w:w="570" w:type="dxa"/>
            <w:tcMar>
              <w:left w:w="108" w:type="dxa"/>
            </w:tcMar>
            <w:vAlign w:val="center"/>
          </w:tcPr>
          <w:p w:rsidR="00AD4AE2" w:rsidRPr="000A64DC" w:rsidRDefault="00AD4AE2" w:rsidP="000D7E0A">
            <w:pPr>
              <w:jc w:val="center"/>
              <w:rPr>
                <w:lang w:val="it-IT"/>
              </w:rPr>
            </w:pPr>
          </w:p>
        </w:tc>
      </w:tr>
      <w:tr w:rsidR="00AD4AE2" w:rsidRPr="000A64DC" w:rsidTr="000D7E0A">
        <w:trPr>
          <w:cantSplit/>
          <w:trHeight w:val="20"/>
        </w:trPr>
        <w:tc>
          <w:tcPr>
            <w:tcW w:w="680" w:type="dxa"/>
          </w:tcPr>
          <w:p w:rsidR="00AD4AE2" w:rsidRPr="00BD1173" w:rsidRDefault="00AD4AE2" w:rsidP="000D7E0A">
            <w:pPr>
              <w:jc w:val="center"/>
              <w:rPr>
                <w:b/>
                <w:lang w:val="it-IT"/>
              </w:rPr>
            </w:pPr>
            <w:r>
              <w:rPr>
                <w:b/>
                <w:lang w:val="it-IT"/>
              </w:rPr>
              <w:t>32)</w:t>
            </w:r>
          </w:p>
        </w:tc>
        <w:tc>
          <w:tcPr>
            <w:tcW w:w="852" w:type="dxa"/>
            <w:tcMar>
              <w:left w:w="108" w:type="dxa"/>
              <w:right w:w="0" w:type="dxa"/>
            </w:tcMar>
          </w:tcPr>
          <w:p w:rsidR="00AD4AE2" w:rsidRPr="000A64DC" w:rsidRDefault="00AD4AE2" w:rsidP="000D7E0A">
            <w:pPr>
              <w:pStyle w:val="PrincCont"/>
              <w:jc w:val="left"/>
              <w:rPr>
                <w:lang w:val="it-IT"/>
              </w:rPr>
            </w:pPr>
            <w:r w:rsidRPr="00AF1CAD">
              <w:rPr>
                <w:lang w:val="it-IT"/>
              </w:rPr>
              <w:t>OIC 31.49</w:t>
            </w:r>
          </w:p>
        </w:tc>
        <w:tc>
          <w:tcPr>
            <w:tcW w:w="7059" w:type="dxa"/>
            <w:tcMar>
              <w:left w:w="108" w:type="dxa"/>
            </w:tcMar>
          </w:tcPr>
          <w:p w:rsidR="00AD4AE2" w:rsidRPr="000A64DC" w:rsidRDefault="00AD4AE2" w:rsidP="00840B93">
            <w:pPr>
              <w:pStyle w:val="rientrotrattinook"/>
              <w:numPr>
                <w:ilvl w:val="0"/>
                <w:numId w:val="0"/>
              </w:numPr>
              <w:rPr>
                <w:sz w:val="16"/>
                <w:szCs w:val="16"/>
                <w:highlight w:val="red"/>
              </w:rPr>
            </w:pPr>
            <w:r>
              <w:t xml:space="preserve">L'esistenza di un’attività potenziale, e quindi la natura ed i fattori d'incertezza che hanno effetto sul verificarsi dell'evento, la stima dell'ammontare se attendibile e l'impatto sul bilancio tenendo conto degli effetti fiscali, sono stati evidenziati in Nota Integrativa, se l'evento è probabile? </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6231AE">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6231AE">
              <w:rPr>
                <w:lang w:val="it-IT"/>
              </w:rP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6231AE">
              <w:rPr>
                <w:lang w:val="it-IT"/>
              </w:rPr>
              <w:instrText xml:space="preserve"> FORMCHECKBOX </w:instrText>
            </w:r>
            <w:r w:rsidR="00CA1681">
              <w:fldChar w:fldCharType="separate"/>
            </w:r>
            <w:r>
              <w:fldChar w:fldCharType="end"/>
            </w:r>
          </w:p>
        </w:tc>
      </w:tr>
      <w:tr w:rsidR="00AD4AE2" w:rsidRPr="00CC242B" w:rsidTr="000D7E0A">
        <w:trPr>
          <w:cantSplit/>
          <w:trHeight w:val="20"/>
        </w:trPr>
        <w:tc>
          <w:tcPr>
            <w:tcW w:w="680" w:type="dxa"/>
          </w:tcPr>
          <w:p w:rsidR="00AD4AE2" w:rsidRPr="007A41C5" w:rsidRDefault="00AD4AE2" w:rsidP="000D7E0A">
            <w:pPr>
              <w:jc w:val="center"/>
              <w:rPr>
                <w:b/>
                <w:lang w:val="it-IT"/>
              </w:rPr>
            </w:pPr>
          </w:p>
          <w:p w:rsidR="00AD4AE2" w:rsidRPr="007A41C5" w:rsidRDefault="00AD4AE2" w:rsidP="000D7E0A">
            <w:pPr>
              <w:jc w:val="center"/>
              <w:rPr>
                <w:b/>
                <w:lang w:val="it-IT"/>
              </w:rPr>
            </w:pPr>
          </w:p>
          <w:p w:rsidR="00AD4AE2" w:rsidRPr="007A41C5" w:rsidRDefault="00AD4AE2" w:rsidP="000D7E0A">
            <w:pPr>
              <w:jc w:val="center"/>
              <w:rPr>
                <w:b/>
                <w:lang w:val="it-IT"/>
              </w:rPr>
            </w:pPr>
          </w:p>
          <w:p w:rsidR="00AD4AE2" w:rsidRPr="007A41C5" w:rsidRDefault="00AD4AE2" w:rsidP="000D7E0A">
            <w:pPr>
              <w:jc w:val="center"/>
              <w:rPr>
                <w:b/>
                <w:lang w:val="it-IT"/>
              </w:rPr>
            </w:pPr>
          </w:p>
        </w:tc>
        <w:tc>
          <w:tcPr>
            <w:tcW w:w="852" w:type="dxa"/>
            <w:tcMar>
              <w:left w:w="108" w:type="dxa"/>
              <w:right w:w="0" w:type="dxa"/>
            </w:tcMar>
          </w:tcPr>
          <w:p w:rsidR="00AD4AE2" w:rsidRPr="00321DBA" w:rsidRDefault="00AD4AE2" w:rsidP="000D7E0A">
            <w:pPr>
              <w:pStyle w:val="PrincCont"/>
              <w:jc w:val="left"/>
              <w:rPr>
                <w:lang w:val="it-IT"/>
              </w:rPr>
            </w:pPr>
            <w:r w:rsidRPr="00321DBA">
              <w:rPr>
                <w:lang w:val="it-IT"/>
              </w:rPr>
              <w:t>Art. 2423 CC</w:t>
            </w:r>
            <w:r>
              <w:rPr>
                <w:lang w:val="it-IT"/>
              </w:rPr>
              <w:t>, c.4              OIC 31.50</w:t>
            </w:r>
          </w:p>
        </w:tc>
        <w:tc>
          <w:tcPr>
            <w:tcW w:w="7059" w:type="dxa"/>
            <w:tcMar>
              <w:left w:w="108" w:type="dxa"/>
            </w:tcMar>
          </w:tcPr>
          <w:p w:rsidR="00AD4AE2" w:rsidRPr="00321DBA" w:rsidRDefault="00AD4AE2" w:rsidP="000D7E0A">
            <w:pPr>
              <w:pStyle w:val="Commentiriquadro"/>
            </w:pPr>
            <w:r w:rsidRPr="00321DBA">
              <w:t xml:space="preserve">Non occorre rispettare gli obblighi in tema di rilevazione, valutazione, presentazione e informativa quando la loro osservanza abbia effetti irrilevanti al fine di dare una rappresentazione veritiera e corretta. </w:t>
            </w:r>
            <w:r>
              <w:t>R</w:t>
            </w:r>
            <w:r w:rsidRPr="00321DBA">
              <w:t xml:space="preserve">imangono fermi gli obblighi in tema di regolare tenuta delle scritture contabili. Le società illustrano nella </w:t>
            </w:r>
            <w:r>
              <w:t>Nota Integrativa</w:t>
            </w:r>
            <w:r w:rsidRPr="00321DBA">
              <w:t xml:space="preserve"> i criteri con i quali hanno dato attuaz</w:t>
            </w:r>
            <w:r>
              <w:t>ione alla presente disposizione.</w:t>
            </w:r>
          </w:p>
        </w:tc>
        <w:tc>
          <w:tcPr>
            <w:tcW w:w="586" w:type="dxa"/>
            <w:tcMar>
              <w:left w:w="85" w:type="dxa"/>
              <w:right w:w="85" w:type="dxa"/>
            </w:tcMar>
            <w:vAlign w:val="center"/>
          </w:tcPr>
          <w:p w:rsidR="00AD4AE2" w:rsidRPr="00732336" w:rsidRDefault="00AD4AE2" w:rsidP="000D7E0A">
            <w:pPr>
              <w:jc w:val="center"/>
              <w:rPr>
                <w:lang w:val="it-IT"/>
              </w:rPr>
            </w:pPr>
          </w:p>
          <w:p w:rsidR="00AD4AE2" w:rsidRPr="00732336" w:rsidRDefault="00AD4AE2" w:rsidP="000D7E0A">
            <w:pPr>
              <w:jc w:val="center"/>
              <w:rPr>
                <w:lang w:val="it-IT"/>
              </w:rPr>
            </w:pPr>
          </w:p>
          <w:p w:rsidR="00AD4AE2" w:rsidRPr="00732336" w:rsidRDefault="00AD4AE2" w:rsidP="000D7E0A">
            <w:pPr>
              <w:rPr>
                <w:lang w:val="it-IT"/>
              </w:rPr>
            </w:pPr>
          </w:p>
        </w:tc>
        <w:tc>
          <w:tcPr>
            <w:tcW w:w="573" w:type="dxa"/>
            <w:tcMar>
              <w:left w:w="108" w:type="dxa"/>
            </w:tcMar>
            <w:vAlign w:val="center"/>
          </w:tcPr>
          <w:p w:rsidR="00AD4AE2" w:rsidRPr="00AD4AE2" w:rsidRDefault="00AD4AE2" w:rsidP="000D7E0A">
            <w:pPr>
              <w:jc w:val="center"/>
              <w:rPr>
                <w:lang w:val="it-IT"/>
              </w:rPr>
            </w:pPr>
          </w:p>
          <w:p w:rsidR="00AD4AE2" w:rsidRPr="00AD4AE2" w:rsidRDefault="00AD4AE2" w:rsidP="000D7E0A">
            <w:pPr>
              <w:rPr>
                <w:lang w:val="it-IT"/>
              </w:rPr>
            </w:pPr>
          </w:p>
          <w:p w:rsidR="00AD4AE2" w:rsidRPr="00732336" w:rsidRDefault="00AD4AE2" w:rsidP="000D7E0A">
            <w:pPr>
              <w:jc w:val="center"/>
              <w:rPr>
                <w:lang w:val="it-IT"/>
              </w:rPr>
            </w:pPr>
          </w:p>
        </w:tc>
        <w:tc>
          <w:tcPr>
            <w:tcW w:w="570" w:type="dxa"/>
            <w:tcMar>
              <w:left w:w="108" w:type="dxa"/>
            </w:tcMar>
            <w:vAlign w:val="center"/>
          </w:tcPr>
          <w:p w:rsidR="00AD4AE2" w:rsidRPr="00AD4AE2" w:rsidRDefault="00AD4AE2" w:rsidP="000D7E0A">
            <w:pPr>
              <w:jc w:val="center"/>
              <w:rPr>
                <w:lang w:val="it-IT"/>
              </w:rPr>
            </w:pPr>
          </w:p>
          <w:p w:rsidR="00AD4AE2" w:rsidRPr="00AD4AE2" w:rsidRDefault="00AD4AE2" w:rsidP="000D7E0A">
            <w:pPr>
              <w:jc w:val="center"/>
              <w:rPr>
                <w:lang w:val="it-IT"/>
              </w:rPr>
            </w:pPr>
          </w:p>
          <w:p w:rsidR="00AD4AE2" w:rsidRPr="00732336" w:rsidRDefault="00AD4AE2" w:rsidP="000D7E0A">
            <w:pPr>
              <w:jc w:val="center"/>
              <w:rPr>
                <w:lang w:val="it-IT"/>
              </w:rPr>
            </w:pPr>
          </w:p>
        </w:tc>
      </w:tr>
      <w:tr w:rsidR="00AD4AE2" w:rsidRPr="00CC242B" w:rsidTr="000D7E0A">
        <w:trPr>
          <w:cantSplit/>
          <w:trHeight w:val="20"/>
        </w:trPr>
        <w:tc>
          <w:tcPr>
            <w:tcW w:w="680" w:type="dxa"/>
            <w:vAlign w:val="center"/>
          </w:tcPr>
          <w:p w:rsidR="00AD4AE2" w:rsidRPr="00BD1173" w:rsidRDefault="00AD4AE2" w:rsidP="000D7E0A">
            <w:pPr>
              <w:jc w:val="center"/>
              <w:rPr>
                <w:b/>
                <w:lang w:val="it-IT"/>
              </w:rPr>
            </w:pPr>
          </w:p>
        </w:tc>
        <w:tc>
          <w:tcPr>
            <w:tcW w:w="852" w:type="dxa"/>
            <w:tcMar>
              <w:left w:w="108" w:type="dxa"/>
              <w:right w:w="0" w:type="dxa"/>
            </w:tcMar>
            <w:vAlign w:val="center"/>
          </w:tcPr>
          <w:p w:rsidR="00AD4AE2" w:rsidRPr="0004794D" w:rsidRDefault="00AD4AE2" w:rsidP="000D7E0A">
            <w:pPr>
              <w:jc w:val="left"/>
              <w:rPr>
                <w:b/>
                <w:lang w:val="it-IT"/>
              </w:rPr>
            </w:pPr>
          </w:p>
        </w:tc>
        <w:tc>
          <w:tcPr>
            <w:tcW w:w="7059" w:type="dxa"/>
            <w:tcMar>
              <w:left w:w="108" w:type="dxa"/>
            </w:tcMar>
            <w:vAlign w:val="center"/>
          </w:tcPr>
          <w:p w:rsidR="00AD4AE2" w:rsidRPr="00CF6B66" w:rsidRDefault="00AD4AE2" w:rsidP="000D7E0A">
            <w:pPr>
              <w:pStyle w:val="Titolo4"/>
              <w:jc w:val="left"/>
              <w:rPr>
                <w:highlight w:val="yellow"/>
              </w:rPr>
            </w:pPr>
            <w:r w:rsidRPr="006A4EB5">
              <w:t>Informazioni relative alle società che redigono il bilancio in forma abbreviata</w:t>
            </w:r>
          </w:p>
        </w:tc>
        <w:tc>
          <w:tcPr>
            <w:tcW w:w="586" w:type="dxa"/>
            <w:tcMar>
              <w:left w:w="85" w:type="dxa"/>
              <w:right w:w="85" w:type="dxa"/>
            </w:tcMar>
            <w:vAlign w:val="center"/>
          </w:tcPr>
          <w:p w:rsidR="00AD4AE2" w:rsidRPr="0004794D" w:rsidRDefault="00AD4AE2" w:rsidP="000D7E0A">
            <w:pPr>
              <w:jc w:val="left"/>
              <w:rPr>
                <w:b/>
                <w:lang w:val="it-IT"/>
              </w:rPr>
            </w:pPr>
          </w:p>
        </w:tc>
        <w:tc>
          <w:tcPr>
            <w:tcW w:w="573" w:type="dxa"/>
            <w:tcMar>
              <w:left w:w="108" w:type="dxa"/>
            </w:tcMar>
            <w:vAlign w:val="center"/>
          </w:tcPr>
          <w:p w:rsidR="00AD4AE2" w:rsidRPr="0004794D" w:rsidRDefault="00AD4AE2" w:rsidP="000D7E0A">
            <w:pPr>
              <w:jc w:val="left"/>
              <w:rPr>
                <w:b/>
                <w:lang w:val="it-IT"/>
              </w:rPr>
            </w:pPr>
          </w:p>
        </w:tc>
        <w:tc>
          <w:tcPr>
            <w:tcW w:w="570" w:type="dxa"/>
            <w:tcMar>
              <w:left w:w="108" w:type="dxa"/>
            </w:tcMar>
            <w:vAlign w:val="center"/>
          </w:tcPr>
          <w:p w:rsidR="00AD4AE2" w:rsidRPr="0004794D" w:rsidRDefault="00AD4AE2" w:rsidP="000D7E0A">
            <w:pPr>
              <w:jc w:val="left"/>
              <w:rPr>
                <w:b/>
                <w:lang w:val="it-IT"/>
              </w:rPr>
            </w:pPr>
          </w:p>
        </w:tc>
      </w:tr>
      <w:tr w:rsidR="00AD4AE2" w:rsidRPr="00CC242B" w:rsidTr="000D7E0A">
        <w:trPr>
          <w:cantSplit/>
          <w:trHeight w:val="20"/>
        </w:trPr>
        <w:tc>
          <w:tcPr>
            <w:tcW w:w="680" w:type="dxa"/>
          </w:tcPr>
          <w:p w:rsidR="00AD4AE2" w:rsidRPr="000A64DC" w:rsidRDefault="00AD4AE2" w:rsidP="000D7E0A">
            <w:pPr>
              <w:jc w:val="center"/>
              <w:rPr>
                <w:lang w:val="it-IT"/>
              </w:rPr>
            </w:pPr>
            <w:r>
              <w:rPr>
                <w:b/>
                <w:lang w:val="it-IT"/>
              </w:rPr>
              <w:t>33</w:t>
            </w:r>
            <w:r w:rsidRPr="00F259CC">
              <w:rPr>
                <w:b/>
                <w:lang w:val="it-IT"/>
              </w:rPr>
              <w:t>)</w:t>
            </w:r>
          </w:p>
        </w:tc>
        <w:tc>
          <w:tcPr>
            <w:tcW w:w="852" w:type="dxa"/>
            <w:tcMar>
              <w:left w:w="108" w:type="dxa"/>
              <w:right w:w="0" w:type="dxa"/>
            </w:tcMar>
            <w:vAlign w:val="center"/>
          </w:tcPr>
          <w:p w:rsidR="00AD4AE2" w:rsidRPr="002C29A3" w:rsidRDefault="00AD4AE2" w:rsidP="000D7E0A">
            <w:pPr>
              <w:pStyle w:val="PrincCont"/>
              <w:jc w:val="left"/>
            </w:pPr>
            <w:r w:rsidRPr="002C29A3">
              <w:t>Art. 2435-bis CC</w:t>
            </w:r>
            <w:r>
              <w:t xml:space="preserve">             OIC 31.51</w:t>
            </w:r>
          </w:p>
        </w:tc>
        <w:tc>
          <w:tcPr>
            <w:tcW w:w="7059" w:type="dxa"/>
            <w:tcMar>
              <w:left w:w="108" w:type="dxa"/>
            </w:tcMar>
            <w:vAlign w:val="center"/>
          </w:tcPr>
          <w:p w:rsidR="00AD4AE2" w:rsidRPr="00372174" w:rsidRDefault="00AD4AE2" w:rsidP="000D7E0A">
            <w:pPr>
              <w:pStyle w:val="Titolo1"/>
              <w:keepNext w:val="0"/>
              <w:jc w:val="both"/>
              <w:rPr>
                <w:rFonts w:cs="Arial"/>
                <w:b w:val="0"/>
                <w:caps w:val="0"/>
                <w:color w:val="000000"/>
                <w:kern w:val="0"/>
                <w:sz w:val="20"/>
                <w:szCs w:val="20"/>
              </w:rPr>
            </w:pPr>
            <w:r w:rsidRPr="00372174">
              <w:rPr>
                <w:rFonts w:cs="Arial"/>
                <w:b w:val="0"/>
                <w:caps w:val="0"/>
                <w:color w:val="000000"/>
                <w:kern w:val="0"/>
                <w:sz w:val="20"/>
                <w:szCs w:val="20"/>
              </w:rPr>
              <w:t xml:space="preserve">Con riferimento ai fondi, nella </w:t>
            </w:r>
            <w:r>
              <w:rPr>
                <w:rFonts w:cs="Arial"/>
                <w:b w:val="0"/>
                <w:caps w:val="0"/>
                <w:color w:val="000000"/>
                <w:kern w:val="0"/>
                <w:sz w:val="20"/>
                <w:szCs w:val="20"/>
              </w:rPr>
              <w:t>Nota Integrativa</w:t>
            </w:r>
            <w:r w:rsidRPr="00372174">
              <w:rPr>
                <w:rFonts w:cs="Arial"/>
                <w:b w:val="0"/>
                <w:caps w:val="0"/>
                <w:color w:val="000000"/>
                <w:kern w:val="0"/>
                <w:sz w:val="20"/>
                <w:szCs w:val="20"/>
              </w:rPr>
              <w:t xml:space="preserve"> del </w:t>
            </w:r>
            <w:r w:rsidRPr="008B6F54">
              <w:rPr>
                <w:rFonts w:cs="Arial"/>
                <w:b w:val="0"/>
                <w:caps w:val="0"/>
                <w:color w:val="000000"/>
                <w:kern w:val="0"/>
                <w:sz w:val="20"/>
                <w:szCs w:val="20"/>
              </w:rPr>
              <w:t>bilancio in forma abbreviata sono fornite le seguenti informazioni:</w:t>
            </w:r>
          </w:p>
        </w:tc>
        <w:tc>
          <w:tcPr>
            <w:tcW w:w="586" w:type="dxa"/>
            <w:tcMar>
              <w:left w:w="85" w:type="dxa"/>
              <w:right w:w="85" w:type="dxa"/>
            </w:tcMar>
            <w:vAlign w:val="center"/>
          </w:tcPr>
          <w:p w:rsidR="00AD4AE2" w:rsidRPr="0004794D" w:rsidRDefault="00AD4AE2" w:rsidP="000D7E0A">
            <w:pPr>
              <w:jc w:val="left"/>
              <w:rPr>
                <w:b/>
                <w:lang w:val="it-IT"/>
              </w:rPr>
            </w:pPr>
          </w:p>
        </w:tc>
        <w:tc>
          <w:tcPr>
            <w:tcW w:w="573" w:type="dxa"/>
            <w:tcMar>
              <w:left w:w="108" w:type="dxa"/>
            </w:tcMar>
            <w:vAlign w:val="center"/>
          </w:tcPr>
          <w:p w:rsidR="00AD4AE2" w:rsidRPr="0004794D" w:rsidRDefault="00AD4AE2" w:rsidP="000D7E0A">
            <w:pPr>
              <w:jc w:val="left"/>
              <w:rPr>
                <w:b/>
                <w:lang w:val="it-IT"/>
              </w:rPr>
            </w:pPr>
          </w:p>
        </w:tc>
        <w:tc>
          <w:tcPr>
            <w:tcW w:w="570" w:type="dxa"/>
            <w:tcMar>
              <w:left w:w="108" w:type="dxa"/>
            </w:tcMar>
            <w:vAlign w:val="center"/>
          </w:tcPr>
          <w:p w:rsidR="00AD4AE2" w:rsidRPr="0004794D" w:rsidRDefault="00AD4AE2" w:rsidP="000D7E0A">
            <w:pPr>
              <w:jc w:val="left"/>
              <w:rPr>
                <w:b/>
                <w:lang w:val="it-IT"/>
              </w:rPr>
            </w:pPr>
          </w:p>
        </w:tc>
      </w:tr>
      <w:tr w:rsidR="00AD4AE2" w:rsidRPr="00D32C6A"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r w:rsidRPr="002C29A3">
              <w:t>Art. 2435-bis CC</w:t>
            </w:r>
            <w:r>
              <w:t xml:space="preserve">             OIC 31.51</w:t>
            </w:r>
          </w:p>
        </w:tc>
        <w:tc>
          <w:tcPr>
            <w:tcW w:w="7059" w:type="dxa"/>
            <w:tcMar>
              <w:left w:w="108" w:type="dxa"/>
            </w:tcMar>
          </w:tcPr>
          <w:p w:rsidR="00AD4AE2" w:rsidRPr="000B29F2" w:rsidRDefault="00AD4AE2" w:rsidP="000B29F2">
            <w:pPr>
              <w:pStyle w:val="rientrotrattinook"/>
              <w:tabs>
                <w:tab w:val="clear" w:pos="704"/>
              </w:tabs>
              <w:ind w:left="459" w:hanging="284"/>
              <w:rPr>
                <w:i/>
              </w:rPr>
            </w:pPr>
            <w:r w:rsidRPr="000B29F2">
              <w:rPr>
                <w:i/>
              </w:rPr>
              <w:t xml:space="preserve">il criterio applicato nella valutazione, nelle rettifiche di valore e nella conversione dei valori non espressi all'origine in moneta avente corso legale nello Stato </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D32C6A">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D32C6A">
              <w:rPr>
                <w:lang w:val="it-IT"/>
              </w:rP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D32C6A">
              <w:rPr>
                <w:lang w:val="it-IT"/>
              </w:rPr>
              <w:instrText xml:space="preserve"> </w:instrText>
            </w:r>
            <w:r>
              <w:instrText xml:space="preserve">FORMCHECKBOX </w:instrText>
            </w:r>
            <w:r w:rsidR="00CA1681">
              <w:fldChar w:fldCharType="separate"/>
            </w:r>
            <w:r>
              <w:fldChar w:fldCharType="end"/>
            </w:r>
          </w:p>
        </w:tc>
      </w:tr>
      <w:tr w:rsidR="00AD4AE2" w:rsidRPr="00D32C6A"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pPr>
            <w:r w:rsidRPr="002C29A3">
              <w:t>Art. 2435-bis CC</w:t>
            </w:r>
            <w:r>
              <w:t xml:space="preserve">             OIC 31.51</w:t>
            </w:r>
          </w:p>
        </w:tc>
        <w:tc>
          <w:tcPr>
            <w:tcW w:w="7059" w:type="dxa"/>
            <w:tcMar>
              <w:left w:w="108" w:type="dxa"/>
            </w:tcMar>
            <w:vAlign w:val="center"/>
          </w:tcPr>
          <w:p w:rsidR="00AD4AE2" w:rsidRPr="000B29F2" w:rsidRDefault="00AD4AE2" w:rsidP="000B29F2">
            <w:pPr>
              <w:pStyle w:val="Puntoelenco"/>
              <w:tabs>
                <w:tab w:val="clear" w:pos="704"/>
                <w:tab w:val="num" w:pos="171"/>
              </w:tabs>
              <w:spacing w:line="240" w:lineRule="exact"/>
              <w:ind w:left="459" w:hanging="284"/>
              <w:rPr>
                <w:i/>
              </w:rPr>
            </w:pPr>
            <w:r w:rsidRPr="000B29F2">
              <w:rPr>
                <w:i/>
              </w:rPr>
              <w:t xml:space="preserve">l’importo complessivo (…) delle passività potenziali non risultanti dallo stato patrimoniale, (…) gli impegni esistenti in materia di trattamento di quiescenza e simili, (…) </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A5919">
              <w:rPr>
                <w:lang w:val="it-IT"/>
              </w:rPr>
              <w:instrText xml:space="preserve"> FO</w:instrText>
            </w:r>
            <w:r>
              <w:instrText xml:space="preserve">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CC242B" w:rsidTr="000D7E0A">
        <w:trPr>
          <w:cantSplit/>
          <w:trHeight w:val="981"/>
        </w:trPr>
        <w:tc>
          <w:tcPr>
            <w:tcW w:w="680" w:type="dxa"/>
          </w:tcPr>
          <w:p w:rsidR="00AD4AE2" w:rsidRPr="007A41C5" w:rsidRDefault="00AD4AE2" w:rsidP="000D7E0A">
            <w:pPr>
              <w:jc w:val="center"/>
              <w:rPr>
                <w:b/>
                <w:lang w:val="it-IT"/>
              </w:rPr>
            </w:pPr>
          </w:p>
          <w:p w:rsidR="00AD4AE2" w:rsidRPr="007A41C5" w:rsidRDefault="00AD4AE2" w:rsidP="000D7E0A">
            <w:pPr>
              <w:jc w:val="center"/>
              <w:rPr>
                <w:b/>
                <w:lang w:val="it-IT"/>
              </w:rPr>
            </w:pPr>
          </w:p>
          <w:p w:rsidR="00AD4AE2" w:rsidRPr="007A41C5" w:rsidRDefault="00AD4AE2" w:rsidP="000D7E0A">
            <w:pPr>
              <w:jc w:val="center"/>
              <w:rPr>
                <w:b/>
                <w:lang w:val="it-IT"/>
              </w:rPr>
            </w:pPr>
          </w:p>
          <w:p w:rsidR="00AD4AE2" w:rsidRPr="007A41C5" w:rsidRDefault="00AD4AE2" w:rsidP="000D7E0A">
            <w:pPr>
              <w:jc w:val="center"/>
              <w:rPr>
                <w:b/>
                <w:lang w:val="it-IT"/>
              </w:rPr>
            </w:pPr>
          </w:p>
        </w:tc>
        <w:tc>
          <w:tcPr>
            <w:tcW w:w="852" w:type="dxa"/>
            <w:tcMar>
              <w:left w:w="108" w:type="dxa"/>
              <w:right w:w="0" w:type="dxa"/>
            </w:tcMar>
          </w:tcPr>
          <w:p w:rsidR="00AD4AE2" w:rsidRPr="00321DBA" w:rsidRDefault="00AD4AE2" w:rsidP="000D7E0A">
            <w:pPr>
              <w:pStyle w:val="PrincCont"/>
              <w:jc w:val="left"/>
              <w:rPr>
                <w:lang w:val="it-IT"/>
              </w:rPr>
            </w:pPr>
            <w:r w:rsidRPr="00321DBA">
              <w:rPr>
                <w:lang w:val="it-IT"/>
              </w:rPr>
              <w:t>Art. 2423 CC</w:t>
            </w:r>
            <w:r>
              <w:rPr>
                <w:lang w:val="it-IT"/>
              </w:rPr>
              <w:t>, c.4             OIC 31.52</w:t>
            </w:r>
          </w:p>
        </w:tc>
        <w:tc>
          <w:tcPr>
            <w:tcW w:w="7059" w:type="dxa"/>
            <w:tcMar>
              <w:left w:w="108" w:type="dxa"/>
            </w:tcMar>
          </w:tcPr>
          <w:p w:rsidR="00AD4AE2" w:rsidRPr="00CF6B66" w:rsidRDefault="00AD4AE2" w:rsidP="000D7E0A">
            <w:pPr>
              <w:pStyle w:val="Commentiriquadro"/>
            </w:pPr>
            <w:r w:rsidRPr="00CF6B66">
              <w:t xml:space="preserve">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w:t>
            </w:r>
            <w:r>
              <w:t>Nota Integrativa</w:t>
            </w:r>
            <w:r w:rsidRPr="00CF6B66">
              <w:t xml:space="preserve"> i criteri con i quali hanno dato attuazione alla presente disposizione.</w:t>
            </w:r>
          </w:p>
        </w:tc>
        <w:tc>
          <w:tcPr>
            <w:tcW w:w="586" w:type="dxa"/>
            <w:tcMar>
              <w:left w:w="85" w:type="dxa"/>
              <w:right w:w="85" w:type="dxa"/>
            </w:tcMar>
            <w:vAlign w:val="center"/>
          </w:tcPr>
          <w:p w:rsidR="00AD4AE2" w:rsidRPr="00732336" w:rsidRDefault="00AD4AE2" w:rsidP="000D7E0A">
            <w:pPr>
              <w:rPr>
                <w:lang w:val="it-IT"/>
              </w:rPr>
            </w:pPr>
          </w:p>
          <w:p w:rsidR="00AD4AE2" w:rsidRPr="00732336" w:rsidRDefault="00AD4AE2" w:rsidP="000D7E0A">
            <w:pPr>
              <w:jc w:val="center"/>
              <w:rPr>
                <w:lang w:val="it-IT"/>
              </w:rPr>
            </w:pPr>
          </w:p>
        </w:tc>
        <w:tc>
          <w:tcPr>
            <w:tcW w:w="573" w:type="dxa"/>
            <w:tcMar>
              <w:left w:w="108" w:type="dxa"/>
            </w:tcMar>
            <w:vAlign w:val="center"/>
          </w:tcPr>
          <w:p w:rsidR="00AD4AE2" w:rsidRPr="00732336" w:rsidRDefault="00AD4AE2" w:rsidP="000D7E0A">
            <w:pPr>
              <w:jc w:val="center"/>
              <w:rPr>
                <w:lang w:val="it-IT"/>
              </w:rPr>
            </w:pPr>
          </w:p>
        </w:tc>
        <w:tc>
          <w:tcPr>
            <w:tcW w:w="570" w:type="dxa"/>
            <w:tcMar>
              <w:left w:w="108" w:type="dxa"/>
            </w:tcMar>
            <w:vAlign w:val="center"/>
          </w:tcPr>
          <w:p w:rsidR="00AD4AE2" w:rsidRPr="00732336" w:rsidRDefault="00AD4AE2" w:rsidP="000D7E0A">
            <w:pPr>
              <w:jc w:val="center"/>
              <w:rPr>
                <w:lang w:val="it-IT"/>
              </w:rPr>
            </w:pPr>
          </w:p>
        </w:tc>
      </w:tr>
      <w:tr w:rsidR="00AD4AE2" w:rsidRPr="00CC242B" w:rsidTr="000D7E0A">
        <w:trPr>
          <w:cantSplit/>
          <w:trHeight w:val="20"/>
        </w:trPr>
        <w:tc>
          <w:tcPr>
            <w:tcW w:w="680" w:type="dxa"/>
            <w:vAlign w:val="center"/>
          </w:tcPr>
          <w:p w:rsidR="00AD4AE2" w:rsidRPr="00BD1173" w:rsidRDefault="00AD4AE2" w:rsidP="000D7E0A">
            <w:pPr>
              <w:jc w:val="center"/>
              <w:rPr>
                <w:b/>
                <w:lang w:val="it-IT"/>
              </w:rPr>
            </w:pPr>
          </w:p>
        </w:tc>
        <w:tc>
          <w:tcPr>
            <w:tcW w:w="852" w:type="dxa"/>
            <w:tcMar>
              <w:left w:w="108" w:type="dxa"/>
              <w:right w:w="0" w:type="dxa"/>
            </w:tcMar>
            <w:vAlign w:val="center"/>
          </w:tcPr>
          <w:p w:rsidR="00AD4AE2" w:rsidRPr="0004794D" w:rsidRDefault="00AD4AE2" w:rsidP="000D7E0A">
            <w:pPr>
              <w:jc w:val="left"/>
              <w:rPr>
                <w:b/>
                <w:lang w:val="it-IT"/>
              </w:rPr>
            </w:pPr>
          </w:p>
        </w:tc>
        <w:tc>
          <w:tcPr>
            <w:tcW w:w="7059" w:type="dxa"/>
            <w:tcMar>
              <w:left w:w="108" w:type="dxa"/>
            </w:tcMar>
            <w:vAlign w:val="center"/>
          </w:tcPr>
          <w:p w:rsidR="00AD4AE2" w:rsidRPr="00AD4AE2" w:rsidRDefault="00AD4AE2" w:rsidP="000D7E0A">
            <w:pPr>
              <w:pStyle w:val="Titolo2"/>
              <w:rPr>
                <w:lang w:val="it-IT"/>
              </w:rPr>
            </w:pPr>
            <w:r w:rsidRPr="00AD4AE2">
              <w:rPr>
                <w:lang w:val="it-IT"/>
              </w:rPr>
              <w:t>Trattamento di fine rapporto di lavoro subordinato (TFR)</w:t>
            </w:r>
          </w:p>
        </w:tc>
        <w:tc>
          <w:tcPr>
            <w:tcW w:w="586" w:type="dxa"/>
            <w:tcMar>
              <w:left w:w="85" w:type="dxa"/>
              <w:right w:w="85" w:type="dxa"/>
            </w:tcMar>
            <w:vAlign w:val="center"/>
          </w:tcPr>
          <w:p w:rsidR="00AD4AE2" w:rsidRPr="0004794D" w:rsidRDefault="00AD4AE2" w:rsidP="000D7E0A">
            <w:pPr>
              <w:jc w:val="left"/>
              <w:rPr>
                <w:b/>
                <w:lang w:val="it-IT"/>
              </w:rPr>
            </w:pPr>
          </w:p>
        </w:tc>
        <w:tc>
          <w:tcPr>
            <w:tcW w:w="573" w:type="dxa"/>
            <w:tcMar>
              <w:left w:w="108" w:type="dxa"/>
            </w:tcMar>
            <w:vAlign w:val="center"/>
          </w:tcPr>
          <w:p w:rsidR="00AD4AE2" w:rsidRPr="0004794D" w:rsidRDefault="00AD4AE2" w:rsidP="000D7E0A">
            <w:pPr>
              <w:jc w:val="left"/>
              <w:rPr>
                <w:b/>
                <w:lang w:val="it-IT"/>
              </w:rPr>
            </w:pPr>
          </w:p>
        </w:tc>
        <w:tc>
          <w:tcPr>
            <w:tcW w:w="570" w:type="dxa"/>
            <w:tcMar>
              <w:left w:w="108" w:type="dxa"/>
            </w:tcMar>
            <w:vAlign w:val="center"/>
          </w:tcPr>
          <w:p w:rsidR="00AD4AE2" w:rsidRPr="0004794D" w:rsidRDefault="00AD4AE2" w:rsidP="000D7E0A">
            <w:pPr>
              <w:jc w:val="left"/>
              <w:rPr>
                <w:b/>
                <w:lang w:val="it-IT"/>
              </w:rPr>
            </w:pPr>
          </w:p>
        </w:tc>
      </w:tr>
      <w:tr w:rsidR="00AD4AE2" w:rsidRPr="00D32C6A" w:rsidTr="000D7E0A">
        <w:trPr>
          <w:cantSplit/>
          <w:trHeight w:val="20"/>
        </w:trPr>
        <w:tc>
          <w:tcPr>
            <w:tcW w:w="680" w:type="dxa"/>
            <w:vAlign w:val="center"/>
          </w:tcPr>
          <w:p w:rsidR="00AD4AE2" w:rsidRPr="00BD1173" w:rsidRDefault="00AD4AE2" w:rsidP="000D7E0A">
            <w:pPr>
              <w:jc w:val="center"/>
              <w:rPr>
                <w:b/>
                <w:lang w:val="it-IT"/>
              </w:rPr>
            </w:pPr>
          </w:p>
        </w:tc>
        <w:tc>
          <w:tcPr>
            <w:tcW w:w="852" w:type="dxa"/>
            <w:tcMar>
              <w:left w:w="108" w:type="dxa"/>
              <w:right w:w="0" w:type="dxa"/>
            </w:tcMar>
            <w:vAlign w:val="center"/>
          </w:tcPr>
          <w:p w:rsidR="00AD4AE2" w:rsidRPr="0004794D" w:rsidRDefault="00AD4AE2" w:rsidP="000D7E0A">
            <w:pPr>
              <w:jc w:val="left"/>
              <w:rPr>
                <w:b/>
                <w:lang w:val="it-IT"/>
              </w:rPr>
            </w:pPr>
          </w:p>
        </w:tc>
        <w:tc>
          <w:tcPr>
            <w:tcW w:w="7059" w:type="dxa"/>
            <w:tcMar>
              <w:left w:w="108" w:type="dxa"/>
            </w:tcMar>
            <w:vAlign w:val="center"/>
          </w:tcPr>
          <w:p w:rsidR="00AD4AE2" w:rsidRPr="00A93BDD" w:rsidRDefault="00AD4AE2" w:rsidP="000D7E0A">
            <w:pPr>
              <w:pStyle w:val="Titolo3"/>
              <w:rPr>
                <w:i w:val="0"/>
              </w:rPr>
            </w:pPr>
            <w:r w:rsidRPr="008B6F54">
              <w:t>Definizione</w:t>
            </w:r>
          </w:p>
        </w:tc>
        <w:tc>
          <w:tcPr>
            <w:tcW w:w="586" w:type="dxa"/>
            <w:tcMar>
              <w:left w:w="85" w:type="dxa"/>
              <w:right w:w="85" w:type="dxa"/>
            </w:tcMar>
            <w:vAlign w:val="center"/>
          </w:tcPr>
          <w:p w:rsidR="00AD4AE2" w:rsidRPr="0004794D" w:rsidRDefault="00AD4AE2" w:rsidP="000D7E0A">
            <w:pPr>
              <w:jc w:val="left"/>
              <w:rPr>
                <w:b/>
                <w:lang w:val="it-IT"/>
              </w:rPr>
            </w:pPr>
          </w:p>
        </w:tc>
        <w:tc>
          <w:tcPr>
            <w:tcW w:w="573" w:type="dxa"/>
            <w:tcMar>
              <w:left w:w="108" w:type="dxa"/>
            </w:tcMar>
            <w:vAlign w:val="center"/>
          </w:tcPr>
          <w:p w:rsidR="00AD4AE2" w:rsidRPr="0004794D" w:rsidRDefault="00AD4AE2" w:rsidP="000D7E0A">
            <w:pPr>
              <w:jc w:val="left"/>
              <w:rPr>
                <w:b/>
                <w:lang w:val="it-IT"/>
              </w:rPr>
            </w:pPr>
          </w:p>
        </w:tc>
        <w:tc>
          <w:tcPr>
            <w:tcW w:w="570" w:type="dxa"/>
            <w:tcMar>
              <w:left w:w="108" w:type="dxa"/>
            </w:tcMar>
            <w:vAlign w:val="center"/>
          </w:tcPr>
          <w:p w:rsidR="00AD4AE2" w:rsidRPr="0004794D" w:rsidRDefault="00AD4AE2" w:rsidP="000D7E0A">
            <w:pPr>
              <w:jc w:val="left"/>
              <w:rPr>
                <w:b/>
                <w:lang w:val="it-IT"/>
              </w:rPr>
            </w:pPr>
          </w:p>
        </w:tc>
      </w:tr>
      <w:tr w:rsidR="00AD4AE2" w:rsidRPr="00CC242B" w:rsidTr="000D7E0A">
        <w:trPr>
          <w:cantSplit/>
          <w:trHeight w:val="20"/>
        </w:trPr>
        <w:tc>
          <w:tcPr>
            <w:tcW w:w="680" w:type="dxa"/>
            <w:vAlign w:val="center"/>
          </w:tcPr>
          <w:p w:rsidR="00AD4AE2" w:rsidRPr="00BD1173" w:rsidRDefault="00AD4AE2" w:rsidP="000D7E0A">
            <w:pPr>
              <w:jc w:val="center"/>
              <w:rPr>
                <w:b/>
                <w:lang w:val="it-IT"/>
              </w:rPr>
            </w:pPr>
          </w:p>
        </w:tc>
        <w:tc>
          <w:tcPr>
            <w:tcW w:w="852" w:type="dxa"/>
            <w:tcMar>
              <w:left w:w="108" w:type="dxa"/>
              <w:right w:w="0" w:type="dxa"/>
            </w:tcMar>
            <w:vAlign w:val="center"/>
          </w:tcPr>
          <w:p w:rsidR="00AD4AE2" w:rsidRPr="00BF7CB6" w:rsidRDefault="00AD4AE2" w:rsidP="000D7E0A">
            <w:pPr>
              <w:jc w:val="left"/>
              <w:rPr>
                <w:b/>
                <w:lang w:val="it-IT"/>
              </w:rPr>
            </w:pPr>
          </w:p>
        </w:tc>
        <w:tc>
          <w:tcPr>
            <w:tcW w:w="7059" w:type="dxa"/>
            <w:tcMar>
              <w:left w:w="108" w:type="dxa"/>
            </w:tcMar>
            <w:vAlign w:val="center"/>
          </w:tcPr>
          <w:p w:rsidR="00AD4AE2" w:rsidRPr="00BF7CB6" w:rsidRDefault="00AD4AE2" w:rsidP="000D7E0A">
            <w:pPr>
              <w:pStyle w:val="Commentiriquadro"/>
            </w:pPr>
            <w:r w:rsidRPr="00BF7CB6">
              <w:t>Il trattamento di fine rapporto (TFR) rappresenta la prestazione cui il lavoratore subordinato ha diritto in ogni caso di cessazione del rapporto di lavoro, ai sensi dell’articolo 2120 codice civile “Disciplina del trattamento di fine rapporto”.</w:t>
            </w:r>
          </w:p>
        </w:tc>
        <w:tc>
          <w:tcPr>
            <w:tcW w:w="586" w:type="dxa"/>
            <w:tcMar>
              <w:left w:w="85" w:type="dxa"/>
              <w:right w:w="85" w:type="dxa"/>
            </w:tcMar>
            <w:vAlign w:val="center"/>
          </w:tcPr>
          <w:p w:rsidR="00AD4AE2" w:rsidRPr="0004794D" w:rsidRDefault="00AD4AE2" w:rsidP="000D7E0A">
            <w:pPr>
              <w:jc w:val="left"/>
              <w:rPr>
                <w:b/>
                <w:lang w:val="it-IT"/>
              </w:rPr>
            </w:pPr>
          </w:p>
        </w:tc>
        <w:tc>
          <w:tcPr>
            <w:tcW w:w="573" w:type="dxa"/>
            <w:tcMar>
              <w:left w:w="108" w:type="dxa"/>
            </w:tcMar>
            <w:vAlign w:val="center"/>
          </w:tcPr>
          <w:p w:rsidR="00AD4AE2" w:rsidRPr="0004794D" w:rsidRDefault="00AD4AE2" w:rsidP="000D7E0A">
            <w:pPr>
              <w:jc w:val="left"/>
              <w:rPr>
                <w:b/>
                <w:lang w:val="it-IT"/>
              </w:rPr>
            </w:pPr>
          </w:p>
        </w:tc>
        <w:tc>
          <w:tcPr>
            <w:tcW w:w="570" w:type="dxa"/>
            <w:tcMar>
              <w:left w:w="108" w:type="dxa"/>
            </w:tcMar>
            <w:vAlign w:val="center"/>
          </w:tcPr>
          <w:p w:rsidR="00AD4AE2" w:rsidRPr="0004794D" w:rsidRDefault="00AD4AE2" w:rsidP="000D7E0A">
            <w:pPr>
              <w:jc w:val="left"/>
              <w:rPr>
                <w:b/>
                <w:lang w:val="it-IT"/>
              </w:rPr>
            </w:pPr>
          </w:p>
        </w:tc>
      </w:tr>
      <w:tr w:rsidR="00AD4AE2" w:rsidRPr="00CC242B" w:rsidTr="000D7E0A">
        <w:trPr>
          <w:cantSplit/>
          <w:trHeight w:val="34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vAlign w:val="center"/>
          </w:tcPr>
          <w:p w:rsidR="00AD4AE2" w:rsidRPr="00AD4AE2" w:rsidRDefault="00AD4AE2" w:rsidP="000D7E0A">
            <w:pPr>
              <w:pStyle w:val="Titolo3"/>
              <w:rPr>
                <w:lang w:val="it-IT"/>
              </w:rPr>
            </w:pPr>
            <w:r w:rsidRPr="00AD4AE2">
              <w:rPr>
                <w:lang w:val="it-IT"/>
              </w:rPr>
              <w:t>La disciplina contabile per le imprese con meno di 50 dipendenti</w:t>
            </w:r>
          </w:p>
        </w:tc>
        <w:tc>
          <w:tcPr>
            <w:tcW w:w="586" w:type="dxa"/>
            <w:tcMar>
              <w:left w:w="85" w:type="dxa"/>
              <w:right w:w="85" w:type="dxa"/>
            </w:tcMar>
            <w:vAlign w:val="center"/>
          </w:tcPr>
          <w:p w:rsidR="00AD4AE2" w:rsidRPr="00FF19F7" w:rsidRDefault="00AD4AE2" w:rsidP="000D7E0A">
            <w:pPr>
              <w:jc w:val="center"/>
              <w:rPr>
                <w:lang w:val="it-IT"/>
              </w:rPr>
            </w:pPr>
          </w:p>
        </w:tc>
        <w:tc>
          <w:tcPr>
            <w:tcW w:w="573" w:type="dxa"/>
            <w:tcMar>
              <w:left w:w="108" w:type="dxa"/>
            </w:tcMar>
            <w:vAlign w:val="center"/>
          </w:tcPr>
          <w:p w:rsidR="00AD4AE2" w:rsidRPr="00FF19F7" w:rsidRDefault="00AD4AE2" w:rsidP="000D7E0A">
            <w:pPr>
              <w:jc w:val="center"/>
              <w:rPr>
                <w:lang w:val="it-IT"/>
              </w:rPr>
            </w:pPr>
          </w:p>
        </w:tc>
        <w:tc>
          <w:tcPr>
            <w:tcW w:w="570" w:type="dxa"/>
            <w:tcMar>
              <w:left w:w="108" w:type="dxa"/>
            </w:tcMar>
            <w:vAlign w:val="center"/>
          </w:tcPr>
          <w:p w:rsidR="00AD4AE2" w:rsidRPr="00FF19F7" w:rsidRDefault="00AD4AE2" w:rsidP="000D7E0A">
            <w:pPr>
              <w:jc w:val="center"/>
              <w:rPr>
                <w:lang w:val="it-IT"/>
              </w:rPr>
            </w:pPr>
          </w:p>
        </w:tc>
      </w:tr>
      <w:tr w:rsidR="00AD4AE2" w:rsidRPr="00CC242B"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r>
              <w:rPr>
                <w:lang w:val="it-IT"/>
              </w:rPr>
              <w:t>OIC 31.56</w:t>
            </w:r>
          </w:p>
        </w:tc>
        <w:tc>
          <w:tcPr>
            <w:tcW w:w="7059" w:type="dxa"/>
            <w:tcMar>
              <w:left w:w="108" w:type="dxa"/>
            </w:tcMar>
          </w:tcPr>
          <w:p w:rsidR="00AD4AE2" w:rsidRPr="00942F5B" w:rsidRDefault="00AD4AE2" w:rsidP="000D7E0A">
            <w:pPr>
              <w:pStyle w:val="Commentiriquadro"/>
              <w:rPr>
                <w:color w:val="000000"/>
              </w:rPr>
            </w:pPr>
            <w:r w:rsidRPr="006E2BE1">
              <w:rPr>
                <w:color w:val="000000"/>
              </w:rPr>
              <w:t>La normativa, di cui alla Legge 27 dicembre 2006, n. 296 non si applica alle società che abbiano alle proprie dipendenze meno di 50 dipendenti; per tali aziende resta in vigore la precedente normativa. Per queste imprese, permane quindi la disciplina contabile prevista prima della riforma della previdenza complementare.</w:t>
            </w:r>
          </w:p>
        </w:tc>
        <w:tc>
          <w:tcPr>
            <w:tcW w:w="586" w:type="dxa"/>
            <w:tcMar>
              <w:left w:w="85" w:type="dxa"/>
              <w:right w:w="85" w:type="dxa"/>
            </w:tcMar>
            <w:vAlign w:val="center"/>
          </w:tcPr>
          <w:p w:rsidR="00AD4AE2" w:rsidRPr="00D20226" w:rsidRDefault="00AD4AE2" w:rsidP="000D7E0A">
            <w:pPr>
              <w:jc w:val="center"/>
              <w:rPr>
                <w:lang w:val="it-IT"/>
              </w:rPr>
            </w:pPr>
          </w:p>
        </w:tc>
        <w:tc>
          <w:tcPr>
            <w:tcW w:w="573" w:type="dxa"/>
            <w:tcMar>
              <w:left w:w="108" w:type="dxa"/>
            </w:tcMar>
            <w:vAlign w:val="center"/>
          </w:tcPr>
          <w:p w:rsidR="00AD4AE2" w:rsidRPr="00D20226" w:rsidRDefault="00AD4AE2" w:rsidP="000D7E0A">
            <w:pPr>
              <w:jc w:val="center"/>
              <w:rPr>
                <w:lang w:val="it-IT"/>
              </w:rPr>
            </w:pPr>
          </w:p>
        </w:tc>
        <w:tc>
          <w:tcPr>
            <w:tcW w:w="570" w:type="dxa"/>
            <w:tcMar>
              <w:left w:w="108" w:type="dxa"/>
            </w:tcMar>
            <w:vAlign w:val="center"/>
          </w:tcPr>
          <w:p w:rsidR="00AD4AE2" w:rsidRPr="00D20226" w:rsidRDefault="00AD4AE2" w:rsidP="000D7E0A">
            <w:pPr>
              <w:jc w:val="center"/>
              <w:rPr>
                <w:lang w:val="it-IT"/>
              </w:rPr>
            </w:pPr>
          </w:p>
        </w:tc>
      </w:tr>
      <w:tr w:rsidR="00AD4AE2" w:rsidRPr="00CC242B" w:rsidTr="000D7E0A">
        <w:trPr>
          <w:cantSplit/>
          <w:trHeight w:val="34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vAlign w:val="center"/>
          </w:tcPr>
          <w:p w:rsidR="00AD4AE2" w:rsidRPr="00AD4AE2" w:rsidRDefault="00AD4AE2" w:rsidP="000D7E0A">
            <w:pPr>
              <w:pStyle w:val="Titolo3"/>
              <w:rPr>
                <w:lang w:val="it-IT"/>
              </w:rPr>
            </w:pPr>
            <w:r w:rsidRPr="00AD4AE2">
              <w:rPr>
                <w:lang w:val="it-IT"/>
              </w:rPr>
              <w:t>Classificazione e contenuto delle voci</w:t>
            </w:r>
          </w:p>
        </w:tc>
        <w:tc>
          <w:tcPr>
            <w:tcW w:w="586" w:type="dxa"/>
            <w:tcMar>
              <w:left w:w="85" w:type="dxa"/>
              <w:right w:w="85" w:type="dxa"/>
            </w:tcMar>
            <w:vAlign w:val="center"/>
          </w:tcPr>
          <w:p w:rsidR="00AD4AE2" w:rsidRPr="00FF19F7" w:rsidRDefault="00AD4AE2" w:rsidP="000D7E0A">
            <w:pPr>
              <w:jc w:val="center"/>
              <w:rPr>
                <w:lang w:val="it-IT"/>
              </w:rPr>
            </w:pPr>
          </w:p>
        </w:tc>
        <w:tc>
          <w:tcPr>
            <w:tcW w:w="573" w:type="dxa"/>
            <w:tcMar>
              <w:left w:w="108" w:type="dxa"/>
            </w:tcMar>
            <w:vAlign w:val="center"/>
          </w:tcPr>
          <w:p w:rsidR="00AD4AE2" w:rsidRPr="00FF19F7" w:rsidRDefault="00AD4AE2" w:rsidP="000D7E0A">
            <w:pPr>
              <w:jc w:val="center"/>
              <w:rPr>
                <w:lang w:val="it-IT"/>
              </w:rPr>
            </w:pPr>
          </w:p>
        </w:tc>
        <w:tc>
          <w:tcPr>
            <w:tcW w:w="570" w:type="dxa"/>
            <w:tcMar>
              <w:left w:w="108" w:type="dxa"/>
            </w:tcMar>
            <w:vAlign w:val="center"/>
          </w:tcPr>
          <w:p w:rsidR="00AD4AE2" w:rsidRPr="00FF19F7" w:rsidRDefault="00AD4AE2" w:rsidP="000D7E0A">
            <w:pPr>
              <w:jc w:val="center"/>
              <w:rPr>
                <w:lang w:val="it-IT"/>
              </w:rPr>
            </w:pPr>
          </w:p>
        </w:tc>
      </w:tr>
      <w:tr w:rsidR="00AD4AE2" w:rsidRPr="004C7CBE" w:rsidTr="000D7E0A">
        <w:trPr>
          <w:cantSplit/>
          <w:trHeight w:val="20"/>
        </w:trPr>
        <w:tc>
          <w:tcPr>
            <w:tcW w:w="680" w:type="dxa"/>
          </w:tcPr>
          <w:p w:rsidR="00AD4AE2" w:rsidRPr="00BD1173" w:rsidRDefault="00AD4AE2" w:rsidP="000D7E0A">
            <w:pPr>
              <w:jc w:val="center"/>
              <w:rPr>
                <w:b/>
                <w:lang w:val="it-IT"/>
              </w:rPr>
            </w:pPr>
            <w:r>
              <w:rPr>
                <w:b/>
                <w:lang w:val="it-IT"/>
              </w:rPr>
              <w:t>34</w:t>
            </w:r>
            <w:r w:rsidRPr="00BD1173">
              <w:rPr>
                <w:b/>
                <w:lang w:val="it-IT"/>
              </w:rPr>
              <w:t>)</w:t>
            </w:r>
          </w:p>
        </w:tc>
        <w:tc>
          <w:tcPr>
            <w:tcW w:w="852" w:type="dxa"/>
            <w:tcMar>
              <w:left w:w="108" w:type="dxa"/>
              <w:right w:w="0" w:type="dxa"/>
            </w:tcMar>
          </w:tcPr>
          <w:p w:rsidR="00AD4AE2" w:rsidRPr="008A0F36" w:rsidRDefault="00AD4AE2" w:rsidP="000D7E0A">
            <w:pPr>
              <w:pStyle w:val="PrincCont"/>
              <w:jc w:val="left"/>
              <w:rPr>
                <w:lang w:val="it-IT"/>
              </w:rPr>
            </w:pPr>
            <w:r>
              <w:rPr>
                <w:lang w:val="it-IT"/>
              </w:rPr>
              <w:t>OIC 31.60</w:t>
            </w:r>
          </w:p>
        </w:tc>
        <w:tc>
          <w:tcPr>
            <w:tcW w:w="7059" w:type="dxa"/>
            <w:tcMar>
              <w:left w:w="108" w:type="dxa"/>
            </w:tcMar>
          </w:tcPr>
          <w:p w:rsidR="00AD4AE2" w:rsidRPr="006231AE" w:rsidRDefault="00AD4AE2" w:rsidP="000D7E0A">
            <w:pPr>
              <w:spacing w:line="230" w:lineRule="exact"/>
              <w:rPr>
                <w:color w:val="000000"/>
                <w:lang w:val="it-IT"/>
              </w:rPr>
            </w:pPr>
            <w:r w:rsidRPr="006231AE">
              <w:rPr>
                <w:color w:val="000000"/>
                <w:lang w:val="it-IT"/>
              </w:rPr>
              <w:t>Il trattamento di fine rapporto</w:t>
            </w:r>
            <w:r>
              <w:rPr>
                <w:color w:val="000000"/>
                <w:lang w:val="it-IT"/>
              </w:rPr>
              <w:t xml:space="preserve"> </w:t>
            </w:r>
            <w:r w:rsidRPr="006231AE">
              <w:rPr>
                <w:color w:val="000000"/>
                <w:lang w:val="it-IT"/>
              </w:rPr>
              <w:t>di lavoro subordinato è iscritto nella voce C del passivo?</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6231AE">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6231AE">
              <w:rPr>
                <w:lang w:val="it-IT"/>
              </w:rP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6231AE">
              <w:rPr>
                <w:lang w:val="it-IT"/>
              </w:rPr>
              <w:instrText xml:space="preserve"> FORMCHECKBOX </w:instrText>
            </w:r>
            <w:r w:rsidR="00CA1681">
              <w:fldChar w:fldCharType="separate"/>
            </w:r>
            <w:r>
              <w:fldChar w:fldCharType="end"/>
            </w:r>
          </w:p>
        </w:tc>
      </w:tr>
      <w:tr w:rsidR="00AD4AE2" w:rsidRPr="0004794D" w:rsidTr="000D7E0A">
        <w:trPr>
          <w:cantSplit/>
          <w:trHeight w:val="20"/>
        </w:trPr>
        <w:tc>
          <w:tcPr>
            <w:tcW w:w="680" w:type="dxa"/>
          </w:tcPr>
          <w:p w:rsidR="00AD4AE2" w:rsidRPr="00BD1173" w:rsidRDefault="00AD4AE2" w:rsidP="000D7E0A">
            <w:pPr>
              <w:jc w:val="center"/>
              <w:rPr>
                <w:b/>
                <w:lang w:val="it-IT"/>
              </w:rPr>
            </w:pPr>
            <w:r>
              <w:rPr>
                <w:b/>
                <w:lang w:val="it-IT"/>
              </w:rPr>
              <w:t>35</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31.60</w:t>
            </w:r>
          </w:p>
          <w:p w:rsidR="00AD4AE2" w:rsidRDefault="00AD4AE2" w:rsidP="000D7E0A">
            <w:pPr>
              <w:pStyle w:val="PrincCont"/>
              <w:jc w:val="left"/>
              <w:rPr>
                <w:lang w:val="it-IT"/>
              </w:rPr>
            </w:pPr>
          </w:p>
        </w:tc>
        <w:tc>
          <w:tcPr>
            <w:tcW w:w="7059" w:type="dxa"/>
            <w:tcMar>
              <w:left w:w="108" w:type="dxa"/>
            </w:tcMar>
          </w:tcPr>
          <w:p w:rsidR="00AD4AE2" w:rsidRPr="00CC11CE" w:rsidRDefault="00AD4AE2" w:rsidP="000D7E0A">
            <w:pPr>
              <w:spacing w:line="240" w:lineRule="exact"/>
              <w:rPr>
                <w:lang w:val="it-IT"/>
              </w:rPr>
            </w:pPr>
            <w:r>
              <w:rPr>
                <w:color w:val="000000"/>
                <w:lang w:val="it-IT"/>
              </w:rPr>
              <w:t>Il relativo</w:t>
            </w:r>
            <w:r w:rsidRPr="006231AE">
              <w:rPr>
                <w:color w:val="000000"/>
                <w:lang w:val="it-IT"/>
              </w:rPr>
              <w:t xml:space="preserve"> accantonamento è effettuato nel conto economico alla voce B9</w:t>
            </w:r>
            <w:r>
              <w:rPr>
                <w:color w:val="000000"/>
                <w:lang w:val="it-IT"/>
              </w:rPr>
              <w:t xml:space="preserve"> c) “T</w:t>
            </w:r>
            <w:r w:rsidRPr="006231AE">
              <w:rPr>
                <w:color w:val="000000"/>
                <w:lang w:val="it-IT"/>
              </w:rPr>
              <w:t>rattamento di fine rapporto</w:t>
            </w:r>
            <w:r>
              <w:rPr>
                <w:color w:val="000000"/>
                <w:lang w:val="it-IT"/>
              </w:rPr>
              <w:t>”?</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6231AE">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6231AE">
              <w:rPr>
                <w:lang w:val="it-IT"/>
              </w:rP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6231AE">
              <w:rPr>
                <w:lang w:val="it-IT"/>
              </w:rPr>
              <w:instrText xml:space="preserve"> FORMCHECKBOX </w:instrText>
            </w:r>
            <w:r w:rsidR="00CA1681">
              <w:fldChar w:fldCharType="separate"/>
            </w:r>
            <w:r>
              <w:fldChar w:fldCharType="end"/>
            </w:r>
          </w:p>
        </w:tc>
      </w:tr>
      <w:tr w:rsidR="00AD4AE2" w:rsidRPr="00CC242B"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vAlign w:val="center"/>
          </w:tcPr>
          <w:p w:rsidR="00AD4AE2" w:rsidRPr="00AD4AE2" w:rsidRDefault="00AD4AE2" w:rsidP="000D7E0A">
            <w:pPr>
              <w:pStyle w:val="Titolo3"/>
              <w:jc w:val="left"/>
              <w:rPr>
                <w:lang w:val="it-IT"/>
              </w:rPr>
            </w:pPr>
            <w:r w:rsidRPr="00AD4AE2">
              <w:rPr>
                <w:lang w:val="it-IT"/>
              </w:rPr>
              <w:t>Rilevazione iniziale e valutazioni successive</w:t>
            </w:r>
          </w:p>
        </w:tc>
        <w:tc>
          <w:tcPr>
            <w:tcW w:w="586" w:type="dxa"/>
            <w:tcMar>
              <w:left w:w="85" w:type="dxa"/>
              <w:right w:w="85" w:type="dxa"/>
            </w:tcMar>
            <w:vAlign w:val="center"/>
          </w:tcPr>
          <w:p w:rsidR="00AD4AE2" w:rsidRPr="00492518" w:rsidRDefault="00AD4AE2" w:rsidP="000D7E0A">
            <w:pPr>
              <w:jc w:val="center"/>
              <w:rPr>
                <w:lang w:val="it-IT"/>
              </w:rPr>
            </w:pPr>
          </w:p>
        </w:tc>
        <w:tc>
          <w:tcPr>
            <w:tcW w:w="573" w:type="dxa"/>
            <w:tcMar>
              <w:left w:w="108" w:type="dxa"/>
            </w:tcMar>
            <w:vAlign w:val="center"/>
          </w:tcPr>
          <w:p w:rsidR="00AD4AE2" w:rsidRPr="00492518" w:rsidRDefault="00AD4AE2" w:rsidP="000D7E0A">
            <w:pPr>
              <w:jc w:val="center"/>
              <w:rPr>
                <w:lang w:val="it-IT"/>
              </w:rPr>
            </w:pPr>
          </w:p>
        </w:tc>
        <w:tc>
          <w:tcPr>
            <w:tcW w:w="570" w:type="dxa"/>
            <w:tcMar>
              <w:left w:w="108" w:type="dxa"/>
            </w:tcMar>
            <w:vAlign w:val="center"/>
          </w:tcPr>
          <w:p w:rsidR="00AD4AE2" w:rsidRPr="00492518" w:rsidRDefault="00AD4AE2" w:rsidP="000D7E0A">
            <w:pPr>
              <w:jc w:val="center"/>
              <w:rPr>
                <w:lang w:val="it-IT"/>
              </w:rPr>
            </w:pPr>
          </w:p>
        </w:tc>
      </w:tr>
      <w:tr w:rsidR="00AD4AE2" w:rsidRPr="004C7CBE" w:rsidTr="000D7E0A">
        <w:trPr>
          <w:cantSplit/>
          <w:trHeight w:val="20"/>
        </w:trPr>
        <w:tc>
          <w:tcPr>
            <w:tcW w:w="680" w:type="dxa"/>
          </w:tcPr>
          <w:p w:rsidR="00AD4AE2" w:rsidRPr="00BD1173" w:rsidRDefault="00AD4AE2" w:rsidP="000D7E0A">
            <w:pPr>
              <w:jc w:val="center"/>
              <w:rPr>
                <w:b/>
                <w:lang w:val="it-IT"/>
              </w:rPr>
            </w:pPr>
            <w:r>
              <w:rPr>
                <w:b/>
                <w:lang w:val="it-IT"/>
              </w:rPr>
              <w:t>36</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Art. 2120 CC  OIC 31.62</w:t>
            </w:r>
          </w:p>
        </w:tc>
        <w:tc>
          <w:tcPr>
            <w:tcW w:w="7059" w:type="dxa"/>
            <w:tcMar>
              <w:left w:w="108" w:type="dxa"/>
            </w:tcMar>
          </w:tcPr>
          <w:p w:rsidR="00AD4AE2" w:rsidRPr="00BC0576" w:rsidRDefault="00AD4AE2" w:rsidP="000D7E0A">
            <w:pPr>
              <w:spacing w:line="240" w:lineRule="exact"/>
              <w:rPr>
                <w:color w:val="000000"/>
                <w:lang w:val="it-IT"/>
              </w:rPr>
            </w:pPr>
            <w:r w:rsidRPr="006231AE">
              <w:rPr>
                <w:color w:val="000000"/>
                <w:lang w:val="it-IT"/>
              </w:rPr>
              <w:t>Il TFR spettante al personale dipendente in forza di legge o di contratt</w:t>
            </w:r>
            <w:r>
              <w:rPr>
                <w:color w:val="000000"/>
                <w:lang w:val="it-IT"/>
              </w:rPr>
              <w:t xml:space="preserve">o </w:t>
            </w:r>
            <w:r w:rsidRPr="006231AE">
              <w:rPr>
                <w:color w:val="000000"/>
                <w:lang w:val="it-IT"/>
              </w:rPr>
              <w:t xml:space="preserve">al momento di cessazione del </w:t>
            </w:r>
            <w:r>
              <w:rPr>
                <w:color w:val="000000"/>
                <w:lang w:val="it-IT"/>
              </w:rPr>
              <w:t xml:space="preserve">rapporto di lavoro subordinato, che </w:t>
            </w:r>
            <w:r w:rsidRPr="006231AE">
              <w:rPr>
                <w:color w:val="000000"/>
                <w:lang w:val="it-IT"/>
              </w:rPr>
              <w:t>costituisce onere retributivo certo</w:t>
            </w:r>
            <w:r>
              <w:rPr>
                <w:color w:val="000000"/>
                <w:lang w:val="it-IT"/>
              </w:rPr>
              <w:t>,</w:t>
            </w:r>
            <w:r w:rsidRPr="006231AE">
              <w:rPr>
                <w:color w:val="000000"/>
                <w:lang w:val="it-IT"/>
              </w:rPr>
              <w:t xml:space="preserve"> </w:t>
            </w:r>
            <w:r>
              <w:rPr>
                <w:color w:val="000000"/>
                <w:lang w:val="it-IT"/>
              </w:rPr>
              <w:t>è iscritto</w:t>
            </w:r>
            <w:r w:rsidRPr="006231AE">
              <w:rPr>
                <w:color w:val="000000"/>
                <w:lang w:val="it-IT"/>
              </w:rPr>
              <w:t xml:space="preserve"> in ciascun esercizio </w:t>
            </w:r>
            <w:r>
              <w:rPr>
                <w:color w:val="000000"/>
                <w:lang w:val="it-IT"/>
              </w:rPr>
              <w:t>secondo</w:t>
            </w:r>
            <w:r w:rsidRPr="006231AE">
              <w:rPr>
                <w:color w:val="000000"/>
                <w:lang w:val="it-IT"/>
              </w:rPr>
              <w:t xml:space="preserve"> il criterio della competenza economica</w:t>
            </w:r>
            <w:r>
              <w:rPr>
                <w:color w:val="000000"/>
                <w:lang w:val="it-IT"/>
              </w:rPr>
              <w:t>?</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3B501D" w:rsidTr="000D7E0A">
        <w:trPr>
          <w:cantSplit/>
          <w:trHeight w:val="20"/>
        </w:trPr>
        <w:tc>
          <w:tcPr>
            <w:tcW w:w="680" w:type="dxa"/>
          </w:tcPr>
          <w:p w:rsidR="00AD4AE2" w:rsidRPr="00BD1173" w:rsidRDefault="00AD4AE2" w:rsidP="000D7E0A">
            <w:pPr>
              <w:jc w:val="center"/>
              <w:rPr>
                <w:b/>
                <w:lang w:val="it-IT"/>
              </w:rPr>
            </w:pPr>
            <w:r>
              <w:rPr>
                <w:b/>
                <w:lang w:val="it-IT"/>
              </w:rPr>
              <w:t>37</w:t>
            </w:r>
            <w:r w:rsidRPr="00BD1173">
              <w:rPr>
                <w:b/>
                <w:lang w:val="it-IT"/>
              </w:rPr>
              <w:t>)</w:t>
            </w:r>
          </w:p>
        </w:tc>
        <w:tc>
          <w:tcPr>
            <w:tcW w:w="852" w:type="dxa"/>
            <w:tcMar>
              <w:left w:w="108" w:type="dxa"/>
              <w:right w:w="0" w:type="dxa"/>
            </w:tcMar>
          </w:tcPr>
          <w:p w:rsidR="00AD4AE2" w:rsidRPr="00BF5EED" w:rsidRDefault="00AD4AE2" w:rsidP="000D7E0A">
            <w:pPr>
              <w:pStyle w:val="PrincCont"/>
              <w:jc w:val="left"/>
              <w:rPr>
                <w:lang w:val="it-IT"/>
              </w:rPr>
            </w:pPr>
            <w:r>
              <w:rPr>
                <w:lang w:val="it-IT"/>
              </w:rPr>
              <w:t>Art. 2120 CC OIC 31.64</w:t>
            </w:r>
          </w:p>
        </w:tc>
        <w:tc>
          <w:tcPr>
            <w:tcW w:w="7059" w:type="dxa"/>
            <w:tcMar>
              <w:left w:w="108" w:type="dxa"/>
            </w:tcMar>
          </w:tcPr>
          <w:p w:rsidR="00AD4AE2" w:rsidRPr="00CE4957" w:rsidRDefault="00AD4AE2" w:rsidP="000D7E0A">
            <w:pPr>
              <w:widowControl w:val="0"/>
              <w:spacing w:line="240" w:lineRule="exact"/>
              <w:rPr>
                <w:rFonts w:ascii="Arial" w:hAnsi="Arial" w:cs="Arial"/>
                <w:sz w:val="24"/>
                <w:szCs w:val="24"/>
                <w:lang w:val="it-IT"/>
              </w:rPr>
            </w:pPr>
            <w:r w:rsidRPr="006E2BE1">
              <w:rPr>
                <w:color w:val="000000"/>
                <w:lang w:val="it-IT"/>
              </w:rPr>
              <w:t>Il TFR è determinato in conf</w:t>
            </w:r>
            <w:r>
              <w:rPr>
                <w:color w:val="000000"/>
                <w:lang w:val="it-IT"/>
              </w:rPr>
              <w:t>ormità al disposto dell’art.</w:t>
            </w:r>
            <w:r w:rsidRPr="006E2BE1">
              <w:rPr>
                <w:color w:val="000000"/>
                <w:lang w:val="it-IT"/>
              </w:rPr>
              <w:t xml:space="preserve"> 2120 </w:t>
            </w:r>
            <w:r>
              <w:rPr>
                <w:color w:val="000000"/>
                <w:lang w:val="it-IT"/>
              </w:rPr>
              <w:t>CC</w:t>
            </w:r>
            <w:r w:rsidRPr="006E2BE1">
              <w:rPr>
                <w:color w:val="000000"/>
                <w:lang w:val="it-IT"/>
              </w:rPr>
              <w:t xml:space="preserve"> e dei contratti nazionali ed integrativi in vigore alla data di bilancio per le categorie di lavoro subordinato e considerando ogni forma di remunerazion</w:t>
            </w:r>
            <w:r>
              <w:rPr>
                <w:color w:val="000000"/>
                <w:lang w:val="it-IT"/>
              </w:rPr>
              <w:t>e avente carattere continuativo?</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3B501D">
              <w:rPr>
                <w:lang w:val="it-IT"/>
              </w:rP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3B501D">
              <w:rPr>
                <w:lang w:val="it-IT"/>
              </w:rP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3B501D">
              <w:rPr>
                <w:lang w:val="it-IT"/>
              </w:rPr>
              <w:instrText xml:space="preserve"> FORMCHECKBOX </w:instrText>
            </w:r>
            <w:r w:rsidR="00CA1681">
              <w:fldChar w:fldCharType="separate"/>
            </w:r>
            <w:r>
              <w:fldChar w:fldCharType="end"/>
            </w:r>
          </w:p>
        </w:tc>
      </w:tr>
      <w:tr w:rsidR="00AD4AE2" w:rsidRPr="00BF5EED" w:rsidTr="000D7E0A">
        <w:trPr>
          <w:cantSplit/>
          <w:trHeight w:val="20"/>
        </w:trPr>
        <w:tc>
          <w:tcPr>
            <w:tcW w:w="680" w:type="dxa"/>
          </w:tcPr>
          <w:p w:rsidR="00AD4AE2" w:rsidRPr="00BD1173" w:rsidRDefault="00AD4AE2" w:rsidP="000D7E0A">
            <w:pPr>
              <w:jc w:val="center"/>
              <w:rPr>
                <w:b/>
                <w:lang w:val="it-IT"/>
              </w:rPr>
            </w:pPr>
            <w:r>
              <w:rPr>
                <w:b/>
                <w:lang w:val="it-IT"/>
              </w:rPr>
              <w:t>38</w:t>
            </w:r>
            <w:r w:rsidRPr="00BD1173">
              <w:rPr>
                <w:b/>
                <w:lang w:val="it-IT"/>
              </w:rPr>
              <w:t>)</w:t>
            </w:r>
          </w:p>
        </w:tc>
        <w:tc>
          <w:tcPr>
            <w:tcW w:w="852" w:type="dxa"/>
            <w:tcMar>
              <w:left w:w="108" w:type="dxa"/>
              <w:right w:w="0" w:type="dxa"/>
            </w:tcMar>
          </w:tcPr>
          <w:p w:rsidR="00AD4AE2" w:rsidRPr="00BF5EED" w:rsidRDefault="00AD4AE2" w:rsidP="000D7E0A">
            <w:pPr>
              <w:pStyle w:val="PrincCont"/>
              <w:jc w:val="left"/>
              <w:rPr>
                <w:lang w:val="it-IT"/>
              </w:rPr>
            </w:pPr>
            <w:r>
              <w:rPr>
                <w:lang w:val="it-IT"/>
              </w:rPr>
              <w:t>OIC 31.66</w:t>
            </w:r>
          </w:p>
        </w:tc>
        <w:tc>
          <w:tcPr>
            <w:tcW w:w="7059" w:type="dxa"/>
            <w:tcMar>
              <w:left w:w="108" w:type="dxa"/>
            </w:tcMar>
          </w:tcPr>
          <w:p w:rsidR="00AD4AE2" w:rsidRPr="003420A1" w:rsidRDefault="00AD4AE2" w:rsidP="000D7E0A">
            <w:pPr>
              <w:spacing w:line="230" w:lineRule="exact"/>
              <w:rPr>
                <w:color w:val="000000"/>
                <w:lang w:val="it-IT"/>
              </w:rPr>
            </w:pPr>
            <w:r w:rsidRPr="006E2BE1">
              <w:rPr>
                <w:color w:val="000000"/>
                <w:lang w:val="it-IT"/>
              </w:rPr>
              <w:t>La passività per TFR include anche le eventuali somme erogate a titolo di prestito, di cui il TFR</w:t>
            </w:r>
            <w:r w:rsidRPr="003420A1">
              <w:rPr>
                <w:color w:val="000000"/>
                <w:lang w:val="it-IT"/>
              </w:rPr>
              <w:t xml:space="preserve"> </w:t>
            </w:r>
            <w:r w:rsidRPr="006E2BE1">
              <w:rPr>
                <w:color w:val="000000"/>
                <w:lang w:val="it-IT"/>
              </w:rPr>
              <w:t>maturato costituisce garanzia, le quali sono rile</w:t>
            </w:r>
            <w:r>
              <w:rPr>
                <w:color w:val="000000"/>
                <w:lang w:val="it-IT"/>
              </w:rPr>
              <w:t>vate tra i crediti nella voce “C</w:t>
            </w:r>
            <w:r w:rsidRPr="006E2BE1">
              <w:rPr>
                <w:color w:val="000000"/>
                <w:lang w:val="it-IT"/>
              </w:rPr>
              <w:t xml:space="preserve">rediti </w:t>
            </w:r>
            <w:r w:rsidRPr="003420A1">
              <w:rPr>
                <w:color w:val="000000"/>
                <w:lang w:val="it-IT"/>
              </w:rPr>
              <w:t>verso altri</w:t>
            </w:r>
            <w:r>
              <w:rPr>
                <w:color w:val="000000"/>
                <w:lang w:val="it-IT"/>
              </w:rPr>
              <w:t xml:space="preserve">” </w:t>
            </w:r>
            <w:r w:rsidRPr="006E2BE1">
              <w:rPr>
                <w:color w:val="000000"/>
                <w:lang w:val="it-IT"/>
              </w:rPr>
              <w:t>delle</w:t>
            </w:r>
            <w:r w:rsidRPr="003420A1">
              <w:rPr>
                <w:color w:val="000000"/>
                <w:lang w:val="it-IT"/>
              </w:rPr>
              <w:t xml:space="preserve"> </w:t>
            </w:r>
            <w:r w:rsidRPr="006E2BE1">
              <w:rPr>
                <w:color w:val="000000"/>
                <w:lang w:val="it-IT"/>
              </w:rPr>
              <w:t>immobilizzazioni finanziarie o dell’attivo circolante in relazione alla durata del prestito?</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BF5EED" w:rsidTr="000D7E0A">
        <w:trPr>
          <w:cantSplit/>
          <w:trHeight w:val="20"/>
        </w:trPr>
        <w:tc>
          <w:tcPr>
            <w:tcW w:w="680" w:type="dxa"/>
          </w:tcPr>
          <w:p w:rsidR="00AD4AE2" w:rsidRPr="00BD1173" w:rsidRDefault="00AD4AE2" w:rsidP="000D7E0A">
            <w:pPr>
              <w:jc w:val="center"/>
              <w:rPr>
                <w:b/>
                <w:lang w:val="it-IT"/>
              </w:rPr>
            </w:pPr>
            <w:r>
              <w:rPr>
                <w:b/>
                <w:lang w:val="it-IT"/>
              </w:rPr>
              <w:t>39</w:t>
            </w:r>
            <w:r w:rsidRPr="00BD1173">
              <w:rPr>
                <w:b/>
                <w:lang w:val="it-IT"/>
              </w:rPr>
              <w:t>)</w:t>
            </w:r>
          </w:p>
        </w:tc>
        <w:tc>
          <w:tcPr>
            <w:tcW w:w="852" w:type="dxa"/>
            <w:tcMar>
              <w:left w:w="108" w:type="dxa"/>
              <w:right w:w="0" w:type="dxa"/>
            </w:tcMar>
          </w:tcPr>
          <w:p w:rsidR="00AD4AE2" w:rsidRPr="00BF5EED" w:rsidRDefault="00AD4AE2" w:rsidP="000D7E0A">
            <w:pPr>
              <w:pStyle w:val="PrincCont"/>
              <w:jc w:val="left"/>
              <w:rPr>
                <w:lang w:val="it-IT"/>
              </w:rPr>
            </w:pPr>
            <w:r>
              <w:rPr>
                <w:lang w:val="it-IT"/>
              </w:rPr>
              <w:t>OIC 31.67</w:t>
            </w:r>
          </w:p>
        </w:tc>
        <w:tc>
          <w:tcPr>
            <w:tcW w:w="7059" w:type="dxa"/>
            <w:tcMar>
              <w:left w:w="108" w:type="dxa"/>
            </w:tcMar>
          </w:tcPr>
          <w:p w:rsidR="00AD4AE2" w:rsidRPr="00DA0755" w:rsidRDefault="00AD4AE2" w:rsidP="000D7E0A">
            <w:pPr>
              <w:spacing w:line="240" w:lineRule="exact"/>
              <w:rPr>
                <w:color w:val="000000"/>
                <w:lang w:val="it-IT"/>
              </w:rPr>
            </w:pPr>
            <w:r>
              <w:rPr>
                <w:color w:val="000000"/>
                <w:lang w:val="it-IT"/>
              </w:rPr>
              <w:t>Dalla</w:t>
            </w:r>
            <w:r w:rsidRPr="00537669">
              <w:rPr>
                <w:color w:val="000000"/>
                <w:lang w:val="it-IT"/>
              </w:rPr>
              <w:t xml:space="preserve"> passività sono</w:t>
            </w:r>
            <w:r>
              <w:rPr>
                <w:color w:val="000000"/>
                <w:lang w:val="it-IT"/>
              </w:rPr>
              <w:t xml:space="preserve"> state</w:t>
            </w:r>
            <w:r w:rsidRPr="00537669">
              <w:rPr>
                <w:color w:val="000000"/>
                <w:lang w:val="it-IT"/>
              </w:rPr>
              <w:t xml:space="preserve"> detratte le anticipazioni parziali del TFR maturato ed erogate in</w:t>
            </w:r>
            <w:r w:rsidRPr="003420A1">
              <w:rPr>
                <w:color w:val="000000"/>
                <w:lang w:val="it-IT"/>
              </w:rPr>
              <w:t xml:space="preserve"> </w:t>
            </w:r>
            <w:r w:rsidRPr="00537669">
              <w:rPr>
                <w:color w:val="000000"/>
                <w:lang w:val="it-IT"/>
              </w:rPr>
              <w:t>forza di contratti collettivi o individuali o di accordi aziendali, per le quali non ne è richiesto il</w:t>
            </w:r>
            <w:r w:rsidRPr="003420A1">
              <w:rPr>
                <w:color w:val="000000"/>
                <w:lang w:val="it-IT"/>
              </w:rPr>
              <w:t xml:space="preserve"> </w:t>
            </w:r>
            <w:r w:rsidRPr="00537669">
              <w:rPr>
                <w:color w:val="000000"/>
                <w:lang w:val="it-IT"/>
              </w:rPr>
              <w:t>rimborso?</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BB4963"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r>
              <w:rPr>
                <w:lang w:val="it-IT"/>
              </w:rPr>
              <w:t>OIC 31.68</w:t>
            </w:r>
          </w:p>
        </w:tc>
        <w:tc>
          <w:tcPr>
            <w:tcW w:w="7059" w:type="dxa"/>
            <w:tcMar>
              <w:left w:w="108" w:type="dxa"/>
            </w:tcMar>
          </w:tcPr>
          <w:p w:rsidR="00AD4AE2" w:rsidRPr="00BB4963" w:rsidRDefault="00AD4AE2" w:rsidP="000D7E0A">
            <w:pPr>
              <w:spacing w:line="240" w:lineRule="exact"/>
              <w:rPr>
                <w:color w:val="000000"/>
                <w:lang w:val="it-IT"/>
              </w:rPr>
            </w:pPr>
            <w:r w:rsidRPr="00BB4963">
              <w:rPr>
                <w:lang w:val="it-IT"/>
              </w:rPr>
              <w:t xml:space="preserve">Nel caso in cui i contratti in vigore siano scaduti prima della data di bilancio e gli effetti del loro rinnovo sul trattamento di fine rapporto siano ragionevolmente stimabili, ancorché non formalmente definiti alla data di formazione del bilancio, per l'eventuale accantonamento a tale data si </w:t>
            </w:r>
            <w:r>
              <w:rPr>
                <w:lang w:val="it-IT"/>
              </w:rPr>
              <w:t>è tenuto</w:t>
            </w:r>
            <w:r w:rsidRPr="00BB4963">
              <w:rPr>
                <w:lang w:val="it-IT"/>
              </w:rPr>
              <w:t xml:space="preserve"> conto di quanto previsto per la rilevazione degli effetti relativi ai fatti intervenuti dopo la chiusura dell’esercizio, come discipli</w:t>
            </w:r>
            <w:r>
              <w:rPr>
                <w:lang w:val="it-IT"/>
              </w:rPr>
              <w:t>nato nell’OIC 29?</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BF5EED" w:rsidTr="000D7E0A">
        <w:trPr>
          <w:cantSplit/>
          <w:trHeight w:val="20"/>
        </w:trPr>
        <w:tc>
          <w:tcPr>
            <w:tcW w:w="680" w:type="dxa"/>
          </w:tcPr>
          <w:p w:rsidR="00AD4AE2" w:rsidRPr="00BD1173" w:rsidRDefault="00AD4AE2" w:rsidP="000D7E0A">
            <w:pPr>
              <w:jc w:val="center"/>
              <w:rPr>
                <w:b/>
                <w:lang w:val="it-IT"/>
              </w:rPr>
            </w:pPr>
            <w:r>
              <w:rPr>
                <w:b/>
                <w:lang w:val="it-IT"/>
              </w:rPr>
              <w:t>40</w:t>
            </w:r>
            <w:r w:rsidRPr="00BD1173">
              <w:rPr>
                <w:b/>
                <w:lang w:val="it-IT"/>
              </w:rPr>
              <w:t>)</w:t>
            </w:r>
          </w:p>
        </w:tc>
        <w:tc>
          <w:tcPr>
            <w:tcW w:w="852" w:type="dxa"/>
            <w:tcMar>
              <w:left w:w="108" w:type="dxa"/>
              <w:right w:w="0" w:type="dxa"/>
            </w:tcMar>
          </w:tcPr>
          <w:p w:rsidR="00AD4AE2" w:rsidRPr="00BF5EED" w:rsidRDefault="00AD4AE2" w:rsidP="000D7E0A">
            <w:pPr>
              <w:pStyle w:val="PrincCont"/>
              <w:jc w:val="left"/>
              <w:rPr>
                <w:lang w:val="it-IT"/>
              </w:rPr>
            </w:pPr>
            <w:r>
              <w:rPr>
                <w:lang w:val="it-IT"/>
              </w:rPr>
              <w:t>OIC 31.69</w:t>
            </w:r>
          </w:p>
        </w:tc>
        <w:tc>
          <w:tcPr>
            <w:tcW w:w="7059" w:type="dxa"/>
            <w:tcMar>
              <w:left w:w="108" w:type="dxa"/>
            </w:tcMar>
          </w:tcPr>
          <w:p w:rsidR="00AD4AE2" w:rsidRPr="00D32C6A" w:rsidRDefault="00AD4AE2" w:rsidP="000D7E0A">
            <w:pPr>
              <w:spacing w:line="240" w:lineRule="exact"/>
              <w:rPr>
                <w:lang w:val="it-IT"/>
              </w:rPr>
            </w:pPr>
            <w:r w:rsidRPr="00537669">
              <w:rPr>
                <w:color w:val="000000"/>
                <w:lang w:val="it-IT"/>
              </w:rPr>
              <w:t>Qualora la società abbia provveduto alla stipulazione di polizze a fronte del trattamento di fine</w:t>
            </w:r>
            <w:r w:rsidRPr="00537669">
              <w:rPr>
                <w:rFonts w:cs="Arial"/>
                <w:sz w:val="24"/>
                <w:szCs w:val="24"/>
                <w:lang w:val="it-IT"/>
              </w:rPr>
              <w:t xml:space="preserve"> </w:t>
            </w:r>
            <w:r w:rsidRPr="00537669">
              <w:rPr>
                <w:color w:val="000000"/>
                <w:lang w:val="it-IT"/>
              </w:rPr>
              <w:t>rapporto maturato a suo carico prima della riforma della previdenza complementare,</w:t>
            </w:r>
            <w:r>
              <w:rPr>
                <w:color w:val="000000"/>
                <w:lang w:val="it-IT"/>
              </w:rPr>
              <w:t xml:space="preserve"> a fronte del</w:t>
            </w:r>
            <w:r w:rsidRPr="00537669">
              <w:rPr>
                <w:color w:val="000000"/>
                <w:lang w:val="it-IT"/>
              </w:rPr>
              <w:t>l’entità del</w:t>
            </w:r>
            <w:r w:rsidRPr="00537669">
              <w:rPr>
                <w:rFonts w:cs="Arial"/>
                <w:sz w:val="24"/>
                <w:szCs w:val="24"/>
                <w:lang w:val="it-IT"/>
              </w:rPr>
              <w:t xml:space="preserve"> </w:t>
            </w:r>
            <w:r w:rsidRPr="00537669">
              <w:rPr>
                <w:color w:val="000000"/>
                <w:lang w:val="it-IT"/>
              </w:rPr>
              <w:t xml:space="preserve">premio corrisposto alla compagnia assicuratrice </w:t>
            </w:r>
            <w:r>
              <w:rPr>
                <w:color w:val="000000"/>
                <w:lang w:val="it-IT"/>
              </w:rPr>
              <w:t xml:space="preserve">è stato iscritto </w:t>
            </w:r>
            <w:r w:rsidRPr="00537669">
              <w:rPr>
                <w:color w:val="000000"/>
                <w:lang w:val="it-IT"/>
              </w:rPr>
              <w:t xml:space="preserve">un </w:t>
            </w:r>
            <w:r>
              <w:rPr>
                <w:color w:val="000000"/>
                <w:lang w:val="it-IT"/>
              </w:rPr>
              <w:t>credito immobilizzato?</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3420A1" w:rsidTr="000D7E0A">
        <w:trPr>
          <w:cantSplit/>
          <w:trHeight w:val="20"/>
        </w:trPr>
        <w:tc>
          <w:tcPr>
            <w:tcW w:w="680" w:type="dxa"/>
          </w:tcPr>
          <w:p w:rsidR="00AD4AE2" w:rsidRPr="00BD1173" w:rsidRDefault="00AD4AE2" w:rsidP="000D7E0A">
            <w:pPr>
              <w:jc w:val="center"/>
              <w:rPr>
                <w:b/>
                <w:lang w:val="it-IT"/>
              </w:rPr>
            </w:pPr>
            <w:r>
              <w:rPr>
                <w:b/>
                <w:lang w:val="it-IT"/>
              </w:rPr>
              <w:t>41</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31.69</w:t>
            </w:r>
          </w:p>
        </w:tc>
        <w:tc>
          <w:tcPr>
            <w:tcW w:w="7059" w:type="dxa"/>
            <w:tcMar>
              <w:left w:w="108" w:type="dxa"/>
            </w:tcMar>
          </w:tcPr>
          <w:p w:rsidR="00AD4AE2" w:rsidRPr="00537669" w:rsidRDefault="00AD4AE2" w:rsidP="000D7E0A">
            <w:pPr>
              <w:spacing w:line="240" w:lineRule="exact"/>
              <w:rPr>
                <w:color w:val="000000"/>
                <w:lang w:val="it-IT"/>
              </w:rPr>
            </w:pPr>
            <w:r>
              <w:rPr>
                <w:color w:val="000000"/>
                <w:lang w:val="it-IT"/>
              </w:rPr>
              <w:t xml:space="preserve">Tale credito è stato esposto </w:t>
            </w:r>
            <w:r w:rsidRPr="00537669">
              <w:rPr>
                <w:color w:val="000000"/>
                <w:lang w:val="it-IT"/>
              </w:rPr>
              <w:t>alla voce</w:t>
            </w:r>
            <w:r>
              <w:rPr>
                <w:color w:val="000000"/>
                <w:lang w:val="it-IT"/>
              </w:rPr>
              <w:t xml:space="preserve"> BIII 2 dello stato patrimoniale?</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CC242B" w:rsidTr="000D7E0A">
        <w:trPr>
          <w:cantSplit/>
          <w:trHeight w:val="20"/>
        </w:trPr>
        <w:tc>
          <w:tcPr>
            <w:tcW w:w="680" w:type="dxa"/>
          </w:tcPr>
          <w:p w:rsidR="00AD4AE2" w:rsidRPr="00BD1173" w:rsidRDefault="00AD4AE2" w:rsidP="000D7E0A">
            <w:pPr>
              <w:jc w:val="center"/>
              <w:rPr>
                <w:b/>
                <w:lang w:val="it-IT"/>
              </w:rPr>
            </w:pPr>
            <w:r>
              <w:rPr>
                <w:b/>
                <w:lang w:val="it-IT"/>
              </w:rPr>
              <w:t>42)</w:t>
            </w:r>
          </w:p>
        </w:tc>
        <w:tc>
          <w:tcPr>
            <w:tcW w:w="852" w:type="dxa"/>
            <w:tcMar>
              <w:left w:w="108" w:type="dxa"/>
              <w:right w:w="0" w:type="dxa"/>
            </w:tcMar>
          </w:tcPr>
          <w:p w:rsidR="00AD4AE2" w:rsidRDefault="00AD4AE2" w:rsidP="000D7E0A">
            <w:pPr>
              <w:pStyle w:val="PrincCont"/>
              <w:jc w:val="left"/>
              <w:rPr>
                <w:lang w:val="it-IT"/>
              </w:rPr>
            </w:pPr>
            <w:r>
              <w:rPr>
                <w:lang w:val="it-IT"/>
              </w:rPr>
              <w:t>OIC 31.71</w:t>
            </w:r>
          </w:p>
        </w:tc>
        <w:tc>
          <w:tcPr>
            <w:tcW w:w="7059" w:type="dxa"/>
            <w:tcMar>
              <w:left w:w="108" w:type="dxa"/>
            </w:tcMar>
          </w:tcPr>
          <w:p w:rsidR="00AD4AE2" w:rsidRPr="00DF39AF" w:rsidRDefault="00AD4AE2" w:rsidP="000D7E0A">
            <w:pPr>
              <w:spacing w:line="240" w:lineRule="exact"/>
              <w:rPr>
                <w:color w:val="000000"/>
                <w:lang w:val="it-IT"/>
              </w:rPr>
            </w:pPr>
            <w:r w:rsidRPr="00DF39AF">
              <w:rPr>
                <w:lang w:val="it-IT"/>
              </w:rPr>
              <w:t>Gli ammontari di TFR relativi a rapporti di lavoro cessati, il cui pagamento è già scaduto o scadrà ad una data determinata dell'esercizio successivo, soddisfano i criteri per essere considerati debiti e sono quindi classificati nello stato patrimoniale nella voce D14.</w:t>
            </w:r>
          </w:p>
        </w:tc>
        <w:tc>
          <w:tcPr>
            <w:tcW w:w="586" w:type="dxa"/>
            <w:tcMar>
              <w:left w:w="85" w:type="dxa"/>
              <w:right w:w="85" w:type="dxa"/>
            </w:tcMar>
            <w:vAlign w:val="center"/>
          </w:tcPr>
          <w:p w:rsidR="00AD4AE2" w:rsidRPr="00DF39AF" w:rsidRDefault="00AD4AE2" w:rsidP="000D7E0A">
            <w:pPr>
              <w:jc w:val="center"/>
              <w:rPr>
                <w:lang w:val="it-IT"/>
              </w:rPr>
            </w:pPr>
          </w:p>
        </w:tc>
        <w:tc>
          <w:tcPr>
            <w:tcW w:w="573" w:type="dxa"/>
            <w:tcMar>
              <w:left w:w="108" w:type="dxa"/>
            </w:tcMar>
            <w:vAlign w:val="center"/>
          </w:tcPr>
          <w:p w:rsidR="00AD4AE2" w:rsidRPr="00DF39AF" w:rsidRDefault="00AD4AE2" w:rsidP="000D7E0A">
            <w:pPr>
              <w:jc w:val="center"/>
              <w:rPr>
                <w:lang w:val="it-IT"/>
              </w:rPr>
            </w:pPr>
          </w:p>
        </w:tc>
        <w:tc>
          <w:tcPr>
            <w:tcW w:w="570" w:type="dxa"/>
            <w:tcMar>
              <w:left w:w="108" w:type="dxa"/>
            </w:tcMar>
            <w:vAlign w:val="center"/>
          </w:tcPr>
          <w:p w:rsidR="00AD4AE2" w:rsidRPr="00DF39AF" w:rsidRDefault="00AD4AE2" w:rsidP="000D7E0A">
            <w:pPr>
              <w:jc w:val="center"/>
              <w:rPr>
                <w:lang w:val="it-IT"/>
              </w:rPr>
            </w:pPr>
          </w:p>
        </w:tc>
      </w:tr>
      <w:tr w:rsidR="00AD4AE2" w:rsidRPr="00CC242B"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8A0F36" w:rsidRDefault="00AD4AE2" w:rsidP="000D7E0A">
            <w:pPr>
              <w:pStyle w:val="PrincCont"/>
              <w:jc w:val="left"/>
              <w:rPr>
                <w:lang w:val="it-IT"/>
              </w:rPr>
            </w:pPr>
          </w:p>
        </w:tc>
        <w:tc>
          <w:tcPr>
            <w:tcW w:w="7059" w:type="dxa"/>
            <w:tcMar>
              <w:left w:w="108" w:type="dxa"/>
            </w:tcMar>
            <w:vAlign w:val="center"/>
          </w:tcPr>
          <w:p w:rsidR="00AD4AE2" w:rsidRPr="00AD4AE2" w:rsidRDefault="00AD4AE2" w:rsidP="000D7E0A">
            <w:pPr>
              <w:pStyle w:val="Titolo3"/>
              <w:jc w:val="left"/>
              <w:rPr>
                <w:lang w:val="it-IT"/>
              </w:rPr>
            </w:pPr>
            <w:r w:rsidRPr="00AD4AE2">
              <w:rPr>
                <w:lang w:val="it-IT"/>
              </w:rPr>
              <w:t>La disciplina contabile per le imprese con 50 o più dipendenti</w:t>
            </w:r>
          </w:p>
        </w:tc>
        <w:tc>
          <w:tcPr>
            <w:tcW w:w="586" w:type="dxa"/>
            <w:tcMar>
              <w:left w:w="85" w:type="dxa"/>
              <w:right w:w="85" w:type="dxa"/>
            </w:tcMar>
            <w:vAlign w:val="center"/>
          </w:tcPr>
          <w:p w:rsidR="00AD4AE2" w:rsidRPr="00A32A16" w:rsidRDefault="00AD4AE2" w:rsidP="000D7E0A">
            <w:pPr>
              <w:jc w:val="center"/>
              <w:rPr>
                <w:lang w:val="it-IT"/>
              </w:rPr>
            </w:pPr>
          </w:p>
        </w:tc>
        <w:tc>
          <w:tcPr>
            <w:tcW w:w="573" w:type="dxa"/>
            <w:tcMar>
              <w:left w:w="108" w:type="dxa"/>
            </w:tcMar>
            <w:vAlign w:val="center"/>
          </w:tcPr>
          <w:p w:rsidR="00AD4AE2" w:rsidRPr="00A32A16" w:rsidRDefault="00AD4AE2" w:rsidP="000D7E0A">
            <w:pPr>
              <w:jc w:val="center"/>
              <w:rPr>
                <w:lang w:val="it-IT"/>
              </w:rPr>
            </w:pPr>
          </w:p>
        </w:tc>
        <w:tc>
          <w:tcPr>
            <w:tcW w:w="570" w:type="dxa"/>
            <w:tcMar>
              <w:left w:w="108" w:type="dxa"/>
            </w:tcMar>
            <w:vAlign w:val="center"/>
          </w:tcPr>
          <w:p w:rsidR="00AD4AE2" w:rsidRPr="00A32A16" w:rsidRDefault="00AD4AE2" w:rsidP="000D7E0A">
            <w:pPr>
              <w:jc w:val="center"/>
              <w:rPr>
                <w:lang w:val="it-IT"/>
              </w:rPr>
            </w:pPr>
          </w:p>
        </w:tc>
      </w:tr>
      <w:tr w:rsidR="00AD4AE2" w:rsidRPr="00CC242B"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r>
              <w:rPr>
                <w:lang w:val="it-IT"/>
              </w:rPr>
              <w:t>OIC 31.72</w:t>
            </w:r>
          </w:p>
          <w:p w:rsidR="00AD4AE2" w:rsidRPr="008A0F36" w:rsidRDefault="00AD4AE2" w:rsidP="000D7E0A">
            <w:pPr>
              <w:pStyle w:val="PrincCont"/>
              <w:jc w:val="left"/>
              <w:rPr>
                <w:lang w:val="it-IT"/>
              </w:rPr>
            </w:pPr>
          </w:p>
        </w:tc>
        <w:tc>
          <w:tcPr>
            <w:tcW w:w="7059" w:type="dxa"/>
            <w:tcMar>
              <w:left w:w="108" w:type="dxa"/>
            </w:tcMar>
          </w:tcPr>
          <w:p w:rsidR="00AD4AE2" w:rsidRPr="0049572F" w:rsidRDefault="00AD4AE2" w:rsidP="000D7E0A">
            <w:pPr>
              <w:pStyle w:val="Commentiriquadro"/>
              <w:rPr>
                <w:color w:val="000000"/>
              </w:rPr>
            </w:pPr>
            <w:r>
              <w:rPr>
                <w:color w:val="000000"/>
              </w:rPr>
              <w:t>L</w:t>
            </w:r>
            <w:r w:rsidRPr="00B1253C">
              <w:rPr>
                <w:color w:val="000000"/>
              </w:rPr>
              <w:t>a Legge 27 dicembre 2006, n. 296 (Legge Finanziaria 2007) ha introdotto nuove regole per il Trattamento di fine rapporto che matura a partire dal 1° gennaio 2007 (nel seguito TFR “maturando”). La riforma non riguarda invece il TFR “maturato” al 31 dicembre 2006, che rimane in azienda nelle modalità già in a</w:t>
            </w:r>
            <w:r>
              <w:rPr>
                <w:color w:val="000000"/>
              </w:rPr>
              <w:t>tto ante riforma (cfr. OIC 31.62</w:t>
            </w:r>
            <w:r w:rsidRPr="00B1253C">
              <w:rPr>
                <w:color w:val="000000"/>
              </w:rPr>
              <w:t xml:space="preserve"> - </w:t>
            </w:r>
            <w:r>
              <w:rPr>
                <w:color w:val="000000"/>
              </w:rPr>
              <w:t>71</w:t>
            </w:r>
            <w:r w:rsidRPr="00B1253C">
              <w:rPr>
                <w:color w:val="000000"/>
              </w:rPr>
              <w:t>).</w:t>
            </w:r>
          </w:p>
        </w:tc>
        <w:tc>
          <w:tcPr>
            <w:tcW w:w="586" w:type="dxa"/>
            <w:tcMar>
              <w:left w:w="85" w:type="dxa"/>
              <w:right w:w="85" w:type="dxa"/>
            </w:tcMar>
            <w:vAlign w:val="center"/>
          </w:tcPr>
          <w:p w:rsidR="00AD4AE2" w:rsidRPr="00A32A16" w:rsidRDefault="00AD4AE2" w:rsidP="000D7E0A">
            <w:pPr>
              <w:jc w:val="center"/>
              <w:rPr>
                <w:lang w:val="it-IT"/>
              </w:rPr>
            </w:pPr>
          </w:p>
        </w:tc>
        <w:tc>
          <w:tcPr>
            <w:tcW w:w="573" w:type="dxa"/>
            <w:tcMar>
              <w:left w:w="108" w:type="dxa"/>
            </w:tcMar>
            <w:vAlign w:val="center"/>
          </w:tcPr>
          <w:p w:rsidR="00AD4AE2" w:rsidRPr="00A32A16" w:rsidRDefault="00AD4AE2" w:rsidP="000D7E0A">
            <w:pPr>
              <w:jc w:val="center"/>
              <w:rPr>
                <w:lang w:val="it-IT"/>
              </w:rPr>
            </w:pPr>
          </w:p>
        </w:tc>
        <w:tc>
          <w:tcPr>
            <w:tcW w:w="570" w:type="dxa"/>
            <w:tcMar>
              <w:left w:w="108" w:type="dxa"/>
            </w:tcMar>
            <w:vAlign w:val="center"/>
          </w:tcPr>
          <w:p w:rsidR="00AD4AE2" w:rsidRPr="00A32A16" w:rsidRDefault="00AD4AE2" w:rsidP="000D7E0A">
            <w:pPr>
              <w:jc w:val="center"/>
              <w:rPr>
                <w:lang w:val="it-IT"/>
              </w:rPr>
            </w:pPr>
          </w:p>
        </w:tc>
      </w:tr>
      <w:tr w:rsidR="00AD4AE2" w:rsidRPr="00CC242B"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r>
              <w:rPr>
                <w:lang w:val="it-IT"/>
              </w:rPr>
              <w:t>OIC 31.73</w:t>
            </w:r>
          </w:p>
          <w:p w:rsidR="00AD4AE2" w:rsidRDefault="00AD4AE2" w:rsidP="000D7E0A">
            <w:pPr>
              <w:pStyle w:val="PrincCont"/>
              <w:jc w:val="left"/>
              <w:rPr>
                <w:lang w:val="it-IT"/>
              </w:rPr>
            </w:pPr>
            <w:r>
              <w:rPr>
                <w:lang w:val="it-IT"/>
              </w:rPr>
              <w:t>OIC 31.75</w:t>
            </w:r>
          </w:p>
        </w:tc>
        <w:tc>
          <w:tcPr>
            <w:tcW w:w="7059" w:type="dxa"/>
            <w:tcMar>
              <w:left w:w="108" w:type="dxa"/>
            </w:tcMar>
          </w:tcPr>
          <w:p w:rsidR="00AD4AE2" w:rsidRPr="00B87E6D" w:rsidRDefault="00AD4AE2" w:rsidP="000D7E0A">
            <w:pPr>
              <w:pStyle w:val="Commentiriquadro"/>
              <w:rPr>
                <w:color w:val="000000"/>
              </w:rPr>
            </w:pPr>
            <w:r w:rsidRPr="00B87E6D">
              <w:rPr>
                <w:color w:val="000000"/>
              </w:rPr>
              <w:t>Per effetto di detta riforma, quindi:</w:t>
            </w:r>
          </w:p>
          <w:p w:rsidR="00AD4AE2" w:rsidRPr="00B87E6D" w:rsidRDefault="00AD4AE2" w:rsidP="000D7E0A">
            <w:pPr>
              <w:pStyle w:val="Commentiriquadro"/>
              <w:ind w:left="176" w:hanging="119"/>
              <w:rPr>
                <w:color w:val="000000"/>
              </w:rPr>
            </w:pPr>
            <w:r>
              <w:rPr>
                <w:color w:val="000000"/>
              </w:rPr>
              <w:t xml:space="preserve">- </w:t>
            </w:r>
            <w:r>
              <w:rPr>
                <w:color w:val="000000"/>
              </w:rPr>
              <w:tab/>
              <w:t>l</w:t>
            </w:r>
            <w:r w:rsidRPr="00B87E6D">
              <w:rPr>
                <w:color w:val="000000"/>
              </w:rPr>
              <w:t xml:space="preserve">e quote di TFR maturate fino al 31 dicembre 2006 rimangono in azienda ed </w:t>
            </w:r>
            <w:r>
              <w:rPr>
                <w:color w:val="000000"/>
              </w:rPr>
              <w:t>ad esse</w:t>
            </w:r>
            <w:r w:rsidRPr="00B87E6D">
              <w:rPr>
                <w:color w:val="000000"/>
              </w:rPr>
              <w:t xml:space="preserve"> si applica la disciplina contabile</w:t>
            </w:r>
            <w:r>
              <w:rPr>
                <w:color w:val="000000"/>
              </w:rPr>
              <w:t xml:space="preserve"> di cui ai precedenti paragrafi</w:t>
            </w:r>
          </w:p>
          <w:p w:rsidR="00AD4AE2" w:rsidRPr="00B87E6D" w:rsidRDefault="00AD4AE2" w:rsidP="000D7E0A">
            <w:pPr>
              <w:pStyle w:val="Commentiriquadro"/>
              <w:ind w:left="176" w:hanging="119"/>
              <w:rPr>
                <w:color w:val="000000"/>
              </w:rPr>
            </w:pPr>
            <w:r w:rsidRPr="00B87E6D">
              <w:rPr>
                <w:color w:val="000000"/>
              </w:rPr>
              <w:t>-</w:t>
            </w:r>
            <w:r>
              <w:rPr>
                <w:color w:val="000000"/>
              </w:rPr>
              <w:tab/>
            </w:r>
            <w:r w:rsidRPr="00B87E6D">
              <w:rPr>
                <w:color w:val="000000"/>
              </w:rPr>
              <w:t>le quote di TFR maturande a partire dal 1°gennaio 2007 devono, a scelta del dipendente,</w:t>
            </w:r>
            <w:r>
              <w:rPr>
                <w:color w:val="000000"/>
              </w:rPr>
              <w:t xml:space="preserve"> </w:t>
            </w:r>
            <w:r w:rsidRPr="00B87E6D">
              <w:rPr>
                <w:color w:val="000000"/>
              </w:rPr>
              <w:t>essere destinate a forme di previdenza complementare; ovvero essere mantenute in azienda, la quale provvederà a trasferire le quote di TFR al Fondo di Tesoreria, gestito dall’INPS.</w:t>
            </w:r>
            <w:r>
              <w:rPr>
                <w:color w:val="000000"/>
              </w:rPr>
              <w:t xml:space="preserve"> </w:t>
            </w:r>
            <w:r w:rsidRPr="00B87E6D">
              <w:rPr>
                <w:color w:val="000000"/>
              </w:rPr>
              <w:t>Le quote versate, di anno in anno, ai fondi di tesoreri</w:t>
            </w:r>
            <w:r>
              <w:rPr>
                <w:color w:val="000000"/>
              </w:rPr>
              <w:t xml:space="preserve">a o di previdenza complementari </w:t>
            </w:r>
            <w:r w:rsidRPr="00B87E6D">
              <w:rPr>
                <w:color w:val="000000"/>
              </w:rPr>
              <w:t>rappresentano l’unico contributo che il datore di lavoro è tenuto ad assolvere, ed esclude ogni</w:t>
            </w:r>
            <w:r>
              <w:rPr>
                <w:color w:val="000000"/>
              </w:rPr>
              <w:t xml:space="preserve"> </w:t>
            </w:r>
            <w:r w:rsidRPr="00B87E6D">
              <w:rPr>
                <w:color w:val="000000"/>
              </w:rPr>
              <w:t>possibile onere o garanzia di rendimento o rivalutazione delle quote versate ai fondi.</w:t>
            </w:r>
          </w:p>
        </w:tc>
        <w:tc>
          <w:tcPr>
            <w:tcW w:w="586" w:type="dxa"/>
            <w:tcMar>
              <w:left w:w="85" w:type="dxa"/>
              <w:right w:w="85" w:type="dxa"/>
            </w:tcMar>
            <w:vAlign w:val="center"/>
          </w:tcPr>
          <w:p w:rsidR="00AD4AE2" w:rsidRPr="00D20226" w:rsidRDefault="00AD4AE2" w:rsidP="000D7E0A">
            <w:pPr>
              <w:jc w:val="center"/>
              <w:rPr>
                <w:lang w:val="it-IT"/>
              </w:rPr>
            </w:pPr>
          </w:p>
        </w:tc>
        <w:tc>
          <w:tcPr>
            <w:tcW w:w="573" w:type="dxa"/>
            <w:tcMar>
              <w:left w:w="108" w:type="dxa"/>
            </w:tcMar>
            <w:vAlign w:val="center"/>
          </w:tcPr>
          <w:p w:rsidR="00AD4AE2" w:rsidRPr="00D20226" w:rsidRDefault="00AD4AE2" w:rsidP="000D7E0A">
            <w:pPr>
              <w:jc w:val="center"/>
              <w:rPr>
                <w:lang w:val="it-IT"/>
              </w:rPr>
            </w:pPr>
          </w:p>
        </w:tc>
        <w:tc>
          <w:tcPr>
            <w:tcW w:w="570" w:type="dxa"/>
            <w:tcMar>
              <w:left w:w="108" w:type="dxa"/>
            </w:tcMar>
            <w:vAlign w:val="center"/>
          </w:tcPr>
          <w:p w:rsidR="00AD4AE2" w:rsidRPr="00D20226" w:rsidRDefault="00AD4AE2" w:rsidP="000D7E0A">
            <w:pPr>
              <w:jc w:val="center"/>
              <w:rPr>
                <w:lang w:val="it-IT"/>
              </w:rPr>
            </w:pPr>
          </w:p>
        </w:tc>
      </w:tr>
      <w:tr w:rsidR="00AD4AE2" w:rsidRPr="004B4AC8" w:rsidTr="000D7E0A">
        <w:trPr>
          <w:cantSplit/>
          <w:trHeight w:val="20"/>
        </w:trPr>
        <w:tc>
          <w:tcPr>
            <w:tcW w:w="680" w:type="dxa"/>
          </w:tcPr>
          <w:p w:rsidR="00AD4AE2" w:rsidRPr="00BD1173" w:rsidRDefault="00AD4AE2" w:rsidP="000D7E0A">
            <w:pPr>
              <w:jc w:val="center"/>
              <w:rPr>
                <w:b/>
                <w:lang w:val="it-IT"/>
              </w:rPr>
            </w:pPr>
            <w:r>
              <w:rPr>
                <w:b/>
                <w:lang w:val="it-IT"/>
              </w:rPr>
              <w:t>43</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31.76</w:t>
            </w:r>
          </w:p>
          <w:p w:rsidR="00AD4AE2" w:rsidRDefault="00AD4AE2" w:rsidP="000D7E0A">
            <w:pPr>
              <w:pStyle w:val="PrincCont"/>
              <w:jc w:val="left"/>
              <w:rPr>
                <w:lang w:val="it-IT"/>
              </w:rPr>
            </w:pPr>
          </w:p>
        </w:tc>
        <w:tc>
          <w:tcPr>
            <w:tcW w:w="7059" w:type="dxa"/>
            <w:tcMar>
              <w:left w:w="108" w:type="dxa"/>
            </w:tcMar>
          </w:tcPr>
          <w:p w:rsidR="00AD4AE2" w:rsidRPr="00BA3902" w:rsidRDefault="00AD4AE2" w:rsidP="000D7E0A">
            <w:pPr>
              <w:pStyle w:val="Titolo2"/>
              <w:spacing w:line="230" w:lineRule="exact"/>
              <w:jc w:val="both"/>
              <w:rPr>
                <w:b w:val="0"/>
                <w:color w:val="000000"/>
                <w:sz w:val="20"/>
                <w:lang w:val="it-IT"/>
              </w:rPr>
            </w:pPr>
            <w:r w:rsidRPr="00BA3902">
              <w:rPr>
                <w:b w:val="0"/>
                <w:color w:val="000000"/>
                <w:sz w:val="20"/>
                <w:lang w:val="it-IT"/>
              </w:rPr>
              <w:t>Per le quote maturande, la società</w:t>
            </w:r>
            <w:r>
              <w:rPr>
                <w:b w:val="0"/>
                <w:color w:val="000000"/>
                <w:sz w:val="20"/>
                <w:lang w:val="it-IT"/>
              </w:rPr>
              <w:t xml:space="preserve"> ha </w:t>
            </w:r>
            <w:r w:rsidRPr="00BA3902">
              <w:rPr>
                <w:b w:val="0"/>
                <w:color w:val="000000"/>
                <w:sz w:val="20"/>
                <w:lang w:val="it-IT"/>
              </w:rPr>
              <w:t>rileva</w:t>
            </w:r>
            <w:r>
              <w:rPr>
                <w:b w:val="0"/>
                <w:color w:val="000000"/>
                <w:sz w:val="20"/>
                <w:lang w:val="it-IT"/>
              </w:rPr>
              <w:t xml:space="preserve">to </w:t>
            </w:r>
            <w:r w:rsidRPr="00BA3902">
              <w:rPr>
                <w:b w:val="0"/>
                <w:color w:val="000000"/>
                <w:sz w:val="20"/>
                <w:lang w:val="it-IT"/>
              </w:rPr>
              <w:t>nel conto economico, alla voce B9</w:t>
            </w:r>
            <w:r>
              <w:rPr>
                <w:b w:val="0"/>
                <w:color w:val="000000"/>
                <w:sz w:val="20"/>
                <w:lang w:val="it-IT"/>
              </w:rPr>
              <w:t xml:space="preserve"> </w:t>
            </w:r>
            <w:r w:rsidRPr="00BA3902">
              <w:rPr>
                <w:b w:val="0"/>
                <w:color w:val="000000"/>
                <w:sz w:val="20"/>
                <w:lang w:val="it-IT"/>
              </w:rPr>
              <w:t>c), solo il costo (escluso l’effetto della relativa rivalutazione ora non più a carico del datore di lavoro)</w:t>
            </w:r>
            <w:r>
              <w:rPr>
                <w:b w:val="0"/>
                <w:color w:val="000000"/>
                <w:sz w:val="20"/>
                <w:lang w:val="it-IT"/>
              </w:rPr>
              <w:t>?</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4B4AC8" w:rsidTr="000D7E0A">
        <w:trPr>
          <w:cantSplit/>
          <w:trHeight w:val="20"/>
        </w:trPr>
        <w:tc>
          <w:tcPr>
            <w:tcW w:w="680" w:type="dxa"/>
          </w:tcPr>
          <w:p w:rsidR="00AD4AE2" w:rsidRPr="00BD1173" w:rsidRDefault="00AD4AE2" w:rsidP="000D7E0A">
            <w:pPr>
              <w:jc w:val="center"/>
              <w:rPr>
                <w:b/>
                <w:lang w:val="it-IT"/>
              </w:rPr>
            </w:pPr>
            <w:r>
              <w:rPr>
                <w:b/>
                <w:lang w:val="it-IT"/>
              </w:rPr>
              <w:t>44</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31.76</w:t>
            </w:r>
          </w:p>
          <w:p w:rsidR="00AD4AE2" w:rsidRDefault="00AD4AE2" w:rsidP="000D7E0A">
            <w:pPr>
              <w:pStyle w:val="PrincCont"/>
              <w:jc w:val="left"/>
              <w:rPr>
                <w:lang w:val="it-IT"/>
              </w:rPr>
            </w:pPr>
          </w:p>
        </w:tc>
        <w:tc>
          <w:tcPr>
            <w:tcW w:w="7059" w:type="dxa"/>
            <w:tcMar>
              <w:left w:w="108" w:type="dxa"/>
            </w:tcMar>
          </w:tcPr>
          <w:p w:rsidR="00AD4AE2" w:rsidRPr="00CC11CE" w:rsidRDefault="00AD4AE2" w:rsidP="000D7E0A">
            <w:pPr>
              <w:pStyle w:val="Titolo2"/>
              <w:spacing w:line="230" w:lineRule="exact"/>
              <w:jc w:val="both"/>
              <w:rPr>
                <w:b w:val="0"/>
                <w:sz w:val="20"/>
                <w:lang w:val="it-IT"/>
              </w:rPr>
            </w:pPr>
            <w:r>
              <w:rPr>
                <w:b w:val="0"/>
                <w:color w:val="000000"/>
                <w:sz w:val="20"/>
                <w:lang w:val="it-IT"/>
              </w:rPr>
              <w:t>I</w:t>
            </w:r>
            <w:r w:rsidRPr="00BA3902">
              <w:rPr>
                <w:b w:val="0"/>
                <w:color w:val="000000"/>
                <w:sz w:val="20"/>
                <w:lang w:val="it-IT"/>
              </w:rPr>
              <w:t>l debito relativo alla quota non ancor</w:t>
            </w:r>
            <w:r>
              <w:rPr>
                <w:b w:val="0"/>
                <w:color w:val="000000"/>
                <w:sz w:val="20"/>
                <w:lang w:val="it-IT"/>
              </w:rPr>
              <w:t>a versata alla data di bilancio</w:t>
            </w:r>
            <w:r w:rsidRPr="00BA3902">
              <w:rPr>
                <w:b w:val="0"/>
                <w:color w:val="000000"/>
                <w:sz w:val="20"/>
                <w:lang w:val="it-IT"/>
              </w:rPr>
              <w:t xml:space="preserve"> e</w:t>
            </w:r>
            <w:r>
              <w:rPr>
                <w:b w:val="0"/>
                <w:color w:val="000000"/>
                <w:sz w:val="20"/>
                <w:lang w:val="it-IT"/>
              </w:rPr>
              <w:t xml:space="preserve"> stato </w:t>
            </w:r>
            <w:r w:rsidRPr="00BA3902">
              <w:rPr>
                <w:b w:val="0"/>
                <w:color w:val="000000"/>
                <w:sz w:val="20"/>
                <w:lang w:val="it-IT"/>
              </w:rPr>
              <w:t>rileva</w:t>
            </w:r>
            <w:r>
              <w:rPr>
                <w:b w:val="0"/>
                <w:color w:val="000000"/>
                <w:sz w:val="20"/>
                <w:lang w:val="it-IT"/>
              </w:rPr>
              <w:t>to</w:t>
            </w:r>
            <w:r w:rsidRPr="00BA3902">
              <w:rPr>
                <w:b w:val="0"/>
                <w:color w:val="000000"/>
                <w:sz w:val="20"/>
                <w:lang w:val="it-IT"/>
              </w:rPr>
              <w:t xml:space="preserve"> nella voce D1</w:t>
            </w:r>
            <w:r>
              <w:rPr>
                <w:b w:val="0"/>
                <w:color w:val="000000"/>
                <w:sz w:val="20"/>
                <w:lang w:val="it-IT"/>
              </w:rPr>
              <w:t>4</w:t>
            </w:r>
            <w:r w:rsidRPr="00BA3902">
              <w:rPr>
                <w:b w:val="0"/>
                <w:color w:val="000000"/>
                <w:sz w:val="20"/>
                <w:lang w:val="it-IT"/>
              </w:rPr>
              <w:t xml:space="preserve"> del passivo</w:t>
            </w:r>
            <w:r>
              <w:rPr>
                <w:b w:val="0"/>
                <w:color w:val="000000"/>
                <w:sz w:val="20"/>
                <w:lang w:val="it-IT"/>
              </w:rPr>
              <w:t>?</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CA1681">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AD4AE2" w:rsidRPr="0000372D"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A93BDD" w:rsidRDefault="00AD4AE2" w:rsidP="000D7E0A">
            <w:pPr>
              <w:pStyle w:val="Titolo3"/>
            </w:pPr>
            <w:r w:rsidRPr="00A93BDD">
              <w:t>Nota Integrativa</w:t>
            </w:r>
          </w:p>
        </w:tc>
        <w:tc>
          <w:tcPr>
            <w:tcW w:w="586" w:type="dxa"/>
            <w:tcMar>
              <w:left w:w="85" w:type="dxa"/>
              <w:right w:w="85" w:type="dxa"/>
            </w:tcMar>
            <w:vAlign w:val="center"/>
          </w:tcPr>
          <w:p w:rsidR="00AD4AE2" w:rsidRPr="00B94B6C" w:rsidRDefault="00AD4AE2" w:rsidP="000D7E0A">
            <w:pPr>
              <w:jc w:val="center"/>
              <w:rPr>
                <w:lang w:val="it-IT"/>
              </w:rPr>
            </w:pPr>
          </w:p>
        </w:tc>
        <w:tc>
          <w:tcPr>
            <w:tcW w:w="573" w:type="dxa"/>
            <w:tcMar>
              <w:left w:w="108" w:type="dxa"/>
            </w:tcMar>
            <w:vAlign w:val="center"/>
          </w:tcPr>
          <w:p w:rsidR="00AD4AE2" w:rsidRPr="00B94B6C" w:rsidRDefault="00AD4AE2" w:rsidP="000D7E0A">
            <w:pPr>
              <w:jc w:val="center"/>
              <w:rPr>
                <w:lang w:val="it-IT"/>
              </w:rPr>
            </w:pPr>
          </w:p>
        </w:tc>
        <w:tc>
          <w:tcPr>
            <w:tcW w:w="570" w:type="dxa"/>
            <w:tcMar>
              <w:left w:w="108" w:type="dxa"/>
            </w:tcMar>
            <w:vAlign w:val="center"/>
          </w:tcPr>
          <w:p w:rsidR="00AD4AE2" w:rsidRPr="00B94B6C" w:rsidRDefault="00AD4AE2" w:rsidP="000D7E0A">
            <w:pPr>
              <w:jc w:val="center"/>
              <w:rPr>
                <w:lang w:val="it-IT"/>
              </w:rPr>
            </w:pPr>
          </w:p>
        </w:tc>
      </w:tr>
      <w:tr w:rsidR="00AD4AE2" w:rsidRPr="00CC242B"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A93BDD" w:rsidRDefault="00AD4AE2" w:rsidP="000D7E0A">
            <w:pPr>
              <w:pStyle w:val="Titolo4"/>
            </w:pPr>
            <w:r w:rsidRPr="00A93BDD">
              <w:t>Informazioni relative alle società che redigono il bilancio in forma ordinaria</w:t>
            </w:r>
          </w:p>
        </w:tc>
        <w:tc>
          <w:tcPr>
            <w:tcW w:w="586" w:type="dxa"/>
            <w:tcMar>
              <w:left w:w="85" w:type="dxa"/>
              <w:right w:w="85" w:type="dxa"/>
            </w:tcMar>
            <w:vAlign w:val="center"/>
          </w:tcPr>
          <w:p w:rsidR="00AD4AE2" w:rsidRPr="00B94B6C" w:rsidRDefault="00AD4AE2" w:rsidP="000D7E0A">
            <w:pPr>
              <w:jc w:val="center"/>
              <w:rPr>
                <w:lang w:val="it-IT"/>
              </w:rPr>
            </w:pPr>
          </w:p>
        </w:tc>
        <w:tc>
          <w:tcPr>
            <w:tcW w:w="573" w:type="dxa"/>
            <w:tcMar>
              <w:left w:w="108" w:type="dxa"/>
            </w:tcMar>
            <w:vAlign w:val="center"/>
          </w:tcPr>
          <w:p w:rsidR="00AD4AE2" w:rsidRPr="00B94B6C" w:rsidRDefault="00AD4AE2" w:rsidP="000D7E0A">
            <w:pPr>
              <w:jc w:val="center"/>
              <w:rPr>
                <w:lang w:val="it-IT"/>
              </w:rPr>
            </w:pPr>
          </w:p>
        </w:tc>
        <w:tc>
          <w:tcPr>
            <w:tcW w:w="570" w:type="dxa"/>
            <w:tcMar>
              <w:left w:w="108" w:type="dxa"/>
            </w:tcMar>
            <w:vAlign w:val="center"/>
          </w:tcPr>
          <w:p w:rsidR="00AD4AE2" w:rsidRPr="00B94B6C" w:rsidRDefault="00AD4AE2" w:rsidP="000D7E0A">
            <w:pPr>
              <w:jc w:val="center"/>
              <w:rPr>
                <w:lang w:val="it-IT"/>
              </w:rPr>
            </w:pPr>
          </w:p>
        </w:tc>
      </w:tr>
      <w:tr w:rsidR="00AD4AE2" w:rsidRPr="00CC242B" w:rsidTr="000D7E0A">
        <w:trPr>
          <w:cantSplit/>
          <w:trHeight w:val="20"/>
        </w:trPr>
        <w:tc>
          <w:tcPr>
            <w:tcW w:w="680" w:type="dxa"/>
          </w:tcPr>
          <w:p w:rsidR="00AD4AE2" w:rsidRPr="00BD1173" w:rsidRDefault="00AD4AE2" w:rsidP="000D7E0A">
            <w:pPr>
              <w:jc w:val="center"/>
              <w:rPr>
                <w:b/>
                <w:lang w:val="it-IT"/>
              </w:rPr>
            </w:pPr>
            <w:r>
              <w:rPr>
                <w:b/>
                <w:lang w:val="it-IT"/>
              </w:rPr>
              <w:t>45</w:t>
            </w:r>
            <w:r w:rsidRPr="00BD1173">
              <w:rPr>
                <w:b/>
                <w:lang w:val="it-IT"/>
              </w:rPr>
              <w:t>)</w:t>
            </w:r>
          </w:p>
        </w:tc>
        <w:tc>
          <w:tcPr>
            <w:tcW w:w="852" w:type="dxa"/>
            <w:tcMar>
              <w:left w:w="108" w:type="dxa"/>
              <w:right w:w="0" w:type="dxa"/>
            </w:tcMar>
          </w:tcPr>
          <w:p w:rsidR="00AD4AE2" w:rsidRPr="00916E27" w:rsidRDefault="00AD4AE2" w:rsidP="000D7E0A">
            <w:pPr>
              <w:pStyle w:val="PrincCont"/>
              <w:jc w:val="left"/>
            </w:pPr>
            <w:r>
              <w:t>Art</w:t>
            </w:r>
            <w:r w:rsidRPr="00916E27">
              <w:t>.2427, c.1</w:t>
            </w:r>
            <w:r>
              <w:t>, CC             OIC 31.77</w:t>
            </w:r>
          </w:p>
        </w:tc>
        <w:tc>
          <w:tcPr>
            <w:tcW w:w="7059" w:type="dxa"/>
            <w:tcMar>
              <w:left w:w="108" w:type="dxa"/>
            </w:tcMar>
          </w:tcPr>
          <w:p w:rsidR="00AD4AE2" w:rsidRPr="00B94B6C" w:rsidRDefault="00AD4AE2" w:rsidP="000D7E0A">
            <w:pPr>
              <w:spacing w:line="230" w:lineRule="exact"/>
              <w:rPr>
                <w:rFonts w:ascii="Times New Roman" w:hAnsi="Times New Roman"/>
                <w:sz w:val="22"/>
                <w:szCs w:val="22"/>
                <w:lang w:val="it-IT" w:eastAsia="it-IT"/>
              </w:rPr>
            </w:pPr>
            <w:r>
              <w:rPr>
                <w:lang w:val="it-IT"/>
              </w:rPr>
              <w:t>N</w:t>
            </w:r>
            <w:r w:rsidRPr="008516E9">
              <w:rPr>
                <w:lang w:val="it-IT"/>
              </w:rPr>
              <w:t xml:space="preserve">ella </w:t>
            </w:r>
            <w:r>
              <w:rPr>
                <w:lang w:val="it-IT"/>
              </w:rPr>
              <w:t>Nota Integrativa</w:t>
            </w:r>
            <w:r w:rsidRPr="008516E9">
              <w:rPr>
                <w:lang w:val="it-IT"/>
              </w:rPr>
              <w:t xml:space="preserve"> sono state f</w:t>
            </w:r>
            <w:r>
              <w:rPr>
                <w:lang w:val="it-IT"/>
              </w:rPr>
              <w:t>ornite le seguenti informazioni:</w:t>
            </w:r>
          </w:p>
        </w:tc>
        <w:tc>
          <w:tcPr>
            <w:tcW w:w="586" w:type="dxa"/>
            <w:tcMar>
              <w:left w:w="85" w:type="dxa"/>
              <w:right w:w="85" w:type="dxa"/>
            </w:tcMar>
            <w:vAlign w:val="center"/>
          </w:tcPr>
          <w:p w:rsidR="00AD4AE2" w:rsidRPr="00A32A16" w:rsidRDefault="00AD4AE2" w:rsidP="000D7E0A">
            <w:pPr>
              <w:jc w:val="center"/>
              <w:rPr>
                <w:lang w:val="it-IT"/>
              </w:rPr>
            </w:pPr>
          </w:p>
        </w:tc>
        <w:tc>
          <w:tcPr>
            <w:tcW w:w="573" w:type="dxa"/>
            <w:tcMar>
              <w:left w:w="108" w:type="dxa"/>
            </w:tcMar>
            <w:vAlign w:val="center"/>
          </w:tcPr>
          <w:p w:rsidR="00AD4AE2" w:rsidRPr="00A32A16" w:rsidRDefault="00AD4AE2" w:rsidP="000D7E0A">
            <w:pPr>
              <w:jc w:val="center"/>
              <w:rPr>
                <w:lang w:val="it-IT"/>
              </w:rPr>
            </w:pPr>
          </w:p>
        </w:tc>
        <w:tc>
          <w:tcPr>
            <w:tcW w:w="570" w:type="dxa"/>
            <w:tcMar>
              <w:left w:w="108" w:type="dxa"/>
            </w:tcMar>
            <w:vAlign w:val="center"/>
          </w:tcPr>
          <w:p w:rsidR="00AD4AE2" w:rsidRPr="00A32A16" w:rsidRDefault="00AD4AE2" w:rsidP="000D7E0A">
            <w:pPr>
              <w:jc w:val="center"/>
              <w:rPr>
                <w:lang w:val="it-IT"/>
              </w:rPr>
            </w:pPr>
          </w:p>
        </w:tc>
      </w:tr>
      <w:tr w:rsidR="00AD4AE2" w:rsidRPr="00EA46CB" w:rsidTr="000D7E0A">
        <w:trPr>
          <w:cantSplit/>
          <w:trHeight w:val="494"/>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7451FD" w:rsidRDefault="00AD4AE2" w:rsidP="000D7E0A">
            <w:pPr>
              <w:pStyle w:val="PrincCont"/>
              <w:jc w:val="left"/>
            </w:pPr>
            <w:r>
              <w:t>Art</w:t>
            </w:r>
            <w:r w:rsidRPr="00916E27">
              <w:t>.2427, c.1</w:t>
            </w:r>
            <w:r>
              <w:t>, n.1, CC</w:t>
            </w:r>
          </w:p>
        </w:tc>
        <w:tc>
          <w:tcPr>
            <w:tcW w:w="7059" w:type="dxa"/>
            <w:tcMar>
              <w:left w:w="108" w:type="dxa"/>
            </w:tcMar>
          </w:tcPr>
          <w:p w:rsidR="00AD4AE2" w:rsidRPr="008516E9" w:rsidRDefault="00AD4AE2" w:rsidP="000B29F2">
            <w:pPr>
              <w:pStyle w:val="rientrotrattinook"/>
              <w:tabs>
                <w:tab w:val="clear" w:pos="704"/>
              </w:tabs>
              <w:ind w:left="459" w:hanging="284"/>
            </w:pPr>
            <w:r>
              <w:t>i criteri applicatI</w:t>
            </w:r>
            <w:r w:rsidRPr="008516E9">
              <w:t xml:space="preserve"> nella valutazione, nelle rettifiche di valore e nella conversione dei valori </w:t>
            </w:r>
            <w:r>
              <w:t>non espressi all’origine in euro</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4C7CBE" w:rsidTr="000D7E0A">
        <w:trPr>
          <w:cantSplit/>
          <w:trHeight w:val="20"/>
        </w:trPr>
        <w:tc>
          <w:tcPr>
            <w:tcW w:w="680" w:type="dxa"/>
          </w:tcPr>
          <w:p w:rsidR="00AD4AE2" w:rsidRDefault="00AD4AE2" w:rsidP="000D7E0A">
            <w:pPr>
              <w:jc w:val="center"/>
              <w:rPr>
                <w:lang w:val="it-IT"/>
              </w:rPr>
            </w:pPr>
          </w:p>
        </w:tc>
        <w:tc>
          <w:tcPr>
            <w:tcW w:w="852" w:type="dxa"/>
            <w:tcMar>
              <w:left w:w="108" w:type="dxa"/>
              <w:right w:w="0" w:type="dxa"/>
            </w:tcMar>
          </w:tcPr>
          <w:p w:rsidR="00AD4AE2" w:rsidRPr="00916E27" w:rsidRDefault="00AD4AE2" w:rsidP="000D7E0A">
            <w:pPr>
              <w:pStyle w:val="PrincCont"/>
              <w:jc w:val="left"/>
              <w:rPr>
                <w:lang w:val="it-IT"/>
              </w:rPr>
            </w:pPr>
            <w:r w:rsidRPr="00916E27">
              <w:rPr>
                <w:lang w:val="it-IT"/>
              </w:rPr>
              <w:t>Art.2427, c.</w:t>
            </w:r>
            <w:r>
              <w:rPr>
                <w:lang w:val="it-IT"/>
              </w:rPr>
              <w:t>1</w:t>
            </w:r>
            <w:r w:rsidRPr="00916E27">
              <w:rPr>
                <w:lang w:val="it-IT"/>
              </w:rPr>
              <w:t>, n.</w:t>
            </w:r>
            <w:r>
              <w:rPr>
                <w:lang w:val="it-IT"/>
              </w:rPr>
              <w:t>4</w:t>
            </w:r>
            <w:r w:rsidRPr="00916E27">
              <w:rPr>
                <w:lang w:val="it-IT"/>
              </w:rPr>
              <w:t>, CC</w:t>
            </w:r>
          </w:p>
          <w:p w:rsidR="00AD4AE2" w:rsidRDefault="00AD4AE2" w:rsidP="000D7E0A">
            <w:pPr>
              <w:pStyle w:val="PrincCont"/>
              <w:jc w:val="left"/>
              <w:rPr>
                <w:lang w:val="it-IT"/>
              </w:rPr>
            </w:pPr>
          </w:p>
        </w:tc>
        <w:tc>
          <w:tcPr>
            <w:tcW w:w="7059" w:type="dxa"/>
            <w:tcMar>
              <w:left w:w="108" w:type="dxa"/>
            </w:tcMar>
          </w:tcPr>
          <w:p w:rsidR="00AD4AE2" w:rsidRPr="0081642F" w:rsidRDefault="00AD4AE2" w:rsidP="000B29F2">
            <w:pPr>
              <w:pStyle w:val="rientrotrattinook"/>
              <w:tabs>
                <w:tab w:val="clear" w:pos="704"/>
              </w:tabs>
              <w:ind w:left="459" w:hanging="284"/>
              <w:rPr>
                <w:rFonts w:ascii="Times New Roman" w:hAnsi="Times New Roman"/>
                <w:sz w:val="22"/>
                <w:szCs w:val="22"/>
                <w:lang w:eastAsia="it-IT"/>
              </w:rPr>
            </w:pPr>
            <w:r w:rsidRPr="00F818D7">
              <w:t>le variazioni intervenute nella consistenza delle altre voci dell’attivo e del passivo;</w:t>
            </w:r>
            <w:r>
              <w:t xml:space="preserve"> in particolare (…) </w:t>
            </w:r>
            <w:r w:rsidRPr="00F818D7">
              <w:t>per i fondi e per il trattamento di fine rapporto, la formazione e le utilizzazioni</w:t>
            </w:r>
            <w:r>
              <w:t>?</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AD4AE2" w:rsidRPr="00CC242B" w:rsidTr="000D7E0A">
        <w:trPr>
          <w:cantSplit/>
          <w:trHeight w:val="20"/>
        </w:trPr>
        <w:tc>
          <w:tcPr>
            <w:tcW w:w="680" w:type="dxa"/>
          </w:tcPr>
          <w:p w:rsidR="00AD4AE2" w:rsidRPr="007A41C5" w:rsidRDefault="00AD4AE2" w:rsidP="000D7E0A">
            <w:pPr>
              <w:jc w:val="center"/>
              <w:rPr>
                <w:b/>
                <w:lang w:val="it-IT"/>
              </w:rPr>
            </w:pPr>
          </w:p>
          <w:p w:rsidR="00AD4AE2" w:rsidRPr="007A41C5" w:rsidRDefault="00AD4AE2" w:rsidP="000D7E0A">
            <w:pPr>
              <w:jc w:val="center"/>
              <w:rPr>
                <w:b/>
                <w:lang w:val="it-IT"/>
              </w:rPr>
            </w:pPr>
          </w:p>
          <w:p w:rsidR="00AD4AE2" w:rsidRPr="007A41C5" w:rsidRDefault="00AD4AE2" w:rsidP="000D7E0A">
            <w:pPr>
              <w:jc w:val="center"/>
              <w:rPr>
                <w:b/>
                <w:lang w:val="it-IT"/>
              </w:rPr>
            </w:pPr>
          </w:p>
          <w:p w:rsidR="00AD4AE2" w:rsidRPr="007A41C5" w:rsidRDefault="00AD4AE2" w:rsidP="000D7E0A">
            <w:pPr>
              <w:jc w:val="center"/>
              <w:rPr>
                <w:b/>
                <w:lang w:val="it-IT"/>
              </w:rPr>
            </w:pPr>
          </w:p>
        </w:tc>
        <w:tc>
          <w:tcPr>
            <w:tcW w:w="852" w:type="dxa"/>
            <w:tcMar>
              <w:left w:w="108" w:type="dxa"/>
              <w:right w:w="0" w:type="dxa"/>
            </w:tcMar>
          </w:tcPr>
          <w:p w:rsidR="00AD4AE2" w:rsidRPr="00321DBA" w:rsidRDefault="00AD4AE2" w:rsidP="000D7E0A">
            <w:pPr>
              <w:pStyle w:val="PrincCont"/>
              <w:jc w:val="left"/>
              <w:rPr>
                <w:lang w:val="it-IT"/>
              </w:rPr>
            </w:pPr>
            <w:r w:rsidRPr="00321DBA">
              <w:rPr>
                <w:lang w:val="it-IT"/>
              </w:rPr>
              <w:t>Art. 2423 CC</w:t>
            </w:r>
            <w:r>
              <w:rPr>
                <w:lang w:val="it-IT"/>
              </w:rPr>
              <w:t>, c.4</w:t>
            </w:r>
          </w:p>
          <w:p w:rsidR="00AD4AE2" w:rsidRPr="00321DBA" w:rsidRDefault="00AD4AE2" w:rsidP="000D7E0A">
            <w:pPr>
              <w:pStyle w:val="PrincCont"/>
              <w:jc w:val="left"/>
              <w:rPr>
                <w:lang w:val="it-IT"/>
              </w:rPr>
            </w:pPr>
            <w:r>
              <w:rPr>
                <w:lang w:val="it-IT"/>
              </w:rPr>
              <w:t>OIC 31.78</w:t>
            </w:r>
          </w:p>
        </w:tc>
        <w:tc>
          <w:tcPr>
            <w:tcW w:w="7059" w:type="dxa"/>
            <w:tcMar>
              <w:left w:w="108" w:type="dxa"/>
            </w:tcMar>
          </w:tcPr>
          <w:p w:rsidR="00AD4AE2" w:rsidRPr="00321DBA" w:rsidRDefault="00AD4AE2" w:rsidP="000D7E0A">
            <w:pPr>
              <w:pStyle w:val="Commentiriquadro"/>
            </w:pPr>
            <w:r w:rsidRPr="00321DBA">
              <w:t xml:space="preserve">Non occorre rispettare gli obblighi in tema di rilevazione, valutazione, presentazione e informativa quando la loro osservanza abbia effetti irrilevanti al fine di dare una rappresentazione veritiera e corretta. </w:t>
            </w:r>
            <w:r>
              <w:t>R</w:t>
            </w:r>
            <w:r w:rsidRPr="00321DBA">
              <w:t xml:space="preserve">imangono fermi gli obblighi in tema di regolare tenuta delle scritture contabili. Le società illustrano nella </w:t>
            </w:r>
            <w:r>
              <w:t>Nota Integrativa</w:t>
            </w:r>
            <w:r w:rsidRPr="00321DBA">
              <w:t xml:space="preserve"> i criteri con i quali hanno dato attuaz</w:t>
            </w:r>
            <w:r>
              <w:t>ione alla presente disposizione.</w:t>
            </w:r>
          </w:p>
        </w:tc>
        <w:tc>
          <w:tcPr>
            <w:tcW w:w="586" w:type="dxa"/>
            <w:tcMar>
              <w:left w:w="85" w:type="dxa"/>
              <w:right w:w="85" w:type="dxa"/>
            </w:tcMar>
            <w:vAlign w:val="center"/>
          </w:tcPr>
          <w:p w:rsidR="00AD4AE2" w:rsidRPr="00891EFD" w:rsidRDefault="00AD4AE2" w:rsidP="000D7E0A">
            <w:pPr>
              <w:jc w:val="center"/>
              <w:rPr>
                <w:lang w:val="it-IT"/>
              </w:rPr>
            </w:pPr>
          </w:p>
        </w:tc>
        <w:tc>
          <w:tcPr>
            <w:tcW w:w="573" w:type="dxa"/>
            <w:tcMar>
              <w:left w:w="108" w:type="dxa"/>
            </w:tcMar>
            <w:vAlign w:val="center"/>
          </w:tcPr>
          <w:p w:rsidR="00AD4AE2" w:rsidRPr="00891EFD" w:rsidRDefault="00AD4AE2" w:rsidP="000D7E0A">
            <w:pPr>
              <w:jc w:val="center"/>
              <w:rPr>
                <w:lang w:val="it-IT"/>
              </w:rPr>
            </w:pPr>
          </w:p>
        </w:tc>
        <w:tc>
          <w:tcPr>
            <w:tcW w:w="570" w:type="dxa"/>
            <w:tcMar>
              <w:left w:w="108" w:type="dxa"/>
            </w:tcMar>
            <w:vAlign w:val="center"/>
          </w:tcPr>
          <w:p w:rsidR="00AD4AE2" w:rsidRPr="00891EFD" w:rsidRDefault="00AD4AE2" w:rsidP="000D7E0A">
            <w:pPr>
              <w:jc w:val="center"/>
              <w:rPr>
                <w:lang w:val="it-IT"/>
              </w:rPr>
            </w:pPr>
          </w:p>
        </w:tc>
      </w:tr>
      <w:tr w:rsidR="00AD4AE2" w:rsidRPr="00CC242B" w:rsidTr="000D7E0A">
        <w:trPr>
          <w:cantSplit/>
          <w:trHeight w:val="20"/>
        </w:trPr>
        <w:tc>
          <w:tcPr>
            <w:tcW w:w="680" w:type="dxa"/>
          </w:tcPr>
          <w:p w:rsidR="00AD4AE2" w:rsidRDefault="00AD4AE2" w:rsidP="000D7E0A">
            <w:pPr>
              <w:jc w:val="center"/>
              <w:rPr>
                <w:lang w:val="it-IT"/>
              </w:rPr>
            </w:pPr>
          </w:p>
        </w:tc>
        <w:tc>
          <w:tcPr>
            <w:tcW w:w="852" w:type="dxa"/>
            <w:tcMar>
              <w:left w:w="108" w:type="dxa"/>
              <w:right w:w="0" w:type="dxa"/>
            </w:tcMar>
          </w:tcPr>
          <w:p w:rsidR="00AD4AE2" w:rsidRPr="00916E27" w:rsidRDefault="00AD4AE2" w:rsidP="000D7E0A">
            <w:pPr>
              <w:pStyle w:val="PrincCont"/>
              <w:jc w:val="left"/>
              <w:rPr>
                <w:lang w:val="it-IT"/>
              </w:rPr>
            </w:pPr>
          </w:p>
        </w:tc>
        <w:tc>
          <w:tcPr>
            <w:tcW w:w="7059" w:type="dxa"/>
            <w:tcMar>
              <w:left w:w="108" w:type="dxa"/>
            </w:tcMar>
          </w:tcPr>
          <w:p w:rsidR="00AD4AE2" w:rsidRPr="00A93BDD" w:rsidRDefault="00AD4AE2" w:rsidP="000D7E0A">
            <w:pPr>
              <w:pStyle w:val="Titolo4"/>
            </w:pPr>
            <w:r w:rsidRPr="00A93BDD">
              <w:t xml:space="preserve">Informazioni relative alle società che redigono </w:t>
            </w:r>
            <w:r>
              <w:t>il bilancio in forma abbreviata</w:t>
            </w:r>
          </w:p>
        </w:tc>
        <w:tc>
          <w:tcPr>
            <w:tcW w:w="586" w:type="dxa"/>
            <w:tcMar>
              <w:left w:w="85" w:type="dxa"/>
              <w:right w:w="85" w:type="dxa"/>
            </w:tcMar>
            <w:vAlign w:val="center"/>
          </w:tcPr>
          <w:p w:rsidR="00AD4AE2" w:rsidRPr="00DF39AF" w:rsidRDefault="00AD4AE2" w:rsidP="000D7E0A">
            <w:pPr>
              <w:jc w:val="center"/>
              <w:rPr>
                <w:lang w:val="it-IT"/>
              </w:rPr>
            </w:pPr>
          </w:p>
        </w:tc>
        <w:tc>
          <w:tcPr>
            <w:tcW w:w="573" w:type="dxa"/>
            <w:tcMar>
              <w:left w:w="108" w:type="dxa"/>
            </w:tcMar>
            <w:vAlign w:val="center"/>
          </w:tcPr>
          <w:p w:rsidR="00AD4AE2" w:rsidRPr="00DF39AF" w:rsidRDefault="00AD4AE2" w:rsidP="000D7E0A">
            <w:pPr>
              <w:jc w:val="center"/>
              <w:rPr>
                <w:lang w:val="it-IT"/>
              </w:rPr>
            </w:pPr>
          </w:p>
        </w:tc>
        <w:tc>
          <w:tcPr>
            <w:tcW w:w="570" w:type="dxa"/>
            <w:tcMar>
              <w:left w:w="108" w:type="dxa"/>
            </w:tcMar>
            <w:vAlign w:val="center"/>
          </w:tcPr>
          <w:p w:rsidR="00AD4AE2" w:rsidRPr="00DF39AF" w:rsidRDefault="00AD4AE2" w:rsidP="000D7E0A">
            <w:pPr>
              <w:jc w:val="center"/>
              <w:rPr>
                <w:lang w:val="it-IT"/>
              </w:rPr>
            </w:pPr>
          </w:p>
        </w:tc>
      </w:tr>
      <w:tr w:rsidR="00AD4AE2" w:rsidRPr="00CC242B" w:rsidTr="000B29F2">
        <w:trPr>
          <w:cantSplit/>
          <w:trHeight w:val="20"/>
        </w:trPr>
        <w:tc>
          <w:tcPr>
            <w:tcW w:w="680" w:type="dxa"/>
          </w:tcPr>
          <w:p w:rsidR="00AD4AE2" w:rsidRPr="00F259CC" w:rsidRDefault="00AD4AE2" w:rsidP="000D7E0A">
            <w:pPr>
              <w:jc w:val="center"/>
              <w:rPr>
                <w:b/>
                <w:lang w:val="it-IT"/>
              </w:rPr>
            </w:pPr>
            <w:r>
              <w:rPr>
                <w:b/>
                <w:lang w:val="it-IT"/>
              </w:rPr>
              <w:t>46</w:t>
            </w:r>
            <w:r w:rsidRPr="00F259CC">
              <w:rPr>
                <w:b/>
                <w:lang w:val="it-IT"/>
              </w:rPr>
              <w:t>)</w:t>
            </w:r>
          </w:p>
        </w:tc>
        <w:tc>
          <w:tcPr>
            <w:tcW w:w="852" w:type="dxa"/>
            <w:tcMar>
              <w:left w:w="108" w:type="dxa"/>
              <w:right w:w="0" w:type="dxa"/>
            </w:tcMar>
          </w:tcPr>
          <w:p w:rsidR="00AD4AE2" w:rsidRPr="00AD4AE2" w:rsidRDefault="00AD4AE2" w:rsidP="000D7E0A">
            <w:pPr>
              <w:pStyle w:val="PrincCont"/>
              <w:jc w:val="left"/>
            </w:pPr>
            <w:r w:rsidRPr="002C29A3">
              <w:t>Art. 2435-bis CC</w:t>
            </w:r>
            <w:r>
              <w:t xml:space="preserve">              </w:t>
            </w:r>
            <w:r w:rsidRPr="002C29A3">
              <w:t>Art. 2435-ter CC</w:t>
            </w:r>
            <w:r>
              <w:t xml:space="preserve">             OIC 31.79</w:t>
            </w:r>
          </w:p>
        </w:tc>
        <w:tc>
          <w:tcPr>
            <w:tcW w:w="7059" w:type="dxa"/>
            <w:tcMar>
              <w:left w:w="108" w:type="dxa"/>
            </w:tcMar>
            <w:vAlign w:val="center"/>
          </w:tcPr>
          <w:p w:rsidR="00AD4AE2" w:rsidRPr="00321DBA" w:rsidRDefault="00AD4AE2" w:rsidP="000B29F2">
            <w:pPr>
              <w:pStyle w:val="rientrotrattinook"/>
              <w:numPr>
                <w:ilvl w:val="0"/>
                <w:numId w:val="0"/>
              </w:numPr>
              <w:ind w:left="34"/>
              <w:jc w:val="left"/>
              <w:rPr>
                <w:rFonts w:cs="Arial"/>
                <w:b/>
                <w:bCs/>
                <w:sz w:val="22"/>
                <w:szCs w:val="22"/>
              </w:rPr>
            </w:pPr>
            <w:r>
              <w:t>Con riferimento al TFR</w:t>
            </w:r>
            <w:r w:rsidRPr="00DF39AF">
              <w:t xml:space="preserve">, nella </w:t>
            </w:r>
            <w:r>
              <w:t>Nota Integrativa</w:t>
            </w:r>
            <w:r w:rsidRPr="00DF39AF">
              <w:t xml:space="preserve"> del bilancio in forma abbreviata e </w:t>
            </w:r>
            <w:r>
              <w:t>delle micro-imprese sono fornite</w:t>
            </w:r>
            <w:r w:rsidRPr="00DF39AF">
              <w:t xml:space="preserve"> le seguenti informazioni:</w:t>
            </w:r>
          </w:p>
        </w:tc>
        <w:tc>
          <w:tcPr>
            <w:tcW w:w="586" w:type="dxa"/>
            <w:tcMar>
              <w:left w:w="85" w:type="dxa"/>
              <w:right w:w="85" w:type="dxa"/>
            </w:tcMar>
            <w:vAlign w:val="center"/>
          </w:tcPr>
          <w:p w:rsidR="00AD4AE2" w:rsidRPr="00DF39AF" w:rsidRDefault="00AD4AE2" w:rsidP="000D7E0A">
            <w:pPr>
              <w:jc w:val="center"/>
              <w:rPr>
                <w:lang w:val="it-IT"/>
              </w:rPr>
            </w:pPr>
          </w:p>
        </w:tc>
        <w:tc>
          <w:tcPr>
            <w:tcW w:w="573" w:type="dxa"/>
            <w:tcMar>
              <w:left w:w="108" w:type="dxa"/>
            </w:tcMar>
            <w:vAlign w:val="center"/>
          </w:tcPr>
          <w:p w:rsidR="00AD4AE2" w:rsidRPr="00DF39AF" w:rsidRDefault="00AD4AE2" w:rsidP="000D7E0A">
            <w:pPr>
              <w:jc w:val="center"/>
              <w:rPr>
                <w:lang w:val="it-IT"/>
              </w:rPr>
            </w:pPr>
          </w:p>
        </w:tc>
        <w:tc>
          <w:tcPr>
            <w:tcW w:w="570" w:type="dxa"/>
            <w:tcMar>
              <w:left w:w="108" w:type="dxa"/>
            </w:tcMar>
            <w:vAlign w:val="center"/>
          </w:tcPr>
          <w:p w:rsidR="00AD4AE2" w:rsidRPr="00DF39AF" w:rsidRDefault="00AD4AE2" w:rsidP="000D7E0A">
            <w:pPr>
              <w:jc w:val="center"/>
              <w:rPr>
                <w:lang w:val="it-IT"/>
              </w:rPr>
            </w:pPr>
          </w:p>
        </w:tc>
      </w:tr>
      <w:tr w:rsidR="00AD4AE2" w:rsidRPr="00CC242B" w:rsidTr="000D7E0A">
        <w:trPr>
          <w:cantSplit/>
          <w:trHeight w:val="20"/>
        </w:trPr>
        <w:tc>
          <w:tcPr>
            <w:tcW w:w="680" w:type="dxa"/>
          </w:tcPr>
          <w:p w:rsidR="00AD4AE2" w:rsidRDefault="00AD4AE2" w:rsidP="000D7E0A">
            <w:pPr>
              <w:jc w:val="center"/>
              <w:rPr>
                <w:lang w:val="it-IT"/>
              </w:rPr>
            </w:pPr>
          </w:p>
        </w:tc>
        <w:tc>
          <w:tcPr>
            <w:tcW w:w="852" w:type="dxa"/>
            <w:tcMar>
              <w:left w:w="108" w:type="dxa"/>
              <w:right w:w="0" w:type="dxa"/>
            </w:tcMar>
          </w:tcPr>
          <w:p w:rsidR="00AD4AE2" w:rsidRPr="00916E27" w:rsidRDefault="00AD4AE2" w:rsidP="000D7E0A">
            <w:pPr>
              <w:pStyle w:val="PrincCont"/>
              <w:jc w:val="left"/>
              <w:rPr>
                <w:lang w:val="it-IT"/>
              </w:rPr>
            </w:pPr>
          </w:p>
        </w:tc>
        <w:tc>
          <w:tcPr>
            <w:tcW w:w="7059" w:type="dxa"/>
            <w:tcMar>
              <w:left w:w="108" w:type="dxa"/>
            </w:tcMar>
          </w:tcPr>
          <w:p w:rsidR="00AD4AE2" w:rsidRPr="00CF6B66" w:rsidRDefault="00AD4AE2" w:rsidP="000B29F2">
            <w:pPr>
              <w:pStyle w:val="rientrotrattinook"/>
              <w:tabs>
                <w:tab w:val="clear" w:pos="704"/>
              </w:tabs>
              <w:ind w:left="459" w:hanging="284"/>
            </w:pPr>
            <w:r>
              <w:t>i criteri applicati</w:t>
            </w:r>
            <w:r w:rsidRPr="008516E9">
              <w:t xml:space="preserve"> nella valutazione, nelle rettifiche di valore e nella conversione dei valori </w:t>
            </w:r>
            <w:r>
              <w:t>non espressi all’origine in euro</w:t>
            </w:r>
          </w:p>
        </w:tc>
        <w:tc>
          <w:tcPr>
            <w:tcW w:w="586" w:type="dxa"/>
            <w:tcMar>
              <w:left w:w="85" w:type="dxa"/>
              <w:right w:w="85" w:type="dxa"/>
            </w:tcMar>
            <w:vAlign w:val="center"/>
          </w:tcPr>
          <w:p w:rsidR="00AD4AE2" w:rsidRPr="00DF39AF" w:rsidRDefault="00AD4AE2" w:rsidP="000D7E0A">
            <w:pPr>
              <w:jc w:val="center"/>
              <w:rPr>
                <w:lang w:val="it-IT"/>
              </w:rPr>
            </w:pPr>
          </w:p>
        </w:tc>
        <w:tc>
          <w:tcPr>
            <w:tcW w:w="573" w:type="dxa"/>
            <w:tcMar>
              <w:left w:w="108" w:type="dxa"/>
            </w:tcMar>
            <w:vAlign w:val="center"/>
          </w:tcPr>
          <w:p w:rsidR="00AD4AE2" w:rsidRPr="00DF39AF" w:rsidRDefault="00AD4AE2" w:rsidP="000D7E0A">
            <w:pPr>
              <w:jc w:val="center"/>
              <w:rPr>
                <w:lang w:val="it-IT"/>
              </w:rPr>
            </w:pPr>
          </w:p>
        </w:tc>
        <w:tc>
          <w:tcPr>
            <w:tcW w:w="570" w:type="dxa"/>
            <w:tcMar>
              <w:left w:w="108" w:type="dxa"/>
            </w:tcMar>
            <w:vAlign w:val="center"/>
          </w:tcPr>
          <w:p w:rsidR="00AD4AE2" w:rsidRPr="00DF39AF" w:rsidRDefault="00AD4AE2" w:rsidP="000D7E0A">
            <w:pPr>
              <w:jc w:val="center"/>
              <w:rPr>
                <w:lang w:val="it-IT"/>
              </w:rPr>
            </w:pPr>
          </w:p>
        </w:tc>
      </w:tr>
      <w:tr w:rsidR="00AD4AE2" w:rsidRPr="00CC242B" w:rsidTr="000D7E0A">
        <w:trPr>
          <w:cantSplit/>
          <w:trHeight w:val="20"/>
        </w:trPr>
        <w:tc>
          <w:tcPr>
            <w:tcW w:w="680" w:type="dxa"/>
          </w:tcPr>
          <w:p w:rsidR="00AD4AE2" w:rsidRPr="007A41C5" w:rsidRDefault="00AD4AE2" w:rsidP="000D7E0A">
            <w:pPr>
              <w:jc w:val="center"/>
              <w:rPr>
                <w:b/>
                <w:lang w:val="it-IT"/>
              </w:rPr>
            </w:pPr>
          </w:p>
          <w:p w:rsidR="00AD4AE2" w:rsidRPr="007A41C5" w:rsidRDefault="00AD4AE2" w:rsidP="000D7E0A">
            <w:pPr>
              <w:jc w:val="center"/>
              <w:rPr>
                <w:b/>
                <w:lang w:val="it-IT"/>
              </w:rPr>
            </w:pPr>
          </w:p>
          <w:p w:rsidR="00AD4AE2" w:rsidRPr="007A41C5" w:rsidRDefault="00AD4AE2" w:rsidP="000D7E0A">
            <w:pPr>
              <w:jc w:val="center"/>
              <w:rPr>
                <w:b/>
                <w:lang w:val="it-IT"/>
              </w:rPr>
            </w:pPr>
          </w:p>
          <w:p w:rsidR="00AD4AE2" w:rsidRPr="007A41C5" w:rsidRDefault="00AD4AE2" w:rsidP="000D7E0A">
            <w:pPr>
              <w:jc w:val="center"/>
              <w:rPr>
                <w:b/>
                <w:lang w:val="it-IT"/>
              </w:rPr>
            </w:pPr>
          </w:p>
        </w:tc>
        <w:tc>
          <w:tcPr>
            <w:tcW w:w="852" w:type="dxa"/>
            <w:tcMar>
              <w:left w:w="108" w:type="dxa"/>
              <w:right w:w="0" w:type="dxa"/>
            </w:tcMar>
          </w:tcPr>
          <w:p w:rsidR="00AD4AE2" w:rsidRPr="00321DBA" w:rsidRDefault="00AD4AE2" w:rsidP="000D7E0A">
            <w:pPr>
              <w:pStyle w:val="PrincCont"/>
              <w:jc w:val="left"/>
              <w:rPr>
                <w:lang w:val="it-IT"/>
              </w:rPr>
            </w:pPr>
            <w:r w:rsidRPr="00321DBA">
              <w:rPr>
                <w:lang w:val="it-IT"/>
              </w:rPr>
              <w:t>Art. 2423 CC</w:t>
            </w:r>
            <w:r>
              <w:rPr>
                <w:lang w:val="it-IT"/>
              </w:rPr>
              <w:t>, c.4             OIC 31.80</w:t>
            </w:r>
          </w:p>
        </w:tc>
        <w:tc>
          <w:tcPr>
            <w:tcW w:w="7059" w:type="dxa"/>
            <w:tcMar>
              <w:left w:w="108" w:type="dxa"/>
            </w:tcMar>
          </w:tcPr>
          <w:p w:rsidR="00AD4AE2" w:rsidRPr="00321DBA" w:rsidRDefault="00AD4AE2" w:rsidP="000D7E0A">
            <w:pPr>
              <w:pStyle w:val="Commentiriquadro"/>
            </w:pPr>
            <w:r w:rsidRPr="00321DBA">
              <w:t xml:space="preserve">Non occorre rispettare gli obblighi in tema di rilevazione, valutazione, presentazione e informativa quando la loro osservanza abbia effetti irrilevanti al fine di dare una rappresentazione veritiera e corretta. </w:t>
            </w:r>
            <w:r>
              <w:t>R</w:t>
            </w:r>
            <w:r w:rsidRPr="00321DBA">
              <w:t xml:space="preserve">imangono fermi gli obblighi in tema di regolare tenuta delle scritture contabili. Le società illustrano nella </w:t>
            </w:r>
            <w:r>
              <w:t>Nota Integrativa</w:t>
            </w:r>
            <w:r w:rsidRPr="00321DBA">
              <w:t xml:space="preserve"> i criteri con i quali hanno dato attuaz</w:t>
            </w:r>
            <w:r>
              <w:t>ione alla presente disposizione.</w:t>
            </w:r>
          </w:p>
        </w:tc>
        <w:tc>
          <w:tcPr>
            <w:tcW w:w="586" w:type="dxa"/>
            <w:tcMar>
              <w:left w:w="85" w:type="dxa"/>
              <w:right w:w="85" w:type="dxa"/>
            </w:tcMar>
            <w:vAlign w:val="center"/>
          </w:tcPr>
          <w:p w:rsidR="00AD4AE2" w:rsidRPr="00732336" w:rsidRDefault="00AD4AE2" w:rsidP="000D7E0A">
            <w:pPr>
              <w:jc w:val="center"/>
              <w:rPr>
                <w:lang w:val="it-IT"/>
              </w:rPr>
            </w:pPr>
          </w:p>
          <w:p w:rsidR="00AD4AE2" w:rsidRPr="00891EFD" w:rsidRDefault="00AD4AE2" w:rsidP="000D7E0A">
            <w:pPr>
              <w:rPr>
                <w:lang w:val="it-IT"/>
              </w:rPr>
            </w:pPr>
          </w:p>
          <w:p w:rsidR="00AD4AE2" w:rsidRPr="00732336" w:rsidRDefault="00AD4AE2" w:rsidP="000D7E0A">
            <w:pPr>
              <w:jc w:val="center"/>
              <w:rPr>
                <w:lang w:val="it-IT"/>
              </w:rPr>
            </w:pPr>
          </w:p>
        </w:tc>
        <w:tc>
          <w:tcPr>
            <w:tcW w:w="573" w:type="dxa"/>
            <w:tcMar>
              <w:left w:w="108" w:type="dxa"/>
            </w:tcMar>
            <w:vAlign w:val="center"/>
          </w:tcPr>
          <w:p w:rsidR="00AD4AE2" w:rsidRPr="00891EFD" w:rsidRDefault="00AD4AE2" w:rsidP="000D7E0A">
            <w:pPr>
              <w:rPr>
                <w:lang w:val="it-IT"/>
              </w:rPr>
            </w:pPr>
          </w:p>
          <w:p w:rsidR="00AD4AE2" w:rsidRPr="00732336" w:rsidRDefault="00AD4AE2" w:rsidP="000D7E0A">
            <w:pPr>
              <w:jc w:val="center"/>
              <w:rPr>
                <w:lang w:val="it-IT"/>
              </w:rPr>
            </w:pPr>
          </w:p>
        </w:tc>
        <w:tc>
          <w:tcPr>
            <w:tcW w:w="570" w:type="dxa"/>
            <w:tcMar>
              <w:left w:w="108" w:type="dxa"/>
            </w:tcMar>
            <w:vAlign w:val="center"/>
          </w:tcPr>
          <w:p w:rsidR="00AD4AE2" w:rsidRPr="00891EFD" w:rsidRDefault="00AD4AE2" w:rsidP="000D7E0A">
            <w:pPr>
              <w:rPr>
                <w:lang w:val="it-IT"/>
              </w:rPr>
            </w:pPr>
          </w:p>
          <w:p w:rsidR="00AD4AE2" w:rsidRPr="00732336" w:rsidRDefault="00AD4AE2" w:rsidP="000D7E0A">
            <w:pPr>
              <w:jc w:val="center"/>
              <w:rPr>
                <w:lang w:val="it-IT"/>
              </w:rPr>
            </w:pPr>
          </w:p>
        </w:tc>
      </w:tr>
      <w:tr w:rsidR="00AD4AE2" w:rsidRPr="00CC242B" w:rsidTr="000D7E0A">
        <w:trPr>
          <w:cantSplit/>
          <w:trHeight w:val="20"/>
        </w:trPr>
        <w:tc>
          <w:tcPr>
            <w:tcW w:w="680" w:type="dxa"/>
          </w:tcPr>
          <w:p w:rsidR="00AD4AE2" w:rsidRPr="007A41C5" w:rsidRDefault="00AD4AE2" w:rsidP="000D7E0A">
            <w:pPr>
              <w:jc w:val="center"/>
              <w:rPr>
                <w:b/>
                <w:lang w:val="it-IT"/>
              </w:rPr>
            </w:pPr>
          </w:p>
        </w:tc>
        <w:tc>
          <w:tcPr>
            <w:tcW w:w="852" w:type="dxa"/>
            <w:tcMar>
              <w:left w:w="108" w:type="dxa"/>
              <w:right w:w="0" w:type="dxa"/>
            </w:tcMar>
          </w:tcPr>
          <w:p w:rsidR="00AD4AE2" w:rsidRPr="00321DBA" w:rsidRDefault="00AD4AE2" w:rsidP="000D7E0A">
            <w:pPr>
              <w:pStyle w:val="PrincCont"/>
              <w:jc w:val="left"/>
              <w:rPr>
                <w:lang w:val="it-IT"/>
              </w:rPr>
            </w:pPr>
            <w:r>
              <w:rPr>
                <w:lang w:val="it-IT"/>
              </w:rPr>
              <w:t>Art. 2435-ter CC             OIC 31.81</w:t>
            </w:r>
          </w:p>
        </w:tc>
        <w:tc>
          <w:tcPr>
            <w:tcW w:w="7059" w:type="dxa"/>
            <w:tcMar>
              <w:left w:w="108" w:type="dxa"/>
            </w:tcMar>
          </w:tcPr>
          <w:p w:rsidR="00AD4AE2" w:rsidRPr="00321DBA" w:rsidRDefault="00AD4AE2" w:rsidP="000D7E0A">
            <w:pPr>
              <w:pStyle w:val="Commentiriquadro"/>
            </w:pPr>
            <w:r>
              <w:t>Le micro-imprese sono esonerate dalla redazione della Nota Integrativa quando in calce allo stato patrimoniale risultino le informazioni previste dal primo comma dell’articolo 2427, numeri 9) e 16) del codice civile.</w:t>
            </w:r>
          </w:p>
        </w:tc>
        <w:tc>
          <w:tcPr>
            <w:tcW w:w="586" w:type="dxa"/>
            <w:tcMar>
              <w:left w:w="85" w:type="dxa"/>
              <w:right w:w="85" w:type="dxa"/>
            </w:tcMar>
            <w:vAlign w:val="center"/>
          </w:tcPr>
          <w:p w:rsidR="00AD4AE2" w:rsidRPr="00732336" w:rsidRDefault="00AD4AE2" w:rsidP="000D7E0A">
            <w:pPr>
              <w:jc w:val="center"/>
              <w:rPr>
                <w:lang w:val="it-IT"/>
              </w:rPr>
            </w:pPr>
          </w:p>
        </w:tc>
        <w:tc>
          <w:tcPr>
            <w:tcW w:w="573" w:type="dxa"/>
            <w:tcMar>
              <w:left w:w="108" w:type="dxa"/>
            </w:tcMar>
            <w:vAlign w:val="center"/>
          </w:tcPr>
          <w:p w:rsidR="00AD4AE2" w:rsidRPr="00732336" w:rsidRDefault="00AD4AE2" w:rsidP="000D7E0A">
            <w:pPr>
              <w:rPr>
                <w:lang w:val="it-IT"/>
              </w:rPr>
            </w:pPr>
          </w:p>
        </w:tc>
        <w:tc>
          <w:tcPr>
            <w:tcW w:w="570" w:type="dxa"/>
            <w:tcMar>
              <w:left w:w="108" w:type="dxa"/>
            </w:tcMar>
            <w:vAlign w:val="center"/>
          </w:tcPr>
          <w:p w:rsidR="00AD4AE2" w:rsidRPr="00732336" w:rsidRDefault="00AD4AE2" w:rsidP="000D7E0A">
            <w:pPr>
              <w:jc w:val="center"/>
              <w:rPr>
                <w:lang w:val="it-IT"/>
              </w:rPr>
            </w:pPr>
          </w:p>
        </w:tc>
      </w:tr>
      <w:tr w:rsidR="00AD4AE2" w:rsidRPr="00DF39AF" w:rsidTr="000D7E0A">
        <w:trPr>
          <w:cantSplit/>
          <w:trHeight w:val="20"/>
        </w:trPr>
        <w:tc>
          <w:tcPr>
            <w:tcW w:w="680" w:type="dxa"/>
          </w:tcPr>
          <w:p w:rsidR="00AD4AE2" w:rsidRDefault="00AD4AE2" w:rsidP="000D7E0A">
            <w:pPr>
              <w:jc w:val="center"/>
              <w:rPr>
                <w:lang w:val="it-IT"/>
              </w:rPr>
            </w:pPr>
          </w:p>
        </w:tc>
        <w:tc>
          <w:tcPr>
            <w:tcW w:w="852" w:type="dxa"/>
            <w:tcMar>
              <w:left w:w="108" w:type="dxa"/>
              <w:right w:w="0" w:type="dxa"/>
            </w:tcMar>
          </w:tcPr>
          <w:p w:rsidR="00AD4AE2" w:rsidRPr="00916E27" w:rsidRDefault="00AD4AE2" w:rsidP="000D7E0A">
            <w:pPr>
              <w:pStyle w:val="PrincCont"/>
              <w:jc w:val="left"/>
              <w:rPr>
                <w:lang w:val="it-IT"/>
              </w:rPr>
            </w:pPr>
          </w:p>
        </w:tc>
        <w:tc>
          <w:tcPr>
            <w:tcW w:w="7059" w:type="dxa"/>
            <w:tcMar>
              <w:left w:w="108" w:type="dxa"/>
            </w:tcMar>
          </w:tcPr>
          <w:p w:rsidR="00AD4AE2" w:rsidRPr="00891EFD" w:rsidRDefault="00AD4AE2" w:rsidP="000D7E0A">
            <w:pPr>
              <w:pStyle w:val="Titolo2"/>
            </w:pPr>
            <w:r w:rsidRPr="00891EFD">
              <w:t xml:space="preserve">Disposizioni di prima applicazione </w:t>
            </w:r>
          </w:p>
        </w:tc>
        <w:tc>
          <w:tcPr>
            <w:tcW w:w="586" w:type="dxa"/>
            <w:tcMar>
              <w:left w:w="85" w:type="dxa"/>
              <w:right w:w="85" w:type="dxa"/>
            </w:tcMar>
            <w:vAlign w:val="center"/>
          </w:tcPr>
          <w:p w:rsidR="00AD4AE2" w:rsidRPr="00DF39AF" w:rsidRDefault="00AD4AE2" w:rsidP="000D7E0A">
            <w:pPr>
              <w:jc w:val="center"/>
              <w:rPr>
                <w:lang w:val="it-IT"/>
              </w:rPr>
            </w:pPr>
          </w:p>
        </w:tc>
        <w:tc>
          <w:tcPr>
            <w:tcW w:w="573" w:type="dxa"/>
            <w:tcMar>
              <w:left w:w="108" w:type="dxa"/>
            </w:tcMar>
            <w:vAlign w:val="center"/>
          </w:tcPr>
          <w:p w:rsidR="00AD4AE2" w:rsidRPr="00DF39AF" w:rsidRDefault="00AD4AE2" w:rsidP="000D7E0A">
            <w:pPr>
              <w:jc w:val="center"/>
              <w:rPr>
                <w:lang w:val="it-IT"/>
              </w:rPr>
            </w:pPr>
          </w:p>
        </w:tc>
        <w:tc>
          <w:tcPr>
            <w:tcW w:w="570" w:type="dxa"/>
            <w:tcMar>
              <w:left w:w="108" w:type="dxa"/>
            </w:tcMar>
            <w:vAlign w:val="center"/>
          </w:tcPr>
          <w:p w:rsidR="00AD4AE2" w:rsidRPr="00DF39AF" w:rsidRDefault="00AD4AE2" w:rsidP="000D7E0A">
            <w:pPr>
              <w:jc w:val="center"/>
              <w:rPr>
                <w:lang w:val="it-IT"/>
              </w:rPr>
            </w:pPr>
          </w:p>
        </w:tc>
      </w:tr>
      <w:tr w:rsidR="00AD4AE2" w:rsidRPr="00CC242B" w:rsidTr="000D7E0A">
        <w:trPr>
          <w:cantSplit/>
          <w:trHeight w:val="20"/>
        </w:trPr>
        <w:tc>
          <w:tcPr>
            <w:tcW w:w="680" w:type="dxa"/>
          </w:tcPr>
          <w:p w:rsidR="00AD4AE2" w:rsidRPr="007A41C5"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r>
              <w:rPr>
                <w:lang w:val="it-IT"/>
              </w:rPr>
              <w:t>OIC 31.84</w:t>
            </w:r>
          </w:p>
        </w:tc>
        <w:tc>
          <w:tcPr>
            <w:tcW w:w="7059" w:type="dxa"/>
            <w:tcMar>
              <w:left w:w="108" w:type="dxa"/>
            </w:tcMar>
          </w:tcPr>
          <w:p w:rsidR="00AD4AE2" w:rsidRDefault="00AD4AE2" w:rsidP="000D7E0A">
            <w:pPr>
              <w:pStyle w:val="Commentiriquadro"/>
            </w:pPr>
            <w:r>
              <w:t>Gli eventuali effetti derivanti dall’applicazione delle modifiche apportate alla precedente versione dell’OIC 31 in tema di riclassificazione degli oneri e proventi straordinari sono applicati retroattivamente, ai soli fini riclassificatori.</w:t>
            </w:r>
          </w:p>
        </w:tc>
        <w:tc>
          <w:tcPr>
            <w:tcW w:w="586" w:type="dxa"/>
            <w:tcMar>
              <w:left w:w="85" w:type="dxa"/>
              <w:right w:w="85" w:type="dxa"/>
            </w:tcMar>
            <w:vAlign w:val="center"/>
          </w:tcPr>
          <w:p w:rsidR="00AD4AE2" w:rsidRPr="00732336" w:rsidRDefault="00AD4AE2" w:rsidP="000D7E0A">
            <w:pPr>
              <w:jc w:val="center"/>
              <w:rPr>
                <w:lang w:val="it-IT"/>
              </w:rPr>
            </w:pPr>
          </w:p>
        </w:tc>
        <w:tc>
          <w:tcPr>
            <w:tcW w:w="573" w:type="dxa"/>
            <w:tcMar>
              <w:left w:w="108" w:type="dxa"/>
            </w:tcMar>
            <w:vAlign w:val="center"/>
          </w:tcPr>
          <w:p w:rsidR="00AD4AE2" w:rsidRPr="00732336" w:rsidRDefault="00AD4AE2" w:rsidP="000D7E0A">
            <w:pPr>
              <w:rPr>
                <w:lang w:val="it-IT"/>
              </w:rPr>
            </w:pPr>
          </w:p>
        </w:tc>
        <w:tc>
          <w:tcPr>
            <w:tcW w:w="570" w:type="dxa"/>
            <w:tcMar>
              <w:left w:w="108" w:type="dxa"/>
            </w:tcMar>
            <w:vAlign w:val="center"/>
          </w:tcPr>
          <w:p w:rsidR="00AD4AE2" w:rsidRPr="00732336" w:rsidRDefault="00AD4AE2" w:rsidP="000D7E0A">
            <w:pPr>
              <w:jc w:val="center"/>
              <w:rPr>
                <w:lang w:val="it-IT"/>
              </w:rPr>
            </w:pPr>
          </w:p>
        </w:tc>
      </w:tr>
      <w:tr w:rsidR="00AD4AE2" w:rsidRPr="00CC242B" w:rsidTr="000D7E0A">
        <w:trPr>
          <w:cantSplit/>
          <w:trHeight w:val="20"/>
        </w:trPr>
        <w:tc>
          <w:tcPr>
            <w:tcW w:w="680" w:type="dxa"/>
          </w:tcPr>
          <w:p w:rsidR="00AD4AE2" w:rsidRPr="007A41C5"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r>
              <w:rPr>
                <w:lang w:val="it-IT"/>
              </w:rPr>
              <w:t>OIC 31.85</w:t>
            </w:r>
          </w:p>
        </w:tc>
        <w:tc>
          <w:tcPr>
            <w:tcW w:w="7059" w:type="dxa"/>
            <w:tcMar>
              <w:left w:w="108" w:type="dxa"/>
            </w:tcMar>
          </w:tcPr>
          <w:p w:rsidR="00AD4AE2" w:rsidRDefault="00AD4AE2" w:rsidP="000D7E0A">
            <w:pPr>
              <w:pStyle w:val="Commentiriquadro"/>
            </w:pPr>
            <w:r>
              <w:t>Eventuali effetti derivanti dall’applicazione delle altre modifiche apportate alla precedente versione dell’OIC 31 possono essere rilevati prospetticamente ai sensi dell’OIC 29. Pertanto le componenti delle voci riferite ad operazioni che non hanno ancora esaurito i loro effetti in bilancio possono continuare ad essere contabilizzate in conformità al precedente principio.</w:t>
            </w:r>
          </w:p>
        </w:tc>
        <w:tc>
          <w:tcPr>
            <w:tcW w:w="586" w:type="dxa"/>
            <w:tcMar>
              <w:left w:w="85" w:type="dxa"/>
              <w:right w:w="85" w:type="dxa"/>
            </w:tcMar>
            <w:vAlign w:val="center"/>
          </w:tcPr>
          <w:p w:rsidR="00AD4AE2" w:rsidRPr="00732336" w:rsidRDefault="00AD4AE2" w:rsidP="000D7E0A">
            <w:pPr>
              <w:jc w:val="center"/>
              <w:rPr>
                <w:lang w:val="it-IT"/>
              </w:rPr>
            </w:pPr>
          </w:p>
        </w:tc>
        <w:tc>
          <w:tcPr>
            <w:tcW w:w="573" w:type="dxa"/>
            <w:tcMar>
              <w:left w:w="108" w:type="dxa"/>
            </w:tcMar>
            <w:vAlign w:val="center"/>
          </w:tcPr>
          <w:p w:rsidR="00AD4AE2" w:rsidRPr="00732336" w:rsidRDefault="00AD4AE2" w:rsidP="000D7E0A">
            <w:pPr>
              <w:rPr>
                <w:lang w:val="it-IT"/>
              </w:rPr>
            </w:pPr>
          </w:p>
        </w:tc>
        <w:tc>
          <w:tcPr>
            <w:tcW w:w="570" w:type="dxa"/>
            <w:tcMar>
              <w:left w:w="108" w:type="dxa"/>
            </w:tcMar>
            <w:vAlign w:val="center"/>
          </w:tcPr>
          <w:p w:rsidR="00AD4AE2" w:rsidRPr="00732336" w:rsidRDefault="00AD4AE2" w:rsidP="000D7E0A">
            <w:pPr>
              <w:jc w:val="center"/>
              <w:rPr>
                <w:lang w:val="it-IT"/>
              </w:rPr>
            </w:pPr>
          </w:p>
        </w:tc>
      </w:tr>
    </w:tbl>
    <w:p w:rsidR="00AD4AE2" w:rsidRPr="00181FF6" w:rsidRDefault="00AD4AE2" w:rsidP="00AD4AE2">
      <w:pPr>
        <w:rPr>
          <w:lang w:val="it-IT"/>
        </w:rPr>
      </w:pPr>
    </w:p>
    <w:p w:rsidR="00181C91" w:rsidRDefault="00181C91" w:rsidP="00AD4AE2">
      <w:pPr>
        <w:rPr>
          <w:lang w:val="it-IT"/>
        </w:rPr>
        <w:sectPr w:rsidR="00181C91" w:rsidSect="008E5F3E">
          <w:headerReference w:type="default" r:id="rId47"/>
          <w:footerReference w:type="default" r:id="rId48"/>
          <w:pgSz w:w="11906" w:h="16838" w:code="9"/>
          <w:pgMar w:top="1134" w:right="851" w:bottom="851" w:left="851" w:header="709" w:footer="567" w:gutter="0"/>
          <w:cols w:space="708"/>
          <w:docGrid w:linePitch="360"/>
        </w:sectPr>
      </w:pPr>
    </w:p>
    <w:p w:rsidR="00181C91" w:rsidRPr="00C23DD7" w:rsidRDefault="00181C91" w:rsidP="00181C91">
      <w:pPr>
        <w:rPr>
          <w:lang w:val="it-IT"/>
        </w:rPr>
      </w:pPr>
    </w:p>
    <w:p w:rsidR="00181C91" w:rsidRPr="00313D7C" w:rsidRDefault="00181C91" w:rsidP="00181C91">
      <w:pPr>
        <w:spacing w:line="260" w:lineRule="exact"/>
        <w:ind w:left="990" w:hanging="990"/>
        <w:jc w:val="left"/>
        <w:rPr>
          <w:b/>
          <w:color w:val="0070C0"/>
          <w:lang w:val="it-IT"/>
        </w:rPr>
      </w:pPr>
      <w:r w:rsidRPr="00313D7C">
        <w:rPr>
          <w:b/>
          <w:color w:val="0070C0"/>
          <w:sz w:val="28"/>
          <w:lang w:val="it-IT"/>
        </w:rPr>
        <w:t>Debiti</w:t>
      </w:r>
    </w:p>
    <w:p w:rsidR="00181C91" w:rsidRPr="00C23DD7" w:rsidRDefault="00181C91" w:rsidP="00181C91">
      <w:pPr>
        <w:rPr>
          <w:lang w:val="it-IT"/>
        </w:rPr>
      </w:pPr>
    </w:p>
    <w:p w:rsidR="00181C91" w:rsidRPr="00C23DD7" w:rsidRDefault="00181C91" w:rsidP="00181C91">
      <w:pPr>
        <w:rPr>
          <w:lang w:val="it-IT"/>
        </w:rPr>
      </w:pPr>
    </w:p>
    <w:tbl>
      <w:tblPr>
        <w:tblW w:w="0" w:type="auto"/>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675"/>
        <w:gridCol w:w="846"/>
        <w:gridCol w:w="6959"/>
        <w:gridCol w:w="583"/>
        <w:gridCol w:w="572"/>
        <w:gridCol w:w="569"/>
      </w:tblGrid>
      <w:tr w:rsidR="00181C91" w:rsidRPr="00C23DD7" w:rsidTr="000D7E0A">
        <w:trPr>
          <w:cantSplit/>
          <w:trHeight w:val="20"/>
          <w:tblHeader/>
        </w:trPr>
        <w:tc>
          <w:tcPr>
            <w:tcW w:w="675" w:type="dxa"/>
            <w:shd w:val="clear" w:color="auto" w:fill="F2F2F2" w:themeFill="background1" w:themeFillShade="F2"/>
          </w:tcPr>
          <w:p w:rsidR="00181C91" w:rsidRPr="00C23DD7" w:rsidRDefault="00181C91" w:rsidP="000D7E0A">
            <w:pPr>
              <w:jc w:val="center"/>
              <w:rPr>
                <w:lang w:val="it-IT"/>
              </w:rPr>
            </w:pPr>
          </w:p>
        </w:tc>
        <w:tc>
          <w:tcPr>
            <w:tcW w:w="846" w:type="dxa"/>
            <w:shd w:val="clear" w:color="auto" w:fill="F2F2F2" w:themeFill="background1" w:themeFillShade="F2"/>
            <w:tcMar>
              <w:left w:w="108" w:type="dxa"/>
              <w:right w:w="0" w:type="dxa"/>
            </w:tcMar>
          </w:tcPr>
          <w:p w:rsidR="00181C91" w:rsidRPr="00C23DD7" w:rsidRDefault="00181C91" w:rsidP="000D7E0A">
            <w:pPr>
              <w:jc w:val="left"/>
              <w:rPr>
                <w:b/>
                <w:lang w:val="it-IT"/>
              </w:rPr>
            </w:pPr>
          </w:p>
        </w:tc>
        <w:tc>
          <w:tcPr>
            <w:tcW w:w="6959" w:type="dxa"/>
            <w:shd w:val="clear" w:color="auto" w:fill="F2F2F2" w:themeFill="background1" w:themeFillShade="F2"/>
            <w:tcMar>
              <w:left w:w="108" w:type="dxa"/>
            </w:tcMar>
          </w:tcPr>
          <w:p w:rsidR="00181C91" w:rsidRPr="00C23DD7" w:rsidRDefault="00181C91" w:rsidP="000D7E0A">
            <w:pPr>
              <w:jc w:val="center"/>
              <w:rPr>
                <w:b/>
                <w:lang w:val="it-IT"/>
              </w:rPr>
            </w:pPr>
          </w:p>
        </w:tc>
        <w:tc>
          <w:tcPr>
            <w:tcW w:w="583" w:type="dxa"/>
            <w:shd w:val="clear" w:color="auto" w:fill="F2F2F2" w:themeFill="background1" w:themeFillShade="F2"/>
            <w:tcMar>
              <w:left w:w="85" w:type="dxa"/>
              <w:right w:w="85" w:type="dxa"/>
            </w:tcMar>
            <w:vAlign w:val="bottom"/>
          </w:tcPr>
          <w:p w:rsidR="00181C91" w:rsidRPr="00C23DD7" w:rsidRDefault="00181C91" w:rsidP="000D7E0A">
            <w:pPr>
              <w:jc w:val="center"/>
              <w:rPr>
                <w:b/>
                <w:lang w:val="it-IT"/>
              </w:rPr>
            </w:pPr>
            <w:r w:rsidRPr="00C23DD7">
              <w:rPr>
                <w:b/>
                <w:lang w:val="it-IT"/>
              </w:rPr>
              <w:t>SI</w:t>
            </w:r>
          </w:p>
        </w:tc>
        <w:tc>
          <w:tcPr>
            <w:tcW w:w="572" w:type="dxa"/>
            <w:shd w:val="clear" w:color="auto" w:fill="F2F2F2" w:themeFill="background1" w:themeFillShade="F2"/>
            <w:tcMar>
              <w:left w:w="108" w:type="dxa"/>
            </w:tcMar>
            <w:vAlign w:val="bottom"/>
          </w:tcPr>
          <w:p w:rsidR="00181C91" w:rsidRPr="00C23DD7" w:rsidRDefault="00181C91" w:rsidP="000D7E0A">
            <w:pPr>
              <w:jc w:val="center"/>
              <w:rPr>
                <w:b/>
                <w:lang w:val="it-IT"/>
              </w:rPr>
            </w:pPr>
            <w:r w:rsidRPr="00C23DD7">
              <w:rPr>
                <w:b/>
                <w:lang w:val="it-IT"/>
              </w:rPr>
              <w:t>NO</w:t>
            </w:r>
          </w:p>
        </w:tc>
        <w:tc>
          <w:tcPr>
            <w:tcW w:w="569" w:type="dxa"/>
            <w:shd w:val="clear" w:color="auto" w:fill="F2F2F2" w:themeFill="background1" w:themeFillShade="F2"/>
            <w:tcMar>
              <w:left w:w="108" w:type="dxa"/>
            </w:tcMar>
            <w:vAlign w:val="bottom"/>
          </w:tcPr>
          <w:p w:rsidR="00181C91" w:rsidRPr="00C23DD7" w:rsidRDefault="00181C91" w:rsidP="000D7E0A">
            <w:pPr>
              <w:jc w:val="center"/>
              <w:rPr>
                <w:b/>
                <w:lang w:val="it-IT"/>
              </w:rPr>
            </w:pPr>
            <w:r w:rsidRPr="00C23DD7">
              <w:rPr>
                <w:b/>
                <w:lang w:val="it-IT"/>
              </w:rPr>
              <w:t>N/A</w:t>
            </w:r>
          </w:p>
        </w:tc>
      </w:tr>
      <w:tr w:rsidR="00181C91" w:rsidRPr="00C23DD7" w:rsidTr="000D7E0A">
        <w:trPr>
          <w:cantSplit/>
          <w:trHeight w:val="20"/>
        </w:trPr>
        <w:tc>
          <w:tcPr>
            <w:tcW w:w="675" w:type="dxa"/>
            <w:vAlign w:val="center"/>
          </w:tcPr>
          <w:p w:rsidR="00181C91" w:rsidRPr="00C23DD7" w:rsidRDefault="00181C91" w:rsidP="000D7E0A">
            <w:pPr>
              <w:overflowPunct/>
              <w:autoSpaceDE/>
              <w:autoSpaceDN/>
              <w:adjustRightInd/>
              <w:spacing w:before="0" w:after="0" w:line="240" w:lineRule="auto"/>
              <w:jc w:val="left"/>
              <w:textAlignment w:val="auto"/>
              <w:rPr>
                <w:lang w:val="it-IT"/>
              </w:rPr>
            </w:pPr>
          </w:p>
        </w:tc>
        <w:tc>
          <w:tcPr>
            <w:tcW w:w="846" w:type="dxa"/>
            <w:tcMar>
              <w:left w:w="108" w:type="dxa"/>
              <w:right w:w="0" w:type="dxa"/>
            </w:tcMar>
            <w:vAlign w:val="cente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1"/>
              <w:keepNext w:val="0"/>
            </w:pPr>
            <w:r w:rsidRPr="00C23DD7">
              <w:t xml:space="preserve">debiti </w:t>
            </w:r>
          </w:p>
        </w:tc>
        <w:tc>
          <w:tcPr>
            <w:tcW w:w="583" w:type="dxa"/>
            <w:tcMar>
              <w:left w:w="85" w:type="dxa"/>
              <w:right w:w="85" w:type="dxa"/>
            </w:tcMar>
            <w:vAlign w:val="center"/>
          </w:tcPr>
          <w:p w:rsidR="00181C91" w:rsidRPr="00C23DD7" w:rsidRDefault="00181C91" w:rsidP="000D7E0A">
            <w:pPr>
              <w:jc w:val="left"/>
              <w:rPr>
                <w:lang w:val="it-IT"/>
              </w:rPr>
            </w:pPr>
          </w:p>
        </w:tc>
        <w:tc>
          <w:tcPr>
            <w:tcW w:w="572" w:type="dxa"/>
            <w:tcMar>
              <w:left w:w="108" w:type="dxa"/>
            </w:tcMar>
            <w:vAlign w:val="center"/>
          </w:tcPr>
          <w:p w:rsidR="00181C91" w:rsidRPr="00C23DD7" w:rsidRDefault="00181C91" w:rsidP="000D7E0A">
            <w:pPr>
              <w:jc w:val="left"/>
              <w:rPr>
                <w:lang w:val="it-IT"/>
              </w:rPr>
            </w:pPr>
          </w:p>
        </w:tc>
        <w:tc>
          <w:tcPr>
            <w:tcW w:w="569" w:type="dxa"/>
            <w:tcMar>
              <w:left w:w="108" w:type="dxa"/>
            </w:tcMar>
            <w:vAlign w:val="center"/>
          </w:tcPr>
          <w:p w:rsidR="00181C91" w:rsidRPr="00C23DD7" w:rsidRDefault="00181C91" w:rsidP="000D7E0A">
            <w:pPr>
              <w:jc w:val="left"/>
              <w:rPr>
                <w:lang w:val="it-IT"/>
              </w:rPr>
            </w:pPr>
          </w:p>
        </w:tc>
      </w:tr>
      <w:tr w:rsidR="00181C91" w:rsidRPr="00C23DD7" w:rsidTr="000D7E0A">
        <w:trPr>
          <w:cantSplit/>
          <w:trHeight w:val="284"/>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647827" w:rsidRDefault="00181C91" w:rsidP="000D7E0A">
            <w:pPr>
              <w:pStyle w:val="Titolo2"/>
            </w:pPr>
            <w:r w:rsidRPr="00647827">
              <w:t>Definizioni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I </w:t>
            </w:r>
            <w:r w:rsidRPr="00C23DD7">
              <w:rPr>
                <w:i/>
                <w:lang w:eastAsia="it-IT"/>
              </w:rPr>
              <w:t xml:space="preserve">debiti </w:t>
            </w:r>
            <w:r w:rsidRPr="00C23DD7">
              <w:rPr>
                <w:lang w:eastAsia="it-IT"/>
              </w:rPr>
              <w:t>sono passività di natura determinata ed esistenza certa, che rappresentano obbligazioni a pagare ammontari fissi o determinabili di disponibilità liquide, o di beni/servizi aventi un valore equivalente, di solito ad una data stabilita. Tali obbligazioni sono nei confronti di finanziatori, fornitori e altri soggetti.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w:t>
            </w:r>
          </w:p>
        </w:tc>
        <w:tc>
          <w:tcPr>
            <w:tcW w:w="6959" w:type="dxa"/>
            <w:tcMar>
              <w:left w:w="108" w:type="dxa"/>
            </w:tcMar>
          </w:tcPr>
          <w:p w:rsidR="00181C91" w:rsidRPr="00C23DD7" w:rsidRDefault="00181C91" w:rsidP="000D7E0A">
            <w:pPr>
              <w:pStyle w:val="Commentiriquadro"/>
              <w:rPr>
                <w:lang w:eastAsia="it-IT"/>
              </w:rPr>
            </w:pPr>
            <w:r w:rsidRPr="00C23DD7">
              <w:rPr>
                <w:lang w:eastAsia="it-IT"/>
              </w:rPr>
              <w:t>I debiti differiscono dai fondi per rischi ed oneri che, invece, accolgono gli accantonamenti destinati a coprire perdite o debiti aventi natura determinata, esistenza certa o probabile ed il cui ammontare o data di sopravvenienza è indeterminato alla chiusura dell’esercizio.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w:t>
            </w:r>
          </w:p>
        </w:tc>
        <w:tc>
          <w:tcPr>
            <w:tcW w:w="6959" w:type="dxa"/>
            <w:tcMar>
              <w:left w:w="108" w:type="dxa"/>
            </w:tcMar>
          </w:tcPr>
          <w:p w:rsidR="00181C91" w:rsidRPr="00C23DD7" w:rsidRDefault="00181C91" w:rsidP="000D7E0A">
            <w:pPr>
              <w:pStyle w:val="Commentiriquadro"/>
              <w:rPr>
                <w:lang w:eastAsia="it-IT"/>
              </w:rPr>
            </w:pPr>
            <w:r w:rsidRPr="00C23DD7">
              <w:rPr>
                <w:lang w:eastAsia="it-IT"/>
              </w:rPr>
              <w:t>I debiti differiscono dagli impegni che rappresentano accordi per adempiere in futuro a certe obbligazioni assunte o a svolgere o eseguire determinate azioni o attività.</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Le </w:t>
            </w:r>
            <w:r w:rsidRPr="00C23DD7">
              <w:rPr>
                <w:i/>
                <w:lang w:eastAsia="it-IT"/>
              </w:rPr>
              <w:t xml:space="preserve">disponibilità liquide </w:t>
            </w:r>
            <w:r w:rsidRPr="00C23DD7">
              <w:rPr>
                <w:lang w:eastAsia="it-IT"/>
              </w:rPr>
              <w:t>sono rappresentate da:</w:t>
            </w:r>
          </w:p>
          <w:p w:rsidR="00181C91" w:rsidRPr="00C23DD7" w:rsidRDefault="00181C91" w:rsidP="004E27C2">
            <w:pPr>
              <w:pStyle w:val="Commentiriquadro"/>
              <w:numPr>
                <w:ilvl w:val="0"/>
                <w:numId w:val="44"/>
              </w:numPr>
              <w:ind w:left="176" w:hanging="119"/>
              <w:rPr>
                <w:lang w:eastAsia="it-IT"/>
              </w:rPr>
            </w:pPr>
            <w:r w:rsidRPr="00C23DD7">
              <w:rPr>
                <w:lang w:eastAsia="it-IT"/>
              </w:rPr>
              <w:t>depositi bancari e postali;</w:t>
            </w:r>
          </w:p>
          <w:p w:rsidR="00181C91" w:rsidRPr="00C23DD7" w:rsidRDefault="00181C91" w:rsidP="004E27C2">
            <w:pPr>
              <w:pStyle w:val="Commentiriquadro"/>
              <w:numPr>
                <w:ilvl w:val="0"/>
                <w:numId w:val="44"/>
              </w:numPr>
              <w:ind w:left="176" w:hanging="119"/>
              <w:rPr>
                <w:lang w:eastAsia="it-IT"/>
              </w:rPr>
            </w:pPr>
            <w:r w:rsidRPr="00C23DD7">
              <w:rPr>
                <w:lang w:eastAsia="it-IT"/>
              </w:rPr>
              <w:t>assegni;</w:t>
            </w:r>
          </w:p>
          <w:p w:rsidR="00181C91" w:rsidRPr="00C23DD7" w:rsidRDefault="00181C91" w:rsidP="004E27C2">
            <w:pPr>
              <w:pStyle w:val="Commentiriquadro"/>
              <w:numPr>
                <w:ilvl w:val="0"/>
                <w:numId w:val="44"/>
              </w:numPr>
              <w:ind w:left="176" w:hanging="119"/>
              <w:rPr>
                <w:lang w:eastAsia="it-IT"/>
              </w:rPr>
            </w:pPr>
            <w:r w:rsidRPr="00C23DD7">
              <w:rPr>
                <w:lang w:eastAsia="it-IT"/>
              </w:rPr>
              <w:t>denaro e valori in cassa.</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19.8</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Il </w:t>
            </w:r>
            <w:r w:rsidRPr="00C23DD7">
              <w:rPr>
                <w:i/>
                <w:lang w:eastAsia="it-IT"/>
              </w:rPr>
              <w:t xml:space="preserve">valore nominale </w:t>
            </w:r>
            <w:r w:rsidRPr="00C23DD7">
              <w:rPr>
                <w:lang w:eastAsia="it-IT"/>
              </w:rPr>
              <w:t>di un debito è l’ammontare, definito contrattualmente, che occorre pagare al creditore per estinguere il debito.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b/>
                <w:lang w:val="it-IT"/>
              </w:rPr>
            </w:pPr>
            <w:r w:rsidRPr="00C23DD7">
              <w:rPr>
                <w:lang w:val="it-IT"/>
              </w:rPr>
              <w:t>OIC 19.9</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Il </w:t>
            </w:r>
            <w:r w:rsidRPr="00C23DD7">
              <w:rPr>
                <w:i/>
                <w:lang w:eastAsia="it-IT"/>
              </w:rPr>
              <w:t xml:space="preserve">tasso di interesse nominale </w:t>
            </w:r>
            <w:r w:rsidRPr="00C23DD7">
              <w:rPr>
                <w:lang w:eastAsia="it-IT"/>
              </w:rPr>
              <w:t>di un debito è il tasso di interesse contrattuale che, applicato al suo valore nominale, consente di determinare i flussi finanziari costituiti da interessi passivi nominali lungo la durata del debito.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19.10</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Il </w:t>
            </w:r>
            <w:r w:rsidRPr="00C23DD7">
              <w:rPr>
                <w:i/>
                <w:lang w:eastAsia="it-IT"/>
              </w:rPr>
              <w:t xml:space="preserve">tasso di interesse desumibile dalle condizioni contrattuali </w:t>
            </w:r>
            <w:r w:rsidRPr="00C23DD7">
              <w:rPr>
                <w:lang w:eastAsia="it-IT"/>
              </w:rPr>
              <w:t>è il tasso che prende in considerazione tutti i flussi di cassa pagati tra le parti e previsti dal contratto (es.: commissioni, pagamenti anticipati e ogni altra differenza tra valore iniziale e valore a scadenza del debito), ma non considera i costi di transazione.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19.11</w:t>
            </w:r>
          </w:p>
        </w:tc>
        <w:tc>
          <w:tcPr>
            <w:tcW w:w="6959" w:type="dxa"/>
            <w:tcMar>
              <w:left w:w="108" w:type="dxa"/>
            </w:tcMar>
          </w:tcPr>
          <w:p w:rsidR="00181C91" w:rsidRPr="00C23DD7" w:rsidRDefault="00181C91" w:rsidP="000D7E0A">
            <w:pPr>
              <w:pStyle w:val="Commentiriquadro"/>
              <w:rPr>
                <w:lang w:eastAsia="it-IT"/>
              </w:rPr>
            </w:pPr>
            <w:r w:rsidRPr="00C23DD7">
              <w:rPr>
                <w:lang w:eastAsia="it-IT"/>
              </w:rPr>
              <w:t>L’</w:t>
            </w:r>
            <w:r w:rsidRPr="00C23DD7">
              <w:rPr>
                <w:i/>
                <w:lang w:eastAsia="it-IT"/>
              </w:rPr>
              <w:t>attualizzazione</w:t>
            </w:r>
            <w:r w:rsidRPr="00C23DD7">
              <w:rPr>
                <w:lang w:eastAsia="it-IT"/>
              </w:rPr>
              <w:t>, sotto il profilo finanziario, è il processo che consente, tramite l’applicazione di un tasso di sconto, di determinare il valore ad oggi di flussi finanziari che saranno pagati in una o più date future.</w:t>
            </w:r>
          </w:p>
          <w:p w:rsidR="00181C91" w:rsidRPr="00C23DD7" w:rsidRDefault="00181C91" w:rsidP="000D7E0A">
            <w:pPr>
              <w:pStyle w:val="Commentiriquadro"/>
              <w:rPr>
                <w:lang w:eastAsia="it-IT"/>
              </w:rPr>
            </w:pPr>
            <w:r w:rsidRPr="00C23DD7">
              <w:rPr>
                <w:lang w:eastAsia="it-IT"/>
              </w:rPr>
              <w:t>L’</w:t>
            </w:r>
            <w:r w:rsidRPr="00C23DD7">
              <w:rPr>
                <w:i/>
                <w:lang w:eastAsia="it-IT"/>
              </w:rPr>
              <w:t xml:space="preserve">attualizzazione </w:t>
            </w:r>
            <w:r w:rsidRPr="00C23DD7">
              <w:rPr>
                <w:lang w:eastAsia="it-IT"/>
              </w:rPr>
              <w:t>è prevista dall’art. 2426, c</w:t>
            </w:r>
            <w:r>
              <w:rPr>
                <w:lang w:eastAsia="it-IT"/>
              </w:rPr>
              <w:t>.</w:t>
            </w:r>
            <w:r w:rsidRPr="00C23DD7">
              <w:rPr>
                <w:lang w:eastAsia="it-IT"/>
              </w:rPr>
              <w:t xml:space="preserve">1, n.8 laddove si richiede che la valutazione dei debiti tenga conto anche del “fattore temporale” nel caso in cui, al momento della rilevazione iniziale, il tasso di interesse </w:t>
            </w:r>
            <w:r w:rsidRPr="00C23DD7">
              <w:rPr>
                <w:i/>
                <w:lang w:eastAsia="it-IT"/>
              </w:rPr>
              <w:t xml:space="preserve">desumibile dalle condizioni contrattuali </w:t>
            </w:r>
            <w:r w:rsidRPr="00C23DD7">
              <w:rPr>
                <w:lang w:eastAsia="it-IT"/>
              </w:rPr>
              <w:t>risulti significativamente diverso da quello di mercato.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19.12</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Il </w:t>
            </w:r>
            <w:r w:rsidRPr="00C23DD7">
              <w:rPr>
                <w:i/>
                <w:lang w:eastAsia="it-IT"/>
              </w:rPr>
              <w:t xml:space="preserve">tasso di interesse di mercato </w:t>
            </w:r>
            <w:r w:rsidRPr="00C23DD7">
              <w:rPr>
                <w:lang w:eastAsia="it-IT"/>
              </w:rPr>
              <w:t>è il tasso che sarebbe stato applicato se due parti indipendenti avessero negoziato un’operazione similare con termini e condizioni comparabili con quella oggetto di esame che ha generato il debito. Nel determinare tale tasso d’interesse si deve massimizzare l’utilizzo di parametri osservabili sul mercato.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19.13</w:t>
            </w:r>
          </w:p>
        </w:tc>
        <w:tc>
          <w:tcPr>
            <w:tcW w:w="6959" w:type="dxa"/>
            <w:tcMar>
              <w:left w:w="108" w:type="dxa"/>
            </w:tcMar>
          </w:tcPr>
          <w:p w:rsidR="00181C91" w:rsidRPr="00C23DD7" w:rsidRDefault="00181C91" w:rsidP="000D7E0A">
            <w:pPr>
              <w:pStyle w:val="Commentiriquadro"/>
              <w:rPr>
                <w:lang w:eastAsia="it-IT"/>
              </w:rPr>
            </w:pPr>
            <w:r w:rsidRPr="00C23DD7">
              <w:rPr>
                <w:lang w:eastAsia="it-IT"/>
              </w:rPr>
              <w:t>L’</w:t>
            </w:r>
            <w:r w:rsidRPr="00C23DD7">
              <w:rPr>
                <w:i/>
                <w:lang w:eastAsia="it-IT"/>
              </w:rPr>
              <w:t xml:space="preserve">aggio </w:t>
            </w:r>
            <w:r w:rsidRPr="00C23DD7">
              <w:rPr>
                <w:lang w:eastAsia="it-IT"/>
              </w:rPr>
              <w:t>di emissione di un prestito obbligazionario è la differenza positiva tra il prezzo di emissione delle obbligazioni e il loro valore nominale (prestito obbligazionario emesso sopra la pari).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19.14</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Il </w:t>
            </w:r>
            <w:r w:rsidRPr="00C23DD7">
              <w:rPr>
                <w:i/>
                <w:lang w:eastAsia="it-IT"/>
              </w:rPr>
              <w:t xml:space="preserve">disaggio </w:t>
            </w:r>
            <w:r w:rsidRPr="00C23DD7">
              <w:rPr>
                <w:lang w:eastAsia="it-IT"/>
              </w:rPr>
              <w:t>di emissione di un prestito obbligazionario è la differenza negativa tra il prezzo di emissione delle obbligazioni e il loro valore nominale (prestito obbligazionario emesso sotto la pari).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19.15</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Il </w:t>
            </w:r>
            <w:r w:rsidRPr="00C23DD7">
              <w:rPr>
                <w:i/>
                <w:lang w:eastAsia="it-IT"/>
              </w:rPr>
              <w:t xml:space="preserve">bilancio in forma ordinaria </w:t>
            </w:r>
            <w:r w:rsidRPr="00C23DD7">
              <w:rPr>
                <w:lang w:eastAsia="it-IT"/>
              </w:rPr>
              <w:t>è il bilancio redatto secondo le disposizioni del codice civile dalle società che non redigono il bilancio in forma abbreviata ai sensi dell’art. 2435-</w:t>
            </w:r>
            <w:r w:rsidRPr="00C32B15">
              <w:rPr>
                <w:lang w:eastAsia="it-IT"/>
              </w:rPr>
              <w:t>bis</w:t>
            </w:r>
            <w:r>
              <w:rPr>
                <w:lang w:eastAsia="it-IT"/>
              </w:rPr>
              <w:t xml:space="preserve"> CC</w:t>
            </w:r>
            <w:r w:rsidRPr="00C23DD7">
              <w:rPr>
                <w:lang w:eastAsia="it-IT"/>
              </w:rPr>
              <w:t xml:space="preserve"> e dalle società che non redigono il bilancio ai sensi dell’art. 2435-</w:t>
            </w:r>
            <w:r w:rsidRPr="00C32B15">
              <w:rPr>
                <w:lang w:eastAsia="it-IT"/>
              </w:rPr>
              <w:t>ter</w:t>
            </w:r>
            <w:r>
              <w:rPr>
                <w:lang w:eastAsia="it-IT"/>
              </w:rPr>
              <w:t xml:space="preserve"> CC</w:t>
            </w:r>
            <w:r w:rsidRPr="00C23DD7">
              <w:rPr>
                <w:lang w:eastAsia="it-IT"/>
              </w:rPr>
              <w:t>.</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183"/>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181C91" w:rsidRDefault="00181C91" w:rsidP="000D7E0A">
            <w:pPr>
              <w:pStyle w:val="Titolo3"/>
              <w:rPr>
                <w:lang w:val="it-IT"/>
              </w:rPr>
            </w:pPr>
            <w:r w:rsidRPr="00181C91">
              <w:rPr>
                <w:lang w:val="it-IT"/>
              </w:rPr>
              <w:t>Definizioni tratte dai principi contabili internazionali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19.16</w:t>
            </w:r>
          </w:p>
        </w:tc>
        <w:tc>
          <w:tcPr>
            <w:tcW w:w="6959" w:type="dxa"/>
            <w:tcMar>
              <w:left w:w="108" w:type="dxa"/>
            </w:tcMar>
          </w:tcPr>
          <w:p w:rsidR="00181C91" w:rsidRPr="00C23DD7" w:rsidRDefault="00181C91" w:rsidP="000D7E0A">
            <w:pPr>
              <w:pStyle w:val="Commentiriquadro"/>
              <w:rPr>
                <w:lang w:eastAsia="it-IT"/>
              </w:rPr>
            </w:pPr>
            <w:r w:rsidRPr="00C23DD7">
              <w:rPr>
                <w:lang w:eastAsia="it-IT"/>
              </w:rPr>
              <w:t>L’art. 2426, c</w:t>
            </w:r>
            <w:r>
              <w:rPr>
                <w:lang w:eastAsia="it-IT"/>
              </w:rPr>
              <w:t>.</w:t>
            </w:r>
            <w:r w:rsidRPr="00C23DD7">
              <w:rPr>
                <w:lang w:eastAsia="it-IT"/>
              </w:rPr>
              <w:t>2</w:t>
            </w:r>
            <w:r>
              <w:rPr>
                <w:lang w:eastAsia="it-IT"/>
              </w:rPr>
              <w:t xml:space="preserve"> CC</w:t>
            </w:r>
            <w:r w:rsidRPr="00C23DD7">
              <w:rPr>
                <w:lang w:eastAsia="it-IT"/>
              </w:rPr>
              <w:t xml:space="preserve"> prescrive che per la definizione di costo ammortizzato si fa riferimento ai principi contabili internazionali adottati dall’Unione europea. Lo IAS 39 (par. 9), adottato dall’Unione europea e in vigore al momento della pubblicazione di questo principio, ricomprende i debiti tra le passività finanziarie e fornisce le seguenti definizioni con riferimento al criterio del costo ammortizzato di attività e passività finanziarie.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19.17</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“Il </w:t>
            </w:r>
            <w:r w:rsidRPr="00C23DD7">
              <w:rPr>
                <w:i/>
                <w:lang w:eastAsia="it-IT"/>
              </w:rPr>
              <w:t xml:space="preserve">costo ammortizzato </w:t>
            </w:r>
            <w:r w:rsidRPr="00C23DD7">
              <w:rPr>
                <w:lang w:eastAsia="it-IT"/>
              </w:rPr>
              <w:t>di un’attività o passività finanziaria è il valore a cui l’attività o la passività finanziaria è stata valutata al momento della rilevazione iniziale al netto dei rimborsi di capitale, aumentato o diminuito dall’ammortamento cumulato utilizzando il criterio dell’interesse effettivo su qualsiasi differenza tra il valore iniziale e quello a scadenza e dedotta qualsiasi riduzione (operata direttamente o attraverso l’uso di un accantonamento) a seguito di una riduzione di valore o di irrecuperabilità”.</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19.18</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“Il </w:t>
            </w:r>
            <w:r w:rsidRPr="00C23DD7">
              <w:rPr>
                <w:i/>
                <w:lang w:eastAsia="it-IT"/>
              </w:rPr>
              <w:t xml:space="preserve">criterio dell’interesse effettivo </w:t>
            </w:r>
            <w:r w:rsidRPr="00C23DD7">
              <w:rPr>
                <w:lang w:eastAsia="it-IT"/>
              </w:rPr>
              <w:t>è un metodo di calcolo del costo ammortizzato di un’attività o passività finanziaria (o gruppo di attività o passività finanziarie) e di ripartizione degli interessi attivi o passivi lungo il relativo periodo”.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19.19</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“Il </w:t>
            </w:r>
            <w:r w:rsidRPr="00C23DD7">
              <w:rPr>
                <w:i/>
                <w:lang w:eastAsia="it-IT"/>
              </w:rPr>
              <w:t xml:space="preserve">tasso di interesse effettivo </w:t>
            </w:r>
            <w:r w:rsidRPr="00C23DD7">
              <w:rPr>
                <w:lang w:eastAsia="it-IT"/>
              </w:rPr>
              <w:t>è il tasso che attualizza esattamente i pagamenti o gli incassi futuri stimati lungo la vita attesa dello strumento finanziario o, ove opportuno, un periodo più breve al valore contabile netto dell’attività o passività finanziaria. Quando si calcola il tasso di interesse effettivo, un’entità deve valutare i flussi finanziari tenendo in considerazione tutti i termini contrattuali dello strumento finanziario (per esempio, il pagamento anticipato, un’opzione call e simili), ma non deve considerare perdite future su crediti. Il calcolo include tutti gli oneri e punti base pagati o ricevuti tra le parti di un contratto che sono parte integrante del tasso di interesse effettivo, i costi di transazione e tutti gli altri premi o sconti. Si presume che i flussi finanziari e la vita attesa di un gruppo di strumenti finanziari similari possano essere valutati in modo attendibile. Tuttavia, in quei rari casi in cui non è possibile determinare in modo attendibile i flussi finanziari o la vita attesa di uno strumento finanziario (o gruppo di strumenti finanziari), l’entità deve utilizzare i flussi finanziari contrattuali per tutta la durata del contratto dello strumento finanziario (o gruppo di strumenti finanziari)”.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19.20</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“I </w:t>
            </w:r>
            <w:r w:rsidRPr="00C23DD7">
              <w:rPr>
                <w:i/>
                <w:lang w:eastAsia="it-IT"/>
              </w:rPr>
              <w:t xml:space="preserve">costi di transazione </w:t>
            </w:r>
            <w:r w:rsidRPr="00C23DD7">
              <w:rPr>
                <w:lang w:eastAsia="it-IT"/>
              </w:rPr>
              <w:t>sono costi marginali direttamente attribuibili all’acquisizione, all’emissione o alla dismissione di un’attività o di una passività finanziaria. Un costo marginale è un costo che non sarebbe stato sostenuto se l’entità non avesse acquisito, emesso o dismesso lo strumento finanziario”. I costi di transazione includono gli onorari e le commissioni pagati a soggetti terzi (es.: consulenti, mediatori finanziari e notai), i contributi pagati a organismi di regolamentazione e le tasse e gli oneri sui trasferimenti. I costi di transazione non includono premi o sconti sul valore nominale del debito e tutti gli altri oneri previsti dal contratto di finanziamento e pagati alla controparte.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20"/>
        </w:trPr>
        <w:tc>
          <w:tcPr>
            <w:tcW w:w="675" w:type="dxa"/>
          </w:tcPr>
          <w:p w:rsidR="00181C91" w:rsidRPr="00C23DD7" w:rsidRDefault="00181C91" w:rsidP="000D7E0A">
            <w:pPr>
              <w:ind w:left="227"/>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Titolo2"/>
              <w:rPr>
                <w:lang w:val="it-IT"/>
              </w:rPr>
            </w:pPr>
            <w:r w:rsidRPr="00C23DD7">
              <w:rPr>
                <w:lang w:val="it-IT"/>
              </w:rPr>
              <w:t>Classificazione e contenuto delle voci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20"/>
        </w:trPr>
        <w:tc>
          <w:tcPr>
            <w:tcW w:w="675" w:type="dxa"/>
          </w:tcPr>
          <w:p w:rsidR="00181C91" w:rsidRPr="0075607F" w:rsidRDefault="00181C91" w:rsidP="000D7E0A">
            <w:pPr>
              <w:jc w:val="center"/>
              <w:rPr>
                <w:b/>
                <w:lang w:val="it-IT"/>
              </w:rPr>
            </w:pPr>
            <w:r w:rsidRPr="0075607F">
              <w:rPr>
                <w:b/>
                <w:lang w:val="it-IT"/>
              </w:rPr>
              <w:t>1)</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Art. 2424 CC</w:t>
            </w:r>
            <w:r>
              <w:rPr>
                <w:lang w:val="it-IT"/>
              </w:rPr>
              <w:t xml:space="preserve"> </w:t>
            </w:r>
            <w:r w:rsidRPr="00C23DD7">
              <w:rPr>
                <w:lang w:val="it-IT"/>
              </w:rPr>
              <w:t>OIC 19.21</w:t>
            </w:r>
          </w:p>
        </w:tc>
        <w:tc>
          <w:tcPr>
            <w:tcW w:w="6959" w:type="dxa"/>
            <w:tcMar>
              <w:left w:w="108" w:type="dxa"/>
            </w:tcMar>
          </w:tcPr>
          <w:p w:rsidR="00181C91" w:rsidRPr="00C23DD7" w:rsidRDefault="00181C91" w:rsidP="000D7E0A">
            <w:pPr>
              <w:spacing w:line="230" w:lineRule="exact"/>
              <w:rPr>
                <w:lang w:val="it-IT"/>
              </w:rPr>
            </w:pPr>
            <w:r w:rsidRPr="00C23DD7">
              <w:rPr>
                <w:lang w:val="it-IT"/>
              </w:rPr>
              <w:t xml:space="preserve">I debiti sono stati </w:t>
            </w:r>
            <w:r>
              <w:rPr>
                <w:lang w:val="it-IT"/>
              </w:rPr>
              <w:t>esposti</w:t>
            </w:r>
            <w:r w:rsidRPr="00C23DD7">
              <w:rPr>
                <w:lang w:val="it-IT"/>
              </w:rPr>
              <w:t xml:space="preserve"> nella voce D “Debiti” con la seguente classificazione: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CC0226" w:rsidP="000D7E0A">
            <w:pPr>
              <w:pStyle w:val="Rientro10"/>
              <w:spacing w:line="230" w:lineRule="exact"/>
            </w:pPr>
            <w:r>
              <w:tab/>
            </w:r>
            <w:r w:rsidR="00181C91" w:rsidRPr="00C23DD7">
              <w:t>obbligazioni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2) </w:t>
            </w:r>
            <w:r w:rsidRPr="00C23DD7">
              <w:rPr>
                <w:lang w:val="it-IT"/>
              </w:rPr>
              <w:tab/>
              <w:t>obbligazioni convertibili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3)</w:t>
            </w:r>
            <w:r w:rsidRPr="00C23DD7">
              <w:rPr>
                <w:lang w:val="it-IT"/>
              </w:rPr>
              <w:tab/>
              <w:t>debiti verso soci per finanziamenti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4) </w:t>
            </w:r>
            <w:r w:rsidRPr="00C23DD7">
              <w:rPr>
                <w:lang w:val="it-IT"/>
              </w:rPr>
              <w:tab/>
              <w:t>debiti verso banche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5) </w:t>
            </w:r>
            <w:r w:rsidRPr="00C23DD7">
              <w:rPr>
                <w:lang w:val="it-IT"/>
              </w:rPr>
              <w:tab/>
              <w:t>debiti verso altri finanziatori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6) </w:t>
            </w:r>
            <w:r w:rsidRPr="00C23DD7">
              <w:rPr>
                <w:lang w:val="it-IT"/>
              </w:rPr>
              <w:tab/>
              <w:t>acconti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7) </w:t>
            </w:r>
            <w:r w:rsidRPr="00C23DD7">
              <w:rPr>
                <w:lang w:val="it-IT"/>
              </w:rPr>
              <w:tab/>
              <w:t>debiti verso fornitori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8) </w:t>
            </w:r>
            <w:r w:rsidRPr="00C23DD7">
              <w:rPr>
                <w:lang w:val="it-IT"/>
              </w:rPr>
              <w:tab/>
              <w:t>debiti rappresentati da titoli di credito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9) </w:t>
            </w:r>
            <w:r w:rsidRPr="00C23DD7">
              <w:rPr>
                <w:lang w:val="it-IT"/>
              </w:rPr>
              <w:tab/>
              <w:t>debiti verso imprese controllate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10) </w:t>
            </w:r>
            <w:r w:rsidRPr="00C23DD7">
              <w:rPr>
                <w:lang w:val="it-IT"/>
              </w:rPr>
              <w:tab/>
              <w:t>debiti verso imprese collegate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11) </w:t>
            </w:r>
            <w:r w:rsidRPr="00C23DD7">
              <w:rPr>
                <w:lang w:val="it-IT"/>
              </w:rPr>
              <w:tab/>
              <w:t>debiti verso controllanti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110EFD">
              <w:rPr>
                <w:lang w:val="it-IT"/>
              </w:rPr>
              <w:t>11</w:t>
            </w:r>
            <w:r w:rsidRPr="00110EFD">
              <w:rPr>
                <w:sz w:val="18"/>
                <w:lang w:val="it-IT"/>
              </w:rPr>
              <w:t>-bis</w:t>
            </w:r>
            <w:r w:rsidRPr="00110EFD">
              <w:rPr>
                <w:lang w:val="it-IT"/>
              </w:rPr>
              <w:t>)de</w:t>
            </w:r>
            <w:r w:rsidRPr="00C23DD7">
              <w:rPr>
                <w:lang w:val="it-IT"/>
              </w:rPr>
              <w:t>biti verso imprese sottoposte al controllo delle controllanti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12) </w:t>
            </w:r>
            <w:r w:rsidRPr="00C23DD7">
              <w:rPr>
                <w:lang w:val="it-IT"/>
              </w:rPr>
              <w:tab/>
              <w:t>debiti tributari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13) </w:t>
            </w:r>
            <w:r w:rsidRPr="00C23DD7">
              <w:rPr>
                <w:lang w:val="it-IT"/>
              </w:rPr>
              <w:tab/>
              <w:t>debiti verso istituti di previdenza e di sicurezza sociale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14) </w:t>
            </w:r>
            <w:r w:rsidRPr="00C23DD7">
              <w:rPr>
                <w:lang w:val="it-IT"/>
              </w:rPr>
              <w:tab/>
              <w:t>altri debiti?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2)</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Art. 2424 CC</w:t>
            </w:r>
            <w:r>
              <w:rPr>
                <w:lang w:val="it-IT"/>
              </w:rPr>
              <w:t xml:space="preserve"> </w:t>
            </w:r>
            <w:r w:rsidRPr="00C23DD7">
              <w:rPr>
                <w:lang w:val="it-IT"/>
              </w:rPr>
              <w:t>OIC 19.22</w:t>
            </w:r>
          </w:p>
        </w:tc>
        <w:tc>
          <w:tcPr>
            <w:tcW w:w="6959" w:type="dxa"/>
            <w:tcMar>
              <w:left w:w="108" w:type="dxa"/>
            </w:tcMar>
          </w:tcPr>
          <w:p w:rsidR="00181C91" w:rsidRPr="00C23DD7" w:rsidRDefault="00181C91" w:rsidP="000D7E0A">
            <w:pPr>
              <w:spacing w:line="230" w:lineRule="exact"/>
              <w:rPr>
                <w:lang w:val="it-IT"/>
              </w:rPr>
            </w:pPr>
            <w:r w:rsidRPr="00C23DD7">
              <w:rPr>
                <w:lang w:val="it-IT"/>
              </w:rPr>
              <w:t>Per ciascuna voce dei debiti è stata data indicazione separata degli importi esigibili entro ed oltre l’esercizio successivo?</w:t>
            </w:r>
          </w:p>
        </w:tc>
        <w:tc>
          <w:tcPr>
            <w:tcW w:w="583" w:type="dxa"/>
            <w:tcMar>
              <w:left w:w="85" w:type="dxa"/>
              <w:right w:w="85" w:type="dxa"/>
            </w:tcMar>
            <w:vAlign w:val="center"/>
          </w:tcPr>
          <w:p w:rsidR="00181C91" w:rsidRPr="00CC0226" w:rsidRDefault="00181C91" w:rsidP="00CC0226">
            <w:pPr>
              <w:jc w:val="center"/>
              <w:rPr>
                <w:lang w:val="it-IT"/>
              </w:rPr>
            </w:pPr>
            <w:r w:rsidRPr="00CC0226">
              <w:rPr>
                <w:lang w:val="it-IT"/>
              </w:rPr>
              <w:fldChar w:fldCharType="begin">
                <w:ffData>
                  <w:name w:val="Check4"/>
                  <w:enabled/>
                  <w:calcOnExit w:val="0"/>
                  <w:checkBox>
                    <w:sizeAuto/>
                    <w:default w:val="0"/>
                  </w:checkBox>
                </w:ffData>
              </w:fldChar>
            </w:r>
            <w:r w:rsidRPr="00CC0226">
              <w:rPr>
                <w:lang w:val="it-IT"/>
              </w:rPr>
              <w:instrText xml:space="preserve"> FORMCHECKBOX </w:instrText>
            </w:r>
            <w:r w:rsidR="00CA1681">
              <w:rPr>
                <w:lang w:val="it-IT"/>
              </w:rPr>
            </w:r>
            <w:r w:rsidR="00CA1681">
              <w:rPr>
                <w:lang w:val="it-IT"/>
              </w:rPr>
              <w:fldChar w:fldCharType="separate"/>
            </w:r>
            <w:r w:rsidRPr="00CC0226">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3)</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19.23</w:t>
            </w:r>
          </w:p>
        </w:tc>
        <w:tc>
          <w:tcPr>
            <w:tcW w:w="6959" w:type="dxa"/>
            <w:tcMar>
              <w:left w:w="108" w:type="dxa"/>
            </w:tcMar>
          </w:tcPr>
          <w:p w:rsidR="00181C91" w:rsidRPr="00C23DD7" w:rsidRDefault="00181C91" w:rsidP="000D7E0A">
            <w:pPr>
              <w:spacing w:line="230" w:lineRule="exact"/>
              <w:rPr>
                <w:lang w:val="it-IT"/>
              </w:rPr>
            </w:pPr>
            <w:r w:rsidRPr="00C23DD7">
              <w:rPr>
                <w:lang w:val="it-IT"/>
              </w:rPr>
              <w:t>Ai fini dell’indicazione degli importi esigibili entro o oltre l’esercizio, la classificazione è effettuata con riferimento alla loro scadenza contrattuale o legale, tenendo conto anche di fatti ed eventi previsti nel contratto che possono determinare una modifica della scadenza originaria, avvenuti entro la d</w:t>
            </w:r>
            <w:r>
              <w:rPr>
                <w:lang w:val="it-IT"/>
              </w:rPr>
              <w:t>ata di riferimento del bilancio</w:t>
            </w:r>
            <w:r w:rsidRPr="00C23DD7">
              <w:rPr>
                <w:lang w:val="it-IT"/>
              </w:rPr>
              <w:t>?</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4)</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19.24</w:t>
            </w:r>
          </w:p>
        </w:tc>
        <w:tc>
          <w:tcPr>
            <w:tcW w:w="6959" w:type="dxa"/>
            <w:tcMar>
              <w:left w:w="108" w:type="dxa"/>
            </w:tcMar>
          </w:tcPr>
          <w:p w:rsidR="00181C91" w:rsidRPr="00C23DD7" w:rsidRDefault="00181C91" w:rsidP="000D7E0A">
            <w:pPr>
              <w:spacing w:line="230" w:lineRule="exact"/>
              <w:rPr>
                <w:lang w:val="it-IT"/>
              </w:rPr>
            </w:pPr>
            <w:r w:rsidRPr="00C23DD7">
              <w:rPr>
                <w:lang w:val="it-IT" w:eastAsia="it-IT"/>
              </w:rPr>
              <w:t>Nel caso in cui la società abbia violato una clausola contrattuale prevista per un debito a lungo termine entro la data di riferimento del bilancio, con la conseguenza che il debito diventa immediatamente esigibile, essa ha classificato il debito come esigibile entro l’esercizio, a meno che tra la data di chiusura dell’esercizio e prima della data di formazione del bilancio, non siano intervenuti nuovi accordi contrattuali che legittimano la classificazione come debiti a lungo termine?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5)</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19.24</w:t>
            </w:r>
          </w:p>
        </w:tc>
        <w:tc>
          <w:tcPr>
            <w:tcW w:w="6959" w:type="dxa"/>
            <w:tcMar>
              <w:left w:w="108" w:type="dxa"/>
            </w:tcMar>
          </w:tcPr>
          <w:p w:rsidR="00181C91" w:rsidRPr="00C23DD7" w:rsidRDefault="00181C91" w:rsidP="000D7E0A">
            <w:pPr>
              <w:spacing w:line="230" w:lineRule="exact"/>
              <w:rPr>
                <w:lang w:val="it-IT" w:eastAsia="it-IT"/>
              </w:rPr>
            </w:pPr>
            <w:r w:rsidRPr="00C23DD7">
              <w:rPr>
                <w:lang w:val="it-IT" w:eastAsia="it-IT"/>
              </w:rPr>
              <w:t xml:space="preserve">Se rilevante, tale evento è illustrato nella </w:t>
            </w:r>
            <w:r>
              <w:rPr>
                <w:lang w:val="it-IT" w:eastAsia="it-IT"/>
              </w:rPr>
              <w:t>Nota Integrativa</w:t>
            </w:r>
            <w:r w:rsidRPr="00C23DD7">
              <w:rPr>
                <w:lang w:val="it-IT" w:eastAsia="it-IT"/>
              </w:rPr>
              <w:t xml:space="preserve"> secondo quanto previsto dall’OIC 29 per i fatti intervenuti dopo la chiusura dell’esercizio? </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6)</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19.24</w:t>
            </w:r>
          </w:p>
        </w:tc>
        <w:tc>
          <w:tcPr>
            <w:tcW w:w="6959" w:type="dxa"/>
            <w:tcMar>
              <w:left w:w="108" w:type="dxa"/>
            </w:tcMar>
          </w:tcPr>
          <w:p w:rsidR="00181C91" w:rsidRPr="00C23DD7" w:rsidRDefault="00181C91" w:rsidP="000D7E0A">
            <w:pPr>
              <w:spacing w:line="230" w:lineRule="exact"/>
              <w:rPr>
                <w:lang w:val="it-IT" w:eastAsia="it-IT"/>
              </w:rPr>
            </w:pPr>
            <w:r w:rsidRPr="00C23DD7">
              <w:rPr>
                <w:lang w:val="it-IT" w:eastAsia="it-IT"/>
              </w:rPr>
              <w:t>Nel caso in cui la sostituzione di un prestito a breve con un prestito a lungo termine si sia conclusa tra la data di riferimento del bilancio e la data di formazione del bilancio, il debito continua ad essere classificato come esigibile entro l’esercizio successivo?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7)</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19.24</w:t>
            </w:r>
          </w:p>
        </w:tc>
        <w:tc>
          <w:tcPr>
            <w:tcW w:w="6959" w:type="dxa"/>
            <w:tcMar>
              <w:left w:w="108" w:type="dxa"/>
            </w:tcMar>
          </w:tcPr>
          <w:p w:rsidR="00181C91" w:rsidRPr="00C23DD7" w:rsidRDefault="00181C91" w:rsidP="000D7E0A">
            <w:pPr>
              <w:spacing w:line="230" w:lineRule="exact"/>
              <w:rPr>
                <w:lang w:val="it-IT" w:eastAsia="it-IT"/>
              </w:rPr>
            </w:pPr>
            <w:r w:rsidRPr="00C23DD7">
              <w:rPr>
                <w:lang w:val="it-IT"/>
              </w:rPr>
              <w:t xml:space="preserve">Con riferimento al punto precedente, se rilevante, tale evento è illustrato nella </w:t>
            </w:r>
            <w:r>
              <w:rPr>
                <w:lang w:val="it-IT"/>
              </w:rPr>
              <w:t>Nota Integrativa</w:t>
            </w:r>
            <w:r w:rsidRPr="00C23DD7">
              <w:rPr>
                <w:lang w:val="it-IT"/>
              </w:rPr>
              <w:t xml:space="preserve"> secondo quanto previsto dall’OIC 29 per i fatti intervenuti dopo la chiusura dell’esercizio?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Titolo3"/>
              <w:rPr>
                <w:lang w:val="it-IT"/>
              </w:rPr>
            </w:pPr>
            <w:r w:rsidRPr="00C23DD7">
              <w:rPr>
                <w:lang w:val="it-IT"/>
              </w:rPr>
              <w:t>Il contenuto delle singole voci di debito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8)</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OIC19.25</w:t>
            </w:r>
          </w:p>
        </w:tc>
        <w:tc>
          <w:tcPr>
            <w:tcW w:w="6959" w:type="dxa"/>
            <w:tcMar>
              <w:left w:w="108" w:type="dxa"/>
            </w:tcMar>
          </w:tcPr>
          <w:p w:rsidR="00181C91" w:rsidRPr="00C23DD7" w:rsidRDefault="00181C91" w:rsidP="000D7E0A">
            <w:pPr>
              <w:spacing w:line="230" w:lineRule="exact"/>
              <w:rPr>
                <w:lang w:val="it-IT"/>
              </w:rPr>
            </w:pPr>
            <w:r w:rsidRPr="00C23DD7">
              <w:rPr>
                <w:lang w:val="it-IT"/>
              </w:rPr>
              <w:t>Le voci D1 e D2 dello stato patrimoniale passivo accolgono rispettivamente le obbligazioni e le obbligazioni convertibili in azioni e includono gli interessi maturati?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9)</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19.26</w:t>
            </w:r>
          </w:p>
        </w:tc>
        <w:tc>
          <w:tcPr>
            <w:tcW w:w="6959" w:type="dxa"/>
            <w:tcMar>
              <w:left w:w="108" w:type="dxa"/>
            </w:tcMar>
          </w:tcPr>
          <w:p w:rsidR="00181C91" w:rsidRPr="00C23DD7" w:rsidRDefault="00181C91" w:rsidP="000D7E0A">
            <w:pPr>
              <w:spacing w:line="230" w:lineRule="exact"/>
              <w:rPr>
                <w:lang w:val="it-IT"/>
              </w:rPr>
            </w:pPr>
            <w:r w:rsidRPr="00C23DD7">
              <w:rPr>
                <w:lang w:val="it-IT"/>
              </w:rPr>
              <w:t>La voce D3 contiene l’importo di tutti i finanziamenti concessi dai soci (compresi quelli concessi da un socio che è anche una società controllante) alla società sotto qualsiasi forma, per i quali la società ha un obbligo di restituzione?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19.26</w:t>
            </w:r>
          </w:p>
        </w:tc>
        <w:tc>
          <w:tcPr>
            <w:tcW w:w="6959" w:type="dxa"/>
            <w:tcMar>
              <w:left w:w="108" w:type="dxa"/>
            </w:tcMar>
          </w:tcPr>
          <w:p w:rsidR="00181C91" w:rsidRPr="00C23DD7" w:rsidRDefault="00181C91" w:rsidP="000D7E0A">
            <w:pPr>
              <w:pStyle w:val="Commentiriquadro"/>
            </w:pPr>
            <w:r w:rsidRPr="00C23DD7">
              <w:t>Non è rilevante ai fini della classificazione nella voce D3 la natura fruttifera o meno di tali debiti, né l’eventualità che i versamenti vengano effettuati da tutti i soci in misura proporzionale alle quote di partecipazione. L’elemento discriminante per considerare il debito un finanziamento e non un contributo va individuato esclusivamente nel diritto dei soci previsto contrattualmente alla restituzione delle somme versate (indipendentemente dalle possibilità di rinnovo dello stesso finanziamento). Infatti, per questa tipologia di versamenti il loro eventuale passaggio a patrimonio netto necessita della preventiva rinuncia dei soci al diritto alla restituzione, trasformando così il finanziamento in apporto di capitale.</w:t>
            </w:r>
          </w:p>
          <w:p w:rsidR="00181C91" w:rsidRPr="00C23DD7" w:rsidRDefault="00181C91" w:rsidP="000D7E0A">
            <w:pPr>
              <w:pStyle w:val="Commentiriquadro"/>
            </w:pPr>
            <w:r w:rsidRPr="00C23DD7">
              <w:t>Nella voce D3 sono iscritti i finanziamenti effettuati da un socio che è anche una società controllante.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10)</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19.27</w:t>
            </w:r>
          </w:p>
        </w:tc>
        <w:tc>
          <w:tcPr>
            <w:tcW w:w="6959" w:type="dxa"/>
            <w:tcMar>
              <w:left w:w="108" w:type="dxa"/>
            </w:tcMar>
          </w:tcPr>
          <w:p w:rsidR="00181C91" w:rsidRPr="00C23DD7" w:rsidRDefault="00181C91" w:rsidP="000D7E0A">
            <w:pPr>
              <w:spacing w:line="230" w:lineRule="exact"/>
              <w:rPr>
                <w:lang w:val="it-IT"/>
              </w:rPr>
            </w:pPr>
            <w:r w:rsidRPr="00C23DD7">
              <w:rPr>
                <w:lang w:val="it-IT"/>
              </w:rPr>
              <w:t>La società ha ricompreso nella voce D4 “Debiti verso banche” i debiti nei confronti delle banche indipendentemente dalla loro veste tecnica, quali gli scoperti di conto corrente, le anticipazioni a scadenza fissa, anticipi su fatture o ricevute bancarie, i finanziamenti a diverso titolo?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292"/>
        </w:trPr>
        <w:tc>
          <w:tcPr>
            <w:tcW w:w="675" w:type="dxa"/>
          </w:tcPr>
          <w:p w:rsidR="00181C91" w:rsidRPr="0075607F" w:rsidRDefault="00181C91" w:rsidP="000D7E0A">
            <w:pPr>
              <w:jc w:val="center"/>
              <w:rPr>
                <w:b/>
                <w:lang w:val="it-IT"/>
              </w:rPr>
            </w:pPr>
            <w:r w:rsidRPr="0075607F">
              <w:rPr>
                <w:b/>
                <w:lang w:val="it-IT"/>
              </w:rPr>
              <w:t>11)</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19.28</w:t>
            </w:r>
          </w:p>
        </w:tc>
        <w:tc>
          <w:tcPr>
            <w:tcW w:w="6959" w:type="dxa"/>
            <w:tcMar>
              <w:left w:w="108" w:type="dxa"/>
            </w:tcMar>
          </w:tcPr>
          <w:p w:rsidR="00181C91" w:rsidRPr="00C23DD7" w:rsidRDefault="00181C91" w:rsidP="000D7E0A">
            <w:pPr>
              <w:spacing w:line="230" w:lineRule="exact"/>
              <w:rPr>
                <w:lang w:val="it-IT"/>
              </w:rPr>
            </w:pPr>
            <w:r w:rsidRPr="00C23DD7">
              <w:rPr>
                <w:lang w:val="it-IT"/>
              </w:rPr>
              <w:t>Nella voce D5 “Debiti verso altri finanziatori” sono iscritti i debiti finanziari contratti con finanziatori diversi dagli obbligazionisti, soci, banche, imprese controllate, collegate, controllanti e imprese soggette a comune controllo, come ad esempio: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B29F2">
            <w:pPr>
              <w:pStyle w:val="rientrotrattinook"/>
              <w:tabs>
                <w:tab w:val="clear" w:pos="704"/>
              </w:tabs>
              <w:ind w:left="470" w:hanging="284"/>
            </w:pPr>
            <w:r w:rsidRPr="00C23DD7">
              <w:t>i prestiti da terzi (non banche) fruttiferi ed infruttiferi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B29F2">
            <w:pPr>
              <w:pStyle w:val="rientrotrattinook"/>
              <w:tabs>
                <w:tab w:val="clear" w:pos="704"/>
              </w:tabs>
              <w:ind w:left="470" w:hanging="284"/>
            </w:pPr>
            <w:r w:rsidRPr="00C23DD7">
              <w:t>i prestiti da società finanziarie (ad esempio società di factoring)</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B29F2">
            <w:pPr>
              <w:pStyle w:val="rientrotrattinook"/>
              <w:tabs>
                <w:tab w:val="clear" w:pos="704"/>
              </w:tabs>
              <w:ind w:left="470" w:hanging="284"/>
            </w:pPr>
            <w:r w:rsidRPr="00C23DD7">
              <w:t>le polizze di credito commerciale (commercial papers)?</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12)</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19.29</w:t>
            </w:r>
          </w:p>
        </w:tc>
        <w:tc>
          <w:tcPr>
            <w:tcW w:w="6959" w:type="dxa"/>
            <w:tcMar>
              <w:left w:w="108" w:type="dxa"/>
            </w:tcMar>
          </w:tcPr>
          <w:p w:rsidR="00181C91" w:rsidRPr="00C23DD7" w:rsidRDefault="00181C91" w:rsidP="000D7E0A">
            <w:pPr>
              <w:spacing w:line="230" w:lineRule="exact"/>
              <w:rPr>
                <w:lang w:val="it-IT"/>
              </w:rPr>
            </w:pPr>
            <w:r w:rsidRPr="00C23DD7">
              <w:rPr>
                <w:lang w:val="it-IT"/>
              </w:rPr>
              <w:t>La voce D6 “Acconti” accoglie i debiti per anticipi ricevuti dai clienti per forniture di beni o servizi non ancora effettuate nonchè gli acconti, con o senza funzione di caparra, su operazioni di cessione di immobilizzazioni materiali, immateriali e finanziarie?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13)</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OIC19.30</w:t>
            </w:r>
          </w:p>
        </w:tc>
        <w:tc>
          <w:tcPr>
            <w:tcW w:w="6959" w:type="dxa"/>
            <w:tcMar>
              <w:left w:w="108" w:type="dxa"/>
            </w:tcMar>
          </w:tcPr>
          <w:p w:rsidR="00181C91" w:rsidRPr="00C23DD7" w:rsidRDefault="00181C91" w:rsidP="000D7E0A">
            <w:pPr>
              <w:spacing w:line="230" w:lineRule="exact"/>
              <w:rPr>
                <w:lang w:val="it-IT"/>
              </w:rPr>
            </w:pPr>
            <w:r w:rsidRPr="00C23DD7">
              <w:rPr>
                <w:lang w:val="it-IT"/>
              </w:rPr>
              <w:t>La voce D7 “Debiti verso fornitori” accoglie i debiti originati da acquisizioni di beni o servizi?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14)</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OIC19.30</w:t>
            </w:r>
          </w:p>
        </w:tc>
        <w:tc>
          <w:tcPr>
            <w:tcW w:w="6959" w:type="dxa"/>
            <w:tcMar>
              <w:left w:w="108" w:type="dxa"/>
            </w:tcMar>
          </w:tcPr>
          <w:p w:rsidR="00181C91" w:rsidRPr="00C23DD7" w:rsidRDefault="00181C91" w:rsidP="000D7E0A">
            <w:pPr>
              <w:spacing w:line="230" w:lineRule="exact"/>
              <w:rPr>
                <w:lang w:val="it-IT"/>
              </w:rPr>
            </w:pPr>
            <w:r w:rsidRPr="00C23DD7">
              <w:rPr>
                <w:lang w:val="it-IT"/>
              </w:rPr>
              <w:t>I debiti verso i fornitori nei confronti di imprese controllate, collegate, controllanti o sottoposte al controllo delle controllanti sono iscritti rispettivamente nelle voci D9, D10</w:t>
            </w:r>
            <w:r>
              <w:rPr>
                <w:lang w:val="it-IT"/>
              </w:rPr>
              <w:t>,</w:t>
            </w:r>
            <w:r w:rsidRPr="00C23DD7">
              <w:rPr>
                <w:lang w:val="it-IT"/>
              </w:rPr>
              <w:t xml:space="preserve"> D11 e D11-bis?</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15)</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OIC19.31</w:t>
            </w:r>
          </w:p>
        </w:tc>
        <w:tc>
          <w:tcPr>
            <w:tcW w:w="6959" w:type="dxa"/>
            <w:tcMar>
              <w:left w:w="108" w:type="dxa"/>
            </w:tcMar>
          </w:tcPr>
          <w:p w:rsidR="00181C91" w:rsidRPr="00C23DD7" w:rsidRDefault="00181C91" w:rsidP="000D7E0A">
            <w:pPr>
              <w:spacing w:line="230" w:lineRule="exact"/>
              <w:rPr>
                <w:lang w:val="it-IT"/>
              </w:rPr>
            </w:pPr>
            <w:r w:rsidRPr="00C23DD7">
              <w:rPr>
                <w:lang w:val="it-IT"/>
              </w:rPr>
              <w:t>La voce D8 “Debiti rappresentati da totoli di credito” rileva tutti i debiti che sono rappresentati da titoli di credito, siano essi commerciali o finanziari?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19.31</w:t>
            </w:r>
          </w:p>
        </w:tc>
        <w:tc>
          <w:tcPr>
            <w:tcW w:w="6959" w:type="dxa"/>
            <w:tcMar>
              <w:left w:w="108" w:type="dxa"/>
            </w:tcMar>
          </w:tcPr>
          <w:p w:rsidR="00181C91" w:rsidRPr="00C23DD7" w:rsidRDefault="00181C91" w:rsidP="000D7E0A">
            <w:pPr>
              <w:pStyle w:val="Commentiriquadro"/>
            </w:pPr>
            <w:r w:rsidRPr="00C23DD7">
              <w:rPr>
                <w:lang w:eastAsia="it-IT"/>
              </w:rPr>
              <w:t>Titoli di credito: si tratta principalmente di cambiali commerciali, cambiali finanziarie e certificati di investimento. Nella voce non sono, invece, rilevate le cambiali rilasciate a fornitori, banche ed altri creditori esclusivamente a titolo di garanzia, utilizzabili dagli stessi qualora si rendesse necessario smobilizzare i propri crediti, in quanto il debito è già esposto in bilancio.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16)</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19.32</w:t>
            </w:r>
          </w:p>
        </w:tc>
        <w:tc>
          <w:tcPr>
            <w:tcW w:w="6959" w:type="dxa"/>
            <w:tcMar>
              <w:left w:w="108" w:type="dxa"/>
            </w:tcMar>
          </w:tcPr>
          <w:p w:rsidR="00181C91" w:rsidRPr="00C23DD7" w:rsidRDefault="00181C91" w:rsidP="000D7E0A">
            <w:pPr>
              <w:spacing w:line="230" w:lineRule="exact"/>
              <w:rPr>
                <w:lang w:val="it-IT"/>
              </w:rPr>
            </w:pPr>
            <w:r w:rsidRPr="00C23DD7">
              <w:rPr>
                <w:lang w:val="it-IT"/>
              </w:rPr>
              <w:t>Le voci D9, D10</w:t>
            </w:r>
            <w:r>
              <w:rPr>
                <w:lang w:val="it-IT"/>
              </w:rPr>
              <w:t>,</w:t>
            </w:r>
            <w:r w:rsidRPr="00C23DD7">
              <w:rPr>
                <w:lang w:val="it-IT"/>
              </w:rPr>
              <w:t xml:space="preserve"> D11 e D11-bis accolgono rispettivamente i debiti verso imprese controllate, collegate e controllanti</w:t>
            </w:r>
            <w:r w:rsidRPr="00C23DD7">
              <w:rPr>
                <w:rFonts w:ascii="Times New Roman" w:hAnsi="Times New Roman"/>
                <w:sz w:val="22"/>
                <w:szCs w:val="22"/>
                <w:lang w:val="it-IT"/>
              </w:rPr>
              <w:t xml:space="preserve"> </w:t>
            </w:r>
            <w:r w:rsidRPr="00C23DD7">
              <w:rPr>
                <w:lang w:val="it-IT"/>
              </w:rPr>
              <w:t>e verso imprese sottoposte al controllo delle controllanti, come definite ai sensi dell’art. 2359 CC?</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17)</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19.32</w:t>
            </w:r>
          </w:p>
        </w:tc>
        <w:tc>
          <w:tcPr>
            <w:tcW w:w="6959" w:type="dxa"/>
            <w:tcMar>
              <w:left w:w="108" w:type="dxa"/>
            </w:tcMar>
          </w:tcPr>
          <w:p w:rsidR="00181C91" w:rsidRPr="00C23DD7" w:rsidRDefault="00181C91" w:rsidP="000D7E0A">
            <w:pPr>
              <w:spacing w:line="230" w:lineRule="exact"/>
              <w:rPr>
                <w:lang w:val="it-IT"/>
              </w:rPr>
            </w:pPr>
            <w:r w:rsidRPr="00C23DD7">
              <w:rPr>
                <w:lang w:val="it-IT"/>
              </w:rPr>
              <w:t>La voce D11 accoglie</w:t>
            </w:r>
            <w:r>
              <w:rPr>
                <w:lang w:val="it-IT"/>
              </w:rPr>
              <w:t>,</w:t>
            </w:r>
            <w:r w:rsidRPr="00C23DD7">
              <w:rPr>
                <w:lang w:val="it-IT"/>
              </w:rPr>
              <w:t xml:space="preserve"> oltre ai debiti verso le controllanti dirette diversi da quelli classificabili in D3, anche i debiti verso le controllanti che controllano la società, indirettamente, tramite loro controllate intermedie?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18)</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19.32</w:t>
            </w:r>
          </w:p>
        </w:tc>
        <w:tc>
          <w:tcPr>
            <w:tcW w:w="6959" w:type="dxa"/>
            <w:tcMar>
              <w:left w:w="108" w:type="dxa"/>
            </w:tcMar>
          </w:tcPr>
          <w:p w:rsidR="00181C91" w:rsidRPr="00C23DD7" w:rsidRDefault="00181C91" w:rsidP="000D7E0A">
            <w:pPr>
              <w:spacing w:line="230" w:lineRule="exact"/>
              <w:rPr>
                <w:lang w:val="it-IT"/>
              </w:rPr>
            </w:pPr>
            <w:r w:rsidRPr="00C23DD7">
              <w:rPr>
                <w:lang w:val="it-IT"/>
              </w:rPr>
              <w:t>La voce D11-bis accoglie i debiti verso imprese soggette a comune controllo (cd. imprese sorelle), diverse dalle imprese controllate, collegate o controllanti?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19)</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19.33</w:t>
            </w:r>
          </w:p>
        </w:tc>
        <w:tc>
          <w:tcPr>
            <w:tcW w:w="6959" w:type="dxa"/>
            <w:tcMar>
              <w:left w:w="108" w:type="dxa"/>
            </w:tcMar>
          </w:tcPr>
          <w:p w:rsidR="00181C91" w:rsidRPr="00C23DD7" w:rsidRDefault="00181C91" w:rsidP="000D7E0A">
            <w:pPr>
              <w:spacing w:line="230" w:lineRule="exact"/>
              <w:rPr>
                <w:lang w:val="it-IT"/>
              </w:rPr>
            </w:pPr>
            <w:r w:rsidRPr="00C23DD7">
              <w:rPr>
                <w:lang w:val="it-IT"/>
              </w:rPr>
              <w:t xml:space="preserve">La voce D12 “Debiti tributari” accoglie le passività per imposte certe e determinate, quali i debiti per imposte correnti dell’esercizio in corso e degli esercizi precedenti (dirette ed indirette) dovute in base a dichiarazioni dei redditi, per </w:t>
            </w:r>
            <w:r w:rsidRPr="00C23DD7">
              <w:rPr>
                <w:i/>
                <w:lang w:val="it-IT"/>
              </w:rPr>
              <w:t xml:space="preserve">accertamenti </w:t>
            </w:r>
            <w:r w:rsidRPr="00C23DD7">
              <w:rPr>
                <w:lang w:val="it-IT"/>
              </w:rPr>
              <w:t>definitivi o contenziosi chiusi, per ritenute operate come sostituto d’imposta e non versate alla data di bilancio, nonché i tributi di qualsiasi tipo?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19.33</w:t>
            </w:r>
          </w:p>
        </w:tc>
        <w:tc>
          <w:tcPr>
            <w:tcW w:w="6959" w:type="dxa"/>
            <w:tcMar>
              <w:left w:w="108" w:type="dxa"/>
            </w:tcMar>
          </w:tcPr>
          <w:p w:rsidR="00181C91" w:rsidRPr="00C23DD7" w:rsidRDefault="00181C91" w:rsidP="000D7E0A">
            <w:pPr>
              <w:pStyle w:val="Commentiriquadro"/>
            </w:pPr>
            <w:r w:rsidRPr="00C23DD7">
              <w:t>Le passività per imposte probabili, il cui ammontare o data di sopravvenienza è indeterminato alla chiusura dell’esercizio, derivanti, ad esempio, da accertamenti non definitivi,</w:t>
            </w:r>
            <w:r w:rsidRPr="00C23DD7">
              <w:rPr>
                <w:rFonts w:ascii="Times New Roman" w:hAnsi="Times New Roman"/>
                <w:sz w:val="22"/>
                <w:szCs w:val="22"/>
              </w:rPr>
              <w:t xml:space="preserve"> </w:t>
            </w:r>
            <w:r w:rsidRPr="00C23DD7">
              <w:t>contenziosi in corso e altre fattispecie similari, sono iscritte nella voce B2 “</w:t>
            </w:r>
            <w:r w:rsidRPr="00C23DD7">
              <w:rPr>
                <w:i/>
              </w:rPr>
              <w:t>Fondi per imposte, anche differite</w:t>
            </w:r>
            <w:r w:rsidRPr="00C23DD7">
              <w:t>”.</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20)</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19.34</w:t>
            </w:r>
          </w:p>
        </w:tc>
        <w:tc>
          <w:tcPr>
            <w:tcW w:w="6959" w:type="dxa"/>
            <w:tcMar>
              <w:left w:w="108" w:type="dxa"/>
            </w:tcMar>
          </w:tcPr>
          <w:p w:rsidR="00181C91" w:rsidRPr="00C23DD7" w:rsidRDefault="00181C91" w:rsidP="000D7E0A">
            <w:pPr>
              <w:spacing w:line="230" w:lineRule="exact"/>
              <w:rPr>
                <w:lang w:val="it-IT"/>
              </w:rPr>
            </w:pPr>
            <w:r w:rsidRPr="00C23DD7">
              <w:rPr>
                <w:lang w:val="it-IT"/>
              </w:rPr>
              <w:t>La voce D13 accoglie i debiti verso istituti di previdenza e di sicurezza sociale derivanti da obblighi contributivi, previdenziali o assicurativi, inclusi gli importi dei contributi sociali trattenuti a carico dei dipendenti?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21)</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19.35</w:t>
            </w:r>
          </w:p>
        </w:tc>
        <w:tc>
          <w:tcPr>
            <w:tcW w:w="6959" w:type="dxa"/>
            <w:tcMar>
              <w:left w:w="108" w:type="dxa"/>
            </w:tcMar>
          </w:tcPr>
          <w:p w:rsidR="00181C91" w:rsidRPr="00C23DD7" w:rsidRDefault="00181C91" w:rsidP="000D7E0A">
            <w:pPr>
              <w:spacing w:line="230" w:lineRule="exact"/>
              <w:rPr>
                <w:lang w:val="it-IT"/>
              </w:rPr>
            </w:pPr>
            <w:r w:rsidRPr="00C23DD7">
              <w:rPr>
                <w:lang w:val="it-IT"/>
              </w:rPr>
              <w:t>Tutte le voci di debito che non hanno trovato una specifica collocazione nelle precedenti voci sono confluite nella voce D14 “Altri debiti”?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22)</w:t>
            </w:r>
          </w:p>
        </w:tc>
        <w:tc>
          <w:tcPr>
            <w:tcW w:w="846" w:type="dxa"/>
            <w:tcMar>
              <w:left w:w="108" w:type="dxa"/>
              <w:right w:w="0" w:type="dxa"/>
            </w:tcMar>
          </w:tcPr>
          <w:p w:rsidR="00181C91" w:rsidRPr="003C261C" w:rsidRDefault="00181C91" w:rsidP="000D7E0A">
            <w:pPr>
              <w:pStyle w:val="PrincCont"/>
              <w:jc w:val="left"/>
            </w:pPr>
            <w:r w:rsidRPr="003C261C">
              <w:t>Art. 2423-ter, c.6 CC</w:t>
            </w:r>
            <w:r>
              <w:t xml:space="preserve">       </w:t>
            </w:r>
            <w:r w:rsidRPr="003C261C">
              <w:t>OIC 19.36</w:t>
            </w:r>
          </w:p>
        </w:tc>
        <w:tc>
          <w:tcPr>
            <w:tcW w:w="6959" w:type="dxa"/>
            <w:tcMar>
              <w:left w:w="108" w:type="dxa"/>
            </w:tcMar>
          </w:tcPr>
          <w:p w:rsidR="00181C91" w:rsidRPr="00C23DD7" w:rsidRDefault="00181C91" w:rsidP="000D7E0A">
            <w:pPr>
              <w:spacing w:line="230" w:lineRule="exact"/>
              <w:rPr>
                <w:lang w:val="it-IT"/>
              </w:rPr>
            </w:pPr>
            <w:r w:rsidRPr="00C23DD7">
              <w:rPr>
                <w:lang w:val="it-IT"/>
              </w:rPr>
              <w:t>I debiti verso i propri debitori non possono essere compensati e sono rilevati tra le passività in coerenza con quanto disposto dall’art</w:t>
            </w:r>
            <w:r>
              <w:rPr>
                <w:lang w:val="it-IT"/>
              </w:rPr>
              <w:t>.</w:t>
            </w:r>
            <w:r w:rsidRPr="00C23DD7">
              <w:rPr>
                <w:lang w:val="it-IT"/>
              </w:rPr>
              <w:t xml:space="preserve"> 2423-</w:t>
            </w:r>
            <w:r w:rsidRPr="00C32B15">
              <w:rPr>
                <w:lang w:val="it-IT"/>
              </w:rPr>
              <w:t>ter</w:t>
            </w:r>
            <w:r w:rsidRPr="00C23DD7">
              <w:rPr>
                <w:lang w:val="it-IT"/>
              </w:rPr>
              <w:t>, c</w:t>
            </w:r>
            <w:r>
              <w:rPr>
                <w:lang w:val="it-IT"/>
              </w:rPr>
              <w:t>.</w:t>
            </w:r>
            <w:r w:rsidRPr="00C23DD7">
              <w:rPr>
                <w:lang w:val="it-IT"/>
              </w:rPr>
              <w:t>6, che vieta la compensazione tra partite?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vAlign w:val="center"/>
          </w:tcPr>
          <w:p w:rsidR="00181C91" w:rsidRPr="00C23DD7" w:rsidRDefault="00181C91" w:rsidP="000D7E0A">
            <w:pPr>
              <w:pStyle w:val="PrincCont"/>
              <w:jc w:val="left"/>
              <w:rPr>
                <w:lang w:val="it-IT"/>
              </w:rPr>
            </w:pPr>
            <w:r w:rsidRPr="00C23DD7">
              <w:rPr>
                <w:lang w:val="it-IT"/>
              </w:rPr>
              <w:t>OIC 19.36</w:t>
            </w:r>
          </w:p>
        </w:tc>
        <w:tc>
          <w:tcPr>
            <w:tcW w:w="6959" w:type="dxa"/>
            <w:tcMar>
              <w:left w:w="108" w:type="dxa"/>
            </w:tcMar>
          </w:tcPr>
          <w:p w:rsidR="00181C91" w:rsidRPr="00C23DD7" w:rsidRDefault="00181C91" w:rsidP="000D7E0A">
            <w:pPr>
              <w:pStyle w:val="Commentiriquadro"/>
            </w:pPr>
            <w:r w:rsidRPr="00C23DD7">
              <w:t xml:space="preserve">La compensazione è ammessa nei limiti delle disposizioni legali o contrattuali (ad esempio, la compensazione legale </w:t>
            </w:r>
            <w:r w:rsidRPr="00C23DD7">
              <w:rPr>
                <w:i/>
              </w:rPr>
              <w:t xml:space="preserve">ex </w:t>
            </w:r>
            <w:r w:rsidRPr="00C23DD7">
              <w:t>art</w:t>
            </w:r>
            <w:r>
              <w:t>.</w:t>
            </w:r>
            <w:r w:rsidRPr="00C23DD7">
              <w:t>1243, c</w:t>
            </w:r>
            <w:r>
              <w:t>.</w:t>
            </w:r>
            <w:r w:rsidRPr="00C23DD7">
              <w:t>1</w:t>
            </w:r>
            <w:r>
              <w:t xml:space="preserve"> CC</w:t>
            </w:r>
            <w:r w:rsidRPr="00C23DD7">
              <w:t>).</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vAlign w:val="cente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3"/>
              <w:jc w:val="left"/>
              <w:rPr>
                <w:lang w:val="it-IT"/>
              </w:rPr>
            </w:pPr>
            <w:r w:rsidRPr="00C23DD7">
              <w:rPr>
                <w:lang w:val="it-IT"/>
              </w:rPr>
              <w:t>Bilancio in forma abbreviata</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19.37</w:t>
            </w:r>
          </w:p>
        </w:tc>
        <w:tc>
          <w:tcPr>
            <w:tcW w:w="6959" w:type="dxa"/>
            <w:tcMar>
              <w:left w:w="108" w:type="dxa"/>
            </w:tcMar>
          </w:tcPr>
          <w:p w:rsidR="00181C91" w:rsidRPr="00C23DD7" w:rsidRDefault="00181C91" w:rsidP="000D7E0A">
            <w:pPr>
              <w:pStyle w:val="Commentiriquadro"/>
            </w:pPr>
            <w:r w:rsidRPr="00C23DD7">
              <w:t>L’art</w:t>
            </w:r>
            <w:r>
              <w:t>.</w:t>
            </w:r>
            <w:r w:rsidRPr="00C23DD7">
              <w:t xml:space="preserve"> 2435-</w:t>
            </w:r>
            <w:r w:rsidRPr="00C32B15">
              <w:t>bis</w:t>
            </w:r>
            <w:r>
              <w:t xml:space="preserve"> CC</w:t>
            </w:r>
            <w:r w:rsidRPr="00C23DD7">
              <w:t>, che disciplina il bilancio in forma abbreviata, prevede che “</w:t>
            </w:r>
            <w:r w:rsidRPr="00C23DD7">
              <w:rPr>
                <w:i/>
              </w:rPr>
              <w:t>lo stato patrimoniale comprende solo le voci contrassegnate nell’art. 2424 con lettere maiuscole e con numeri romani</w:t>
            </w:r>
            <w:r w:rsidRPr="00C23DD7">
              <w:t>”. Inoltre, lo stesso articolo prevede che la voce E “</w:t>
            </w:r>
            <w:r w:rsidRPr="00C23DD7">
              <w:rPr>
                <w:i/>
              </w:rPr>
              <w:t>Ratei e i risconti</w:t>
            </w:r>
            <w:r w:rsidRPr="00C23DD7">
              <w:t>” del passivo può essere compresa nella voce D “</w:t>
            </w:r>
            <w:r w:rsidRPr="00C23DD7">
              <w:rPr>
                <w:i/>
              </w:rPr>
              <w:t>Debiti</w:t>
            </w:r>
            <w:r w:rsidRPr="00C23DD7">
              <w:t>”. Pertanto, i debiti ed i ratei e risconti passivi possono essere esposti nel passivo dello stato patrimoniale nel loro complesso come unica voce. In ogni caso, occorre separatamente indicare gli importi dei debiti esigibili oltre l’esercizio successivo.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Titolo2"/>
              <w:jc w:val="both"/>
              <w:rPr>
                <w:lang w:val="it-IT"/>
              </w:rPr>
            </w:pPr>
            <w:r w:rsidRPr="00C23DD7">
              <w:rPr>
                <w:lang w:val="it-IT"/>
              </w:rPr>
              <w:t>Rilevazione iniziale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Titolo3"/>
              <w:rPr>
                <w:lang w:val="it-IT"/>
              </w:rPr>
            </w:pPr>
            <w:r w:rsidRPr="00C23DD7">
              <w:rPr>
                <w:lang w:val="it-IT"/>
              </w:rPr>
              <w:t>Requisiti per l’iscrizione iniziale dei debiti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19.38</w:t>
            </w:r>
          </w:p>
        </w:tc>
        <w:tc>
          <w:tcPr>
            <w:tcW w:w="6959" w:type="dxa"/>
            <w:tcMar>
              <w:left w:w="108" w:type="dxa"/>
            </w:tcMar>
          </w:tcPr>
          <w:p w:rsidR="00181C91" w:rsidRPr="00C23DD7" w:rsidRDefault="00181C91" w:rsidP="000D7E0A">
            <w:pPr>
              <w:pStyle w:val="Commentiriquadro"/>
            </w:pPr>
            <w:r w:rsidRPr="00C23DD7">
              <w:t>I debiti originati da acquisti di beni sono rilevati in base al principio della competenza quando si verificano entrambe le seguenti condizioni:</w:t>
            </w:r>
          </w:p>
          <w:p w:rsidR="00181C91" w:rsidRPr="00C23DD7" w:rsidRDefault="00181C91" w:rsidP="000D7E0A">
            <w:pPr>
              <w:pStyle w:val="Commentiriquadro"/>
              <w:ind w:left="176" w:hanging="119"/>
            </w:pPr>
            <w:r w:rsidRPr="00C23DD7">
              <w:t>-</w:t>
            </w:r>
            <w:r>
              <w:tab/>
            </w:r>
            <w:r w:rsidRPr="00C23DD7">
              <w:t>il processo produttivo dei beni è stato completato; e</w:t>
            </w:r>
          </w:p>
          <w:p w:rsidR="00181C91" w:rsidRPr="00C23DD7" w:rsidRDefault="00181C91" w:rsidP="000D7E0A">
            <w:pPr>
              <w:pStyle w:val="Commentiriquadro"/>
              <w:ind w:left="176" w:hanging="119"/>
            </w:pPr>
            <w:r w:rsidRPr="00C23DD7">
              <w:t xml:space="preserve">- </w:t>
            </w:r>
            <w:r>
              <w:tab/>
            </w:r>
            <w:r w:rsidRPr="00C23DD7">
              <w:t>si è verificato il passaggio sostanziale e non formale del titolo di proprietà assumendo quale parametro di riferimento, per il passaggio sostanziale, il trasferimento dei rischi e benefici.</w:t>
            </w:r>
          </w:p>
          <w:p w:rsidR="00181C91" w:rsidRPr="00C23DD7" w:rsidRDefault="00181C91" w:rsidP="000D7E0A">
            <w:pPr>
              <w:pStyle w:val="Commentiriquadro"/>
            </w:pPr>
            <w:r w:rsidRPr="00C23DD7">
              <w:t>Salvo che le condizioni degli accordi contrattuali prevedano che il trasferimento dei rischi e benefici avvenga diversamente:</w:t>
            </w:r>
          </w:p>
          <w:p w:rsidR="00181C91" w:rsidRPr="00C23DD7" w:rsidRDefault="00181C91" w:rsidP="004E27C2">
            <w:pPr>
              <w:pStyle w:val="Commentiriquadro"/>
              <w:numPr>
                <w:ilvl w:val="0"/>
                <w:numId w:val="45"/>
              </w:numPr>
              <w:ind w:left="318" w:hanging="261"/>
            </w:pPr>
            <w:r w:rsidRPr="00C23DD7">
              <w:t>in caso di acquisto di beni mobili, il trasferimento dei rischi e benefici si verifica con la spedizione o consegna dei beni stessi;</w:t>
            </w:r>
          </w:p>
          <w:p w:rsidR="00181C91" w:rsidRPr="00C23DD7" w:rsidRDefault="00181C91" w:rsidP="004E27C2">
            <w:pPr>
              <w:pStyle w:val="Commentiriquadro"/>
              <w:numPr>
                <w:ilvl w:val="0"/>
                <w:numId w:val="45"/>
              </w:numPr>
              <w:ind w:left="318" w:hanging="261"/>
            </w:pPr>
            <w:r w:rsidRPr="00C23DD7">
              <w:t>per i beni per i quali è richiesto l’atto pubblico (ad esempio, beni immobili) il trasferimento dei rischi e benefici coincide con la data della stipulazione del contratto di compravendita;</w:t>
            </w:r>
          </w:p>
          <w:p w:rsidR="00181C91" w:rsidRPr="00C23DD7" w:rsidRDefault="00181C91" w:rsidP="004E27C2">
            <w:pPr>
              <w:pStyle w:val="Commentiriquadro"/>
              <w:numPr>
                <w:ilvl w:val="0"/>
                <w:numId w:val="45"/>
              </w:numPr>
              <w:ind w:left="318" w:hanging="261"/>
            </w:pPr>
            <w:r w:rsidRPr="00C23DD7">
              <w:t xml:space="preserve">nel caso della vendita a rate con riserva della proprietà, l’art. 1523 </w:t>
            </w:r>
            <w:r>
              <w:t>CC</w:t>
            </w:r>
            <w:r w:rsidRPr="00C23DD7">
              <w:t xml:space="preserve"> prevede che il compratore acquista la proprietà della cosa con il pagamento dell’ultima rata di prezzo, ma assume i rischi dal momento della consegna. Pertanto, nel bilancio dell’acquirente, l’iscrizione del bene avviene alla consegna a fronte della rilevazione di un debito, relativo alle rate non scadute, indipendentemente dal passaggio del titolo di proprietà.</w:t>
            </w:r>
          </w:p>
          <w:p w:rsidR="00181C91" w:rsidRPr="00C23DD7" w:rsidRDefault="00181C91" w:rsidP="000D7E0A">
            <w:pPr>
              <w:pStyle w:val="Commentiriquadro"/>
            </w:pPr>
            <w:r w:rsidRPr="00C23DD7">
              <w:t>I debiti originati da acquisti di servizi sono rilevati in base al principio della competenza quando il servizio è stato ricevuto, cioè la prestazione è stata effettuata.</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23)</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19.38</w:t>
            </w:r>
          </w:p>
        </w:tc>
        <w:tc>
          <w:tcPr>
            <w:tcW w:w="6959" w:type="dxa"/>
            <w:tcMar>
              <w:left w:w="108" w:type="dxa"/>
            </w:tcMar>
          </w:tcPr>
          <w:p w:rsidR="00181C91" w:rsidRPr="00C23DD7" w:rsidRDefault="00181C91" w:rsidP="000D7E0A">
            <w:pPr>
              <w:spacing w:line="230" w:lineRule="exact"/>
              <w:rPr>
                <w:lang w:val="it-IT"/>
              </w:rPr>
            </w:pPr>
            <w:r w:rsidRPr="00C23DD7">
              <w:rPr>
                <w:lang w:val="it-IT"/>
              </w:rPr>
              <w:t>I debiti commerciali originati da acquisizioni di beni sono stati iscritti nello stato patrimoniale quando si è verificato il passaggio sostanziale e non formale del titolo di proprietà assumendo quale parametro di riferimento, per il passaggio sostanziale, il trasferimento dei rischi e benefici?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24)</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19.38</w:t>
            </w:r>
          </w:p>
        </w:tc>
        <w:tc>
          <w:tcPr>
            <w:tcW w:w="6959" w:type="dxa"/>
            <w:tcMar>
              <w:left w:w="108" w:type="dxa"/>
            </w:tcMar>
          </w:tcPr>
          <w:p w:rsidR="00181C91" w:rsidRPr="00C23DD7" w:rsidRDefault="00181C91" w:rsidP="000D7E0A">
            <w:pPr>
              <w:spacing w:line="230" w:lineRule="exact"/>
              <w:rPr>
                <w:lang w:val="it-IT"/>
              </w:rPr>
            </w:pPr>
            <w:r w:rsidRPr="00C23DD7">
              <w:rPr>
                <w:lang w:val="it-IT"/>
              </w:rPr>
              <w:t>I debiti relativi a servizi sono stati rilevati quando i servizi sono stati resi, cioè la prestazione è stata effettuata?</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25)</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19.39</w:t>
            </w:r>
          </w:p>
        </w:tc>
        <w:tc>
          <w:tcPr>
            <w:tcW w:w="6959" w:type="dxa"/>
            <w:tcMar>
              <w:left w:w="108" w:type="dxa"/>
            </w:tcMar>
          </w:tcPr>
          <w:p w:rsidR="00181C91" w:rsidRPr="00C23DD7" w:rsidRDefault="00181C91" w:rsidP="000D7E0A">
            <w:pPr>
              <w:spacing w:line="230" w:lineRule="exact"/>
              <w:rPr>
                <w:lang w:val="it-IT"/>
              </w:rPr>
            </w:pPr>
            <w:r w:rsidRPr="00C23DD7">
              <w:rPr>
                <w:lang w:val="it-IT"/>
              </w:rPr>
              <w:t>I debiti di finanziamento e quelli che si originano per ragioni diverse dallo scambio di beni e servizi sono sono stati iscritti in bilancio quando è sorta l’obbligazione della società al pagamento verso la controparte, da individuarsi sulla base delle norme legali e contrattuali?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19.40</w:t>
            </w:r>
          </w:p>
        </w:tc>
        <w:tc>
          <w:tcPr>
            <w:tcW w:w="6959" w:type="dxa"/>
            <w:tcMar>
              <w:left w:w="108" w:type="dxa"/>
            </w:tcMar>
          </w:tcPr>
          <w:p w:rsidR="00181C91" w:rsidRPr="00C23DD7" w:rsidRDefault="00181C91" w:rsidP="000D7E0A">
            <w:pPr>
              <w:pStyle w:val="Commentiriquadro"/>
            </w:pPr>
            <w:r w:rsidRPr="00C23DD7">
              <w:t>L’iscrizione di un debito di finanziamento avviene all’erogazione del finanziamento. I prestiti obbligazionari sono iscritti al momento della sottoscrizione.</w:t>
            </w:r>
          </w:p>
          <w:p w:rsidR="00181C91" w:rsidRPr="00C23DD7" w:rsidRDefault="00181C91" w:rsidP="000D7E0A">
            <w:pPr>
              <w:pStyle w:val="Commentiriquadro"/>
            </w:pPr>
            <w:r w:rsidRPr="00C23DD7">
              <w:t>I debiti per gli acconti da clienti vengono iscritti quando sorge il diritto all’incasso dell’acconto.</w:t>
            </w:r>
          </w:p>
          <w:p w:rsidR="00181C91" w:rsidRPr="00C23DD7" w:rsidRDefault="00181C91" w:rsidP="000D7E0A">
            <w:pPr>
              <w:pStyle w:val="Commentiriquadro"/>
            </w:pPr>
            <w:r w:rsidRPr="00C23DD7">
              <w:t>Nel caso dei debiti tributari, dei debiti verso istituti di previdenza e assistenza e degli altri debiti, l’iscrizione del debito avviene quando è sorta l’obbligazione al pagamento, da individuarsi sulla base delle norme legali e contrattuali.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26)</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19.40</w:t>
            </w:r>
          </w:p>
        </w:tc>
        <w:tc>
          <w:tcPr>
            <w:tcW w:w="6959" w:type="dxa"/>
            <w:tcMar>
              <w:left w:w="108" w:type="dxa"/>
            </w:tcMar>
          </w:tcPr>
          <w:p w:rsidR="00181C91" w:rsidRPr="00C23DD7" w:rsidRDefault="00181C91" w:rsidP="000D7E0A">
            <w:pPr>
              <w:spacing w:line="230" w:lineRule="exact"/>
              <w:rPr>
                <w:lang w:val="it-IT"/>
              </w:rPr>
            </w:pPr>
            <w:r w:rsidRPr="00C23DD7">
              <w:rPr>
                <w:lang w:val="it-IT"/>
              </w:rPr>
              <w:t>L’iscrizione dei debiti di finanziamento è avvenuta all’erogazione del finanziamento?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27)</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19.40</w:t>
            </w:r>
          </w:p>
        </w:tc>
        <w:tc>
          <w:tcPr>
            <w:tcW w:w="6959" w:type="dxa"/>
            <w:tcMar>
              <w:left w:w="108" w:type="dxa"/>
            </w:tcMar>
          </w:tcPr>
          <w:p w:rsidR="00181C91" w:rsidRPr="00C23DD7" w:rsidRDefault="00181C91" w:rsidP="000D7E0A">
            <w:pPr>
              <w:spacing w:line="230" w:lineRule="exact"/>
              <w:rPr>
                <w:lang w:val="it-IT"/>
              </w:rPr>
            </w:pPr>
            <w:r w:rsidRPr="00C23DD7">
              <w:rPr>
                <w:lang w:val="it-IT"/>
              </w:rPr>
              <w:t>I prestiti obbligazionari sono stati rilevati al momento della sottoscrizione?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28)</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19.40</w:t>
            </w:r>
          </w:p>
        </w:tc>
        <w:tc>
          <w:tcPr>
            <w:tcW w:w="6959" w:type="dxa"/>
            <w:tcMar>
              <w:left w:w="108" w:type="dxa"/>
            </w:tcMar>
          </w:tcPr>
          <w:p w:rsidR="00181C91" w:rsidRPr="00C23DD7" w:rsidRDefault="00181C91" w:rsidP="000D7E0A">
            <w:pPr>
              <w:spacing w:line="230" w:lineRule="exact"/>
              <w:rPr>
                <w:lang w:val="it-IT"/>
              </w:rPr>
            </w:pPr>
            <w:r w:rsidRPr="00C23DD7">
              <w:rPr>
                <w:lang w:val="it-IT"/>
              </w:rPr>
              <w:t>I debiti</w:t>
            </w:r>
            <w:r w:rsidRPr="00C23DD7">
              <w:rPr>
                <w:rFonts w:ascii="Times New Roman" w:hAnsi="Times New Roman"/>
                <w:sz w:val="22"/>
                <w:szCs w:val="22"/>
                <w:lang w:val="it-IT"/>
              </w:rPr>
              <w:t xml:space="preserve"> </w:t>
            </w:r>
            <w:r w:rsidRPr="00C23DD7">
              <w:rPr>
                <w:lang w:val="it-IT"/>
              </w:rPr>
              <w:t>per gli acconti da clienti sono stati iscritti quando è sorto il diritto all’incasso dell’acconto?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29)</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19.40</w:t>
            </w:r>
          </w:p>
        </w:tc>
        <w:tc>
          <w:tcPr>
            <w:tcW w:w="6959" w:type="dxa"/>
            <w:tcMar>
              <w:left w:w="108" w:type="dxa"/>
            </w:tcMar>
          </w:tcPr>
          <w:p w:rsidR="00181C91" w:rsidRPr="00C23DD7" w:rsidRDefault="00181C91" w:rsidP="000D7E0A">
            <w:pPr>
              <w:spacing w:line="230" w:lineRule="exact"/>
              <w:rPr>
                <w:lang w:val="it-IT"/>
              </w:rPr>
            </w:pPr>
            <w:r w:rsidRPr="00C23DD7">
              <w:rPr>
                <w:lang w:val="it-IT"/>
              </w:rPr>
              <w:t>I debiti tributari, i debiti verso istituti di previdenza e assistenza e gli altri debiti, l’iscrizione del debito è avvenuta quando è sorta l’obbligazione al pagamento, da individuarsi sulla base delle norme legali e contrattuali?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3"/>
              <w:jc w:val="left"/>
              <w:rPr>
                <w:lang w:val="it-IT"/>
              </w:rPr>
            </w:pPr>
            <w:r w:rsidRPr="00C23DD7">
              <w:rPr>
                <w:lang w:val="it-IT"/>
              </w:rPr>
              <w:t>Rilevazione iniziale dei debiti valutati al costo ammortizzato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19.41</w:t>
            </w:r>
          </w:p>
        </w:tc>
        <w:tc>
          <w:tcPr>
            <w:tcW w:w="6959" w:type="dxa"/>
            <w:tcMar>
              <w:left w:w="108" w:type="dxa"/>
            </w:tcMar>
          </w:tcPr>
          <w:p w:rsidR="00181C91" w:rsidRPr="00C23DD7" w:rsidRDefault="00181C91" w:rsidP="000D7E0A">
            <w:pPr>
              <w:pStyle w:val="Commentiriquadro"/>
            </w:pPr>
            <w:r w:rsidRPr="00C23DD7">
              <w:t>L’art. 2426, c</w:t>
            </w:r>
            <w:r>
              <w:t>.</w:t>
            </w:r>
            <w:r w:rsidRPr="00C23DD7">
              <w:t>1, n.8</w:t>
            </w:r>
            <w:r>
              <w:t xml:space="preserve"> CC</w:t>
            </w:r>
            <w:r w:rsidRPr="00C23DD7">
              <w:t xml:space="preserve"> prescrive che “i debiti sono rilevati in bilancio secondo il criterio del costo ammortizzato, tenendo conto del fattore temporale”.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19.42</w:t>
            </w:r>
          </w:p>
        </w:tc>
        <w:tc>
          <w:tcPr>
            <w:tcW w:w="6959" w:type="dxa"/>
            <w:tcMar>
              <w:left w:w="108" w:type="dxa"/>
            </w:tcMar>
          </w:tcPr>
          <w:p w:rsidR="00181C91" w:rsidRPr="00C23DD7" w:rsidRDefault="00181C91" w:rsidP="000D7E0A">
            <w:pPr>
              <w:pStyle w:val="Commentiriquadro"/>
            </w:pPr>
            <w:r w:rsidRPr="00C23DD7">
              <w:t>Il criterio del costo ammortizzato può non essere applicato ai debiti se gli effetti sono irrilevanti rispetto al valore determinato in base ai paragrafi 54-57. Generalmente gli effetti sono irrilevanti se i debiti sono a breve termine (ossia con scadenza inferiore ai 12 mesi).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3"/>
              <w:jc w:val="left"/>
              <w:rPr>
                <w:lang w:val="it-IT"/>
              </w:rPr>
            </w:pPr>
            <w:r w:rsidRPr="00C23DD7">
              <w:rPr>
                <w:lang w:val="it-IT"/>
              </w:rPr>
              <w:t>Costo ammortizzato in assenza di attualizzazione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30)</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19.43</w:t>
            </w:r>
          </w:p>
        </w:tc>
        <w:tc>
          <w:tcPr>
            <w:tcW w:w="6959" w:type="dxa"/>
            <w:tcMar>
              <w:left w:w="108" w:type="dxa"/>
            </w:tcMar>
          </w:tcPr>
          <w:p w:rsidR="00181C91" w:rsidRPr="00C23DD7" w:rsidRDefault="00181C91" w:rsidP="000D7E0A">
            <w:pPr>
              <w:spacing w:line="230" w:lineRule="exact"/>
              <w:rPr>
                <w:lang w:val="it-IT"/>
              </w:rPr>
            </w:pPr>
            <w:r w:rsidRPr="00C23DD7">
              <w:rPr>
                <w:lang w:val="it-IT"/>
              </w:rPr>
              <w:t>Le regole relative al calcolo del costo ammortizzato sono state applicate a tutti i debiti che rappresentano obbligazioni a pagare ammontari fissi o determinabili di disponibilità liquide?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31)</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19.44</w:t>
            </w:r>
          </w:p>
        </w:tc>
        <w:tc>
          <w:tcPr>
            <w:tcW w:w="6959" w:type="dxa"/>
            <w:tcMar>
              <w:left w:w="108" w:type="dxa"/>
            </w:tcMar>
          </w:tcPr>
          <w:p w:rsidR="00181C91" w:rsidRPr="00C23DD7" w:rsidRDefault="00181C91" w:rsidP="000D7E0A">
            <w:pPr>
              <w:spacing w:line="230" w:lineRule="exact"/>
              <w:rPr>
                <w:lang w:val="it-IT"/>
              </w:rPr>
            </w:pPr>
            <w:r w:rsidRPr="00C23DD7">
              <w:rPr>
                <w:lang w:val="it-IT"/>
              </w:rPr>
              <w:t>Quando un debito è rilevato per la prima volta, il valore di iscrizione iniziale è rappresentato dal valore nominale del debito, salvo quanto previsto dai paragrafi 48-53, al netto dei costi di transazione e di tutti i premi, gli sconti, gli abbuoni direttamente derivanti dalla transazione che ha generato il debito?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292"/>
        </w:trPr>
        <w:tc>
          <w:tcPr>
            <w:tcW w:w="675" w:type="dxa"/>
          </w:tcPr>
          <w:p w:rsidR="00181C91" w:rsidRPr="0075607F" w:rsidRDefault="00181C91" w:rsidP="000D7E0A">
            <w:pPr>
              <w:pStyle w:val="Paragrafoelenco"/>
              <w:ind w:left="587"/>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19.45</w:t>
            </w:r>
          </w:p>
        </w:tc>
        <w:tc>
          <w:tcPr>
            <w:tcW w:w="6959" w:type="dxa"/>
            <w:tcMar>
              <w:left w:w="108" w:type="dxa"/>
            </w:tcMar>
          </w:tcPr>
          <w:p w:rsidR="00181C91" w:rsidRPr="00C23DD7" w:rsidRDefault="00181C91" w:rsidP="000D7E0A">
            <w:pPr>
              <w:pStyle w:val="Commentiriquadro"/>
            </w:pPr>
            <w:r w:rsidRPr="00C23DD7">
              <w:t>I costi di transazione, quali le spese di istruttoria, gli oneri di perizia del valore dell’immobile e altri costi accessori per l’ottenimento di finanziamenti e mutui ipotecari, le eventuali commissioni attive e passive iniziali, le spese di emissione (es.: spese legali e commissioni iniziali) sostenuti per l’emissione di prestiti obbligazionari, gli aggi e i disaggi di emissione dei prestiti obbligazionari e ogni altra differenza tra valore iniziale e valore nominale a scadenza sono inclusi nel calcolo del costo ammortizzato utilizzando il criterio dell’interesse effettivo, che implica che essi siano ammortizzati lungo la durata attesa del debito. Il loro ammortamento integra o rettifica gli interessi passivi calcolati al tasso nominale (seguendone la medesima classificazione nel conto economico), di modo che il tasso di interesse effettivo possa rimanere un tasso di interesse costante lungo la durata del debito da applicarsi al suo valore contabile, fatta salva la rilevazione delle variazioni imputabili ai flussi finanziari dei tassi variabili di riferimento, ove applicabili (si veda par. 63). Il criterio del costo ammortizzato può non essere applicato se gli effetti sono irrilevanti; ciò è presumibile se i costi di transazione, le commissioni pagate tra le parti e ogni altra differenza tra valore iniziale e valore a scadenza sono di scarso rilievo.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32)</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19.45</w:t>
            </w:r>
          </w:p>
        </w:tc>
        <w:tc>
          <w:tcPr>
            <w:tcW w:w="6959" w:type="dxa"/>
            <w:tcMar>
              <w:left w:w="108" w:type="dxa"/>
            </w:tcMar>
          </w:tcPr>
          <w:p w:rsidR="00181C91" w:rsidRPr="00C23DD7" w:rsidRDefault="00181C91" w:rsidP="000D7E0A">
            <w:pPr>
              <w:spacing w:line="230" w:lineRule="exact"/>
              <w:rPr>
                <w:lang w:val="it-IT"/>
              </w:rPr>
            </w:pPr>
            <w:r w:rsidRPr="00C23DD7">
              <w:rPr>
                <w:lang w:val="it-IT"/>
              </w:rPr>
              <w:t>I costi di transazione,</w:t>
            </w:r>
            <w:r w:rsidRPr="00C23DD7">
              <w:rPr>
                <w:rFonts w:ascii="Times New Roman" w:hAnsi="Times New Roman"/>
                <w:sz w:val="22"/>
                <w:szCs w:val="22"/>
                <w:lang w:val="it-IT"/>
              </w:rPr>
              <w:t xml:space="preserve"> gli </w:t>
            </w:r>
            <w:r w:rsidRPr="00C23DD7">
              <w:rPr>
                <w:lang w:val="it-IT"/>
              </w:rPr>
              <w:t>altri costi accessori, le eventuali commissioni attive e passive iniziali</w:t>
            </w:r>
            <w:r w:rsidRPr="00C23DD7">
              <w:rPr>
                <w:rFonts w:ascii="Times New Roman" w:hAnsi="Times New Roman"/>
                <w:sz w:val="22"/>
                <w:szCs w:val="22"/>
                <w:lang w:val="it-IT"/>
              </w:rPr>
              <w:t xml:space="preserve"> </w:t>
            </w:r>
            <w:r w:rsidRPr="00C23DD7">
              <w:rPr>
                <w:lang w:val="it-IT"/>
              </w:rPr>
              <w:t>e ogni altra differenza tra valore iniziale e valore nominale a scadenza sono inclusi nel calcolo del costo ammortizzato utilizzando il criterio dell’interesse effettivo?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33)</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19.46</w:t>
            </w:r>
          </w:p>
        </w:tc>
        <w:tc>
          <w:tcPr>
            <w:tcW w:w="6959" w:type="dxa"/>
            <w:tcMar>
              <w:left w:w="108" w:type="dxa"/>
            </w:tcMar>
          </w:tcPr>
          <w:p w:rsidR="00181C91" w:rsidRPr="00C23DD7" w:rsidRDefault="00181C91" w:rsidP="000D7E0A">
            <w:pPr>
              <w:spacing w:line="230" w:lineRule="exact"/>
              <w:rPr>
                <w:lang w:val="it-IT"/>
              </w:rPr>
            </w:pPr>
            <w:r w:rsidRPr="00C23DD7">
              <w:rPr>
                <w:lang w:val="it-IT"/>
              </w:rPr>
              <w:t>Il tasso di interesse effettivo è il tasso interno di rendimento, costante lungo la durata del debito, che rende uguale il valore attuale dei flussi finanziari futuri derivanti dal debito e il suo valore di rilevazione iniziale?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19.46</w:t>
            </w:r>
          </w:p>
        </w:tc>
        <w:tc>
          <w:tcPr>
            <w:tcW w:w="6959" w:type="dxa"/>
            <w:tcMar>
              <w:left w:w="108" w:type="dxa"/>
            </w:tcMar>
          </w:tcPr>
          <w:p w:rsidR="00181C91" w:rsidRPr="00C23DD7" w:rsidRDefault="00181C91" w:rsidP="000D7E0A">
            <w:pPr>
              <w:pStyle w:val="Commentiriquadro"/>
            </w:pPr>
            <w:r w:rsidRPr="00C23DD7">
              <w:t>Il tasso di interesse effettivo, secondo il criterio dell’interesse effettivo, è calcolato al momento della rilevazione iniziale del debito ed è poi utilizzato per la sua valutazione successiva.</w:t>
            </w:r>
          </w:p>
          <w:p w:rsidR="00181C91" w:rsidRPr="00C23DD7" w:rsidRDefault="00181C91" w:rsidP="000D7E0A">
            <w:pPr>
              <w:pStyle w:val="Commentiriquadro"/>
            </w:pPr>
            <w:r w:rsidRPr="00C23DD7">
              <w:t>In caso di interessi contrattuali a tasso variabile si rinvia a quanto indicato nel paragrafo 64.</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34)</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19.47</w:t>
            </w:r>
          </w:p>
        </w:tc>
        <w:tc>
          <w:tcPr>
            <w:tcW w:w="6959" w:type="dxa"/>
            <w:tcMar>
              <w:left w:w="108" w:type="dxa"/>
            </w:tcMar>
          </w:tcPr>
          <w:p w:rsidR="00181C91" w:rsidRPr="00C23DD7" w:rsidRDefault="00181C91" w:rsidP="000D7E0A">
            <w:pPr>
              <w:spacing w:line="230" w:lineRule="exact"/>
              <w:rPr>
                <w:lang w:val="it-IT"/>
              </w:rPr>
            </w:pPr>
            <w:r w:rsidRPr="00C23DD7">
              <w:rPr>
                <w:lang w:val="it-IT"/>
              </w:rPr>
              <w:t>I flussi finanziari futuri utili al calcolo del tasso di interesse effettivo sono determinati tenendo in considerazione tutti i termini contrattuali della transazione che ha originato il debito, incluse le scadenze previste di incasso e pagamento, la natura dei flussi finanziari (capitale o interessi), e, quando contrattualmente previsto, la probabilità che l’estinzione anticipata del debito si verifichi?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35)</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19.47</w:t>
            </w:r>
          </w:p>
        </w:tc>
        <w:tc>
          <w:tcPr>
            <w:tcW w:w="6959" w:type="dxa"/>
            <w:tcMar>
              <w:left w:w="108" w:type="dxa"/>
            </w:tcMar>
          </w:tcPr>
          <w:p w:rsidR="00181C91" w:rsidRPr="00C23DD7" w:rsidRDefault="00181C91" w:rsidP="000D7E0A">
            <w:pPr>
              <w:spacing w:line="230" w:lineRule="exact"/>
              <w:rPr>
                <w:lang w:val="it-IT"/>
              </w:rPr>
            </w:pPr>
            <w:r w:rsidRPr="00C23DD7">
              <w:rPr>
                <w:lang w:val="it-IT"/>
              </w:rPr>
              <w:t>I flussi finanziari futuri includono, nel caso di prestiti obbligazionari, anche il pagamento di eventuali premi riservati ai possessori di obbligazioni estratte a sorte?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19.47</w:t>
            </w:r>
          </w:p>
        </w:tc>
        <w:tc>
          <w:tcPr>
            <w:tcW w:w="6959" w:type="dxa"/>
            <w:tcMar>
              <w:left w:w="108" w:type="dxa"/>
            </w:tcMar>
          </w:tcPr>
          <w:p w:rsidR="00181C91" w:rsidRPr="00C23DD7" w:rsidRDefault="00181C91" w:rsidP="000D7E0A">
            <w:pPr>
              <w:pStyle w:val="Commentiriquadro"/>
            </w:pPr>
            <w:r w:rsidRPr="00C23DD7">
              <w:t>In caso di una variazione nelle stime dei flussi finanziari futuri si rinvia a quanto indicato nel paragrafo 61.</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292"/>
        </w:trPr>
        <w:tc>
          <w:tcPr>
            <w:tcW w:w="675" w:type="dxa"/>
          </w:tcPr>
          <w:p w:rsidR="00181C91" w:rsidRPr="0075607F" w:rsidRDefault="00181C91" w:rsidP="000D7E0A">
            <w:pPr>
              <w:ind w:left="227"/>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3"/>
              <w:jc w:val="left"/>
              <w:rPr>
                <w:lang w:val="it-IT"/>
              </w:rPr>
            </w:pPr>
            <w:r w:rsidRPr="00C23DD7">
              <w:rPr>
                <w:lang w:val="it-IT"/>
              </w:rPr>
              <w:t>Costo ammortizzato in presenza di attualizzazione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19.48</w:t>
            </w:r>
          </w:p>
        </w:tc>
        <w:tc>
          <w:tcPr>
            <w:tcW w:w="6959" w:type="dxa"/>
            <w:tcBorders>
              <w:bottom w:val="single" w:sz="2" w:space="0" w:color="auto"/>
            </w:tcBorders>
            <w:tcMar>
              <w:left w:w="108" w:type="dxa"/>
            </w:tcMar>
          </w:tcPr>
          <w:p w:rsidR="00181C91" w:rsidRPr="00C23DD7" w:rsidRDefault="00181C91" w:rsidP="000D7E0A">
            <w:pPr>
              <w:pStyle w:val="Commentiriquadro"/>
            </w:pPr>
            <w:r w:rsidRPr="00C23DD7">
              <w:t>L’art. 2426, c</w:t>
            </w:r>
            <w:r>
              <w:t>.</w:t>
            </w:r>
            <w:r w:rsidRPr="00C23DD7">
              <w:t>1, n.8 prescrive che occorre tenere conto del “fattore temporale” nella valutazione dei debiti. In sede di rilevazione iniziale, per tenere conto del fattore temporale, il tasso di interesse desumibile dalle condizioni contrattuali deve essere confrontato con i tassi di interesse di mercato.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292"/>
        </w:trPr>
        <w:tc>
          <w:tcPr>
            <w:tcW w:w="675" w:type="dxa"/>
          </w:tcPr>
          <w:p w:rsidR="00181C91" w:rsidRPr="0075607F" w:rsidRDefault="00181C91" w:rsidP="000D7E0A">
            <w:pPr>
              <w:pStyle w:val="Paragrafoelenco"/>
              <w:ind w:left="587"/>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19.49</w:t>
            </w:r>
          </w:p>
        </w:tc>
        <w:tc>
          <w:tcPr>
            <w:tcW w:w="6959" w:type="dxa"/>
            <w:tcMar>
              <w:left w:w="108" w:type="dxa"/>
            </w:tcMar>
          </w:tcPr>
          <w:p w:rsidR="00181C91" w:rsidRPr="00C23DD7" w:rsidRDefault="00181C91" w:rsidP="000D7E0A">
            <w:pPr>
              <w:pStyle w:val="Commentiriquadro"/>
            </w:pPr>
            <w:r w:rsidRPr="00C23DD7">
              <w:t>Il tasso di interesse di mercato è il tasso che sarebbe stato applicato se due parti indipendenti avessero negoziato un’operazione similare di finanziamento con termini e condizioni comparabili a quella oggetto di esame.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292"/>
        </w:trPr>
        <w:tc>
          <w:tcPr>
            <w:tcW w:w="675" w:type="dxa"/>
          </w:tcPr>
          <w:p w:rsidR="00181C91" w:rsidRPr="0075607F" w:rsidRDefault="00181C91" w:rsidP="000D7E0A">
            <w:pPr>
              <w:pStyle w:val="Paragrafoelenco"/>
              <w:ind w:left="587"/>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19.50</w:t>
            </w:r>
          </w:p>
        </w:tc>
        <w:tc>
          <w:tcPr>
            <w:tcW w:w="6959" w:type="dxa"/>
            <w:tcMar>
              <w:left w:w="108" w:type="dxa"/>
            </w:tcMar>
          </w:tcPr>
          <w:p w:rsidR="00181C91" w:rsidRPr="00C23DD7" w:rsidRDefault="00181C91" w:rsidP="000D7E0A">
            <w:pPr>
              <w:pStyle w:val="Commentiriquadro"/>
            </w:pPr>
            <w:r w:rsidRPr="00C23DD7">
              <w:t>Qualora il tasso di interesse desumibile dalle condizioni contrattuali sia significativamente diverso dal tasso di interesse di mercato, il tasso di interesse di mercato deve essere utilizzato per attualizzare i flussi finanziari futuri derivanti dal debito. In tal caso, il valore di iscrizione iniziale del debito è pari al valore attuale dei flussi finanziari futuri più gli eventuali costi di transazione come definiti al paragrafo 20. Il tasso di interesse desumibile dalle condizioni contrattuali (da confrontare con il tasso di mercato) include le commissioni contrattuali tra le parti dell’operazione e ogni altra differenza tra valore iniziale e valore a scadenza e non comprende i costi di transazione come definiti al paragrafo 20; tuttavia, se le commissioni contrattuali tra le parti e ogni altra differenza tra valore iniziale e valore a scadenza non sono significativi, il tasso desumibile dalle condizioni contrattuali dell’operazione può essere approssimato dal tasso di interesse nominale.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437"/>
        </w:trPr>
        <w:tc>
          <w:tcPr>
            <w:tcW w:w="675" w:type="dxa"/>
          </w:tcPr>
          <w:p w:rsidR="00181C91" w:rsidRPr="0075607F" w:rsidRDefault="00181C91" w:rsidP="000D7E0A">
            <w:pPr>
              <w:jc w:val="center"/>
              <w:rPr>
                <w:b/>
                <w:lang w:val="it-IT"/>
              </w:rPr>
            </w:pPr>
            <w:r w:rsidRPr="0075607F">
              <w:rPr>
                <w:b/>
                <w:lang w:val="it-IT"/>
              </w:rPr>
              <w:t>36)</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19.50</w:t>
            </w:r>
          </w:p>
        </w:tc>
        <w:tc>
          <w:tcPr>
            <w:tcW w:w="6959" w:type="dxa"/>
            <w:tcMar>
              <w:left w:w="108" w:type="dxa"/>
            </w:tcMar>
          </w:tcPr>
          <w:p w:rsidR="00181C91" w:rsidRPr="00C23DD7" w:rsidRDefault="00181C91" w:rsidP="000D7E0A">
            <w:pPr>
              <w:pStyle w:val="Titolo2"/>
              <w:keepNext w:val="0"/>
              <w:spacing w:line="230" w:lineRule="exact"/>
              <w:rPr>
                <w:b w:val="0"/>
                <w:sz w:val="20"/>
                <w:lang w:val="it-IT"/>
              </w:rPr>
            </w:pPr>
            <w:r w:rsidRPr="00C23DD7">
              <w:rPr>
                <w:b w:val="0"/>
                <w:sz w:val="20"/>
                <w:lang w:val="it-IT"/>
              </w:rPr>
              <w:t>I debiti aventi un tasso d’interesse desumibile dalle condizioni contrattuali significativamente diverso dal tasso di mercato sono stati attualizzati?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496"/>
        </w:trPr>
        <w:tc>
          <w:tcPr>
            <w:tcW w:w="675" w:type="dxa"/>
          </w:tcPr>
          <w:p w:rsidR="00181C91" w:rsidRPr="0075607F" w:rsidRDefault="00181C91" w:rsidP="000D7E0A">
            <w:pPr>
              <w:jc w:val="center"/>
              <w:rPr>
                <w:b/>
                <w:lang w:val="it-IT"/>
              </w:rPr>
            </w:pPr>
            <w:r w:rsidRPr="0075607F">
              <w:rPr>
                <w:b/>
                <w:lang w:val="it-IT"/>
              </w:rPr>
              <w:t>37)</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19.51</w:t>
            </w:r>
          </w:p>
        </w:tc>
        <w:tc>
          <w:tcPr>
            <w:tcW w:w="6959" w:type="dxa"/>
            <w:tcMar>
              <w:left w:w="108" w:type="dxa"/>
            </w:tcMar>
          </w:tcPr>
          <w:p w:rsidR="00181C91" w:rsidRPr="00C23DD7" w:rsidRDefault="00181C91" w:rsidP="000D7E0A">
            <w:pPr>
              <w:spacing w:line="230" w:lineRule="exact"/>
              <w:rPr>
                <w:lang w:val="it-IT"/>
              </w:rPr>
            </w:pPr>
            <w:r w:rsidRPr="00C23DD7">
              <w:rPr>
                <w:lang w:val="it-IT"/>
              </w:rPr>
              <w:t>Una volta determinato il valore di iscrizione iniziale a seguito dell’attualizzazione, è stato calcolato il tasso di interesse effettivo, ossia il tasso interno di rendimento, costante lungo la durata del debito, che rende uguale il valore attuale dei flussi finanziari futuri derivanti dal debito e il suo valore di rilevazione iniziale?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496"/>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19.51</w:t>
            </w:r>
          </w:p>
        </w:tc>
        <w:tc>
          <w:tcPr>
            <w:tcW w:w="6959" w:type="dxa"/>
            <w:tcMar>
              <w:left w:w="108" w:type="dxa"/>
            </w:tcMar>
            <w:vAlign w:val="center"/>
          </w:tcPr>
          <w:p w:rsidR="00181C91" w:rsidRPr="00C23DD7" w:rsidRDefault="00181C91" w:rsidP="000D7E0A">
            <w:pPr>
              <w:pStyle w:val="Commentiriquadro"/>
            </w:pPr>
            <w:r w:rsidRPr="00C23DD7">
              <w:t>Salvo il caso previsto dal paragrafo 64, se il tasso di interesse effettivo determinato in sede di rilevazione iniziale successivamente si discosta dai tassi di mercato, esso non è comunque aggiornato.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496"/>
        </w:trPr>
        <w:tc>
          <w:tcPr>
            <w:tcW w:w="675" w:type="dxa"/>
          </w:tcPr>
          <w:p w:rsidR="00181C91" w:rsidRPr="0075607F" w:rsidRDefault="00181C91" w:rsidP="000D7E0A">
            <w:pPr>
              <w:jc w:val="center"/>
              <w:rPr>
                <w:b/>
                <w:lang w:val="it-IT"/>
              </w:rPr>
            </w:pPr>
            <w:r w:rsidRPr="0075607F">
              <w:rPr>
                <w:b/>
                <w:lang w:val="it-IT"/>
              </w:rPr>
              <w:t>38)</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19.52</w:t>
            </w:r>
          </w:p>
        </w:tc>
        <w:tc>
          <w:tcPr>
            <w:tcW w:w="6959" w:type="dxa"/>
            <w:tcMar>
              <w:left w:w="108" w:type="dxa"/>
            </w:tcMar>
            <w:vAlign w:val="center"/>
          </w:tcPr>
          <w:p w:rsidR="00181C91" w:rsidRPr="00C23DD7" w:rsidRDefault="00181C91" w:rsidP="000D7E0A">
            <w:pPr>
              <w:pStyle w:val="Titolo2"/>
              <w:spacing w:line="230" w:lineRule="exact"/>
              <w:jc w:val="both"/>
              <w:rPr>
                <w:b w:val="0"/>
                <w:sz w:val="20"/>
                <w:lang w:val="it-IT"/>
              </w:rPr>
            </w:pPr>
            <w:r w:rsidRPr="00C23DD7">
              <w:rPr>
                <w:b w:val="0"/>
                <w:sz w:val="20"/>
                <w:lang w:val="it-IT"/>
              </w:rPr>
              <w:t>I debiti commerciali con scadenza oltre i 12 mesi dal momento della rilevazione iniziale, senza corresponsione di interessi, o con interessi significativamente diversi dai tassi di interesse di mercato, ed i relativi costi, sono stati rilevati inizialmente al valore determinato attualizzando i flussi finanziari futuri al tasso di interesse di mercato?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496"/>
        </w:trPr>
        <w:tc>
          <w:tcPr>
            <w:tcW w:w="675" w:type="dxa"/>
          </w:tcPr>
          <w:p w:rsidR="00181C91" w:rsidRPr="0075607F" w:rsidRDefault="00181C91" w:rsidP="000D7E0A">
            <w:pPr>
              <w:jc w:val="center"/>
              <w:rPr>
                <w:b/>
                <w:lang w:val="it-IT"/>
              </w:rPr>
            </w:pPr>
            <w:r w:rsidRPr="0075607F">
              <w:rPr>
                <w:b/>
                <w:lang w:val="it-IT"/>
              </w:rPr>
              <w:t>39)</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19.52</w:t>
            </w:r>
          </w:p>
        </w:tc>
        <w:tc>
          <w:tcPr>
            <w:tcW w:w="6959" w:type="dxa"/>
            <w:tcMar>
              <w:left w:w="108" w:type="dxa"/>
            </w:tcMar>
            <w:vAlign w:val="center"/>
          </w:tcPr>
          <w:p w:rsidR="00181C91" w:rsidRPr="00C23DD7" w:rsidRDefault="00181C91" w:rsidP="000D7E0A">
            <w:pPr>
              <w:pStyle w:val="Titolo2"/>
              <w:spacing w:line="230" w:lineRule="exact"/>
              <w:jc w:val="both"/>
              <w:rPr>
                <w:b w:val="0"/>
                <w:sz w:val="20"/>
                <w:lang w:val="it-IT"/>
              </w:rPr>
            </w:pPr>
            <w:r w:rsidRPr="00C23DD7">
              <w:rPr>
                <w:b w:val="0"/>
                <w:sz w:val="20"/>
                <w:lang w:val="it-IT"/>
              </w:rPr>
              <w:t>La differenza tra il valore di rilevazione iniziale del debito attualizzato e il valore a termine è stata rilevata a conto economico come onere finanziario lungo la durata del debito utilizzando il criterio del tasso di interesse effettivo?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496"/>
        </w:trPr>
        <w:tc>
          <w:tcPr>
            <w:tcW w:w="675" w:type="dxa"/>
          </w:tcPr>
          <w:p w:rsidR="00181C91" w:rsidRPr="0075607F" w:rsidRDefault="00181C91" w:rsidP="000D7E0A">
            <w:pPr>
              <w:jc w:val="center"/>
              <w:rPr>
                <w:b/>
                <w:lang w:val="it-IT"/>
              </w:rPr>
            </w:pPr>
            <w:r w:rsidRPr="0075607F">
              <w:rPr>
                <w:b/>
                <w:lang w:val="it-IT"/>
              </w:rPr>
              <w:t>40)</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19.53</w:t>
            </w:r>
          </w:p>
        </w:tc>
        <w:tc>
          <w:tcPr>
            <w:tcW w:w="6959" w:type="dxa"/>
            <w:tcMar>
              <w:left w:w="108" w:type="dxa"/>
            </w:tcMar>
            <w:vAlign w:val="center"/>
          </w:tcPr>
          <w:p w:rsidR="00181C91" w:rsidRPr="00C23DD7" w:rsidRDefault="00181C91" w:rsidP="000D7E0A">
            <w:pPr>
              <w:spacing w:line="230" w:lineRule="exact"/>
              <w:rPr>
                <w:lang w:val="it-IT"/>
              </w:rPr>
            </w:pPr>
            <w:r w:rsidRPr="00C23DD7">
              <w:rPr>
                <w:lang w:val="it-IT"/>
              </w:rPr>
              <w:t>Nel caso dei debiti di natura finanziaria, la differenza tra le disponibilità liquide ricevute e il valore attuale dei flussi finanziari futuri, determinato utilizzando il tasso di interesse di mercato, è rilevata tra i proventi finanziari o tra gli oneri finanziari del conto economico al momento della rilevazione iniziale, salvo che</w:t>
            </w:r>
            <w:r>
              <w:rPr>
                <w:lang w:val="it-IT"/>
              </w:rPr>
              <w:t xml:space="preserve"> </w:t>
            </w:r>
            <w:r w:rsidRPr="00C23DD7">
              <w:rPr>
                <w:lang w:val="it-IT"/>
              </w:rPr>
              <w:t xml:space="preserve">la </w:t>
            </w:r>
            <w:r w:rsidRPr="00C23DD7">
              <w:rPr>
                <w:i/>
                <w:lang w:val="it-IT"/>
              </w:rPr>
              <w:t xml:space="preserve">sostanza dell’operazione o del contratto </w:t>
            </w:r>
            <w:r w:rsidRPr="00C23DD7">
              <w:rPr>
                <w:lang w:val="it-IT"/>
              </w:rPr>
              <w:t>non inducano ad attribuire a tale componente una diversa natura?</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496"/>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3"/>
              <w:rPr>
                <w:lang w:val="it-IT"/>
              </w:rPr>
            </w:pPr>
            <w:r w:rsidRPr="00C23DD7">
              <w:rPr>
                <w:lang w:val="it-IT"/>
              </w:rPr>
              <w:t>Rilevazione iniziale dei debiti non valutati al costo ammortizzato e non soggetti ad attualizzazione nel bilancio in forma abbreviata</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19.54</w:t>
            </w:r>
          </w:p>
        </w:tc>
        <w:tc>
          <w:tcPr>
            <w:tcW w:w="6959" w:type="dxa"/>
            <w:tcMar>
              <w:left w:w="108" w:type="dxa"/>
            </w:tcMar>
          </w:tcPr>
          <w:p w:rsidR="00181C91" w:rsidRPr="00C23DD7" w:rsidRDefault="00181C91" w:rsidP="000D7E0A">
            <w:pPr>
              <w:pStyle w:val="Commentiriquadro"/>
            </w:pPr>
            <w:r w:rsidRPr="00C23DD7">
              <w:t>Nel bilancio in forma abbreviata redatto ai sensi dell’art. 2435-</w:t>
            </w:r>
            <w:r w:rsidRPr="00C32B15">
              <w:t>bis</w:t>
            </w:r>
            <w:r>
              <w:t xml:space="preserve"> CC</w:t>
            </w:r>
            <w:r w:rsidRPr="00C23DD7">
              <w:t>, i debiti possono essere valutati al valore nominale senza applicare il criterio di valutazione del costo ammortizzato e l’attualizzazione.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45)</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19.55</w:t>
            </w:r>
          </w:p>
        </w:tc>
        <w:tc>
          <w:tcPr>
            <w:tcW w:w="6959" w:type="dxa"/>
            <w:tcMar>
              <w:left w:w="108" w:type="dxa"/>
            </w:tcMar>
          </w:tcPr>
          <w:p w:rsidR="00181C91" w:rsidRPr="00C23DD7" w:rsidRDefault="00181C91" w:rsidP="000D7E0A">
            <w:pPr>
              <w:pStyle w:val="Titolo2"/>
              <w:spacing w:line="230" w:lineRule="exact"/>
              <w:jc w:val="both"/>
              <w:rPr>
                <w:b w:val="0"/>
                <w:sz w:val="20"/>
                <w:lang w:val="it-IT"/>
              </w:rPr>
            </w:pPr>
            <w:r w:rsidRPr="00C23DD7">
              <w:rPr>
                <w:b w:val="0"/>
                <w:sz w:val="20"/>
                <w:lang w:val="it-IT"/>
              </w:rPr>
              <w:t>Qualora la società si sia avvalsa della facoltà di non applicare il criterio di valutazione del costo ammortizzato e l’attualizzazione, la rilevazione iniziale del debito è stata effettuata al valore nominale al netto dei premi, degli sconti, degli abbuoni previsti contrattualmente o comunque concessi?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496"/>
        </w:trPr>
        <w:tc>
          <w:tcPr>
            <w:tcW w:w="675" w:type="dxa"/>
          </w:tcPr>
          <w:p w:rsidR="00181C91" w:rsidRPr="0075607F" w:rsidRDefault="00181C91" w:rsidP="000D7E0A">
            <w:pPr>
              <w:jc w:val="center"/>
              <w:rPr>
                <w:b/>
                <w:lang w:val="it-IT"/>
              </w:rPr>
            </w:pPr>
            <w:r w:rsidRPr="0075607F">
              <w:rPr>
                <w:b/>
                <w:lang w:val="it-IT"/>
              </w:rPr>
              <w:t>46)</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19.56</w:t>
            </w:r>
          </w:p>
        </w:tc>
        <w:tc>
          <w:tcPr>
            <w:tcW w:w="6959" w:type="dxa"/>
            <w:tcMar>
              <w:left w:w="108" w:type="dxa"/>
            </w:tcMar>
          </w:tcPr>
          <w:p w:rsidR="00181C91" w:rsidRPr="00C23DD7" w:rsidRDefault="00181C91" w:rsidP="000D7E0A">
            <w:pPr>
              <w:spacing w:line="230" w:lineRule="exact"/>
              <w:rPr>
                <w:lang w:val="it-IT"/>
              </w:rPr>
            </w:pPr>
            <w:r w:rsidRPr="00C23DD7">
              <w:rPr>
                <w:lang w:val="it-IT"/>
              </w:rPr>
              <w:t>Nel caso di prestiti obbligazionari</w:t>
            </w:r>
            <w:r>
              <w:rPr>
                <w:lang w:val="it-IT"/>
              </w:rPr>
              <w:t>:</w:t>
            </w:r>
          </w:p>
          <w:p w:rsidR="00181C91" w:rsidRPr="00C23DD7" w:rsidRDefault="00181C91" w:rsidP="00181C91">
            <w:pPr>
              <w:pStyle w:val="trattinosottoa"/>
              <w:tabs>
                <w:tab w:val="clear" w:pos="704"/>
              </w:tabs>
              <w:spacing w:line="230" w:lineRule="exact"/>
              <w:ind w:left="470" w:hanging="284"/>
            </w:pPr>
            <w:r w:rsidRPr="00C23DD7">
              <w:t>gli aggi di emissione sono stati rilevati tra i risconti passivi nella classe E del passivo dello stato patrimoniale; e</w:t>
            </w:r>
          </w:p>
          <w:p w:rsidR="00181C91" w:rsidRPr="00C23DD7" w:rsidRDefault="00181C91" w:rsidP="00181C91">
            <w:pPr>
              <w:pStyle w:val="trattinosottoa"/>
              <w:tabs>
                <w:tab w:val="clear" w:pos="704"/>
              </w:tabs>
              <w:spacing w:line="230" w:lineRule="exact"/>
              <w:ind w:left="470" w:hanging="284"/>
            </w:pPr>
            <w:r w:rsidRPr="00C23DD7">
              <w:t>i disaggi di emissione sono stati rilevati tra i risconti attivi nella classe D dell’attivo dello stato patrimoniale?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47)</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19.57</w:t>
            </w:r>
          </w:p>
        </w:tc>
        <w:tc>
          <w:tcPr>
            <w:tcW w:w="6959" w:type="dxa"/>
            <w:tcMar>
              <w:left w:w="108" w:type="dxa"/>
            </w:tcMar>
          </w:tcPr>
          <w:p w:rsidR="00181C91" w:rsidRPr="00C23DD7" w:rsidRDefault="00181C91" w:rsidP="000D7E0A">
            <w:pPr>
              <w:spacing w:line="230" w:lineRule="exact"/>
              <w:rPr>
                <w:lang w:val="it-IT"/>
              </w:rPr>
            </w:pPr>
            <w:r w:rsidRPr="00C23DD7">
              <w:rPr>
                <w:lang w:val="it-IT"/>
              </w:rPr>
              <w:t>I costi di transazione iniziali sostenuti per ottenere finanziamenti, quali, ad esempio, le spese di istruttoria, l’imposta sostitutiva su finanziamenti a medio termine, gli oneri di perizia dell’immobile, le commissioni dovute a intermediari finanziari ed eventuali altri costi di transazione iniziali sono stati rilevati tra i risconti attivi nella classe D dell’attivo dello stato patrimoniale?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Titolo2"/>
              <w:rPr>
                <w:lang w:val="it-IT"/>
              </w:rPr>
            </w:pPr>
            <w:r w:rsidRPr="00C23DD7">
              <w:rPr>
                <w:lang w:val="it-IT"/>
              </w:rPr>
              <w:t>Valutazione e rilevazioni successive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Titolo3"/>
              <w:rPr>
                <w:lang w:val="it-IT"/>
              </w:rPr>
            </w:pPr>
            <w:r w:rsidRPr="00C23DD7">
              <w:rPr>
                <w:lang w:val="it-IT"/>
              </w:rPr>
              <w:t>Valutazione successiva dei debiti valutati al costo ammortizzato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48)</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19.58</w:t>
            </w:r>
          </w:p>
        </w:tc>
        <w:tc>
          <w:tcPr>
            <w:tcW w:w="6959" w:type="dxa"/>
            <w:tcMar>
              <w:left w:w="108" w:type="dxa"/>
            </w:tcMar>
          </w:tcPr>
          <w:p w:rsidR="00181C91" w:rsidRPr="00C23DD7" w:rsidRDefault="00181C91" w:rsidP="000D7E0A">
            <w:pPr>
              <w:spacing w:line="230" w:lineRule="exact"/>
              <w:rPr>
                <w:lang w:val="it-IT"/>
              </w:rPr>
            </w:pPr>
            <w:r>
              <w:rPr>
                <w:lang w:val="it-IT"/>
              </w:rPr>
              <w:t>Le regole relative al calcolo del costo ammortizzato sono state applicate a tutti i debiti che rappresentano obbligazioni a pagare ammontare fissi o determinabili di disponibilità liquide?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49)</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19.59</w:t>
            </w:r>
          </w:p>
        </w:tc>
        <w:tc>
          <w:tcPr>
            <w:tcW w:w="6959" w:type="dxa"/>
            <w:tcMar>
              <w:left w:w="108" w:type="dxa"/>
            </w:tcMar>
          </w:tcPr>
          <w:p w:rsidR="00181C91" w:rsidRPr="00C23DD7" w:rsidRDefault="00181C91" w:rsidP="000D7E0A">
            <w:pPr>
              <w:spacing w:line="230" w:lineRule="exact"/>
              <w:rPr>
                <w:lang w:val="it-IT"/>
              </w:rPr>
            </w:pPr>
            <w:r w:rsidRPr="00C23DD7">
              <w:rPr>
                <w:lang w:val="it-IT"/>
              </w:rPr>
              <w:t>Alla chiusura dell’esercizio, il valore dei debiti valutati al costo ammortizzato è pari al valore attuale dei flussi finanziari futuri scontati al tasso di interesse effettivo</w:t>
            </w:r>
            <w:r>
              <w:rPr>
                <w:lang w:val="it-IT"/>
              </w:rPr>
              <w:t>?</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19.60</w:t>
            </w:r>
          </w:p>
        </w:tc>
        <w:tc>
          <w:tcPr>
            <w:tcW w:w="6959" w:type="dxa"/>
            <w:tcMar>
              <w:left w:w="108" w:type="dxa"/>
            </w:tcMar>
          </w:tcPr>
          <w:p w:rsidR="00181C91" w:rsidRPr="00C23DD7" w:rsidRDefault="00181C91" w:rsidP="000D7E0A">
            <w:pPr>
              <w:pStyle w:val="Commentiriquadro"/>
            </w:pPr>
            <w:r w:rsidRPr="00C23DD7">
              <w:t>Il procedimento per determinare, successivamente alla rilevazione iniziale, il valore dei debiti valutati al costo ammortizzato da iscrivere in bilancio è il seguente:</w:t>
            </w:r>
          </w:p>
          <w:p w:rsidR="00181C91" w:rsidRPr="00C23DD7" w:rsidRDefault="00181C91" w:rsidP="004E27C2">
            <w:pPr>
              <w:pStyle w:val="Commentiriquadro"/>
              <w:numPr>
                <w:ilvl w:val="0"/>
                <w:numId w:val="46"/>
              </w:numPr>
              <w:ind w:left="318" w:hanging="261"/>
            </w:pPr>
            <w:r w:rsidRPr="00C23DD7">
              <w:t>determinare l’ammontare degli interessi calcolati con il criterio del tasso di interesse effettivo sul valore contabile del debito all’inizio dell’esercizio, o alla più recente data di rilevazione iniziale;</w:t>
            </w:r>
          </w:p>
          <w:p w:rsidR="00181C91" w:rsidRPr="00C23DD7" w:rsidRDefault="00181C91" w:rsidP="004E27C2">
            <w:pPr>
              <w:pStyle w:val="Commentiriquadro"/>
              <w:numPr>
                <w:ilvl w:val="0"/>
                <w:numId w:val="46"/>
              </w:numPr>
              <w:ind w:left="318" w:hanging="261"/>
            </w:pPr>
            <w:r w:rsidRPr="00C23DD7">
              <w:t>aggiungere l’ammontare degli interessi così ottenuto al precedente valore contabile del debito;</w:t>
            </w:r>
          </w:p>
          <w:p w:rsidR="00181C91" w:rsidRPr="00C23DD7" w:rsidRDefault="00181C91" w:rsidP="004E27C2">
            <w:pPr>
              <w:pStyle w:val="Commentiriquadro"/>
              <w:numPr>
                <w:ilvl w:val="0"/>
                <w:numId w:val="46"/>
              </w:numPr>
              <w:ind w:left="318" w:hanging="261"/>
            </w:pPr>
            <w:r w:rsidRPr="00C23DD7">
              <w:t>sottrarre i pagamenti per interessi e capitale intervenuti nel periodo.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19.61</w:t>
            </w:r>
          </w:p>
        </w:tc>
        <w:tc>
          <w:tcPr>
            <w:tcW w:w="6959" w:type="dxa"/>
            <w:tcMar>
              <w:left w:w="108" w:type="dxa"/>
            </w:tcMar>
          </w:tcPr>
          <w:p w:rsidR="00181C91" w:rsidRPr="00C23DD7" w:rsidRDefault="00181C91" w:rsidP="000D7E0A">
            <w:pPr>
              <w:pStyle w:val="Commentiriquadro"/>
            </w:pPr>
            <w:r w:rsidRPr="00C23DD7">
              <w:t>Se, successivamente alla rilevazione iniziale, la società rivede le proprie stime di flussi finanziari futuri (es.: prevede che il debito sarà rimborsato anticipatamente rispetto alla scadenza), essa deve rettificare il valore contabile del debito per riflettere i rideterminati flussi finanziari stimati. La società ricalcola il valore contabile del debito alla data di revisione della stima dei flussi finanziari attualizzando i rideterminati flussi finanziari al tasso di interesse effettivo calcolato in sede di rilevazione iniziale. La differenza tra il valore attuale rideterminato del debito alla data di revisione della stima dei flussi finanziari futuri e il suo precedente valore contabile alla stessa data è rilevata a conto economico negli oneri o nei proventi finanziari.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50)</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19.61</w:t>
            </w:r>
          </w:p>
        </w:tc>
        <w:tc>
          <w:tcPr>
            <w:tcW w:w="6959" w:type="dxa"/>
            <w:tcMar>
              <w:left w:w="108" w:type="dxa"/>
            </w:tcMar>
          </w:tcPr>
          <w:p w:rsidR="00181C91" w:rsidRPr="00C23DD7" w:rsidRDefault="00181C91" w:rsidP="000D7E0A">
            <w:pPr>
              <w:spacing w:line="230" w:lineRule="exact"/>
              <w:rPr>
                <w:lang w:val="it-IT"/>
              </w:rPr>
            </w:pPr>
            <w:r w:rsidRPr="00C23DD7">
              <w:rPr>
                <w:lang w:val="it-IT"/>
              </w:rPr>
              <w:t>L’eventuale differenza tra il valore attuale rideterminato del debito alla data di revisione della stima dei flussi finanziari futuri e il suo precedente valore contabile alla stessa data è rilevata a conto economico negli oneri o nei proventi finanziari?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51)</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19.62</w:t>
            </w:r>
          </w:p>
        </w:tc>
        <w:tc>
          <w:tcPr>
            <w:tcW w:w="6959" w:type="dxa"/>
            <w:tcMar>
              <w:left w:w="108" w:type="dxa"/>
            </w:tcMar>
          </w:tcPr>
          <w:p w:rsidR="00181C91" w:rsidRPr="00C23DD7" w:rsidRDefault="00181C91" w:rsidP="000D7E0A">
            <w:pPr>
              <w:spacing w:line="230" w:lineRule="exact"/>
              <w:rPr>
                <w:lang w:val="it-IT"/>
              </w:rPr>
            </w:pPr>
            <w:r w:rsidRPr="00C23DD7">
              <w:rPr>
                <w:lang w:val="it-IT"/>
              </w:rPr>
              <w:t>Nel caso di estinzione anticipata di un debito o di un prestito obbligazionario a condizioni o in tempi non previsti nell’ambito della stima dei flussi finanziari futuri, la differenza tra il valore contabile residuo del debito al momento dell’estinzione anticipata e l’esborso di disponibilità liquide è rilevata nel conto economico tra i proventi o tra gli oneri finanziari?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52)</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19.63</w:t>
            </w:r>
          </w:p>
        </w:tc>
        <w:tc>
          <w:tcPr>
            <w:tcW w:w="6959" w:type="dxa"/>
            <w:tcMar>
              <w:left w:w="108" w:type="dxa"/>
            </w:tcMar>
          </w:tcPr>
          <w:p w:rsidR="00181C91" w:rsidRPr="00C23DD7" w:rsidRDefault="00181C91" w:rsidP="000D7E0A">
            <w:pPr>
              <w:spacing w:line="230" w:lineRule="exact"/>
              <w:rPr>
                <w:lang w:val="it-IT"/>
              </w:rPr>
            </w:pPr>
            <w:r w:rsidRPr="00C23DD7">
              <w:rPr>
                <w:lang w:val="it-IT"/>
              </w:rPr>
              <w:t>Il tasso di interesse effettivo determinato in sede di rilevazione iniziale non è successivamente ricalcolato ed è stato applicato fino all’estinzione del debito, ad eccezione del caso di tassi contrattuali variabili descritto al paragrafo 64 dell’OIC 19?</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19.64</w:t>
            </w:r>
          </w:p>
        </w:tc>
        <w:tc>
          <w:tcPr>
            <w:tcW w:w="6959" w:type="dxa"/>
            <w:tcMar>
              <w:left w:w="108" w:type="dxa"/>
            </w:tcMar>
          </w:tcPr>
          <w:p w:rsidR="00181C91" w:rsidRPr="00C23DD7" w:rsidRDefault="00181C91" w:rsidP="000D7E0A">
            <w:pPr>
              <w:pStyle w:val="Commentiriquadro"/>
            </w:pPr>
            <w:r w:rsidRPr="00C23DD7">
              <w:t>Quando il tasso di interesse nominale contrattuale è variabile e parametrato ai tassi di mercato, i flussi finanziari futuri sono rideterminati periodicamente per riflettere le variazioni dei tassi di interesse di mercato e il tasso di interesse effettivo è ricalcolato con decorrenza dalla data in cui gli interessi sono stati rilevati in base al contratto. Nel ricalcolare il tasso di interesse effettivo, in alternativa all’utilizzo della curva dei tassi attesi, si può proiettare l’ultimo tasso disponibile. Non occorre ricalcolare il tasso di interesse effettivo quando il tasso di interesse nominale aumenta o diminuisce in modo prestabilito dalle previsioni contrattuali e le sue variazioni non sono dovute a indicizzazioni legate a parametri di mercato; può essere il caso delle clausole contrattuali di “step- up” o di “step-down” che prevedono incrementi o decrementi prestabiliti del tasso di interesse nominale (es.: il tasso del 4% per il primo anno, del 6% per il secondo e dell’8% dal terzo anno e fino alla data di scadenza).</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292"/>
        </w:trPr>
        <w:tc>
          <w:tcPr>
            <w:tcW w:w="675" w:type="dxa"/>
          </w:tcPr>
          <w:p w:rsidR="00181C91" w:rsidRPr="0075607F" w:rsidRDefault="00181C91" w:rsidP="000D7E0A">
            <w:pPr>
              <w:jc w:val="center"/>
              <w:rPr>
                <w:b/>
                <w:lang w:val="it-IT"/>
              </w:rPr>
            </w:pPr>
            <w:r w:rsidRPr="0075607F">
              <w:rPr>
                <w:b/>
                <w:lang w:val="it-IT"/>
              </w:rPr>
              <w:t>53)</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19.64</w:t>
            </w:r>
          </w:p>
        </w:tc>
        <w:tc>
          <w:tcPr>
            <w:tcW w:w="6959" w:type="dxa"/>
            <w:tcMar>
              <w:left w:w="108" w:type="dxa"/>
            </w:tcMar>
          </w:tcPr>
          <w:p w:rsidR="00181C91" w:rsidRPr="00C23DD7" w:rsidRDefault="00181C91" w:rsidP="000D7E0A">
            <w:pPr>
              <w:spacing w:line="240" w:lineRule="exact"/>
              <w:rPr>
                <w:lang w:val="it-IT"/>
              </w:rPr>
            </w:pPr>
            <w:r w:rsidRPr="00C23DD7">
              <w:rPr>
                <w:lang w:val="it-IT"/>
              </w:rPr>
              <w:t>In caso di tasso contrattuale variabile i flussi finanziari futuri e il tasso di interesse effettivo sono stati ricalcolati con decorrenza dalla data in cui gli interessi sono stati rilevati in base al contratto?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19.65</w:t>
            </w:r>
          </w:p>
        </w:tc>
        <w:tc>
          <w:tcPr>
            <w:tcW w:w="6959" w:type="dxa"/>
            <w:tcMar>
              <w:left w:w="108" w:type="dxa"/>
            </w:tcMar>
          </w:tcPr>
          <w:p w:rsidR="00181C91" w:rsidRPr="00C23DD7" w:rsidRDefault="00181C91" w:rsidP="000D7E0A">
            <w:pPr>
              <w:pStyle w:val="Commentiriquadro"/>
            </w:pPr>
            <w:r w:rsidRPr="00C23DD7">
              <w:t>Le regole relative alla valutazione successiva dei prestiti obbligazionari non sono disciplinate in modo specifico in quanto ricomprese nella tecnica del costo ammortizzato.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54)</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19.66</w:t>
            </w:r>
          </w:p>
        </w:tc>
        <w:tc>
          <w:tcPr>
            <w:tcW w:w="6959" w:type="dxa"/>
            <w:tcMar>
              <w:left w:w="108" w:type="dxa"/>
            </w:tcMar>
          </w:tcPr>
          <w:p w:rsidR="00181C91" w:rsidRPr="00C23DD7" w:rsidRDefault="00181C91" w:rsidP="000D7E0A">
            <w:pPr>
              <w:spacing w:line="240" w:lineRule="exact"/>
              <w:rPr>
                <w:lang w:val="it-IT"/>
              </w:rPr>
            </w:pPr>
            <w:r w:rsidRPr="00C23DD7">
              <w:rPr>
                <w:lang w:val="it-IT"/>
              </w:rPr>
              <w:t>Gli sconti e gli abbuoni di natura finanziaria (per esempio per pagamento a pronta cassa), che non hanno concorso al computo del costo ammortizzato perché non prevedibili al momento della rilevazione iniziale del debito, sono rilevati al momento del pagamento come proventi di natura finanziaria?</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Titolo3"/>
              <w:rPr>
                <w:lang w:val="it-IT"/>
              </w:rPr>
            </w:pPr>
            <w:r w:rsidRPr="00C23DD7">
              <w:rPr>
                <w:lang w:val="it-IT"/>
              </w:rPr>
              <w:t>Valutazione successiva dei debiti non valutati al costo ammortizzato nel bilancio in forma abbreviata</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19.67</w:t>
            </w:r>
          </w:p>
        </w:tc>
        <w:tc>
          <w:tcPr>
            <w:tcW w:w="6959" w:type="dxa"/>
            <w:tcMar>
              <w:left w:w="108" w:type="dxa"/>
            </w:tcMar>
          </w:tcPr>
          <w:p w:rsidR="00181C91" w:rsidRPr="00C23DD7" w:rsidRDefault="00181C91" w:rsidP="000D7E0A">
            <w:pPr>
              <w:pStyle w:val="Commentiriquadro"/>
            </w:pPr>
            <w:r w:rsidRPr="00C23DD7">
              <w:t>Nel bilancio in forma abbreviata redatto ai sensi dell’art. 2435-</w:t>
            </w:r>
            <w:r w:rsidRPr="00C32B15">
              <w:t>bis</w:t>
            </w:r>
            <w:r>
              <w:t xml:space="preserve"> CC</w:t>
            </w:r>
            <w:r w:rsidRPr="00C23DD7">
              <w:t>, i debiti possono essere valutati al valore nominale senza applicare il criterio di valutazione del costo ammortizzato e l’attualizzazione.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55)</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19.68</w:t>
            </w:r>
          </w:p>
        </w:tc>
        <w:tc>
          <w:tcPr>
            <w:tcW w:w="6959" w:type="dxa"/>
            <w:tcMar>
              <w:left w:w="108" w:type="dxa"/>
            </w:tcMar>
          </w:tcPr>
          <w:p w:rsidR="00181C91" w:rsidRPr="00C23DD7" w:rsidRDefault="00181C91" w:rsidP="000D7E0A">
            <w:pPr>
              <w:spacing w:line="240" w:lineRule="exact"/>
              <w:rPr>
                <w:lang w:val="it-IT"/>
              </w:rPr>
            </w:pPr>
            <w:r w:rsidRPr="00C23DD7">
              <w:rPr>
                <w:lang w:val="it-IT"/>
              </w:rPr>
              <w:t>Qualora la società si avvalga della facoltà di non applicare il criterio di valutazione del costo ammortizzato e l’attualizzazione, la valutazione successiva del debito è effettuata al valore nominale più gli interessi passivi calcolati al tasso di interesse nominale, dedotti i pagamenti per capitale e interessi?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292"/>
        </w:trPr>
        <w:tc>
          <w:tcPr>
            <w:tcW w:w="675" w:type="dxa"/>
          </w:tcPr>
          <w:p w:rsidR="00181C91" w:rsidRPr="0075607F" w:rsidRDefault="00181C91" w:rsidP="000D7E0A">
            <w:pPr>
              <w:jc w:val="center"/>
              <w:rPr>
                <w:b/>
                <w:lang w:val="it-IT"/>
              </w:rPr>
            </w:pPr>
            <w:r w:rsidRPr="0075607F">
              <w:rPr>
                <w:b/>
                <w:lang w:val="it-IT"/>
              </w:rPr>
              <w:t>56)</w:t>
            </w: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spacing w:line="240" w:lineRule="exact"/>
              <w:rPr>
                <w:lang w:val="it-IT"/>
              </w:rPr>
            </w:pPr>
            <w:r w:rsidRPr="00C23DD7">
              <w:rPr>
                <w:lang w:val="it-IT"/>
              </w:rPr>
              <w:t>Nel caso di prestiti obbligazionari: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19.69</w:t>
            </w:r>
          </w:p>
        </w:tc>
        <w:tc>
          <w:tcPr>
            <w:tcW w:w="6959" w:type="dxa"/>
            <w:tcMar>
              <w:left w:w="108" w:type="dxa"/>
            </w:tcMar>
          </w:tcPr>
          <w:p w:rsidR="00181C91" w:rsidRPr="00C23DD7" w:rsidRDefault="00181C91" w:rsidP="00181C91">
            <w:pPr>
              <w:pStyle w:val="trattinosottoa"/>
              <w:tabs>
                <w:tab w:val="clear" w:pos="704"/>
              </w:tabs>
              <w:ind w:left="460" w:hanging="284"/>
            </w:pPr>
            <w:r w:rsidRPr="00C23DD7">
              <w:t>gli aggi di emissione rilevati tra i risconti passivi, sono accreditati a conto economico lungo la durata del prestito a quote costanti a rettifica degli interessi passivi nominali;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19.69</w:t>
            </w:r>
          </w:p>
        </w:tc>
        <w:tc>
          <w:tcPr>
            <w:tcW w:w="6959" w:type="dxa"/>
            <w:tcMar>
              <w:left w:w="108" w:type="dxa"/>
            </w:tcMar>
          </w:tcPr>
          <w:p w:rsidR="00181C91" w:rsidRPr="00C23DD7" w:rsidRDefault="00181C91" w:rsidP="00181C91">
            <w:pPr>
              <w:pStyle w:val="trattinosottoa"/>
              <w:tabs>
                <w:tab w:val="clear" w:pos="704"/>
              </w:tabs>
              <w:ind w:left="460" w:hanging="284"/>
            </w:pPr>
            <w:r w:rsidRPr="00C23DD7">
              <w:t>i disaggi di emissione rilevati tra i risconti attivi sono addebitati a conto economico lungo la durata del prestito a quote costanti ad integrazione degli interessi passivi nominali;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19.69</w:t>
            </w:r>
          </w:p>
        </w:tc>
        <w:tc>
          <w:tcPr>
            <w:tcW w:w="6959" w:type="dxa"/>
            <w:tcMar>
              <w:left w:w="108" w:type="dxa"/>
            </w:tcMar>
          </w:tcPr>
          <w:p w:rsidR="00181C91" w:rsidRPr="00C23DD7" w:rsidRDefault="00181C91" w:rsidP="00181C91">
            <w:pPr>
              <w:pStyle w:val="trattinosottoa"/>
              <w:tabs>
                <w:tab w:val="clear" w:pos="704"/>
              </w:tabs>
              <w:ind w:left="460" w:hanging="284"/>
            </w:pPr>
            <w:r w:rsidRPr="00C23DD7">
              <w:t>al momento del rimborso anticipato di un prestito obbligazionario emesso sotto la pari, il valore residuo del disaggio e dei costi di transazione non ancora ammortizzati iscritti tra i risconti attivi è addebitato al conto economico come onere finanziario per la parte corrispondente alle obbligazioni estratte;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ind w:left="227"/>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19.69</w:t>
            </w:r>
          </w:p>
        </w:tc>
        <w:tc>
          <w:tcPr>
            <w:tcW w:w="6959" w:type="dxa"/>
            <w:tcMar>
              <w:left w:w="108" w:type="dxa"/>
            </w:tcMar>
          </w:tcPr>
          <w:p w:rsidR="00181C91" w:rsidRPr="00C23DD7" w:rsidRDefault="00181C91" w:rsidP="00181C91">
            <w:pPr>
              <w:pStyle w:val="trattinosottoa"/>
              <w:tabs>
                <w:tab w:val="clear" w:pos="704"/>
              </w:tabs>
              <w:ind w:left="460" w:hanging="284"/>
            </w:pPr>
            <w:r w:rsidRPr="00C23DD7">
              <w:t>al momento del rimborso anticipato di un prestito obbligazionario emesso sopra la pari, l’eventuale valore residuo dell’aggio non ancora ammortizzato iscritto tra i risconti passivi è accreditato al conto economico come provento finanziario per la parte corrispondente alle obbligazioni estratte?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57)</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19.70</w:t>
            </w:r>
          </w:p>
        </w:tc>
        <w:tc>
          <w:tcPr>
            <w:tcW w:w="6959" w:type="dxa"/>
            <w:tcMar>
              <w:left w:w="108" w:type="dxa"/>
            </w:tcMar>
          </w:tcPr>
          <w:p w:rsidR="00181C91" w:rsidRPr="00C23DD7" w:rsidRDefault="00181C91" w:rsidP="000D7E0A">
            <w:pPr>
              <w:spacing w:line="240" w:lineRule="exact"/>
              <w:rPr>
                <w:lang w:val="it-IT"/>
              </w:rPr>
            </w:pPr>
            <w:r w:rsidRPr="00C23DD7">
              <w:rPr>
                <w:lang w:val="it-IT"/>
              </w:rPr>
              <w:t>I costi di transazione iniziali rilevati tra i risconti attivi sono addebitati a conto economico lungo la durata del prestito a quote costanti ad integrazione degli interessi passivi nominali?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292"/>
        </w:trPr>
        <w:tc>
          <w:tcPr>
            <w:tcW w:w="675" w:type="dxa"/>
          </w:tcPr>
          <w:p w:rsidR="00181C91" w:rsidRPr="0075607F" w:rsidRDefault="00181C91" w:rsidP="000D7E0A">
            <w:pPr>
              <w:jc w:val="center"/>
              <w:rPr>
                <w:b/>
                <w:lang w:val="it-IT"/>
              </w:rPr>
            </w:pPr>
            <w:r w:rsidRPr="0075607F">
              <w:rPr>
                <w:b/>
                <w:lang w:val="it-IT"/>
              </w:rPr>
              <w:t>58)</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19.71</w:t>
            </w:r>
          </w:p>
        </w:tc>
        <w:tc>
          <w:tcPr>
            <w:tcW w:w="6959" w:type="dxa"/>
            <w:tcMar>
              <w:left w:w="108" w:type="dxa"/>
            </w:tcMar>
          </w:tcPr>
          <w:p w:rsidR="00181C91" w:rsidRPr="00C23DD7" w:rsidRDefault="00181C91" w:rsidP="000D7E0A">
            <w:pPr>
              <w:spacing w:line="240" w:lineRule="exact"/>
              <w:rPr>
                <w:lang w:val="it-IT"/>
              </w:rPr>
            </w:pPr>
            <w:r w:rsidRPr="00C23DD7">
              <w:rPr>
                <w:lang w:val="it-IT"/>
              </w:rPr>
              <w:t>Nel caso di estinzione anticipata di un debito (rispetto alle originarie scadenze contrattuali):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spacing w:line="240" w:lineRule="exact"/>
              <w:ind w:left="227"/>
              <w:jc w:val="center"/>
              <w:rPr>
                <w:lang w:val="it-IT"/>
              </w:rPr>
            </w:pPr>
          </w:p>
        </w:tc>
        <w:tc>
          <w:tcPr>
            <w:tcW w:w="846" w:type="dxa"/>
            <w:tcMar>
              <w:left w:w="108" w:type="dxa"/>
              <w:right w:w="0" w:type="dxa"/>
            </w:tcMar>
          </w:tcPr>
          <w:p w:rsidR="00181C91" w:rsidRPr="00C23DD7" w:rsidRDefault="00181C91" w:rsidP="000D7E0A">
            <w:pPr>
              <w:pStyle w:val="PrincCont"/>
              <w:spacing w:line="240" w:lineRule="exact"/>
              <w:jc w:val="left"/>
              <w:rPr>
                <w:lang w:val="it-IT"/>
              </w:rPr>
            </w:pPr>
            <w:r w:rsidRPr="00C23DD7">
              <w:rPr>
                <w:lang w:val="it-IT"/>
              </w:rPr>
              <w:t>OIC 19.71</w:t>
            </w:r>
          </w:p>
        </w:tc>
        <w:tc>
          <w:tcPr>
            <w:tcW w:w="6959" w:type="dxa"/>
            <w:tcMar>
              <w:left w:w="108" w:type="dxa"/>
            </w:tcMar>
          </w:tcPr>
          <w:p w:rsidR="00181C91" w:rsidRPr="00C23DD7" w:rsidRDefault="00181C91" w:rsidP="00181C91">
            <w:pPr>
              <w:pStyle w:val="trattinosottoa"/>
              <w:tabs>
                <w:tab w:val="clear" w:pos="704"/>
              </w:tabs>
              <w:ind w:left="460" w:hanging="284"/>
            </w:pPr>
            <w:r w:rsidRPr="00C23DD7">
              <w:t>l’eventuale differenza tra il valore contabile residuo del debito e l’esborso relativo all’estinzione è rilevata nel conto economico tra i proventi o tra gli oneri finanziari</w:t>
            </w:r>
          </w:p>
        </w:tc>
        <w:tc>
          <w:tcPr>
            <w:tcW w:w="583" w:type="dxa"/>
            <w:tcMar>
              <w:left w:w="85" w:type="dxa"/>
              <w:right w:w="85" w:type="dxa"/>
            </w:tcMar>
            <w:vAlign w:val="center"/>
          </w:tcPr>
          <w:p w:rsidR="00181C91" w:rsidRPr="00C23DD7" w:rsidRDefault="00181C91" w:rsidP="000D7E0A">
            <w:pPr>
              <w:spacing w:line="240" w:lineRule="exact"/>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spacing w:line="240" w:lineRule="exact"/>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spacing w:line="240" w:lineRule="exact"/>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ind w:left="227"/>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19.71</w:t>
            </w:r>
          </w:p>
        </w:tc>
        <w:tc>
          <w:tcPr>
            <w:tcW w:w="6959" w:type="dxa"/>
            <w:tcMar>
              <w:left w:w="108" w:type="dxa"/>
            </w:tcMar>
          </w:tcPr>
          <w:p w:rsidR="00181C91" w:rsidRPr="00C23DD7" w:rsidRDefault="00181C91" w:rsidP="00181C91">
            <w:pPr>
              <w:pStyle w:val="trattinosottoa"/>
              <w:tabs>
                <w:tab w:val="clear" w:pos="704"/>
              </w:tabs>
              <w:ind w:left="460" w:hanging="284"/>
            </w:pPr>
            <w:r w:rsidRPr="00C23DD7">
              <w:t>l’eventuale valore contabile residuo dei costi di transazione iscritti tra i risconti attivi è addebitato a conto economico tra gli oneri finanziari</w:t>
            </w:r>
            <w:r>
              <w:t>?</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59)</w:t>
            </w:r>
          </w:p>
        </w:tc>
        <w:tc>
          <w:tcPr>
            <w:tcW w:w="846" w:type="dxa"/>
            <w:tcMar>
              <w:left w:w="108" w:type="dxa"/>
              <w:right w:w="0" w:type="dxa"/>
            </w:tcMar>
          </w:tcPr>
          <w:p w:rsidR="00181C91" w:rsidRPr="00C23DD7" w:rsidRDefault="00181C91" w:rsidP="000D7E0A">
            <w:pPr>
              <w:pStyle w:val="PrincCont"/>
              <w:pageBreakBefore/>
              <w:jc w:val="left"/>
              <w:rPr>
                <w:lang w:val="it-IT"/>
              </w:rPr>
            </w:pPr>
            <w:r w:rsidRPr="00C23DD7">
              <w:rPr>
                <w:lang w:val="it-IT"/>
              </w:rPr>
              <w:t>OIC 19.72</w:t>
            </w:r>
          </w:p>
        </w:tc>
        <w:tc>
          <w:tcPr>
            <w:tcW w:w="6959" w:type="dxa"/>
            <w:tcMar>
              <w:left w:w="108" w:type="dxa"/>
            </w:tcMar>
          </w:tcPr>
          <w:p w:rsidR="00181C91" w:rsidRPr="00C23DD7" w:rsidRDefault="00181C91" w:rsidP="000D7E0A">
            <w:pPr>
              <w:spacing w:line="240" w:lineRule="exact"/>
              <w:rPr>
                <w:lang w:val="it-IT"/>
              </w:rPr>
            </w:pPr>
            <w:r w:rsidRPr="00C23DD7">
              <w:rPr>
                <w:lang w:val="it-IT"/>
              </w:rPr>
              <w:t xml:space="preserve">Gli sconti e gli abbuoni di natura finanziaria (per esempio per pagamento a pronta cassa), che non hanno concorso alla determinazione del valore iniziale di iscrizione perché non prevedibili al momento della rilevazione iniziale del debito, sono rilevati al momento del pagamento come proventi di natura finanziaria? </w:t>
            </w:r>
          </w:p>
        </w:tc>
        <w:tc>
          <w:tcPr>
            <w:tcW w:w="583" w:type="dxa"/>
            <w:tcMar>
              <w:left w:w="85" w:type="dxa"/>
              <w:right w:w="85" w:type="dxa"/>
            </w:tcMar>
            <w:vAlign w:val="center"/>
          </w:tcPr>
          <w:p w:rsidR="00181C91" w:rsidRPr="00C23DD7" w:rsidRDefault="00181C91" w:rsidP="000D7E0A">
            <w:pPr>
              <w:pageBreakBefore/>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pageBreakBefore/>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pageBreakBefore/>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pageBreakBefore/>
              <w:jc w:val="center"/>
              <w:rPr>
                <w:b/>
                <w:lang w:val="it-IT"/>
              </w:rPr>
            </w:pPr>
          </w:p>
        </w:tc>
        <w:tc>
          <w:tcPr>
            <w:tcW w:w="846" w:type="dxa"/>
            <w:tcMar>
              <w:left w:w="108" w:type="dxa"/>
              <w:right w:w="0" w:type="dxa"/>
            </w:tcMar>
          </w:tcPr>
          <w:p w:rsidR="00181C91" w:rsidRPr="00C23DD7" w:rsidRDefault="00181C91" w:rsidP="000D7E0A">
            <w:pPr>
              <w:pStyle w:val="PrincCont"/>
              <w:pageBreakBefore/>
              <w:jc w:val="left"/>
              <w:rPr>
                <w:lang w:val="it-IT"/>
              </w:rPr>
            </w:pPr>
          </w:p>
        </w:tc>
        <w:tc>
          <w:tcPr>
            <w:tcW w:w="6959" w:type="dxa"/>
            <w:tcMar>
              <w:left w:w="108" w:type="dxa"/>
            </w:tcMar>
          </w:tcPr>
          <w:p w:rsidR="00181C91" w:rsidRPr="00C23DD7" w:rsidRDefault="00181C91" w:rsidP="000D7E0A">
            <w:pPr>
              <w:pStyle w:val="Titolo2"/>
              <w:pageBreakBefore/>
              <w:rPr>
                <w:lang w:val="it-IT"/>
              </w:rPr>
            </w:pPr>
            <w:r w:rsidRPr="00C23DD7">
              <w:rPr>
                <w:lang w:val="it-IT"/>
              </w:rPr>
              <w:t>Eliminazione contabile</w:t>
            </w:r>
          </w:p>
        </w:tc>
        <w:tc>
          <w:tcPr>
            <w:tcW w:w="583" w:type="dxa"/>
            <w:tcMar>
              <w:left w:w="85" w:type="dxa"/>
              <w:right w:w="85" w:type="dxa"/>
            </w:tcMar>
            <w:vAlign w:val="center"/>
          </w:tcPr>
          <w:p w:rsidR="00181C91" w:rsidRPr="00C23DD7" w:rsidRDefault="00181C91" w:rsidP="000D7E0A">
            <w:pPr>
              <w:pageBreakBefore/>
              <w:jc w:val="center"/>
              <w:rPr>
                <w:lang w:val="it-IT"/>
              </w:rPr>
            </w:pPr>
          </w:p>
        </w:tc>
        <w:tc>
          <w:tcPr>
            <w:tcW w:w="572" w:type="dxa"/>
            <w:tcMar>
              <w:left w:w="108" w:type="dxa"/>
            </w:tcMar>
            <w:vAlign w:val="center"/>
          </w:tcPr>
          <w:p w:rsidR="00181C91" w:rsidRPr="00C23DD7" w:rsidRDefault="00181C91" w:rsidP="000D7E0A">
            <w:pPr>
              <w:pageBreakBefore/>
              <w:jc w:val="center"/>
              <w:rPr>
                <w:lang w:val="it-IT"/>
              </w:rPr>
            </w:pPr>
          </w:p>
        </w:tc>
        <w:tc>
          <w:tcPr>
            <w:tcW w:w="569" w:type="dxa"/>
            <w:tcMar>
              <w:left w:w="108" w:type="dxa"/>
            </w:tcMar>
            <w:vAlign w:val="center"/>
          </w:tcPr>
          <w:p w:rsidR="00181C91" w:rsidRPr="00C23DD7" w:rsidRDefault="00181C91" w:rsidP="000D7E0A">
            <w:pPr>
              <w:pageBreakBefore/>
              <w:jc w:val="center"/>
              <w:rPr>
                <w:lang w:val="it-IT"/>
              </w:rPr>
            </w:pPr>
          </w:p>
        </w:tc>
      </w:tr>
      <w:tr w:rsidR="00181C91" w:rsidRPr="00CC242B"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19.73</w:t>
            </w:r>
          </w:p>
        </w:tc>
        <w:tc>
          <w:tcPr>
            <w:tcW w:w="6959" w:type="dxa"/>
            <w:tcMar>
              <w:left w:w="108" w:type="dxa"/>
            </w:tcMar>
          </w:tcPr>
          <w:p w:rsidR="00181C91" w:rsidRPr="00C23DD7" w:rsidRDefault="00181C91" w:rsidP="000D7E0A">
            <w:pPr>
              <w:pStyle w:val="Commentiriquadro"/>
            </w:pPr>
            <w:r w:rsidRPr="00C23DD7">
              <w:t>La società elimina in tutto o in parte il debito dal bilancio quando l’obbligazione contrattuale e/o legale risulta estinta per adempimento o altra causa, o trasferita. L’estinzione di un debito e l’emissione di un nuovo debito verso la stessa controparte determina l’eliminazione contabile se i termini contrattuali del debito originario differiscono in maniera sostanziale da quelli del debito emesso. Quando, in costanza del medesimo debito, vi sia una variazione sostanziale dei termini contrattuali del debito esistente o di parte dello stesso, attribuibile o meno alla difficoltà finanziaria del debitore (cfr. le fattispecie di ristrutturazione del debito di cui all’OIC 6), contabilmente si procede all’eliminazione del debito originario con contestuale rilevazione di un nuovo debito. Quando interviene l’eliminazione contabile del debito, il valore di iscrizione iniziale del nuovo debito segue le regole di rilevazione iniziale dei debiti valutati al costo ammortizzato e soggetti ad attualizzazione. La differenza tra il valore di iscrizione iniziale del nuovo debito e l’ultimo valore contabile del debito originario costituisce un utile o una perdita da rilevare a conto economico nei proventi o negli oneri finanziari e i costi di transazione sono rilevati a conto economico come parte dell’utile o della perdita connessa all’eliminazione. Quando non interviene l’eliminazione contabile del debito, si applica il paragrafo 61. In tal caso, i</w:t>
            </w:r>
            <w:r w:rsidRPr="00C23DD7">
              <w:rPr>
                <w:rFonts w:ascii="Times New Roman" w:hAnsi="Times New Roman"/>
                <w:sz w:val="22"/>
                <w:szCs w:val="22"/>
              </w:rPr>
              <w:t xml:space="preserve"> </w:t>
            </w:r>
            <w:r w:rsidRPr="00C23DD7">
              <w:t>costi di transazione sostenuti rettificano il valore contabile del debito e sono ammortizzati lungo la durata del debito.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60)</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19.73</w:t>
            </w:r>
          </w:p>
        </w:tc>
        <w:tc>
          <w:tcPr>
            <w:tcW w:w="6959" w:type="dxa"/>
            <w:tcMar>
              <w:left w:w="108" w:type="dxa"/>
            </w:tcMar>
          </w:tcPr>
          <w:p w:rsidR="00181C91" w:rsidRPr="00C23DD7" w:rsidRDefault="00181C91" w:rsidP="000D7E0A">
            <w:pPr>
              <w:spacing w:line="230" w:lineRule="exact"/>
              <w:rPr>
                <w:lang w:val="it-IT"/>
              </w:rPr>
            </w:pPr>
            <w:r w:rsidRPr="00C23DD7">
              <w:rPr>
                <w:lang w:val="it-IT"/>
              </w:rPr>
              <w:t>I debiti sono eliminati in tutto o in parte dal bilancio quando l’obbligazione contrattuale e/o legale risulta estinta per adempimento o altra causa?</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Pr>
                <w:b/>
                <w:lang w:val="it-IT"/>
              </w:rPr>
              <w:t>61</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w:t>
            </w:r>
            <w:r>
              <w:rPr>
                <w:lang w:val="it-IT"/>
              </w:rPr>
              <w:t>3</w:t>
            </w:r>
          </w:p>
        </w:tc>
        <w:tc>
          <w:tcPr>
            <w:tcW w:w="6959" w:type="dxa"/>
            <w:tcMar>
              <w:left w:w="108" w:type="dxa"/>
            </w:tcMar>
          </w:tcPr>
          <w:p w:rsidR="00181C91" w:rsidRPr="00C23DD7" w:rsidRDefault="00181C91" w:rsidP="000D7E0A">
            <w:pPr>
              <w:spacing w:line="230" w:lineRule="exact"/>
              <w:rPr>
                <w:lang w:val="it-IT"/>
              </w:rPr>
            </w:pPr>
            <w:r w:rsidRPr="00C23DD7">
              <w:rPr>
                <w:lang w:val="it-IT"/>
              </w:rPr>
              <w:t>L’estinzione di un debito e l’emissione di un nuovo debito verso la stessa controparte è rilevata con l’eliminazione contabile se i termini contrattuali del debito originario differiscono in maniera sostanziale da quelli del debito emesso?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Pr>
                <w:b/>
                <w:lang w:val="it-IT"/>
              </w:rPr>
              <w:t>62</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w:t>
            </w:r>
            <w:r>
              <w:rPr>
                <w:lang w:val="it-IT"/>
              </w:rPr>
              <w:t>3</w:t>
            </w:r>
          </w:p>
        </w:tc>
        <w:tc>
          <w:tcPr>
            <w:tcW w:w="6959" w:type="dxa"/>
            <w:tcMar>
              <w:left w:w="108" w:type="dxa"/>
            </w:tcMar>
          </w:tcPr>
          <w:p w:rsidR="00181C91" w:rsidRPr="00C23DD7" w:rsidRDefault="00181C91" w:rsidP="000D7E0A">
            <w:pPr>
              <w:spacing w:line="230" w:lineRule="exact"/>
              <w:rPr>
                <w:lang w:val="it-IT"/>
              </w:rPr>
            </w:pPr>
            <w:r w:rsidRPr="00C23DD7">
              <w:rPr>
                <w:lang w:val="it-IT"/>
              </w:rPr>
              <w:t>Quando, in costanza del medesimo debito, vi sia una variazione sostanziale dei termini contrattuali del debito esistente o di parte dello stesso, attribuibile o meno alla difficoltà finanziaria del debitore (cfr. le fattispecie di ristrutturazione del debito di cui all’OIC 6), la ristrutturazione è rilevata contabilmente con l’eliminazione del debito originario e la contestuale rilevazione di un nuovo debito?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Pr>
                <w:b/>
                <w:lang w:val="it-IT"/>
              </w:rPr>
              <w:t>63</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w:t>
            </w:r>
            <w:r>
              <w:rPr>
                <w:lang w:val="it-IT"/>
              </w:rPr>
              <w:t>3</w:t>
            </w:r>
          </w:p>
        </w:tc>
        <w:tc>
          <w:tcPr>
            <w:tcW w:w="6959" w:type="dxa"/>
            <w:tcMar>
              <w:left w:w="108" w:type="dxa"/>
            </w:tcMar>
          </w:tcPr>
          <w:p w:rsidR="00181C91" w:rsidRPr="00C23DD7" w:rsidRDefault="00181C91" w:rsidP="000D7E0A">
            <w:pPr>
              <w:spacing w:line="230" w:lineRule="exact"/>
              <w:rPr>
                <w:lang w:val="it-IT"/>
              </w:rPr>
            </w:pPr>
            <w:r w:rsidRPr="00C23DD7">
              <w:rPr>
                <w:lang w:val="it-IT"/>
              </w:rPr>
              <w:t>La differenza tra il valore di iscrizione iniziale del nuovo debito e l’ultimo valore contabile del debito originario è stata rilevata nel conto economico nei proventi o negli oneri finanziari e i costi di transazione sono stati rilevati a conto economico come parte dell’utile o della perdita connessa all’eliminazione?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Pr>
                <w:b/>
                <w:lang w:val="it-IT"/>
              </w:rPr>
              <w:t>64</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w:t>
            </w:r>
            <w:r>
              <w:rPr>
                <w:lang w:val="it-IT"/>
              </w:rPr>
              <w:t>3</w:t>
            </w:r>
          </w:p>
        </w:tc>
        <w:tc>
          <w:tcPr>
            <w:tcW w:w="6959" w:type="dxa"/>
            <w:tcMar>
              <w:left w:w="108" w:type="dxa"/>
            </w:tcMar>
          </w:tcPr>
          <w:p w:rsidR="00181C91" w:rsidRPr="00C23DD7" w:rsidRDefault="00181C91" w:rsidP="000D7E0A">
            <w:pPr>
              <w:spacing w:line="230" w:lineRule="exact"/>
              <w:rPr>
                <w:lang w:val="it-IT"/>
              </w:rPr>
            </w:pPr>
            <w:r w:rsidRPr="00C23DD7">
              <w:rPr>
                <w:lang w:val="it-IT"/>
              </w:rPr>
              <w:t>Quando la ristrutturazione non determina l’eliminazione contabile del debito, l’operazione è rilevata come variazione delle stime dei flussi finanziari futuri come previsto dal paragrafo 61 dell’OIC 19 e i costi di transazione sostenuti rettificano il valore contabile del debito e sono ammortizzati lungo la durata del debito?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2"/>
              <w:rPr>
                <w:lang w:val="it-IT"/>
              </w:rPr>
            </w:pPr>
            <w:r w:rsidRPr="00C23DD7">
              <w:rPr>
                <w:lang w:val="it-IT"/>
              </w:rPr>
              <w:t>CASI PARTICOLARI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Titolo4"/>
            </w:pPr>
            <w:r w:rsidRPr="00C23DD7">
              <w:t>Prefinanziamento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292"/>
        </w:trPr>
        <w:tc>
          <w:tcPr>
            <w:tcW w:w="675" w:type="dxa"/>
          </w:tcPr>
          <w:p w:rsidR="00181C91" w:rsidRPr="0075607F" w:rsidRDefault="00181C91" w:rsidP="000D7E0A">
            <w:pPr>
              <w:jc w:val="center"/>
              <w:rPr>
                <w:b/>
                <w:lang w:val="it-IT"/>
              </w:rPr>
            </w:pPr>
            <w:r>
              <w:rPr>
                <w:b/>
                <w:lang w:val="it-IT"/>
              </w:rPr>
              <w:t>65</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19.74</w:t>
            </w:r>
          </w:p>
        </w:tc>
        <w:tc>
          <w:tcPr>
            <w:tcW w:w="6959" w:type="dxa"/>
            <w:tcMar>
              <w:left w:w="108" w:type="dxa"/>
            </w:tcMar>
          </w:tcPr>
          <w:p w:rsidR="00181C91" w:rsidRPr="006F1CD1" w:rsidRDefault="00181C91" w:rsidP="000D7E0A">
            <w:pPr>
              <w:spacing w:line="230" w:lineRule="exact"/>
              <w:rPr>
                <w:lang w:val="it-IT"/>
              </w:rPr>
            </w:pPr>
            <w:r w:rsidRPr="00C23DD7">
              <w:rPr>
                <w:i/>
                <w:lang w:val="it-IT"/>
              </w:rPr>
              <w:t>Prefinanziamento</w:t>
            </w:r>
            <w:r w:rsidRPr="00C23DD7">
              <w:rPr>
                <w:lang w:val="it-IT"/>
              </w:rPr>
              <w:t>. Un prestito a breve ottenuto mediante apertura di credito, è classificato come importo esigibile oltre l’esercizio successivo, se vi è la ragionevole certezza che il mutuo verrà ottenuto e sono soddisfatte le seguenti condizioni: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6F1CD1" w:rsidRDefault="00181C91" w:rsidP="00181C91">
            <w:pPr>
              <w:pStyle w:val="trattinosottoa"/>
              <w:tabs>
                <w:tab w:val="clear" w:pos="704"/>
              </w:tabs>
              <w:spacing w:line="230" w:lineRule="exact"/>
              <w:ind w:left="470" w:hanging="283"/>
            </w:pPr>
            <w:r w:rsidRPr="00C23DD7">
              <w:t>viene assunto specificamente come prefinanziamento nel periodo che intercorre tra la data di stipulazione del contratto di mutuo ed il completamento delle formalità (ad esempio, iscrizione di ipoteche e pegni, stipula di polizze di assicurazione, ecc.), esperite le quali l’Istituto finanziatore effettua l’erogazione del mutuo; 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181C91">
            <w:pPr>
              <w:pStyle w:val="trattinosottoa"/>
              <w:tabs>
                <w:tab w:val="clear" w:pos="704"/>
              </w:tabs>
              <w:spacing w:line="230" w:lineRule="exact"/>
              <w:ind w:left="470" w:hanging="283"/>
              <w:rPr>
                <w:i/>
              </w:rPr>
            </w:pPr>
            <w:r w:rsidRPr="00C23DD7">
              <w:t>dovrà, a norma del contratto di apertura di credito, essere rimborsato alla banca che ha concesso il prestito a breve direttamente dall’istituto che effettua il finanziamento a medio o lungo termine all’atto dell’erogazione del mutuo ovvero dalla società al tempo in cui ha ricevuto il mutuo?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4"/>
              <w:jc w:val="left"/>
            </w:pPr>
            <w:r w:rsidRPr="00C23DD7">
              <w:t>Riacquisto sul mercato di obbligazioni o altri titoli di debito emessi dalla società</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19.75</w:t>
            </w:r>
          </w:p>
        </w:tc>
        <w:tc>
          <w:tcPr>
            <w:tcW w:w="6959" w:type="dxa"/>
            <w:tcMar>
              <w:left w:w="108" w:type="dxa"/>
            </w:tcMar>
          </w:tcPr>
          <w:p w:rsidR="00181C91" w:rsidRPr="00C23DD7" w:rsidRDefault="00181C91" w:rsidP="000D7E0A">
            <w:pPr>
              <w:pStyle w:val="Commentiriquadro"/>
            </w:pPr>
            <w:r w:rsidRPr="00C23DD7">
              <w:rPr>
                <w:i/>
              </w:rPr>
              <w:t>Riacquisto sul mercato di obbligazioni o altri titoli di debito emessi dalla società</w:t>
            </w:r>
            <w:r w:rsidRPr="00C23DD7">
              <w:t>. Quando la società procede al riacquisto sul mercato delle proprie obbligazioni, l’evento deve essere trattato contabilmente come se avesse proceduto ad un’estinzione anticipata del prestito obbligazionario mediante rimborso con disponibilità liquide, anche nel caso in cui le obbligazioni acquistate non sono annullate e sono successivamente rivendute sul mercato. Tale interpretazione sostanziale dell’evento di riacquisto delle obbligazioni risiede nella considerazione che se la società procedesse a iscrivere le proprie obbligazioni, riacquistate sul mercato, tra le attività dello stato patrimoniale, essa iscriverebbe nell’attivo titoli di debito che rappresenterebbero crediti verso se stessa e lascerebbe iscritti nel passivo debiti per obbligazioni parimenti verso se stessa; entrambe le poste non possono essere iscritte nello stato patrimoniale, in quanto non rispondono alle definizioni di credito e di debito.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269"/>
        </w:trPr>
        <w:tc>
          <w:tcPr>
            <w:tcW w:w="675" w:type="dxa"/>
          </w:tcPr>
          <w:p w:rsidR="00181C91" w:rsidRPr="0075607F" w:rsidRDefault="00181C91" w:rsidP="000D7E0A">
            <w:pPr>
              <w:jc w:val="center"/>
              <w:rPr>
                <w:b/>
                <w:lang w:val="it-IT"/>
              </w:rPr>
            </w:pPr>
            <w:r>
              <w:rPr>
                <w:b/>
                <w:lang w:val="it-IT"/>
              </w:rPr>
              <w:t>66</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19.75</w:t>
            </w:r>
          </w:p>
        </w:tc>
        <w:tc>
          <w:tcPr>
            <w:tcW w:w="6959" w:type="dxa"/>
            <w:tcMar>
              <w:left w:w="108" w:type="dxa"/>
            </w:tcMar>
          </w:tcPr>
          <w:p w:rsidR="00181C91" w:rsidRPr="00C23DD7" w:rsidRDefault="00181C91" w:rsidP="000D7E0A">
            <w:pPr>
              <w:spacing w:line="230" w:lineRule="exact"/>
              <w:rPr>
                <w:lang w:val="it-IT"/>
              </w:rPr>
            </w:pPr>
            <w:r w:rsidRPr="00C23DD7">
              <w:rPr>
                <w:lang w:val="it-IT"/>
              </w:rPr>
              <w:t>Se la società applica il criterio del costo ammortizzato: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19.75</w:t>
            </w:r>
          </w:p>
        </w:tc>
        <w:tc>
          <w:tcPr>
            <w:tcW w:w="6959" w:type="dxa"/>
            <w:tcMar>
              <w:left w:w="108" w:type="dxa"/>
            </w:tcMar>
          </w:tcPr>
          <w:p w:rsidR="00181C91" w:rsidRPr="00C23DD7" w:rsidRDefault="00181C91" w:rsidP="00181C91">
            <w:pPr>
              <w:pStyle w:val="trattinosottoa"/>
              <w:tabs>
                <w:tab w:val="clear" w:pos="704"/>
              </w:tabs>
              <w:spacing w:line="230" w:lineRule="exact"/>
              <w:ind w:left="460" w:hanging="284"/>
            </w:pPr>
            <w:r w:rsidRPr="00C23DD7">
              <w:t>quando ha previsto, con un sufficiente grado di probabilità, di riacquistare in tutto o in parte le proprie obbligazioni anticipatamente rispetto alla scadenza di rimborso, ne ha tenuto conto nel processo di revisione delle stime dei flussi finanziari futuri del debito obbligazionario e ha rettificato il valore contabile del debito per riflettere i rideterminati flussi finanziari stimati ai sensi del paragrafo 61 dell’OIC 19?</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19.75</w:t>
            </w:r>
          </w:p>
        </w:tc>
        <w:tc>
          <w:tcPr>
            <w:tcW w:w="6959" w:type="dxa"/>
            <w:tcMar>
              <w:left w:w="108" w:type="dxa"/>
            </w:tcMar>
          </w:tcPr>
          <w:p w:rsidR="00181C91" w:rsidRPr="00C23DD7" w:rsidRDefault="00181C91" w:rsidP="00181C91">
            <w:pPr>
              <w:pStyle w:val="trattinosottoa"/>
              <w:tabs>
                <w:tab w:val="clear" w:pos="704"/>
              </w:tabs>
              <w:spacing w:line="230" w:lineRule="exact"/>
              <w:ind w:left="460" w:hanging="284"/>
            </w:pPr>
            <w:r w:rsidRPr="00C23DD7">
              <w:t>all’atto del riacquisto delle obbligazioni, il debito obbligazionario corrispondente alle obbligazioni riacquistate è stato cancellato dallo stato patrimoniale a fronte del prezzo di riacquisto e la differenza tra valore contabile del debito e l’esborso di disponibilità liquide a titolo di prezzo di acquisto delle obbligazioni è stat</w:t>
            </w:r>
            <w:r>
              <w:t>a</w:t>
            </w:r>
            <w:r w:rsidRPr="00C23DD7">
              <w:t xml:space="preserve"> rilevata nel conto economico tra i proventi o tra gli oneri finanziari ai sensi del paragrafo 62 dell’OIC 19</w:t>
            </w:r>
            <w:r>
              <w:t>?</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F354C5" w:rsidTr="000B29F2">
        <w:trPr>
          <w:cantSplit/>
          <w:trHeight w:val="382"/>
        </w:trPr>
        <w:tc>
          <w:tcPr>
            <w:tcW w:w="675" w:type="dxa"/>
          </w:tcPr>
          <w:p w:rsidR="00181C91" w:rsidRPr="00F354C5" w:rsidRDefault="00181C91" w:rsidP="000D7E0A">
            <w:pPr>
              <w:spacing w:after="0"/>
              <w:jc w:val="center"/>
              <w:rPr>
                <w:lang w:val="it-IT"/>
              </w:rPr>
            </w:pPr>
          </w:p>
        </w:tc>
        <w:tc>
          <w:tcPr>
            <w:tcW w:w="846" w:type="dxa"/>
            <w:tcMar>
              <w:left w:w="108" w:type="dxa"/>
              <w:right w:w="0" w:type="dxa"/>
            </w:tcMar>
          </w:tcPr>
          <w:p w:rsidR="00181C91" w:rsidRPr="00F354C5" w:rsidRDefault="00181C91" w:rsidP="000D7E0A">
            <w:pPr>
              <w:pStyle w:val="PrincCont"/>
              <w:spacing w:after="0"/>
              <w:jc w:val="left"/>
              <w:rPr>
                <w:lang w:val="it-IT"/>
              </w:rPr>
            </w:pPr>
            <w:r w:rsidRPr="00F354C5">
              <w:rPr>
                <w:lang w:val="it-IT"/>
              </w:rPr>
              <w:t>OIC 19.75</w:t>
            </w:r>
          </w:p>
        </w:tc>
        <w:tc>
          <w:tcPr>
            <w:tcW w:w="6959" w:type="dxa"/>
            <w:tcMar>
              <w:left w:w="108" w:type="dxa"/>
            </w:tcMar>
          </w:tcPr>
          <w:p w:rsidR="00181C91" w:rsidRPr="00F354C5" w:rsidRDefault="00181C91" w:rsidP="00181C91">
            <w:pPr>
              <w:pStyle w:val="trattinosottoa"/>
              <w:tabs>
                <w:tab w:val="clear" w:pos="704"/>
              </w:tabs>
              <w:spacing w:after="0" w:line="230" w:lineRule="exact"/>
              <w:ind w:left="460" w:hanging="284"/>
            </w:pPr>
            <w:r w:rsidRPr="00F354C5">
              <w:t>il successivo annullamento delle obbligazioni ha generato rilevazioni contabili?</w:t>
            </w:r>
          </w:p>
        </w:tc>
        <w:tc>
          <w:tcPr>
            <w:tcW w:w="583" w:type="dxa"/>
            <w:tcMar>
              <w:left w:w="85" w:type="dxa"/>
              <w:right w:w="85" w:type="dxa"/>
            </w:tcMar>
            <w:vAlign w:val="center"/>
          </w:tcPr>
          <w:p w:rsidR="00181C91" w:rsidRPr="00F354C5" w:rsidRDefault="00181C91" w:rsidP="000D7E0A">
            <w:pPr>
              <w:spacing w:after="0"/>
              <w:jc w:val="center"/>
              <w:rPr>
                <w:lang w:val="it-IT"/>
              </w:rPr>
            </w:pPr>
            <w:r w:rsidRPr="00265E88">
              <w:rPr>
                <w:lang w:val="it-IT"/>
              </w:rPr>
              <w:fldChar w:fldCharType="begin">
                <w:ffData>
                  <w:name w:val="Check4"/>
                  <w:enabled/>
                  <w:calcOnExit w:val="0"/>
                  <w:checkBox>
                    <w:sizeAuto/>
                    <w:default w:val="0"/>
                  </w:checkBox>
                </w:ffData>
              </w:fldChar>
            </w:r>
            <w:r w:rsidRPr="00265E88">
              <w:rPr>
                <w:lang w:val="it-IT"/>
              </w:rPr>
              <w:instrText xml:space="preserve"> FORMCHECKBOX </w:instrText>
            </w:r>
            <w:r w:rsidR="00CA1681">
              <w:rPr>
                <w:lang w:val="it-IT"/>
              </w:rPr>
            </w:r>
            <w:r w:rsidR="00CA1681">
              <w:rPr>
                <w:lang w:val="it-IT"/>
              </w:rPr>
              <w:fldChar w:fldCharType="separate"/>
            </w:r>
            <w:r w:rsidRPr="00265E88">
              <w:rPr>
                <w:lang w:val="it-IT"/>
              </w:rPr>
              <w:fldChar w:fldCharType="end"/>
            </w:r>
          </w:p>
        </w:tc>
        <w:tc>
          <w:tcPr>
            <w:tcW w:w="572" w:type="dxa"/>
            <w:tcMar>
              <w:left w:w="108" w:type="dxa"/>
            </w:tcMar>
            <w:vAlign w:val="center"/>
          </w:tcPr>
          <w:p w:rsidR="00181C91" w:rsidRPr="00F354C5" w:rsidRDefault="00181C91" w:rsidP="000D7E0A">
            <w:pPr>
              <w:spacing w:after="0"/>
              <w:jc w:val="center"/>
              <w:rPr>
                <w:lang w:val="it-IT"/>
              </w:rPr>
            </w:pPr>
            <w:r w:rsidRPr="00F354C5">
              <w:rPr>
                <w:lang w:val="it-IT"/>
              </w:rPr>
              <w:fldChar w:fldCharType="begin">
                <w:ffData>
                  <w:name w:val="Check4"/>
                  <w:enabled/>
                  <w:calcOnExit w:val="0"/>
                  <w:checkBox>
                    <w:sizeAuto/>
                    <w:default w:val="0"/>
                  </w:checkBox>
                </w:ffData>
              </w:fldChar>
            </w:r>
            <w:r w:rsidRPr="00F354C5">
              <w:rPr>
                <w:lang w:val="it-IT"/>
              </w:rPr>
              <w:instrText xml:space="preserve"> FORMCHECKBOX </w:instrText>
            </w:r>
            <w:r w:rsidR="00CA1681">
              <w:rPr>
                <w:lang w:val="it-IT"/>
              </w:rPr>
            </w:r>
            <w:r w:rsidR="00CA1681">
              <w:rPr>
                <w:lang w:val="it-IT"/>
              </w:rPr>
              <w:fldChar w:fldCharType="separate"/>
            </w:r>
            <w:r w:rsidRPr="00F354C5">
              <w:rPr>
                <w:lang w:val="it-IT"/>
              </w:rPr>
              <w:fldChar w:fldCharType="end"/>
            </w:r>
          </w:p>
        </w:tc>
        <w:tc>
          <w:tcPr>
            <w:tcW w:w="569" w:type="dxa"/>
            <w:tcMar>
              <w:left w:w="108" w:type="dxa"/>
            </w:tcMar>
            <w:vAlign w:val="center"/>
          </w:tcPr>
          <w:p w:rsidR="00181C91" w:rsidRPr="00F354C5" w:rsidRDefault="00181C91" w:rsidP="000D7E0A">
            <w:pPr>
              <w:spacing w:after="0"/>
              <w:jc w:val="center"/>
              <w:rPr>
                <w:lang w:val="it-IT"/>
              </w:rPr>
            </w:pPr>
            <w:r w:rsidRPr="00F354C5">
              <w:rPr>
                <w:lang w:val="it-IT"/>
              </w:rPr>
              <w:fldChar w:fldCharType="begin">
                <w:ffData>
                  <w:name w:val="Check4"/>
                  <w:enabled/>
                  <w:calcOnExit w:val="0"/>
                  <w:checkBox>
                    <w:sizeAuto/>
                    <w:default w:val="0"/>
                  </w:checkBox>
                </w:ffData>
              </w:fldChar>
            </w:r>
            <w:r w:rsidRPr="00F354C5">
              <w:rPr>
                <w:lang w:val="it-IT"/>
              </w:rPr>
              <w:instrText xml:space="preserve"> FORMCHECKBOX </w:instrText>
            </w:r>
            <w:r w:rsidR="00CA1681">
              <w:rPr>
                <w:lang w:val="it-IT"/>
              </w:rPr>
            </w:r>
            <w:r w:rsidR="00CA1681">
              <w:rPr>
                <w:lang w:val="it-IT"/>
              </w:rPr>
              <w:fldChar w:fldCharType="separate"/>
            </w:r>
            <w:r w:rsidRPr="00F354C5">
              <w:rPr>
                <w:lang w:val="it-IT"/>
              </w:rPr>
              <w:fldChar w:fldCharType="end"/>
            </w:r>
          </w:p>
        </w:tc>
      </w:tr>
      <w:tr w:rsidR="00181C91" w:rsidRPr="00F354C5" w:rsidTr="000D7E0A">
        <w:trPr>
          <w:cantSplit/>
          <w:trHeight w:val="454"/>
        </w:trPr>
        <w:tc>
          <w:tcPr>
            <w:tcW w:w="675" w:type="dxa"/>
          </w:tcPr>
          <w:p w:rsidR="00181C91" w:rsidRPr="00F354C5" w:rsidRDefault="00181C91" w:rsidP="000D7E0A">
            <w:pPr>
              <w:spacing w:after="0"/>
              <w:jc w:val="center"/>
              <w:rPr>
                <w:lang w:val="it-IT"/>
              </w:rPr>
            </w:pPr>
          </w:p>
        </w:tc>
        <w:tc>
          <w:tcPr>
            <w:tcW w:w="846" w:type="dxa"/>
            <w:tcMar>
              <w:left w:w="108" w:type="dxa"/>
              <w:right w:w="0" w:type="dxa"/>
            </w:tcMar>
          </w:tcPr>
          <w:p w:rsidR="00181C91" w:rsidRPr="00F354C5" w:rsidRDefault="00181C91" w:rsidP="000D7E0A">
            <w:pPr>
              <w:pStyle w:val="PrincCont"/>
              <w:spacing w:after="0"/>
              <w:jc w:val="left"/>
              <w:rPr>
                <w:lang w:val="it-IT"/>
              </w:rPr>
            </w:pPr>
            <w:r w:rsidRPr="00F354C5">
              <w:rPr>
                <w:lang w:val="it-IT"/>
              </w:rPr>
              <w:t>OIC 19.75</w:t>
            </w:r>
          </w:p>
        </w:tc>
        <w:tc>
          <w:tcPr>
            <w:tcW w:w="6959" w:type="dxa"/>
            <w:tcMar>
              <w:left w:w="108" w:type="dxa"/>
            </w:tcMar>
          </w:tcPr>
          <w:p w:rsidR="00181C91" w:rsidRPr="00F354C5" w:rsidRDefault="00181C91" w:rsidP="00181C91">
            <w:pPr>
              <w:pStyle w:val="trattinosottoa"/>
              <w:tabs>
                <w:tab w:val="clear" w:pos="704"/>
              </w:tabs>
              <w:spacing w:after="0" w:line="230" w:lineRule="exact"/>
              <w:ind w:left="460" w:hanging="284"/>
            </w:pPr>
            <w:r w:rsidRPr="00265E88">
              <w:t xml:space="preserve">la successiva rivendita sul mercato delle obbligazioni </w:t>
            </w:r>
            <w:r>
              <w:t>è stata</w:t>
            </w:r>
            <w:r w:rsidRPr="00265E88">
              <w:t xml:space="preserve"> trattata come una nuova emissione di un prestito obbligazionario ove la differenza tra il prezzo di vendita e il valore nominale di rimborso a scadenza delle obbligazioni costituisce un aggio o un disaggio di emissione</w:t>
            </w:r>
            <w:r>
              <w:t>?</w:t>
            </w:r>
            <w:r w:rsidRPr="00265E88">
              <w:t xml:space="preserve"> (le rilevazioni contabili seguono le regole previste dai paragrafi 41-53</w:t>
            </w:r>
            <w:r>
              <w:t>)</w:t>
            </w:r>
            <w:r w:rsidRPr="00265E88">
              <w:t>.</w:t>
            </w:r>
          </w:p>
        </w:tc>
        <w:tc>
          <w:tcPr>
            <w:tcW w:w="583" w:type="dxa"/>
            <w:tcMar>
              <w:left w:w="85" w:type="dxa"/>
              <w:right w:w="85" w:type="dxa"/>
            </w:tcMar>
            <w:vAlign w:val="center"/>
          </w:tcPr>
          <w:p w:rsidR="00181C91" w:rsidRPr="00F354C5" w:rsidRDefault="00181C91" w:rsidP="000D7E0A">
            <w:pPr>
              <w:spacing w:after="0"/>
              <w:jc w:val="center"/>
              <w:rPr>
                <w:lang w:val="it-IT"/>
              </w:rPr>
            </w:pPr>
            <w:r w:rsidRPr="00000AEA">
              <w:rPr>
                <w:lang w:val="it-IT"/>
              </w:rPr>
              <w:fldChar w:fldCharType="begin">
                <w:ffData>
                  <w:name w:val="Check4"/>
                  <w:enabled/>
                  <w:calcOnExit w:val="0"/>
                  <w:checkBox>
                    <w:sizeAuto/>
                    <w:default w:val="0"/>
                  </w:checkBox>
                </w:ffData>
              </w:fldChar>
            </w:r>
            <w:r w:rsidRPr="00000AEA">
              <w:rPr>
                <w:lang w:val="it-IT"/>
              </w:rPr>
              <w:instrText xml:space="preserve"> FORMCHECKBOX </w:instrText>
            </w:r>
            <w:r w:rsidR="00CA1681">
              <w:rPr>
                <w:lang w:val="it-IT"/>
              </w:rPr>
            </w:r>
            <w:r w:rsidR="00CA1681">
              <w:rPr>
                <w:lang w:val="it-IT"/>
              </w:rPr>
              <w:fldChar w:fldCharType="separate"/>
            </w:r>
            <w:r w:rsidRPr="00000AEA">
              <w:rPr>
                <w:lang w:val="it-IT"/>
              </w:rPr>
              <w:fldChar w:fldCharType="end"/>
            </w:r>
          </w:p>
        </w:tc>
        <w:tc>
          <w:tcPr>
            <w:tcW w:w="572" w:type="dxa"/>
            <w:tcMar>
              <w:left w:w="108" w:type="dxa"/>
            </w:tcMar>
            <w:vAlign w:val="center"/>
          </w:tcPr>
          <w:p w:rsidR="00181C91" w:rsidRPr="00F354C5" w:rsidRDefault="00181C91" w:rsidP="000D7E0A">
            <w:pPr>
              <w:spacing w:after="0"/>
              <w:jc w:val="center"/>
              <w:rPr>
                <w:lang w:val="it-IT"/>
              </w:rPr>
            </w:pPr>
            <w:r w:rsidRPr="00000AEA">
              <w:rPr>
                <w:lang w:val="it-IT"/>
              </w:rPr>
              <w:fldChar w:fldCharType="begin">
                <w:ffData>
                  <w:name w:val="Check4"/>
                  <w:enabled/>
                  <w:calcOnExit w:val="0"/>
                  <w:checkBox>
                    <w:sizeAuto/>
                    <w:default w:val="0"/>
                  </w:checkBox>
                </w:ffData>
              </w:fldChar>
            </w:r>
            <w:r w:rsidRPr="00000AEA">
              <w:rPr>
                <w:lang w:val="it-IT"/>
              </w:rPr>
              <w:instrText xml:space="preserve"> FORMCHECKBOX </w:instrText>
            </w:r>
            <w:r w:rsidR="00CA1681">
              <w:rPr>
                <w:lang w:val="it-IT"/>
              </w:rPr>
            </w:r>
            <w:r w:rsidR="00CA1681">
              <w:rPr>
                <w:lang w:val="it-IT"/>
              </w:rPr>
              <w:fldChar w:fldCharType="separate"/>
            </w:r>
            <w:r w:rsidRPr="00000AEA">
              <w:rPr>
                <w:lang w:val="it-IT"/>
              </w:rPr>
              <w:fldChar w:fldCharType="end"/>
            </w:r>
          </w:p>
        </w:tc>
        <w:tc>
          <w:tcPr>
            <w:tcW w:w="569" w:type="dxa"/>
            <w:tcMar>
              <w:left w:w="108" w:type="dxa"/>
            </w:tcMar>
            <w:vAlign w:val="center"/>
          </w:tcPr>
          <w:p w:rsidR="00181C91" w:rsidRPr="00F354C5" w:rsidRDefault="00181C91" w:rsidP="000D7E0A">
            <w:pPr>
              <w:spacing w:after="0"/>
              <w:jc w:val="center"/>
              <w:rPr>
                <w:lang w:val="it-IT"/>
              </w:rPr>
            </w:pPr>
            <w:r w:rsidRPr="00000AEA">
              <w:rPr>
                <w:lang w:val="it-IT"/>
              </w:rPr>
              <w:fldChar w:fldCharType="begin">
                <w:ffData>
                  <w:name w:val="Check4"/>
                  <w:enabled/>
                  <w:calcOnExit w:val="0"/>
                  <w:checkBox>
                    <w:sizeAuto/>
                    <w:default w:val="0"/>
                  </w:checkBox>
                </w:ffData>
              </w:fldChar>
            </w:r>
            <w:r w:rsidRPr="00000AEA">
              <w:rPr>
                <w:lang w:val="it-IT"/>
              </w:rPr>
              <w:instrText xml:space="preserve"> FORMCHECKBOX </w:instrText>
            </w:r>
            <w:r w:rsidR="00CA1681">
              <w:rPr>
                <w:lang w:val="it-IT"/>
              </w:rPr>
            </w:r>
            <w:r w:rsidR="00CA1681">
              <w:rPr>
                <w:lang w:val="it-IT"/>
              </w:rPr>
              <w:fldChar w:fldCharType="separate"/>
            </w:r>
            <w:r w:rsidRPr="00000AEA">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Pr>
                <w:b/>
                <w:lang w:val="it-IT"/>
              </w:rPr>
              <w:t>67</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19.75</w:t>
            </w:r>
          </w:p>
        </w:tc>
        <w:tc>
          <w:tcPr>
            <w:tcW w:w="6959" w:type="dxa"/>
            <w:tcMar>
              <w:left w:w="108" w:type="dxa"/>
            </w:tcMar>
          </w:tcPr>
          <w:p w:rsidR="00181C91" w:rsidRPr="00C23DD7" w:rsidRDefault="00181C91" w:rsidP="000D7E0A">
            <w:pPr>
              <w:spacing w:line="230" w:lineRule="exact"/>
              <w:rPr>
                <w:lang w:val="it-IT"/>
              </w:rPr>
            </w:pPr>
            <w:r w:rsidRPr="00C23DD7">
              <w:rPr>
                <w:lang w:val="it-IT"/>
              </w:rPr>
              <w:t>Se la società non applica il criterio del costo ammortizzato e valuta i debiti al valore nominale all’atto del riacquisto delle obbligazioni, il debito obbligazionario corrispondente alle obbligazioni riacquistate è stato cancellato dallo stato patrimoniale a fronte del prezzo di riacquisto e la differenza tra valore contabile del debito e l’esborso di disponibilità liquide a titolo di prezzo di acquisto delle obbligazioni è stata rilevata nel conto economico tra i proventi o tra gli oneri finanziari?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4"/>
              <w:jc w:val="left"/>
            </w:pPr>
            <w:r w:rsidRPr="00C23DD7">
              <w:t>Conversione di obbligazioni in azioni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19.76</w:t>
            </w:r>
          </w:p>
        </w:tc>
        <w:tc>
          <w:tcPr>
            <w:tcW w:w="6959" w:type="dxa"/>
            <w:tcMar>
              <w:left w:w="108" w:type="dxa"/>
            </w:tcMar>
          </w:tcPr>
          <w:p w:rsidR="00181C91" w:rsidRPr="00C23DD7" w:rsidRDefault="00181C91" w:rsidP="000D7E0A">
            <w:pPr>
              <w:pStyle w:val="Commentiriquadro"/>
            </w:pPr>
            <w:r w:rsidRPr="00C23DD7">
              <w:t>I prestiti obbligazionari convertibili in azioni costituiscono un contratto ibrido composto da uno strumento finanziario derivato (derivato incorporato) e un contratto primario (contratto non derivato regolato a normali condizioni di mercato), pertanto lo strumento finanziario derivato incorporato (l’opzione di conversione in azioni) deve essere scorporato ai sensi dell’OIC 32 “Strumenti finanziari derivati”. Il contratto primario è trattato secondo il criterio del costo ammortizzato, come previsto dal presente principio.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Pr>
                <w:b/>
                <w:lang w:val="it-IT"/>
              </w:rPr>
              <w:t>68</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19.76</w:t>
            </w:r>
          </w:p>
        </w:tc>
        <w:tc>
          <w:tcPr>
            <w:tcW w:w="6959" w:type="dxa"/>
            <w:tcMar>
              <w:left w:w="108" w:type="dxa"/>
            </w:tcMar>
          </w:tcPr>
          <w:p w:rsidR="00181C91" w:rsidRPr="00C23DD7" w:rsidRDefault="00181C91" w:rsidP="000D7E0A">
            <w:pPr>
              <w:spacing w:line="230" w:lineRule="exact"/>
              <w:rPr>
                <w:lang w:val="it-IT"/>
              </w:rPr>
            </w:pPr>
            <w:r w:rsidRPr="00C23DD7">
              <w:rPr>
                <w:lang w:val="it-IT"/>
              </w:rPr>
              <w:t>Il contratto primario, dopo lo scorporo del derivato incorporato</w:t>
            </w:r>
            <w:r>
              <w:rPr>
                <w:lang w:val="it-IT"/>
              </w:rPr>
              <w:t>,</w:t>
            </w:r>
            <w:r w:rsidRPr="00C23DD7">
              <w:rPr>
                <w:lang w:val="it-IT"/>
              </w:rPr>
              <w:t xml:space="preserve"> è stato rilevato applicando il criterio del costo ammortizzato?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4"/>
              <w:jc w:val="left"/>
            </w:pPr>
            <w:r w:rsidRPr="00C23DD7">
              <w:t>Debiti pagabili con una attività diversa dalle disponibilità liquide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Pr>
                <w:b/>
                <w:lang w:val="it-IT"/>
              </w:rPr>
              <w:t>69</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19.77</w:t>
            </w:r>
          </w:p>
        </w:tc>
        <w:tc>
          <w:tcPr>
            <w:tcW w:w="6959" w:type="dxa"/>
            <w:tcMar>
              <w:left w:w="108" w:type="dxa"/>
            </w:tcMar>
          </w:tcPr>
          <w:p w:rsidR="00181C91" w:rsidRPr="00C23DD7" w:rsidRDefault="00181C91" w:rsidP="000D7E0A">
            <w:pPr>
              <w:spacing w:line="230" w:lineRule="exact"/>
              <w:rPr>
                <w:lang w:val="it-IT"/>
              </w:rPr>
            </w:pPr>
            <w:r w:rsidRPr="00C23DD7">
              <w:rPr>
                <w:lang w:val="it-IT"/>
              </w:rPr>
              <w:t>I debiti consistenti nell’obbligazione di consegnare beni o servizi laddove originati da permute sono esposti al valore di mercato di tali beni o servizi?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215"/>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19.77</w:t>
            </w:r>
          </w:p>
        </w:tc>
        <w:tc>
          <w:tcPr>
            <w:tcW w:w="6959" w:type="dxa"/>
            <w:tcMar>
              <w:left w:w="108" w:type="dxa"/>
            </w:tcMar>
            <w:vAlign w:val="center"/>
          </w:tcPr>
          <w:p w:rsidR="00181C91" w:rsidRPr="00C23DD7" w:rsidRDefault="00181C91" w:rsidP="000D7E0A">
            <w:pPr>
              <w:pStyle w:val="Commentiriquadro"/>
            </w:pPr>
            <w:r w:rsidRPr="00C23DD7">
              <w:t>La valutazione è effettuata a ciascuna data di bilancio; le eventuali modifiche ai valori sono imputate al conto economico.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304"/>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4"/>
            </w:pPr>
            <w:r w:rsidRPr="00C23DD7">
              <w:t>Debiti soggetti a condizione sospensiva</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496"/>
        </w:trPr>
        <w:tc>
          <w:tcPr>
            <w:tcW w:w="675" w:type="dxa"/>
          </w:tcPr>
          <w:p w:rsidR="00181C91" w:rsidRPr="0075607F" w:rsidRDefault="00181C91" w:rsidP="000D7E0A">
            <w:pPr>
              <w:jc w:val="center"/>
              <w:rPr>
                <w:b/>
                <w:lang w:val="it-IT"/>
              </w:rPr>
            </w:pPr>
            <w:r>
              <w:rPr>
                <w:b/>
                <w:lang w:val="it-IT"/>
              </w:rPr>
              <w:t>70</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19.78</w:t>
            </w:r>
          </w:p>
        </w:tc>
        <w:tc>
          <w:tcPr>
            <w:tcW w:w="6959" w:type="dxa"/>
            <w:tcMar>
              <w:left w:w="108" w:type="dxa"/>
            </w:tcMar>
            <w:vAlign w:val="center"/>
          </w:tcPr>
          <w:p w:rsidR="00181C91" w:rsidRPr="00C23DD7" w:rsidRDefault="00181C91" w:rsidP="000D7E0A">
            <w:pPr>
              <w:rPr>
                <w:lang w:val="it-IT"/>
              </w:rPr>
            </w:pPr>
            <w:r w:rsidRPr="00C23DD7">
              <w:rPr>
                <w:lang w:val="it-IT"/>
              </w:rPr>
              <w:t>I debiti soggetti a condizione sospensiva sono rilevati come tali in bilancio all’avverarsi della condizione e fino a quando la condizione non si sia avverata sono iscritti tra fondi rischi se ricorrono le condizioni per la loro rilevazione?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215"/>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4"/>
            </w:pPr>
            <w:r w:rsidRPr="00C23DD7">
              <w:t>Prestiti obbligazionari subordinati e altri debiti subordinati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496"/>
        </w:trPr>
        <w:tc>
          <w:tcPr>
            <w:tcW w:w="675" w:type="dxa"/>
          </w:tcPr>
          <w:p w:rsidR="00181C91" w:rsidRPr="0075607F" w:rsidRDefault="00181C91" w:rsidP="000D7E0A">
            <w:pPr>
              <w:jc w:val="center"/>
              <w:rPr>
                <w:b/>
                <w:lang w:val="it-IT"/>
              </w:rPr>
            </w:pPr>
            <w:r>
              <w:rPr>
                <w:b/>
                <w:lang w:val="it-IT"/>
              </w:rPr>
              <w:t>71</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19.79</w:t>
            </w:r>
          </w:p>
        </w:tc>
        <w:tc>
          <w:tcPr>
            <w:tcW w:w="6959" w:type="dxa"/>
            <w:tcMar>
              <w:left w:w="108" w:type="dxa"/>
            </w:tcMar>
            <w:vAlign w:val="center"/>
          </w:tcPr>
          <w:p w:rsidR="00181C91" w:rsidRPr="00C23DD7" w:rsidRDefault="00181C91" w:rsidP="000D7E0A">
            <w:pPr>
              <w:pStyle w:val="Titolo2"/>
              <w:spacing w:line="230" w:lineRule="exact"/>
              <w:jc w:val="both"/>
              <w:rPr>
                <w:b w:val="0"/>
                <w:sz w:val="20"/>
                <w:lang w:val="it-IT"/>
              </w:rPr>
            </w:pPr>
            <w:r w:rsidRPr="00C23DD7">
              <w:rPr>
                <w:b w:val="0"/>
                <w:sz w:val="20"/>
                <w:lang w:val="it-IT"/>
              </w:rPr>
              <w:t>I prestiti obbligazionari subordinati e gli altri debiti subordinati, per i quali il diritto degli obbligazionisti/creditori alla restituzione del capitale e agli interessi può essere in tutto o in parte subordinato alla soddisfazione dei diritti di altri creditori, sono rilevati e valutati con le stesse regole applicabili agli altri debiti?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C242B" w:rsidTr="000D7E0A">
        <w:trPr>
          <w:cantSplit/>
          <w:trHeight w:val="357"/>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2"/>
              <w:spacing w:line="220" w:lineRule="exact"/>
              <w:jc w:val="both"/>
              <w:rPr>
                <w:b w:val="0"/>
                <w:sz w:val="20"/>
                <w:lang w:val="it-IT"/>
              </w:rPr>
            </w:pPr>
            <w:r w:rsidRPr="00C23DD7">
              <w:rPr>
                <w:b w:val="0"/>
                <w:i/>
                <w:sz w:val="20"/>
                <w:lang w:val="it-IT"/>
              </w:rPr>
              <w:t>Depositi per imballaggi a rendere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496"/>
        </w:trPr>
        <w:tc>
          <w:tcPr>
            <w:tcW w:w="675" w:type="dxa"/>
          </w:tcPr>
          <w:p w:rsidR="00181C91" w:rsidRPr="0075607F" w:rsidRDefault="00181C91" w:rsidP="000D7E0A">
            <w:pPr>
              <w:jc w:val="center"/>
              <w:rPr>
                <w:b/>
                <w:lang w:val="it-IT"/>
              </w:rPr>
            </w:pPr>
            <w:r>
              <w:rPr>
                <w:b/>
                <w:lang w:val="it-IT"/>
              </w:rPr>
              <w:t>72</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19.80</w:t>
            </w:r>
          </w:p>
        </w:tc>
        <w:tc>
          <w:tcPr>
            <w:tcW w:w="6959" w:type="dxa"/>
            <w:tcMar>
              <w:left w:w="108" w:type="dxa"/>
            </w:tcMar>
            <w:vAlign w:val="center"/>
          </w:tcPr>
          <w:p w:rsidR="00181C91" w:rsidRPr="00C23DD7" w:rsidRDefault="00181C91" w:rsidP="000D7E0A">
            <w:pPr>
              <w:pStyle w:val="Titolo2"/>
              <w:spacing w:line="230" w:lineRule="exact"/>
              <w:jc w:val="both"/>
              <w:rPr>
                <w:b w:val="0"/>
                <w:sz w:val="20"/>
                <w:lang w:val="it-IT"/>
              </w:rPr>
            </w:pPr>
            <w:r w:rsidRPr="00C23DD7">
              <w:rPr>
                <w:b w:val="0"/>
                <w:sz w:val="20"/>
                <w:lang w:val="it-IT"/>
              </w:rPr>
              <w:t>I depositi per imballaggi a rendere, quando ricevuti o fatturati, sono inclusi nello stato patrimoniale tra gli altri debiti?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496"/>
        </w:trPr>
        <w:tc>
          <w:tcPr>
            <w:tcW w:w="675" w:type="dxa"/>
          </w:tcPr>
          <w:p w:rsidR="00181C91" w:rsidRPr="0075607F" w:rsidRDefault="00181C91" w:rsidP="000D7E0A">
            <w:pPr>
              <w:jc w:val="center"/>
              <w:rPr>
                <w:b/>
                <w:lang w:val="it-IT"/>
              </w:rPr>
            </w:pPr>
            <w:r>
              <w:rPr>
                <w:b/>
                <w:lang w:val="it-IT"/>
              </w:rPr>
              <w:t>73</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19.80</w:t>
            </w:r>
          </w:p>
        </w:tc>
        <w:tc>
          <w:tcPr>
            <w:tcW w:w="6959" w:type="dxa"/>
            <w:tcMar>
              <w:left w:w="108" w:type="dxa"/>
            </w:tcMar>
            <w:vAlign w:val="center"/>
          </w:tcPr>
          <w:p w:rsidR="00181C91" w:rsidRPr="00C23DD7" w:rsidRDefault="00181C91" w:rsidP="000D7E0A">
            <w:pPr>
              <w:pStyle w:val="Titolo2"/>
              <w:keepNext w:val="0"/>
              <w:spacing w:line="230" w:lineRule="exact"/>
              <w:jc w:val="both"/>
              <w:rPr>
                <w:b w:val="0"/>
                <w:sz w:val="20"/>
                <w:lang w:val="it-IT"/>
              </w:rPr>
            </w:pPr>
            <w:r w:rsidRPr="00C23DD7">
              <w:rPr>
                <w:b w:val="0"/>
                <w:sz w:val="20"/>
                <w:lang w:val="it-IT"/>
              </w:rPr>
              <w:t>L’ammontare dei depositi relativo agli imballaggi presso terzi che non verranno più restituiti alla società è determinato periodicamente tenendo conto dell’esperienza del passato e degli altri elementi pertinenti?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66"/>
        </w:trPr>
        <w:tc>
          <w:tcPr>
            <w:tcW w:w="675" w:type="dxa"/>
          </w:tcPr>
          <w:p w:rsidR="00181C91" w:rsidRPr="0075607F" w:rsidRDefault="00181C91" w:rsidP="000D7E0A">
            <w:pPr>
              <w:jc w:val="center"/>
              <w:rPr>
                <w:b/>
                <w:lang w:val="it-IT"/>
              </w:rPr>
            </w:pPr>
            <w:r>
              <w:rPr>
                <w:b/>
                <w:lang w:val="it-IT"/>
              </w:rPr>
              <w:t>74</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19.80</w:t>
            </w:r>
          </w:p>
        </w:tc>
        <w:tc>
          <w:tcPr>
            <w:tcW w:w="6959" w:type="dxa"/>
            <w:tcMar>
              <w:left w:w="108" w:type="dxa"/>
            </w:tcMar>
            <w:vAlign w:val="center"/>
          </w:tcPr>
          <w:p w:rsidR="00181C91" w:rsidRPr="00C23DD7" w:rsidRDefault="00181C91" w:rsidP="000D7E0A">
            <w:pPr>
              <w:spacing w:line="230" w:lineRule="exact"/>
              <w:rPr>
                <w:lang w:val="it-IT"/>
              </w:rPr>
            </w:pPr>
            <w:r w:rsidRPr="00C23DD7">
              <w:rPr>
                <w:lang w:val="it-IT"/>
              </w:rPr>
              <w:t>Il debito si riduce dell’ammontare del deposito non restituito e conseguentemente si riduce la corrispondente voce</w:t>
            </w:r>
            <w:r w:rsidRPr="00C23DD7">
              <w:rPr>
                <w:rFonts w:ascii="Times New Roman" w:hAnsi="Times New Roman"/>
                <w:sz w:val="22"/>
                <w:szCs w:val="22"/>
                <w:lang w:val="it-IT"/>
              </w:rPr>
              <w:t xml:space="preserve"> </w:t>
            </w:r>
            <w:r w:rsidRPr="00C23DD7">
              <w:rPr>
                <w:lang w:val="it-IT"/>
              </w:rPr>
              <w:t>dell’attivo accesa agli imballaggi per il loro valore contabile e l’eventuale differenza è imputata al conto economico?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66"/>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2"/>
              <w:rPr>
                <w:lang w:val="it-IT"/>
              </w:rPr>
            </w:pPr>
            <w:r>
              <w:rPr>
                <w:lang w:val="it-IT"/>
              </w:rPr>
              <w:t>Nota Integrativa</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C242B" w:rsidTr="000D7E0A">
        <w:trPr>
          <w:cantSplit/>
          <w:trHeight w:val="292"/>
        </w:trPr>
        <w:tc>
          <w:tcPr>
            <w:tcW w:w="675" w:type="dxa"/>
          </w:tcPr>
          <w:p w:rsidR="00181C91" w:rsidRPr="0075607F" w:rsidRDefault="00181C91" w:rsidP="000D7E0A">
            <w:pPr>
              <w:jc w:val="center"/>
              <w:rPr>
                <w:b/>
                <w:lang w:val="it-IT"/>
              </w:rPr>
            </w:pPr>
            <w:r>
              <w:rPr>
                <w:b/>
                <w:lang w:val="it-IT"/>
              </w:rPr>
              <w:t>75</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Art. 2427, c.1, CC</w:t>
            </w:r>
            <w:r>
              <w:rPr>
                <w:lang w:val="it-IT"/>
              </w:rPr>
              <w:t xml:space="preserve">             </w:t>
            </w:r>
            <w:r w:rsidRPr="00C23DD7">
              <w:rPr>
                <w:lang w:val="it-IT"/>
              </w:rPr>
              <w:t>OIC 19.81</w:t>
            </w:r>
          </w:p>
        </w:tc>
        <w:tc>
          <w:tcPr>
            <w:tcW w:w="6959" w:type="dxa"/>
            <w:tcMar>
              <w:left w:w="108" w:type="dxa"/>
            </w:tcMar>
            <w:vAlign w:val="center"/>
          </w:tcPr>
          <w:p w:rsidR="00181C91" w:rsidRPr="00C23DD7" w:rsidRDefault="00181C91" w:rsidP="000D7E0A">
            <w:pPr>
              <w:spacing w:line="230" w:lineRule="exact"/>
              <w:rPr>
                <w:lang w:val="it-IT"/>
              </w:rPr>
            </w:pPr>
            <w:r w:rsidRPr="00C23DD7">
              <w:rPr>
                <w:lang w:val="it-IT"/>
              </w:rPr>
              <w:t xml:space="preserve">Nella </w:t>
            </w:r>
            <w:r>
              <w:rPr>
                <w:lang w:val="it-IT"/>
              </w:rPr>
              <w:t>Nota Integrativa</w:t>
            </w:r>
            <w:r w:rsidRPr="00C23DD7">
              <w:rPr>
                <w:lang w:val="it-IT"/>
              </w:rPr>
              <w:t xml:space="preserve"> sono sta</w:t>
            </w:r>
            <w:r>
              <w:rPr>
                <w:lang w:val="it-IT"/>
              </w:rPr>
              <w:t>t</w:t>
            </w:r>
            <w:r w:rsidRPr="00C23DD7">
              <w:rPr>
                <w:lang w:val="it-IT"/>
              </w:rPr>
              <w:t>e fornite le seguenti informazioni: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Art. 2427, c.1, n.1, CC</w:t>
            </w:r>
          </w:p>
        </w:tc>
        <w:tc>
          <w:tcPr>
            <w:tcW w:w="6959" w:type="dxa"/>
            <w:tcMar>
              <w:left w:w="108" w:type="dxa"/>
            </w:tcMar>
            <w:vAlign w:val="center"/>
          </w:tcPr>
          <w:p w:rsidR="00181C91" w:rsidRPr="00C23DD7" w:rsidRDefault="00181C91" w:rsidP="000B29F2">
            <w:pPr>
              <w:pStyle w:val="rientrotrattinook"/>
              <w:tabs>
                <w:tab w:val="clear" w:pos="704"/>
              </w:tabs>
              <w:ind w:left="470" w:hanging="284"/>
            </w:pPr>
            <w:r w:rsidRPr="00C23DD7">
              <w:t>i criteri applicati nella valutazione delle voci, nelle rettifiche di valore e nella conversione dei valori non espressi all’origine in euro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Art. 2427, c.1, n.4 CC</w:t>
            </w:r>
          </w:p>
        </w:tc>
        <w:tc>
          <w:tcPr>
            <w:tcW w:w="6959" w:type="dxa"/>
            <w:tcMar>
              <w:left w:w="108" w:type="dxa"/>
            </w:tcMar>
          </w:tcPr>
          <w:p w:rsidR="00181C91" w:rsidRPr="00C23DD7" w:rsidRDefault="00181C91" w:rsidP="000B29F2">
            <w:pPr>
              <w:pStyle w:val="rientrotrattinook"/>
              <w:tabs>
                <w:tab w:val="clear" w:pos="704"/>
              </w:tabs>
              <w:ind w:left="470" w:hanging="284"/>
            </w:pPr>
            <w:r w:rsidRPr="00C23DD7">
              <w:t>le variazioni intervenute nella consistenza delle voci dell’attivo e del passivo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Art. 2427, c.1, n.6 CC</w:t>
            </w:r>
          </w:p>
        </w:tc>
        <w:tc>
          <w:tcPr>
            <w:tcW w:w="6959" w:type="dxa"/>
            <w:tcMar>
              <w:left w:w="108" w:type="dxa"/>
            </w:tcMar>
          </w:tcPr>
          <w:p w:rsidR="00181C91" w:rsidRPr="00C23DD7" w:rsidRDefault="00181C91" w:rsidP="000B29F2">
            <w:pPr>
              <w:pStyle w:val="rientrotrattinook"/>
              <w:tabs>
                <w:tab w:val="clear" w:pos="704"/>
              </w:tabs>
              <w:ind w:left="470" w:hanging="284"/>
            </w:pPr>
            <w:r w:rsidRPr="00C23DD7">
              <w:t>distintamente per ciascuna voce, l’ammontare dei crediti e dei debiti di durata residua superiore a cinque anni, e dei debiti assistiti da garanzie reali su beni sociali, con specifica indicazione della natura delle garanzie e con specifica ripartizione secondo le aree geografiche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3C261C" w:rsidRDefault="00181C91" w:rsidP="000D7E0A">
            <w:pPr>
              <w:pStyle w:val="PrincCont"/>
              <w:jc w:val="left"/>
            </w:pPr>
            <w:r w:rsidRPr="003C261C">
              <w:t>Art. 2427, c.1, n.6-ter CC</w:t>
            </w:r>
          </w:p>
        </w:tc>
        <w:tc>
          <w:tcPr>
            <w:tcW w:w="6959" w:type="dxa"/>
            <w:tcMar>
              <w:left w:w="108" w:type="dxa"/>
            </w:tcMar>
          </w:tcPr>
          <w:p w:rsidR="00181C91" w:rsidRPr="00C23DD7" w:rsidRDefault="00181C91" w:rsidP="000B29F2">
            <w:pPr>
              <w:pStyle w:val="rientrotrattinook"/>
              <w:tabs>
                <w:tab w:val="clear" w:pos="704"/>
              </w:tabs>
              <w:ind w:left="470" w:hanging="284"/>
            </w:pPr>
            <w:r w:rsidRPr="00C23DD7">
              <w:t>distintamente per ciascuna voce, l’ammontare dei crediti e dei debiti relativi ad operazioni che prevedono l’obbligo per l’acquirente di retrocessione a termine</w:t>
            </w:r>
            <w:r>
              <w:t>?</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Art. 2427, c.1, n.12 CC</w:t>
            </w:r>
          </w:p>
        </w:tc>
        <w:tc>
          <w:tcPr>
            <w:tcW w:w="6959" w:type="dxa"/>
            <w:tcMar>
              <w:left w:w="108" w:type="dxa"/>
            </w:tcMar>
          </w:tcPr>
          <w:p w:rsidR="00181C91" w:rsidRPr="00C23DD7" w:rsidRDefault="00181C91" w:rsidP="000B29F2">
            <w:pPr>
              <w:pStyle w:val="rientrotrattinook"/>
              <w:tabs>
                <w:tab w:val="clear" w:pos="704"/>
              </w:tabs>
              <w:ind w:left="470" w:hanging="284"/>
            </w:pPr>
            <w:r w:rsidRPr="00C23DD7">
              <w:t>la suddivisione degli interessi ed altri oneri finanziari relativi a prestiti obbligazionari, a debiti verso banche e altri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Art. 2427, c.1, n.18 CC</w:t>
            </w:r>
          </w:p>
        </w:tc>
        <w:tc>
          <w:tcPr>
            <w:tcW w:w="6959" w:type="dxa"/>
            <w:tcMar>
              <w:left w:w="108" w:type="dxa"/>
            </w:tcMar>
          </w:tcPr>
          <w:p w:rsidR="00181C91" w:rsidRPr="00C23DD7" w:rsidRDefault="00181C91" w:rsidP="000B29F2">
            <w:pPr>
              <w:pStyle w:val="rientrotrattinook"/>
              <w:tabs>
                <w:tab w:val="clear" w:pos="704"/>
              </w:tabs>
              <w:ind w:left="470" w:hanging="284"/>
            </w:pPr>
            <w:r w:rsidRPr="00C23DD7">
              <w:t>le azioni di godimento, le obbligazioni convertibili in azioni e i titoli o valori simili emessi dalla società, specificando il loro numero e i diritti che essi attribuiscono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Art. 2427, c.1, n.19 CC</w:t>
            </w:r>
          </w:p>
        </w:tc>
        <w:tc>
          <w:tcPr>
            <w:tcW w:w="6959" w:type="dxa"/>
            <w:tcMar>
              <w:left w:w="108" w:type="dxa"/>
            </w:tcMar>
          </w:tcPr>
          <w:p w:rsidR="00181C91" w:rsidRPr="00C23DD7" w:rsidRDefault="00181C91" w:rsidP="000B29F2">
            <w:pPr>
              <w:pStyle w:val="rientrotrattinook"/>
              <w:tabs>
                <w:tab w:val="clear" w:pos="704"/>
              </w:tabs>
              <w:ind w:left="470" w:hanging="284"/>
            </w:pPr>
            <w:r w:rsidRPr="00C23DD7">
              <w:t>il numero e le caratteristiche degli altri strumenti finanziari emessi dalla società, con l’indicazione dei diritti patrimoniali e partecipativi che conferiscono e delle principali caratteristiche delle operazioni relative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3C261C" w:rsidRDefault="00181C91" w:rsidP="000D7E0A">
            <w:pPr>
              <w:pStyle w:val="PrincCont"/>
              <w:jc w:val="left"/>
            </w:pPr>
            <w:r w:rsidRPr="003C261C">
              <w:t>Art. 2427, c.1, n.19-bis CC</w:t>
            </w:r>
          </w:p>
        </w:tc>
        <w:tc>
          <w:tcPr>
            <w:tcW w:w="6959" w:type="dxa"/>
            <w:tcMar>
              <w:left w:w="108" w:type="dxa"/>
            </w:tcMar>
          </w:tcPr>
          <w:p w:rsidR="00181C91" w:rsidRPr="00C23DD7" w:rsidRDefault="00181C91" w:rsidP="000B29F2">
            <w:pPr>
              <w:pStyle w:val="rientrotrattinook"/>
              <w:tabs>
                <w:tab w:val="clear" w:pos="704"/>
              </w:tabs>
              <w:ind w:left="470" w:hanging="284"/>
            </w:pPr>
            <w:r w:rsidRPr="00C23DD7">
              <w:t>i finanziamenti effettuati dai soci alla società, ripartiti per scadenze e con la separata indicazione di quelli con clausola di postergazione rispetto agli altri creditori</w:t>
            </w:r>
            <w:r>
              <w:t>?</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CC13EC" w:rsidRPr="00C23DD7" w:rsidTr="000D7E0A">
        <w:trPr>
          <w:cantSplit/>
          <w:trHeight w:val="20"/>
        </w:trPr>
        <w:tc>
          <w:tcPr>
            <w:tcW w:w="675" w:type="dxa"/>
          </w:tcPr>
          <w:p w:rsidR="00CC13EC" w:rsidRPr="00CC13EC" w:rsidRDefault="00CC13EC" w:rsidP="000D7E0A">
            <w:pPr>
              <w:jc w:val="center"/>
              <w:rPr>
                <w:b/>
                <w:lang w:val="it-IT"/>
              </w:rPr>
            </w:pPr>
            <w:r w:rsidRPr="00CC13EC">
              <w:rPr>
                <w:b/>
                <w:lang w:val="it-IT"/>
              </w:rPr>
              <w:t>76)</w:t>
            </w:r>
          </w:p>
        </w:tc>
        <w:tc>
          <w:tcPr>
            <w:tcW w:w="846" w:type="dxa"/>
            <w:tcMar>
              <w:left w:w="108" w:type="dxa"/>
              <w:right w:w="0" w:type="dxa"/>
            </w:tcMar>
          </w:tcPr>
          <w:p w:rsidR="00CC13EC" w:rsidRPr="00C23DD7" w:rsidRDefault="00CC13EC" w:rsidP="006E0FCA">
            <w:pPr>
              <w:pStyle w:val="PrincCont"/>
              <w:jc w:val="left"/>
              <w:rPr>
                <w:lang w:val="it-IT"/>
              </w:rPr>
            </w:pPr>
            <w:r w:rsidRPr="00C23DD7">
              <w:rPr>
                <w:lang w:val="it-IT"/>
              </w:rPr>
              <w:t>OIC 19.81</w:t>
            </w:r>
          </w:p>
        </w:tc>
        <w:tc>
          <w:tcPr>
            <w:tcW w:w="6959" w:type="dxa"/>
            <w:tcMar>
              <w:left w:w="108" w:type="dxa"/>
            </w:tcMar>
          </w:tcPr>
          <w:p w:rsidR="00CC13EC" w:rsidRPr="00C23DD7" w:rsidRDefault="00CC13EC" w:rsidP="006E0FCA">
            <w:pPr>
              <w:spacing w:line="230" w:lineRule="exact"/>
              <w:rPr>
                <w:lang w:val="it-IT"/>
              </w:rPr>
            </w:pPr>
            <w:r w:rsidRPr="00C23DD7">
              <w:rPr>
                <w:lang w:val="it-IT"/>
              </w:rPr>
              <w:t>Nel fornire le informazioni di cui al n</w:t>
            </w:r>
            <w:r>
              <w:rPr>
                <w:lang w:val="it-IT"/>
              </w:rPr>
              <w:t>.</w:t>
            </w:r>
            <w:r w:rsidRPr="00C23DD7">
              <w:rPr>
                <w:lang w:val="it-IT"/>
              </w:rPr>
              <w:t>1</w:t>
            </w:r>
            <w:r>
              <w:rPr>
                <w:lang w:val="it-IT"/>
              </w:rPr>
              <w:t>,</w:t>
            </w:r>
            <w:r w:rsidRPr="00C23DD7">
              <w:rPr>
                <w:lang w:val="it-IT"/>
              </w:rPr>
              <w:t xml:space="preserve"> c</w:t>
            </w:r>
            <w:r>
              <w:rPr>
                <w:lang w:val="it-IT"/>
              </w:rPr>
              <w:t>.</w:t>
            </w:r>
            <w:r w:rsidRPr="00C23DD7">
              <w:rPr>
                <w:lang w:val="it-IT"/>
              </w:rPr>
              <w:t>1 dell’art</w:t>
            </w:r>
            <w:r>
              <w:rPr>
                <w:lang w:val="it-IT"/>
              </w:rPr>
              <w:t>.</w:t>
            </w:r>
            <w:r w:rsidRPr="00C23DD7">
              <w:rPr>
                <w:lang w:val="it-IT"/>
              </w:rPr>
              <w:t xml:space="preserve"> 2427</w:t>
            </w:r>
            <w:r>
              <w:rPr>
                <w:lang w:val="it-IT"/>
              </w:rPr>
              <w:t xml:space="preserve"> CC</w:t>
            </w:r>
            <w:r w:rsidRPr="00C23DD7">
              <w:rPr>
                <w:lang w:val="it-IT"/>
              </w:rPr>
              <w:t xml:space="preserve"> la società ha indicato in </w:t>
            </w:r>
            <w:r>
              <w:rPr>
                <w:lang w:val="it-IT"/>
              </w:rPr>
              <w:t>Nota Integrativa</w:t>
            </w:r>
            <w:r w:rsidRPr="00C23DD7">
              <w:rPr>
                <w:lang w:val="it-IT"/>
              </w:rPr>
              <w:t xml:space="preserve"> le ragioni che l’hanno condotta, ai sensi del paragrafo 53 dell’OIC 19, ad attribuire alla differenza tra le disponibilità liquide ricevute e il valore attuale dei flussi finanziari futuri una natura diversa da quella finanziaria?</w:t>
            </w:r>
          </w:p>
        </w:tc>
        <w:tc>
          <w:tcPr>
            <w:tcW w:w="583" w:type="dxa"/>
            <w:tcMar>
              <w:left w:w="85" w:type="dxa"/>
              <w:right w:w="85" w:type="dxa"/>
            </w:tcMar>
            <w:vAlign w:val="center"/>
          </w:tcPr>
          <w:p w:rsidR="00CC13EC" w:rsidRPr="00C23DD7" w:rsidRDefault="00CC13EC" w:rsidP="006E0FC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6E0FC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6E0FC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CC13EC" w:rsidRPr="00CC242B" w:rsidTr="000D7E0A">
        <w:trPr>
          <w:cantSplit/>
          <w:trHeight w:val="20"/>
        </w:trPr>
        <w:tc>
          <w:tcPr>
            <w:tcW w:w="675" w:type="dxa"/>
          </w:tcPr>
          <w:p w:rsidR="00CC13EC" w:rsidRPr="0075607F" w:rsidRDefault="00CC13EC" w:rsidP="00CC13EC">
            <w:pPr>
              <w:jc w:val="center"/>
              <w:rPr>
                <w:b/>
                <w:lang w:val="it-IT"/>
              </w:rPr>
            </w:pPr>
            <w:r>
              <w:rPr>
                <w:b/>
                <w:lang w:val="it-IT"/>
              </w:rPr>
              <w:t>77</w:t>
            </w:r>
            <w:r w:rsidRPr="0075607F">
              <w:rPr>
                <w:b/>
                <w:lang w:val="it-IT"/>
              </w:rPr>
              <w:t>)</w:t>
            </w: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Art. 2427, c.1 CC</w:t>
            </w:r>
            <w:r>
              <w:rPr>
                <w:lang w:val="it-IT"/>
              </w:rPr>
              <w:t xml:space="preserve">             </w:t>
            </w:r>
            <w:r w:rsidRPr="00C23DD7">
              <w:rPr>
                <w:lang w:val="it-IT"/>
              </w:rPr>
              <w:t>OIC 19.81</w:t>
            </w:r>
          </w:p>
        </w:tc>
        <w:tc>
          <w:tcPr>
            <w:tcW w:w="6959" w:type="dxa"/>
            <w:tcMar>
              <w:left w:w="108" w:type="dxa"/>
            </w:tcMar>
            <w:vAlign w:val="center"/>
          </w:tcPr>
          <w:p w:rsidR="00CC13EC" w:rsidRPr="00C23DD7" w:rsidRDefault="00CC13EC" w:rsidP="000D7E0A">
            <w:pPr>
              <w:spacing w:line="230" w:lineRule="exact"/>
              <w:rPr>
                <w:lang w:val="it-IT"/>
              </w:rPr>
            </w:pPr>
            <w:r w:rsidRPr="00C23DD7">
              <w:rPr>
                <w:lang w:val="it-IT"/>
              </w:rPr>
              <w:t xml:space="preserve">Nel fornire le indicazioni di cui ai nn. 6 e 12 dell’art. 2427 CC, la </w:t>
            </w:r>
            <w:r>
              <w:rPr>
                <w:lang w:val="it-IT"/>
              </w:rPr>
              <w:t>Nota Integrativa</w:t>
            </w:r>
            <w:r w:rsidRPr="00C23DD7">
              <w:rPr>
                <w:lang w:val="it-IT"/>
              </w:rPr>
              <w:t xml:space="preserve"> specifica:</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23DD7" w:rsidTr="000D7E0A">
        <w:trPr>
          <w:cantSplit/>
          <w:trHeight w:val="20"/>
        </w:trPr>
        <w:tc>
          <w:tcPr>
            <w:tcW w:w="675" w:type="dxa"/>
          </w:tcPr>
          <w:p w:rsidR="00CC13EC" w:rsidRPr="0075607F"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p>
        </w:tc>
        <w:tc>
          <w:tcPr>
            <w:tcW w:w="6959" w:type="dxa"/>
            <w:tcMar>
              <w:left w:w="108" w:type="dxa"/>
            </w:tcMar>
            <w:vAlign w:val="center"/>
          </w:tcPr>
          <w:p w:rsidR="00CC13EC" w:rsidRPr="00C23DD7" w:rsidRDefault="00CC13EC" w:rsidP="000B29F2">
            <w:pPr>
              <w:pStyle w:val="rientrotrattinook"/>
              <w:tabs>
                <w:tab w:val="clear" w:pos="704"/>
              </w:tabs>
              <w:ind w:left="470" w:hanging="284"/>
            </w:pPr>
            <w:r w:rsidRPr="00C23DD7">
              <w:t>la scadenza, le modalità di rimborso e il tasso di interesse per i debiti assistiti da garanzia reale</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CC13EC" w:rsidRPr="00C23DD7" w:rsidTr="000D7E0A">
        <w:trPr>
          <w:cantSplit/>
          <w:trHeight w:val="20"/>
        </w:trPr>
        <w:tc>
          <w:tcPr>
            <w:tcW w:w="675" w:type="dxa"/>
          </w:tcPr>
          <w:p w:rsidR="00CC13EC" w:rsidRPr="0075607F"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p>
        </w:tc>
        <w:tc>
          <w:tcPr>
            <w:tcW w:w="6959" w:type="dxa"/>
            <w:tcMar>
              <w:left w:w="108" w:type="dxa"/>
            </w:tcMar>
          </w:tcPr>
          <w:p w:rsidR="00CC13EC" w:rsidRPr="00C23DD7" w:rsidRDefault="00CC13EC" w:rsidP="000B29F2">
            <w:pPr>
              <w:pStyle w:val="rientrotrattinook"/>
              <w:tabs>
                <w:tab w:val="clear" w:pos="704"/>
              </w:tabs>
              <w:ind w:left="470" w:hanging="284"/>
            </w:pPr>
            <w:r w:rsidRPr="00C23DD7">
              <w:t>il tasso di interesse applicato ai prestiti obbligazionari (nonché le altre principali caratteristiche del prestito, ad esempio modalità di rimborso e scadenza)</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CC13EC" w:rsidRPr="00CC242B" w:rsidTr="000B29F2">
        <w:trPr>
          <w:cantSplit/>
          <w:trHeight w:val="20"/>
        </w:trPr>
        <w:tc>
          <w:tcPr>
            <w:tcW w:w="675" w:type="dxa"/>
          </w:tcPr>
          <w:p w:rsidR="00CC13EC" w:rsidRPr="0075607F" w:rsidRDefault="00CC13EC" w:rsidP="000D7E0A">
            <w:pPr>
              <w:jc w:val="center"/>
              <w:rPr>
                <w:b/>
                <w:lang w:val="it-IT"/>
              </w:rPr>
            </w:pPr>
          </w:p>
        </w:tc>
        <w:tc>
          <w:tcPr>
            <w:tcW w:w="846" w:type="dxa"/>
            <w:tcMar>
              <w:left w:w="108" w:type="dxa"/>
              <w:right w:w="0" w:type="dxa"/>
            </w:tcMar>
          </w:tcPr>
          <w:p w:rsidR="00CC13EC" w:rsidRPr="003C261C" w:rsidRDefault="00CC13EC" w:rsidP="000D7E0A">
            <w:pPr>
              <w:pStyle w:val="PrincCont"/>
              <w:jc w:val="left"/>
            </w:pPr>
            <w:r w:rsidRPr="003C261C">
              <w:t>Art. 2427, c.1, n.6 CC</w:t>
            </w:r>
            <w:r>
              <w:t xml:space="preserve">       </w:t>
            </w:r>
            <w:r w:rsidRPr="003C261C">
              <w:t>OIC 19.81</w:t>
            </w:r>
          </w:p>
        </w:tc>
        <w:tc>
          <w:tcPr>
            <w:tcW w:w="6959" w:type="dxa"/>
            <w:tcMar>
              <w:left w:w="108" w:type="dxa"/>
            </w:tcMar>
            <w:vAlign w:val="center"/>
          </w:tcPr>
          <w:p w:rsidR="00CC13EC" w:rsidRPr="00C23DD7" w:rsidRDefault="00CC13EC" w:rsidP="000B29F2">
            <w:pPr>
              <w:pStyle w:val="Commentiriquadro"/>
              <w:spacing w:before="20"/>
              <w:jc w:val="left"/>
            </w:pPr>
            <w:r w:rsidRPr="00C23DD7">
              <w:t>L’indicazione sulla ripartizione geografica di cui al n.6</w:t>
            </w:r>
            <w:r>
              <w:t>,</w:t>
            </w:r>
            <w:r w:rsidRPr="00C23DD7">
              <w:t xml:space="preserve"> c.1</w:t>
            </w:r>
            <w:r>
              <w:t>,</w:t>
            </w:r>
            <w:r w:rsidRPr="00C23DD7">
              <w:t xml:space="preserve"> art. 2427</w:t>
            </w:r>
            <w:r>
              <w:t xml:space="preserve"> CC</w:t>
            </w:r>
            <w:r w:rsidRPr="00C23DD7">
              <w:t xml:space="preserve"> riguarda tutti i debiti della società.</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C242B" w:rsidTr="000D7E0A">
        <w:trPr>
          <w:cantSplit/>
          <w:trHeight w:val="20"/>
        </w:trPr>
        <w:tc>
          <w:tcPr>
            <w:tcW w:w="675" w:type="dxa"/>
          </w:tcPr>
          <w:p w:rsidR="00CC13EC" w:rsidRPr="0075607F"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OIC 19.81</w:t>
            </w:r>
          </w:p>
        </w:tc>
        <w:tc>
          <w:tcPr>
            <w:tcW w:w="6959" w:type="dxa"/>
            <w:tcMar>
              <w:left w:w="108" w:type="dxa"/>
            </w:tcMar>
          </w:tcPr>
          <w:p w:rsidR="00CC13EC" w:rsidRPr="00C23DD7" w:rsidRDefault="00CC13EC" w:rsidP="000D7E0A">
            <w:pPr>
              <w:pStyle w:val="Commentiriquadro"/>
              <w:spacing w:before="20"/>
            </w:pPr>
            <w:r w:rsidRPr="00C23DD7">
              <w:t>L’informativa di cui al n.19-bis, c.1, dell’art. 2427 CC è fornita anche con riguardo ai finanziamenti effettuati dai soggetti che esercitano l’attività di direzione e coordinamento.</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C242B" w:rsidTr="000D7E0A">
        <w:trPr>
          <w:cantSplit/>
          <w:trHeight w:val="20"/>
        </w:trPr>
        <w:tc>
          <w:tcPr>
            <w:tcW w:w="675" w:type="dxa"/>
          </w:tcPr>
          <w:p w:rsidR="00CC13EC" w:rsidRPr="0075607F" w:rsidRDefault="00CC13EC" w:rsidP="000D7E0A">
            <w:pPr>
              <w:jc w:val="center"/>
              <w:rPr>
                <w:b/>
                <w:lang w:val="it-IT"/>
              </w:rPr>
            </w:pPr>
            <w:r>
              <w:rPr>
                <w:b/>
                <w:lang w:val="it-IT"/>
              </w:rPr>
              <w:t>78</w:t>
            </w:r>
            <w:r w:rsidRPr="0075607F">
              <w:rPr>
                <w:b/>
                <w:lang w:val="it-IT"/>
              </w:rPr>
              <w:t>)</w:t>
            </w: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OIC 19.81</w:t>
            </w:r>
          </w:p>
        </w:tc>
        <w:tc>
          <w:tcPr>
            <w:tcW w:w="6959" w:type="dxa"/>
            <w:tcMar>
              <w:left w:w="108" w:type="dxa"/>
            </w:tcMar>
          </w:tcPr>
          <w:p w:rsidR="00CC13EC" w:rsidRPr="00C23DD7" w:rsidRDefault="00CC13EC" w:rsidP="000D7E0A">
            <w:pPr>
              <w:pStyle w:val="Rientrotrattino2"/>
              <w:spacing w:line="230" w:lineRule="exact"/>
              <w:ind w:left="0" w:firstLine="0"/>
            </w:pPr>
            <w:r w:rsidRPr="00C23DD7">
              <w:t xml:space="preserve">Ove rilevante, la </w:t>
            </w:r>
            <w:r>
              <w:t>Nota Integrativa</w:t>
            </w:r>
            <w:r w:rsidRPr="00C23DD7">
              <w:t xml:space="preserve"> indica inoltre:</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23DD7" w:rsidTr="000D7E0A">
        <w:trPr>
          <w:cantSplit/>
          <w:trHeight w:val="20"/>
        </w:trPr>
        <w:tc>
          <w:tcPr>
            <w:tcW w:w="675" w:type="dxa"/>
          </w:tcPr>
          <w:p w:rsidR="00CC13EC" w:rsidRPr="0075607F"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p>
        </w:tc>
        <w:tc>
          <w:tcPr>
            <w:tcW w:w="6959" w:type="dxa"/>
            <w:tcMar>
              <w:left w:w="108" w:type="dxa"/>
            </w:tcMar>
            <w:vAlign w:val="center"/>
          </w:tcPr>
          <w:p w:rsidR="00CC13EC" w:rsidRPr="00C23DD7" w:rsidRDefault="00CC13EC" w:rsidP="000B29F2">
            <w:pPr>
              <w:pStyle w:val="rientrotrattinook"/>
              <w:tabs>
                <w:tab w:val="clear" w:pos="704"/>
              </w:tabs>
              <w:ind w:left="470" w:hanging="284"/>
            </w:pPr>
            <w:r w:rsidRPr="00C23DD7">
              <w:t>la suddivisione tra debiti per anticipi su lavori da eseguire ed acconti corrisposti in corso d’opera a fronte di lavori eseguiti</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CC13EC" w:rsidRPr="00C23DD7" w:rsidTr="000D7E0A">
        <w:trPr>
          <w:cantSplit/>
          <w:trHeight w:val="20"/>
        </w:trPr>
        <w:tc>
          <w:tcPr>
            <w:tcW w:w="675" w:type="dxa"/>
          </w:tcPr>
          <w:p w:rsidR="00CC13EC" w:rsidRPr="0075607F"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p>
        </w:tc>
        <w:tc>
          <w:tcPr>
            <w:tcW w:w="6959" w:type="dxa"/>
            <w:tcMar>
              <w:left w:w="108" w:type="dxa"/>
            </w:tcMar>
          </w:tcPr>
          <w:p w:rsidR="00CC13EC" w:rsidRPr="00C23DD7" w:rsidRDefault="00CC13EC" w:rsidP="000B29F2">
            <w:pPr>
              <w:pStyle w:val="rientrotrattinook"/>
              <w:tabs>
                <w:tab w:val="clear" w:pos="704"/>
              </w:tabs>
              <w:ind w:left="470" w:hanging="284"/>
            </w:pPr>
            <w:r w:rsidRPr="00C23DD7">
              <w:t>la suddivisione dei debiti verso banche tra: i debiti per conto corrente, debiti per finanziamenti a breve, a medio e lungo termine</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CC13EC" w:rsidRPr="00C23DD7" w:rsidTr="000D7E0A">
        <w:trPr>
          <w:cantSplit/>
          <w:trHeight w:val="20"/>
        </w:trPr>
        <w:tc>
          <w:tcPr>
            <w:tcW w:w="675" w:type="dxa"/>
          </w:tcPr>
          <w:p w:rsidR="00CC13EC" w:rsidRPr="0075607F"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p>
        </w:tc>
        <w:tc>
          <w:tcPr>
            <w:tcW w:w="6959" w:type="dxa"/>
            <w:tcMar>
              <w:left w:w="108" w:type="dxa"/>
            </w:tcMar>
          </w:tcPr>
          <w:p w:rsidR="00CC13EC" w:rsidRPr="00C23DD7" w:rsidRDefault="00CC13EC" w:rsidP="000B29F2">
            <w:pPr>
              <w:pStyle w:val="rientrotrattinook"/>
              <w:tabs>
                <w:tab w:val="clear" w:pos="704"/>
              </w:tabs>
              <w:ind w:left="470" w:hanging="284"/>
            </w:pPr>
            <w:r w:rsidRPr="00C23DD7">
              <w:t>la natura dei creditori e la composizione della voce D14 “Altri debiti”</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CC13EC" w:rsidRPr="00C23DD7" w:rsidTr="000D7E0A">
        <w:trPr>
          <w:cantSplit/>
          <w:trHeight w:val="20"/>
        </w:trPr>
        <w:tc>
          <w:tcPr>
            <w:tcW w:w="675" w:type="dxa"/>
          </w:tcPr>
          <w:p w:rsidR="00CC13EC" w:rsidRPr="0075607F"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p>
        </w:tc>
        <w:tc>
          <w:tcPr>
            <w:tcW w:w="6959" w:type="dxa"/>
            <w:tcMar>
              <w:left w:w="108" w:type="dxa"/>
            </w:tcMar>
          </w:tcPr>
          <w:p w:rsidR="00CC13EC" w:rsidRPr="00C23DD7" w:rsidRDefault="00CC13EC" w:rsidP="000B29F2">
            <w:pPr>
              <w:pStyle w:val="rientrotrattinook"/>
              <w:tabs>
                <w:tab w:val="clear" w:pos="704"/>
              </w:tabs>
              <w:ind w:left="470" w:hanging="284"/>
            </w:pPr>
            <w:r w:rsidRPr="00C23DD7">
              <w:t>l’ammontare dei debiti per i quali sono state modificate le condizioni di pagamento ed il relativo effetto sul conto economico</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CC13EC" w:rsidRPr="00C23DD7" w:rsidTr="000D7E0A">
        <w:trPr>
          <w:cantSplit/>
          <w:trHeight w:val="20"/>
        </w:trPr>
        <w:tc>
          <w:tcPr>
            <w:tcW w:w="675" w:type="dxa"/>
          </w:tcPr>
          <w:p w:rsidR="00CC13EC" w:rsidRPr="0075607F"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p>
        </w:tc>
        <w:tc>
          <w:tcPr>
            <w:tcW w:w="6959" w:type="dxa"/>
            <w:tcMar>
              <w:left w:w="108" w:type="dxa"/>
            </w:tcMar>
          </w:tcPr>
          <w:p w:rsidR="00CC13EC" w:rsidRPr="00C23DD7" w:rsidRDefault="00CC13EC" w:rsidP="000B29F2">
            <w:pPr>
              <w:pStyle w:val="rientrotrattinook"/>
              <w:tabs>
                <w:tab w:val="clear" w:pos="704"/>
              </w:tabs>
              <w:ind w:left="470" w:hanging="284"/>
            </w:pPr>
            <w:r w:rsidRPr="00C23DD7">
              <w:t>il riacquisto sul mercato di obbligazioni o altri titoli di debito emessi dalla società?</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CC13EC" w:rsidRPr="00CC242B" w:rsidTr="000D7E0A">
        <w:trPr>
          <w:cantSplit/>
          <w:trHeight w:val="20"/>
        </w:trPr>
        <w:tc>
          <w:tcPr>
            <w:tcW w:w="675" w:type="dxa"/>
          </w:tcPr>
          <w:p w:rsidR="00CC13EC" w:rsidRPr="0075607F"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Art. 2423, c.4 CC</w:t>
            </w:r>
            <w:r>
              <w:rPr>
                <w:lang w:val="it-IT"/>
              </w:rPr>
              <w:t xml:space="preserve">             </w:t>
            </w:r>
            <w:r w:rsidRPr="00C23DD7">
              <w:rPr>
                <w:lang w:val="it-IT"/>
              </w:rPr>
              <w:t>OIC 19.82</w:t>
            </w:r>
          </w:p>
        </w:tc>
        <w:tc>
          <w:tcPr>
            <w:tcW w:w="6959" w:type="dxa"/>
            <w:tcMar>
              <w:left w:w="108" w:type="dxa"/>
            </w:tcMar>
          </w:tcPr>
          <w:p w:rsidR="00CC13EC" w:rsidRPr="00C23DD7" w:rsidRDefault="00CC13EC" w:rsidP="00104BFF">
            <w:pPr>
              <w:pStyle w:val="Commentiriquadro"/>
            </w:pPr>
            <w:r w:rsidRPr="00C23DD7">
              <w:t>L’art</w:t>
            </w:r>
            <w:r>
              <w:t>.</w:t>
            </w:r>
            <w:r w:rsidRPr="00C23DD7">
              <w:t xml:space="preserve"> 2423, c</w:t>
            </w:r>
            <w:r>
              <w:t>.</w:t>
            </w:r>
            <w:r w:rsidRPr="00C23DD7">
              <w:t>4</w:t>
            </w:r>
            <w:r>
              <w:t xml:space="preserve"> CC</w:t>
            </w:r>
            <w:r w:rsidRPr="00C23DD7">
              <w:t xml:space="preserve"> prevede che “</w:t>
            </w:r>
            <w:r w:rsidRPr="00C23DD7">
              <w:rPr>
                <w:i/>
              </w:rPr>
              <w:t xml:space="preserve">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w:t>
            </w:r>
            <w:r>
              <w:rPr>
                <w:i/>
              </w:rPr>
              <w:t>nota integrativa</w:t>
            </w:r>
            <w:r w:rsidRPr="00C23DD7">
              <w:rPr>
                <w:i/>
              </w:rPr>
              <w:t xml:space="preserve"> i criteri con i quali hanno dato attuazione alla presente disposizione</w:t>
            </w:r>
            <w:r w:rsidRPr="00C23DD7">
              <w:t xml:space="preserve">.” Se ad esempio una società tenuta all’applicazione del criterio del costo ammortizzato decide di non utilizzarlo per i debiti con scadenza inferiore ai 12 mesi o di non attualizzare un debito nel caso in cui il tasso di interesse desumibile dalle condizioni contrattuali non sia significativamente diverso dal tasso di interesse di mercato, la società ai sensi di tale previsione normativa deve illustrare in </w:t>
            </w:r>
            <w:r>
              <w:t>Nota Integrativa</w:t>
            </w:r>
            <w:r w:rsidRPr="00C23DD7">
              <w:t xml:space="preserve"> le politiche di bilancio adottate.</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23DD7" w:rsidTr="000D7E0A">
        <w:trPr>
          <w:cantSplit/>
          <w:trHeight w:val="20"/>
        </w:trPr>
        <w:tc>
          <w:tcPr>
            <w:tcW w:w="675" w:type="dxa"/>
          </w:tcPr>
          <w:p w:rsidR="00CC13EC" w:rsidRPr="0075607F" w:rsidRDefault="00CC13EC" w:rsidP="000D7E0A">
            <w:pPr>
              <w:jc w:val="center"/>
              <w:rPr>
                <w:b/>
                <w:lang w:val="it-IT"/>
              </w:rPr>
            </w:pPr>
            <w:r>
              <w:rPr>
                <w:b/>
                <w:lang w:val="it-IT"/>
              </w:rPr>
              <w:t>79</w:t>
            </w:r>
            <w:r w:rsidRPr="0075607F">
              <w:rPr>
                <w:b/>
                <w:lang w:val="it-IT"/>
              </w:rPr>
              <w:t>)</w:t>
            </w: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OIC 19.82</w:t>
            </w:r>
          </w:p>
        </w:tc>
        <w:tc>
          <w:tcPr>
            <w:tcW w:w="6959" w:type="dxa"/>
            <w:tcMar>
              <w:left w:w="108" w:type="dxa"/>
            </w:tcMar>
          </w:tcPr>
          <w:p w:rsidR="00CC13EC" w:rsidRPr="00C23DD7" w:rsidRDefault="00CC13EC" w:rsidP="00840B93">
            <w:pPr>
              <w:pStyle w:val="rientrotrattinook"/>
              <w:numPr>
                <w:ilvl w:val="0"/>
                <w:numId w:val="0"/>
              </w:numPr>
            </w:pPr>
            <w:r w:rsidRPr="00C23DD7">
              <w:t xml:space="preserve">La </w:t>
            </w:r>
            <w:r>
              <w:t>Nota Integrativa</w:t>
            </w:r>
            <w:r w:rsidRPr="00C23DD7">
              <w:t xml:space="preserve"> illustra le politiche contabili adottate e in particolare i criteri con i quali è stata data attuazione alla disposizione dell’art</w:t>
            </w:r>
            <w:r>
              <w:t>.</w:t>
            </w:r>
            <w:r w:rsidRPr="00C23DD7">
              <w:t xml:space="preserve"> 2423, c</w:t>
            </w:r>
            <w:r>
              <w:t>.</w:t>
            </w:r>
            <w:r w:rsidRPr="00C23DD7">
              <w:t>4</w:t>
            </w:r>
            <w:r>
              <w:t xml:space="preserve"> CC</w:t>
            </w:r>
            <w:r w:rsidRPr="00C23DD7">
              <w:t>?</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CC13EC" w:rsidRPr="00F91468" w:rsidTr="000D7E0A">
        <w:trPr>
          <w:cantSplit/>
          <w:trHeight w:val="20"/>
        </w:trPr>
        <w:tc>
          <w:tcPr>
            <w:tcW w:w="675" w:type="dxa"/>
          </w:tcPr>
          <w:p w:rsidR="00CC13EC" w:rsidRPr="0075607F" w:rsidRDefault="00CC13EC" w:rsidP="000D7E0A">
            <w:pPr>
              <w:jc w:val="center"/>
              <w:rPr>
                <w:lang w:val="it-IT"/>
              </w:rPr>
            </w:pP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Art. 2424, c.2 CC</w:t>
            </w:r>
            <w:r>
              <w:rPr>
                <w:lang w:val="it-IT"/>
              </w:rPr>
              <w:t xml:space="preserve">             </w:t>
            </w:r>
            <w:r w:rsidRPr="00C23DD7">
              <w:rPr>
                <w:lang w:val="it-IT"/>
              </w:rPr>
              <w:t>OIC 19.83</w:t>
            </w:r>
          </w:p>
        </w:tc>
        <w:tc>
          <w:tcPr>
            <w:tcW w:w="6959" w:type="dxa"/>
            <w:tcMar>
              <w:left w:w="108" w:type="dxa"/>
            </w:tcMar>
          </w:tcPr>
          <w:p w:rsidR="00CC13EC" w:rsidRPr="00C23DD7" w:rsidRDefault="00CC13EC" w:rsidP="000D7E0A">
            <w:pPr>
              <w:pStyle w:val="Commentiriquadro"/>
            </w:pPr>
            <w:r w:rsidRPr="00C23DD7">
              <w:t>L’art</w:t>
            </w:r>
            <w:r>
              <w:t>.</w:t>
            </w:r>
            <w:r w:rsidRPr="00C23DD7">
              <w:t xml:space="preserve"> 2424, c</w:t>
            </w:r>
            <w:r>
              <w:t>.</w:t>
            </w:r>
            <w:r w:rsidRPr="00C23DD7">
              <w:t>2</w:t>
            </w:r>
            <w:r>
              <w:t xml:space="preserve"> CC</w:t>
            </w:r>
            <w:r w:rsidRPr="00C23DD7">
              <w:t xml:space="preserve"> prevede che “</w:t>
            </w:r>
            <w:r w:rsidRPr="00C23DD7">
              <w:rPr>
                <w:i/>
              </w:rPr>
              <w:t xml:space="preserve">se un elemento dell'attivo o del passivo ricade sotto più voci dello schema, nella </w:t>
            </w:r>
            <w:r>
              <w:rPr>
                <w:i/>
              </w:rPr>
              <w:t>Nota Integrativa</w:t>
            </w:r>
            <w:r w:rsidRPr="00C23DD7">
              <w:rPr>
                <w:i/>
              </w:rPr>
              <w:t xml:space="preserve"> deve annotarsi, qualora ciò sia necessario ai fini della comprensione del bilancio, la sua appartenenza anche a voci diverse da quella nella quale è iscritto</w:t>
            </w:r>
            <w:r w:rsidRPr="00C23DD7">
              <w:t xml:space="preserve">”. Questa norma interessa i debiti quando, ad esempio, un debito di natura commerciale verso controllanti non è classificato nei debiti verso fornitori ma nei debiti verso le imprese controllanti. Ciò va annotato in </w:t>
            </w:r>
            <w:r>
              <w:t>Nota Integrativa</w:t>
            </w:r>
            <w:r w:rsidRPr="00C23DD7">
              <w:t>.</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23DD7" w:rsidTr="000D7E0A">
        <w:trPr>
          <w:cantSplit/>
          <w:trHeight w:val="20"/>
        </w:trPr>
        <w:tc>
          <w:tcPr>
            <w:tcW w:w="675" w:type="dxa"/>
          </w:tcPr>
          <w:p w:rsidR="00CC13EC" w:rsidRPr="0075607F" w:rsidRDefault="00CC13EC" w:rsidP="000D7E0A">
            <w:pPr>
              <w:jc w:val="center"/>
              <w:rPr>
                <w:b/>
                <w:lang w:val="it-IT"/>
              </w:rPr>
            </w:pPr>
            <w:r>
              <w:rPr>
                <w:b/>
                <w:lang w:val="it-IT"/>
              </w:rPr>
              <w:t>80</w:t>
            </w:r>
            <w:r w:rsidRPr="0075607F">
              <w:rPr>
                <w:b/>
                <w:lang w:val="it-IT"/>
              </w:rPr>
              <w:t>)</w:t>
            </w: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OIC 19.83</w:t>
            </w:r>
          </w:p>
        </w:tc>
        <w:tc>
          <w:tcPr>
            <w:tcW w:w="6959" w:type="dxa"/>
            <w:tcMar>
              <w:left w:w="108" w:type="dxa"/>
            </w:tcMar>
          </w:tcPr>
          <w:p w:rsidR="00CC13EC" w:rsidRPr="00C23DD7" w:rsidRDefault="00CC13EC" w:rsidP="000D7E0A">
            <w:pPr>
              <w:pStyle w:val="Puntoelenco"/>
              <w:numPr>
                <w:ilvl w:val="0"/>
                <w:numId w:val="0"/>
              </w:numPr>
            </w:pPr>
            <w:r w:rsidRPr="00C23DD7">
              <w:t xml:space="preserve">La </w:t>
            </w:r>
            <w:r>
              <w:t>Nota Integrativa</w:t>
            </w:r>
            <w:r w:rsidRPr="00C23DD7">
              <w:t xml:space="preserve"> indica i debiti che appartengono anche a voci diverse da quelle nelle quali sono iscritte?</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CC13EC" w:rsidRPr="00CC242B" w:rsidTr="000D7E0A">
        <w:trPr>
          <w:cantSplit/>
          <w:trHeight w:val="20"/>
        </w:trPr>
        <w:tc>
          <w:tcPr>
            <w:tcW w:w="675" w:type="dxa"/>
          </w:tcPr>
          <w:p w:rsidR="00CC13EC" w:rsidRPr="0075607F"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OIC 19.84</w:t>
            </w:r>
          </w:p>
        </w:tc>
        <w:tc>
          <w:tcPr>
            <w:tcW w:w="6959" w:type="dxa"/>
            <w:tcMar>
              <w:left w:w="108" w:type="dxa"/>
            </w:tcMar>
          </w:tcPr>
          <w:p w:rsidR="00CC13EC" w:rsidRPr="00C23DD7" w:rsidRDefault="00CC13EC" w:rsidP="000D7E0A">
            <w:pPr>
              <w:pStyle w:val="Commentiriquadro"/>
            </w:pPr>
            <w:r w:rsidRPr="00C23DD7">
              <w:t xml:space="preserve">Le informazioni da fornire in </w:t>
            </w:r>
            <w:r>
              <w:t>Nota Integrativa</w:t>
            </w:r>
            <w:r w:rsidRPr="00C23DD7">
              <w:t xml:space="preserve"> con riferimento ai debiti verso imprese controllate, collegate, controllanti, sottoposte al controllo delle controllanti e altre parti correlate sono disciplinate dall’OIC 12 “Composizione e schemi del bilancio d’esercizio”.</w:t>
            </w:r>
          </w:p>
          <w:p w:rsidR="00CC13EC" w:rsidRPr="00C23DD7" w:rsidRDefault="00CC13EC" w:rsidP="000D7E0A">
            <w:pPr>
              <w:pStyle w:val="Commentiriquadro"/>
            </w:pPr>
            <w:r w:rsidRPr="00C23DD7">
              <w:t>Analogamente le informazioni relative ai debiti verso i soggetti che esercitano l’attività di direzione e coordinamento e verso le altre società che vi sono soggette sono disciplinate nell’OIC 12.</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C242B" w:rsidTr="000D7E0A">
        <w:trPr>
          <w:cantSplit/>
          <w:trHeight w:val="20"/>
        </w:trPr>
        <w:tc>
          <w:tcPr>
            <w:tcW w:w="675" w:type="dxa"/>
          </w:tcPr>
          <w:p w:rsidR="00CC13EC" w:rsidRPr="0075607F" w:rsidRDefault="00CC13EC" w:rsidP="000D7E0A">
            <w:pPr>
              <w:pageBreakBefore/>
              <w:jc w:val="center"/>
              <w:rPr>
                <w:b/>
                <w:lang w:val="it-IT"/>
              </w:rPr>
            </w:pPr>
          </w:p>
        </w:tc>
        <w:tc>
          <w:tcPr>
            <w:tcW w:w="846" w:type="dxa"/>
            <w:tcMar>
              <w:left w:w="108" w:type="dxa"/>
              <w:right w:w="0" w:type="dxa"/>
            </w:tcMar>
          </w:tcPr>
          <w:p w:rsidR="00CC13EC" w:rsidRPr="00C23DD7" w:rsidRDefault="00CC13EC" w:rsidP="000D7E0A">
            <w:pPr>
              <w:pStyle w:val="PrincCont"/>
              <w:pageBreakBefore/>
              <w:jc w:val="left"/>
              <w:rPr>
                <w:lang w:val="it-IT"/>
              </w:rPr>
            </w:pPr>
          </w:p>
        </w:tc>
        <w:tc>
          <w:tcPr>
            <w:tcW w:w="6959" w:type="dxa"/>
            <w:tcMar>
              <w:left w:w="108" w:type="dxa"/>
            </w:tcMar>
          </w:tcPr>
          <w:p w:rsidR="00CC13EC" w:rsidRPr="00C23DD7" w:rsidRDefault="00CC13EC" w:rsidP="000D7E0A">
            <w:pPr>
              <w:pStyle w:val="Titolo3"/>
              <w:pageBreakBefore/>
              <w:rPr>
                <w:lang w:val="it-IT"/>
              </w:rPr>
            </w:pPr>
            <w:r w:rsidRPr="00C23DD7">
              <w:rPr>
                <w:lang w:val="it-IT"/>
              </w:rPr>
              <w:t>Informazioni relative alle società che redigono il bilancio in forma abbreviata</w:t>
            </w:r>
          </w:p>
        </w:tc>
        <w:tc>
          <w:tcPr>
            <w:tcW w:w="583" w:type="dxa"/>
            <w:tcMar>
              <w:left w:w="85" w:type="dxa"/>
              <w:right w:w="85" w:type="dxa"/>
            </w:tcMar>
            <w:vAlign w:val="center"/>
          </w:tcPr>
          <w:p w:rsidR="00CC13EC" w:rsidRPr="00C23DD7" w:rsidRDefault="00CC13EC" w:rsidP="000D7E0A">
            <w:pPr>
              <w:pageBreakBefore/>
              <w:jc w:val="center"/>
              <w:rPr>
                <w:lang w:val="it-IT"/>
              </w:rPr>
            </w:pPr>
          </w:p>
        </w:tc>
        <w:tc>
          <w:tcPr>
            <w:tcW w:w="572" w:type="dxa"/>
            <w:tcMar>
              <w:left w:w="108" w:type="dxa"/>
            </w:tcMar>
            <w:vAlign w:val="center"/>
          </w:tcPr>
          <w:p w:rsidR="00CC13EC" w:rsidRPr="00C23DD7" w:rsidRDefault="00CC13EC" w:rsidP="000D7E0A">
            <w:pPr>
              <w:pageBreakBefore/>
              <w:jc w:val="center"/>
              <w:rPr>
                <w:lang w:val="it-IT"/>
              </w:rPr>
            </w:pPr>
          </w:p>
        </w:tc>
        <w:tc>
          <w:tcPr>
            <w:tcW w:w="569" w:type="dxa"/>
            <w:tcMar>
              <w:left w:w="108" w:type="dxa"/>
            </w:tcMar>
            <w:vAlign w:val="center"/>
          </w:tcPr>
          <w:p w:rsidR="00CC13EC" w:rsidRPr="00C23DD7" w:rsidRDefault="00CC13EC" w:rsidP="000D7E0A">
            <w:pPr>
              <w:pageBreakBefore/>
              <w:jc w:val="center"/>
              <w:rPr>
                <w:lang w:val="it-IT"/>
              </w:rPr>
            </w:pPr>
          </w:p>
        </w:tc>
      </w:tr>
      <w:tr w:rsidR="00CC13EC" w:rsidRPr="00CC242B" w:rsidTr="000D7E0A">
        <w:trPr>
          <w:cantSplit/>
          <w:trHeight w:val="20"/>
        </w:trPr>
        <w:tc>
          <w:tcPr>
            <w:tcW w:w="675" w:type="dxa"/>
          </w:tcPr>
          <w:p w:rsidR="00CC13EC" w:rsidRPr="0075607F" w:rsidRDefault="00CC13EC" w:rsidP="000D7E0A">
            <w:pPr>
              <w:jc w:val="center"/>
              <w:rPr>
                <w:b/>
                <w:lang w:val="it-IT"/>
              </w:rPr>
            </w:pPr>
            <w:r>
              <w:rPr>
                <w:b/>
                <w:lang w:val="it-IT"/>
              </w:rPr>
              <w:t>81</w:t>
            </w:r>
            <w:r w:rsidRPr="0075607F">
              <w:rPr>
                <w:b/>
                <w:lang w:val="it-IT"/>
              </w:rPr>
              <w:t>)</w:t>
            </w: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Art. 2427, c.1 CC</w:t>
            </w:r>
            <w:r>
              <w:rPr>
                <w:lang w:val="it-IT"/>
              </w:rPr>
              <w:t xml:space="preserve">             </w:t>
            </w:r>
            <w:r w:rsidRPr="00C23DD7">
              <w:rPr>
                <w:lang w:val="it-IT"/>
              </w:rPr>
              <w:t>OIC 19.85</w:t>
            </w:r>
          </w:p>
        </w:tc>
        <w:tc>
          <w:tcPr>
            <w:tcW w:w="6959" w:type="dxa"/>
            <w:tcMar>
              <w:left w:w="108" w:type="dxa"/>
            </w:tcMar>
          </w:tcPr>
          <w:p w:rsidR="00CC13EC" w:rsidRPr="00C23DD7" w:rsidRDefault="00CC13EC" w:rsidP="000D7E0A">
            <w:pPr>
              <w:spacing w:line="230" w:lineRule="exact"/>
              <w:rPr>
                <w:lang w:val="it-IT"/>
              </w:rPr>
            </w:pPr>
            <w:r w:rsidRPr="00C23DD7">
              <w:rPr>
                <w:lang w:val="it-IT"/>
              </w:rPr>
              <w:t xml:space="preserve">Con riferimento ai debiti, nella </w:t>
            </w:r>
            <w:r>
              <w:rPr>
                <w:lang w:val="it-IT"/>
              </w:rPr>
              <w:t>Nota Integrativa</w:t>
            </w:r>
            <w:r w:rsidRPr="00C23DD7">
              <w:rPr>
                <w:lang w:val="it-IT"/>
              </w:rPr>
              <w:t xml:space="preserve"> del bilancio in forma abbreviata sono fornite le seguenti informazioni richieste dall’art</w:t>
            </w:r>
            <w:r>
              <w:rPr>
                <w:lang w:val="it-IT"/>
              </w:rPr>
              <w:t>.</w:t>
            </w:r>
            <w:r w:rsidRPr="00C23DD7">
              <w:rPr>
                <w:lang w:val="it-IT"/>
              </w:rPr>
              <w:t xml:space="preserve"> 2427, c</w:t>
            </w:r>
            <w:r>
              <w:rPr>
                <w:lang w:val="it-IT"/>
              </w:rPr>
              <w:t>.</w:t>
            </w:r>
            <w:r w:rsidRPr="00C23DD7">
              <w:rPr>
                <w:lang w:val="it-IT"/>
              </w:rPr>
              <w:t>1</w:t>
            </w:r>
            <w:r>
              <w:rPr>
                <w:lang w:val="it-IT"/>
              </w:rPr>
              <w:t xml:space="preserve"> CC</w:t>
            </w:r>
            <w:r w:rsidRPr="00C23DD7">
              <w:rPr>
                <w:lang w:val="it-IT"/>
              </w:rPr>
              <w:t>:</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23DD7" w:rsidTr="000D7E0A">
        <w:trPr>
          <w:cantSplit/>
          <w:trHeight w:val="20"/>
        </w:trPr>
        <w:tc>
          <w:tcPr>
            <w:tcW w:w="675" w:type="dxa"/>
          </w:tcPr>
          <w:p w:rsidR="00CC13EC" w:rsidRPr="0075607F" w:rsidRDefault="00CC13EC" w:rsidP="000D7E0A">
            <w:pPr>
              <w:jc w:val="center"/>
              <w:rPr>
                <w:lang w:val="it-IT"/>
              </w:rPr>
            </w:pP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Art. 2427, c.1 CC</w:t>
            </w:r>
            <w:r>
              <w:rPr>
                <w:lang w:val="it-IT"/>
              </w:rPr>
              <w:t xml:space="preserve">             </w:t>
            </w:r>
            <w:r w:rsidRPr="00C23DD7">
              <w:rPr>
                <w:lang w:val="it-IT"/>
              </w:rPr>
              <w:t>OIC 19.85</w:t>
            </w:r>
          </w:p>
        </w:tc>
        <w:tc>
          <w:tcPr>
            <w:tcW w:w="6959" w:type="dxa"/>
            <w:tcMar>
              <w:left w:w="108" w:type="dxa"/>
            </w:tcMar>
          </w:tcPr>
          <w:p w:rsidR="00CC13EC" w:rsidRPr="00E61B2C" w:rsidRDefault="00CC13EC" w:rsidP="000B29F2">
            <w:pPr>
              <w:pStyle w:val="rientrotrattinook"/>
              <w:tabs>
                <w:tab w:val="clear" w:pos="704"/>
              </w:tabs>
              <w:ind w:left="470" w:hanging="284"/>
            </w:pPr>
            <w:r>
              <w:t>“</w:t>
            </w:r>
            <w:r w:rsidRPr="00E61B2C">
              <w:t>1) i criteri applicati nella valutazione delle voci del bilancio, nelle rettifiche di valore e nella conversione dei valori non espressi all'origine in moneta avente corso legale nello Stato”</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CC13EC" w:rsidRPr="00C23DD7" w:rsidTr="000D7E0A">
        <w:trPr>
          <w:cantSplit/>
          <w:trHeight w:val="292"/>
        </w:trPr>
        <w:tc>
          <w:tcPr>
            <w:tcW w:w="675" w:type="dxa"/>
          </w:tcPr>
          <w:p w:rsidR="00CC13EC" w:rsidRPr="0075607F" w:rsidRDefault="00CC13EC" w:rsidP="000D7E0A">
            <w:pPr>
              <w:jc w:val="center"/>
              <w:rPr>
                <w:lang w:val="it-IT"/>
              </w:rPr>
            </w:pP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Art. 2427, c.1 CC</w:t>
            </w:r>
            <w:r>
              <w:rPr>
                <w:lang w:val="it-IT"/>
              </w:rPr>
              <w:t xml:space="preserve">             </w:t>
            </w:r>
            <w:r w:rsidRPr="00C23DD7">
              <w:rPr>
                <w:lang w:val="it-IT"/>
              </w:rPr>
              <w:t>OIC 19.85</w:t>
            </w:r>
          </w:p>
        </w:tc>
        <w:tc>
          <w:tcPr>
            <w:tcW w:w="6959" w:type="dxa"/>
            <w:tcMar>
              <w:left w:w="108" w:type="dxa"/>
            </w:tcMar>
          </w:tcPr>
          <w:p w:rsidR="00CC13EC" w:rsidRPr="00E61B2C" w:rsidDel="00BB1D18" w:rsidRDefault="00CC13EC" w:rsidP="000B29F2">
            <w:pPr>
              <w:pStyle w:val="rientrotrattinook"/>
              <w:tabs>
                <w:tab w:val="clear" w:pos="704"/>
              </w:tabs>
              <w:ind w:left="470" w:hanging="284"/>
            </w:pPr>
            <w:r w:rsidRPr="00E61B2C">
              <w:t>“6) distintamente per ciascuna voce, l’ammontare dei crediti e dei debiti di durata residua superiore a cinque anni, e dei debiti assistiti da garanzie reali su beni sociali, con specifica indicazione della natura delle garanzie”?</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CC13EC" w:rsidRPr="00CC242B" w:rsidTr="000D7E0A">
        <w:trPr>
          <w:cantSplit/>
          <w:trHeight w:val="20"/>
        </w:trPr>
        <w:tc>
          <w:tcPr>
            <w:tcW w:w="675" w:type="dxa"/>
          </w:tcPr>
          <w:p w:rsidR="00CC13EC" w:rsidRPr="0075607F" w:rsidRDefault="00CC13EC" w:rsidP="000D7E0A">
            <w:pPr>
              <w:jc w:val="center"/>
              <w:rPr>
                <w:lang w:val="it-IT"/>
              </w:rPr>
            </w:pP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OIC 19.86</w:t>
            </w:r>
          </w:p>
        </w:tc>
        <w:tc>
          <w:tcPr>
            <w:tcW w:w="6959" w:type="dxa"/>
            <w:tcMar>
              <w:left w:w="108" w:type="dxa"/>
            </w:tcMar>
          </w:tcPr>
          <w:p w:rsidR="00CC13EC" w:rsidRPr="00C23DD7" w:rsidRDefault="00CC13EC" w:rsidP="000D7E0A">
            <w:pPr>
              <w:pStyle w:val="Commentiriquadro"/>
            </w:pPr>
            <w:r w:rsidRPr="00C23DD7">
              <w:t xml:space="preserve">La </w:t>
            </w:r>
            <w:r>
              <w:t>Nota Integrativa</w:t>
            </w:r>
            <w:r w:rsidRPr="00C23DD7">
              <w:t xml:space="preserve"> deve quindi indicare il criterio applicato nella valutazione dei debiti sia nel caso si adotti il costo ammortizzato che nel caso si eserciti la facoltà di non valutare i debiti con tale criterio.</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C242B" w:rsidTr="000D7E0A">
        <w:trPr>
          <w:cantSplit/>
          <w:trHeight w:val="20"/>
        </w:trPr>
        <w:tc>
          <w:tcPr>
            <w:tcW w:w="675" w:type="dxa"/>
          </w:tcPr>
          <w:p w:rsidR="00CC13EC" w:rsidRPr="0075607F" w:rsidRDefault="00CC13EC" w:rsidP="000D7E0A">
            <w:pPr>
              <w:jc w:val="center"/>
              <w:rPr>
                <w:lang w:val="it-IT"/>
              </w:rPr>
            </w:pP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OIC 19.87</w:t>
            </w:r>
          </w:p>
        </w:tc>
        <w:tc>
          <w:tcPr>
            <w:tcW w:w="6959" w:type="dxa"/>
            <w:tcMar>
              <w:left w:w="108" w:type="dxa"/>
            </w:tcMar>
          </w:tcPr>
          <w:p w:rsidR="00CC13EC" w:rsidRPr="00C23DD7" w:rsidRDefault="00CC13EC" w:rsidP="000D7E0A">
            <w:pPr>
              <w:pStyle w:val="Commentiriquadro"/>
            </w:pPr>
            <w:r w:rsidRPr="00C23DD7">
              <w:t>L’art</w:t>
            </w:r>
            <w:r>
              <w:t>.</w:t>
            </w:r>
            <w:r w:rsidRPr="00C23DD7">
              <w:t xml:space="preserve"> 2423, c</w:t>
            </w:r>
            <w:r>
              <w:t>.</w:t>
            </w:r>
            <w:r w:rsidRPr="00C23DD7">
              <w:t>4</w:t>
            </w:r>
            <w:r>
              <w:t xml:space="preserve"> CC</w:t>
            </w:r>
            <w:r w:rsidRPr="00C23DD7">
              <w:t xml:space="preserve"> prevede che “</w:t>
            </w:r>
            <w:r w:rsidRPr="00C23DD7">
              <w:rPr>
                <w:i/>
              </w:rPr>
              <w:t xml:space="preserve">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w:t>
            </w:r>
            <w:r>
              <w:rPr>
                <w:i/>
              </w:rPr>
              <w:t>Nota Integrativa</w:t>
            </w:r>
            <w:r w:rsidRPr="00C23DD7">
              <w:rPr>
                <w:i/>
              </w:rPr>
              <w:t xml:space="preserve"> i criteri con i quali hanno dato attuazione alla presente disposizione</w:t>
            </w:r>
            <w:r w:rsidRPr="00C23DD7">
              <w:t>”</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23DD7" w:rsidTr="000D7E0A">
        <w:trPr>
          <w:cantSplit/>
          <w:trHeight w:val="20"/>
        </w:trPr>
        <w:tc>
          <w:tcPr>
            <w:tcW w:w="675" w:type="dxa"/>
          </w:tcPr>
          <w:p w:rsidR="00CC13EC" w:rsidRPr="00A85417" w:rsidRDefault="00CC13EC" w:rsidP="000D7E0A">
            <w:pPr>
              <w:jc w:val="center"/>
              <w:rPr>
                <w:b/>
                <w:lang w:val="it-IT"/>
              </w:rPr>
            </w:pPr>
            <w:r>
              <w:rPr>
                <w:b/>
                <w:lang w:val="it-IT"/>
              </w:rPr>
              <w:t>82</w:t>
            </w:r>
            <w:r w:rsidRPr="00A85417">
              <w:rPr>
                <w:b/>
                <w:lang w:val="it-IT"/>
              </w:rPr>
              <w:t>)</w:t>
            </w: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OIC 19.87</w:t>
            </w:r>
          </w:p>
        </w:tc>
        <w:tc>
          <w:tcPr>
            <w:tcW w:w="6959" w:type="dxa"/>
            <w:tcMar>
              <w:left w:w="108" w:type="dxa"/>
            </w:tcMar>
          </w:tcPr>
          <w:p w:rsidR="00CC13EC" w:rsidRPr="00C23DD7" w:rsidRDefault="00CC13EC" w:rsidP="000D7E0A">
            <w:pPr>
              <w:spacing w:line="230" w:lineRule="exact"/>
              <w:rPr>
                <w:lang w:val="it-IT"/>
              </w:rPr>
            </w:pPr>
            <w:r w:rsidRPr="00C23DD7">
              <w:rPr>
                <w:lang w:val="it-IT"/>
              </w:rPr>
              <w:t xml:space="preserve">La </w:t>
            </w:r>
            <w:r>
              <w:rPr>
                <w:lang w:val="it-IT"/>
              </w:rPr>
              <w:t>Nota Integrativa</w:t>
            </w:r>
            <w:r w:rsidRPr="00C23DD7">
              <w:rPr>
                <w:lang w:val="it-IT"/>
              </w:rPr>
              <w:t xml:space="preserve"> illustra le politiche contabili adottate e in particolare i criteri con i quali è stata data attuazione alla disposizione dell’art</w:t>
            </w:r>
            <w:r>
              <w:rPr>
                <w:lang w:val="it-IT"/>
              </w:rPr>
              <w:t>.</w:t>
            </w:r>
            <w:r w:rsidRPr="00C23DD7">
              <w:rPr>
                <w:lang w:val="it-IT"/>
              </w:rPr>
              <w:t xml:space="preserve"> 2423, c</w:t>
            </w:r>
            <w:r>
              <w:rPr>
                <w:lang w:val="it-IT"/>
              </w:rPr>
              <w:t>.</w:t>
            </w:r>
            <w:r w:rsidRPr="00C23DD7">
              <w:rPr>
                <w:lang w:val="it-IT"/>
              </w:rPr>
              <w:t>4</w:t>
            </w:r>
            <w:r>
              <w:rPr>
                <w:lang w:val="it-IT"/>
              </w:rPr>
              <w:t xml:space="preserve"> CC</w:t>
            </w:r>
            <w:r w:rsidRPr="00C23DD7">
              <w:rPr>
                <w:lang w:val="it-IT"/>
              </w:rPr>
              <w:t>?</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CC13EC" w:rsidRPr="00C23DD7" w:rsidTr="000D7E0A">
        <w:trPr>
          <w:cantSplit/>
          <w:trHeight w:val="20"/>
        </w:trPr>
        <w:tc>
          <w:tcPr>
            <w:tcW w:w="675" w:type="dxa"/>
          </w:tcPr>
          <w:p w:rsidR="00CC13EC" w:rsidRPr="00A85417"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p>
        </w:tc>
        <w:tc>
          <w:tcPr>
            <w:tcW w:w="6959" w:type="dxa"/>
            <w:tcMar>
              <w:left w:w="108" w:type="dxa"/>
            </w:tcMar>
          </w:tcPr>
          <w:p w:rsidR="00CC13EC" w:rsidRPr="00C23DD7" w:rsidRDefault="00CC13EC" w:rsidP="000D7E0A">
            <w:pPr>
              <w:pStyle w:val="Titolo2"/>
              <w:rPr>
                <w:lang w:val="it-IT"/>
              </w:rPr>
            </w:pPr>
            <w:r w:rsidRPr="00C23DD7">
              <w:rPr>
                <w:lang w:val="it-IT"/>
              </w:rPr>
              <w:t>DISPOSIZIONI DI PRIMA APPLICAZIONE</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C242B" w:rsidTr="000D7E0A">
        <w:trPr>
          <w:cantSplit/>
          <w:trHeight w:val="20"/>
        </w:trPr>
        <w:tc>
          <w:tcPr>
            <w:tcW w:w="675" w:type="dxa"/>
          </w:tcPr>
          <w:p w:rsidR="00CC13EC" w:rsidRPr="00A85417"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r>
              <w:rPr>
                <w:lang w:val="it-IT"/>
              </w:rPr>
              <w:t>OIC 19.91</w:t>
            </w:r>
          </w:p>
        </w:tc>
        <w:tc>
          <w:tcPr>
            <w:tcW w:w="6959" w:type="dxa"/>
            <w:tcMar>
              <w:left w:w="108" w:type="dxa"/>
            </w:tcMar>
          </w:tcPr>
          <w:p w:rsidR="00CC13EC" w:rsidRPr="00C23DD7" w:rsidRDefault="00CC13EC" w:rsidP="000D7E0A">
            <w:pPr>
              <w:pStyle w:val="Commentiriquadro"/>
            </w:pPr>
            <w:r w:rsidRPr="00C23DD7">
              <w:t>L’art</w:t>
            </w:r>
            <w:r>
              <w:t>.</w:t>
            </w:r>
            <w:r w:rsidRPr="00C23DD7">
              <w:t xml:space="preserve"> 12</w:t>
            </w:r>
            <w:r>
              <w:t>,</w:t>
            </w:r>
            <w:r w:rsidRPr="00C23DD7">
              <w:t xml:space="preserve"> c</w:t>
            </w:r>
            <w:r>
              <w:t>.</w:t>
            </w:r>
            <w:r w:rsidRPr="00C23DD7">
              <w:t xml:space="preserve"> 2 del D.lgs. 139/2015 prevede che le modificazioni previste all’art</w:t>
            </w:r>
            <w:r>
              <w:t>.</w:t>
            </w:r>
            <w:r w:rsidRPr="00C23DD7">
              <w:t xml:space="preserve"> 2426, c</w:t>
            </w:r>
            <w:r>
              <w:t>.</w:t>
            </w:r>
            <w:r w:rsidRPr="00C23DD7">
              <w:t>1, n</w:t>
            </w:r>
            <w:r>
              <w:t>.</w:t>
            </w:r>
            <w:r w:rsidRPr="00C23DD7">
              <w:t>8</w:t>
            </w:r>
            <w:r>
              <w:t xml:space="preserve"> CC</w:t>
            </w:r>
            <w:r w:rsidRPr="00C23DD7">
              <w:t xml:space="preserve"> (criterio del costo ammortizzato) “</w:t>
            </w:r>
            <w:r w:rsidRPr="00C23DD7">
              <w:rPr>
                <w:i/>
              </w:rPr>
              <w:t>possono non essere applicate alle componenti delle voci riferite ad operazioni che non hanno ancora esaurito i loro effetti in bilancio</w:t>
            </w:r>
            <w:r w:rsidRPr="00C23DD7">
              <w:t xml:space="preserve">”. Qualora si usufruisca di tale facoltà la società applica il costo ammortizzato esclusivamente ai debiti sorti successivamente all’esercizio avente inizio a partire dal 1° gennaio 2016 e dell’esercizio della facoltà occorre farne menzione in </w:t>
            </w:r>
            <w:r>
              <w:t>Nota Integrativa</w:t>
            </w:r>
            <w:r w:rsidRPr="00C23DD7">
              <w:t>.</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23DD7" w:rsidTr="000D7E0A">
        <w:trPr>
          <w:cantSplit/>
          <w:trHeight w:val="20"/>
        </w:trPr>
        <w:tc>
          <w:tcPr>
            <w:tcW w:w="675" w:type="dxa"/>
          </w:tcPr>
          <w:p w:rsidR="00CC13EC" w:rsidRPr="00A85417" w:rsidRDefault="00CC13EC" w:rsidP="000D7E0A">
            <w:pPr>
              <w:jc w:val="center"/>
              <w:rPr>
                <w:b/>
                <w:lang w:val="it-IT"/>
              </w:rPr>
            </w:pPr>
            <w:r>
              <w:rPr>
                <w:b/>
                <w:lang w:val="it-IT"/>
              </w:rPr>
              <w:t>83</w:t>
            </w:r>
            <w:r w:rsidRPr="00A85417">
              <w:rPr>
                <w:b/>
                <w:lang w:val="it-IT"/>
              </w:rPr>
              <w:t>)</w:t>
            </w:r>
          </w:p>
        </w:tc>
        <w:tc>
          <w:tcPr>
            <w:tcW w:w="846" w:type="dxa"/>
            <w:tcMar>
              <w:left w:w="108" w:type="dxa"/>
              <w:right w:w="0" w:type="dxa"/>
            </w:tcMar>
          </w:tcPr>
          <w:p w:rsidR="00CC13EC" w:rsidRDefault="00CC13EC" w:rsidP="000D7E0A">
            <w:pPr>
              <w:pStyle w:val="PrincCont"/>
              <w:jc w:val="left"/>
              <w:rPr>
                <w:lang w:val="it-IT"/>
              </w:rPr>
            </w:pPr>
            <w:r>
              <w:rPr>
                <w:lang w:val="it-IT"/>
              </w:rPr>
              <w:t>OIC 19.92</w:t>
            </w:r>
          </w:p>
        </w:tc>
        <w:tc>
          <w:tcPr>
            <w:tcW w:w="6959" w:type="dxa"/>
            <w:tcMar>
              <w:left w:w="108" w:type="dxa"/>
            </w:tcMar>
          </w:tcPr>
          <w:p w:rsidR="00CC13EC" w:rsidRPr="00C23DD7" w:rsidRDefault="00CC13EC" w:rsidP="000D7E0A">
            <w:pPr>
              <w:spacing w:line="230" w:lineRule="exact"/>
              <w:rPr>
                <w:lang w:val="it-IT"/>
              </w:rPr>
            </w:pPr>
            <w:r w:rsidRPr="00254E57">
              <w:rPr>
                <w:lang w:val="it-IT"/>
              </w:rPr>
              <w:t xml:space="preserve">Nel caso in cui la società non si </w:t>
            </w:r>
            <w:r>
              <w:rPr>
                <w:lang w:val="it-IT"/>
              </w:rPr>
              <w:t xml:space="preserve">sia avvalsa </w:t>
            </w:r>
            <w:r w:rsidRPr="00254E57">
              <w:rPr>
                <w:lang w:val="it-IT"/>
              </w:rPr>
              <w:t xml:space="preserve">della facoltà di cui al paragrafo </w:t>
            </w:r>
            <w:r>
              <w:rPr>
                <w:lang w:val="it-IT"/>
              </w:rPr>
              <w:t>91</w:t>
            </w:r>
            <w:r w:rsidRPr="00254E57">
              <w:rPr>
                <w:lang w:val="it-IT"/>
              </w:rPr>
              <w:t xml:space="preserve">, il criterio del costo ammortizzato e l’attualizzazione dei </w:t>
            </w:r>
            <w:r>
              <w:rPr>
                <w:lang w:val="it-IT"/>
              </w:rPr>
              <w:t>debiti</w:t>
            </w:r>
            <w:r w:rsidRPr="00254E57">
              <w:rPr>
                <w:lang w:val="it-IT"/>
              </w:rPr>
              <w:t xml:space="preserve"> </w:t>
            </w:r>
            <w:r>
              <w:rPr>
                <w:lang w:val="it-IT"/>
              </w:rPr>
              <w:t xml:space="preserve">sono stati </w:t>
            </w:r>
            <w:r w:rsidRPr="00254E57">
              <w:rPr>
                <w:lang w:val="it-IT"/>
              </w:rPr>
              <w:t>applicati a t</w:t>
            </w:r>
            <w:r>
              <w:rPr>
                <w:lang w:val="it-IT"/>
              </w:rPr>
              <w:t>utti i debiti retroattivamente?</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CC13EC" w:rsidRPr="00C23DD7" w:rsidTr="000D7E0A">
        <w:trPr>
          <w:cantSplit/>
          <w:trHeight w:val="20"/>
        </w:trPr>
        <w:tc>
          <w:tcPr>
            <w:tcW w:w="675" w:type="dxa"/>
          </w:tcPr>
          <w:p w:rsidR="00CC13EC" w:rsidRPr="00CC13EC" w:rsidRDefault="00CC13EC" w:rsidP="000D7E0A">
            <w:pPr>
              <w:jc w:val="center"/>
              <w:rPr>
                <w:b/>
                <w:highlight w:val="yellow"/>
                <w:lang w:val="it-IT"/>
              </w:rPr>
            </w:pPr>
            <w:r w:rsidRPr="00CC13EC">
              <w:rPr>
                <w:b/>
                <w:lang w:val="it-IT"/>
              </w:rPr>
              <w:t>84)</w:t>
            </w:r>
          </w:p>
        </w:tc>
        <w:tc>
          <w:tcPr>
            <w:tcW w:w="846" w:type="dxa"/>
            <w:tcMar>
              <w:left w:w="108" w:type="dxa"/>
              <w:right w:w="0" w:type="dxa"/>
            </w:tcMar>
          </w:tcPr>
          <w:p w:rsidR="00CC13EC" w:rsidRDefault="00CC13EC" w:rsidP="000D7E0A">
            <w:pPr>
              <w:pStyle w:val="PrincCont"/>
              <w:jc w:val="left"/>
              <w:rPr>
                <w:lang w:val="it-IT"/>
              </w:rPr>
            </w:pPr>
            <w:r>
              <w:rPr>
                <w:lang w:val="it-IT"/>
              </w:rPr>
              <w:t>OIC 19.92</w:t>
            </w:r>
          </w:p>
        </w:tc>
        <w:tc>
          <w:tcPr>
            <w:tcW w:w="6959" w:type="dxa"/>
            <w:tcMar>
              <w:left w:w="108" w:type="dxa"/>
            </w:tcMar>
          </w:tcPr>
          <w:p w:rsidR="00CC13EC" w:rsidRPr="00254E57" w:rsidRDefault="00CC13EC" w:rsidP="000D7E0A">
            <w:pPr>
              <w:spacing w:line="230" w:lineRule="exact"/>
              <w:rPr>
                <w:lang w:val="it-IT"/>
              </w:rPr>
            </w:pPr>
            <w:r w:rsidRPr="00D67F45">
              <w:rPr>
                <w:lang w:val="it-IT"/>
              </w:rPr>
              <w:t>Gli effetti derivanti dalla differenza tra il valore del debito iscritto nel bilancio dell’esercizio precedente alla data del bilancio in cui si applica la nuova disciplina (nella normalità dei casi 31 dicembre 2015) e il valore del debito calcolato al costo ammortizzato (ed eventualmente attualizzato) all’inizio dell’esercizio di prima applicazione di questa disciplina (nella normalità dei casi il 1° gennaio 2016) sono imputati agli utili (perdite) portati a nuovo del patrimonio netto, al netto dell’effetto fiscale</w:t>
            </w:r>
            <w:r>
              <w:rPr>
                <w:lang w:val="it-IT"/>
              </w:rPr>
              <w:t>?</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CC13EC" w:rsidRPr="00C23DD7" w:rsidTr="000D7E0A">
        <w:trPr>
          <w:cantSplit/>
          <w:trHeight w:val="20"/>
        </w:trPr>
        <w:tc>
          <w:tcPr>
            <w:tcW w:w="675" w:type="dxa"/>
          </w:tcPr>
          <w:p w:rsidR="00CC13EC" w:rsidRPr="00A85417" w:rsidRDefault="00CC13EC" w:rsidP="000D7E0A">
            <w:pPr>
              <w:jc w:val="center"/>
              <w:rPr>
                <w:b/>
                <w:lang w:val="it-IT"/>
              </w:rPr>
            </w:pPr>
            <w:r>
              <w:rPr>
                <w:b/>
                <w:lang w:val="it-IT"/>
              </w:rPr>
              <w:t>85</w:t>
            </w:r>
            <w:r w:rsidRPr="00A85417">
              <w:rPr>
                <w:b/>
                <w:lang w:val="it-IT"/>
              </w:rPr>
              <w:t>)</w:t>
            </w:r>
          </w:p>
        </w:tc>
        <w:tc>
          <w:tcPr>
            <w:tcW w:w="846" w:type="dxa"/>
            <w:tcMar>
              <w:left w:w="108" w:type="dxa"/>
              <w:right w:w="0" w:type="dxa"/>
            </w:tcMar>
          </w:tcPr>
          <w:p w:rsidR="00CC13EC" w:rsidRDefault="00CC13EC" w:rsidP="000D7E0A">
            <w:pPr>
              <w:pStyle w:val="PrincCont"/>
              <w:jc w:val="left"/>
              <w:rPr>
                <w:lang w:val="it-IT"/>
              </w:rPr>
            </w:pPr>
            <w:r>
              <w:rPr>
                <w:lang w:val="it-IT"/>
              </w:rPr>
              <w:t>OIC 19.92</w:t>
            </w:r>
          </w:p>
        </w:tc>
        <w:tc>
          <w:tcPr>
            <w:tcW w:w="6959" w:type="dxa"/>
            <w:tcMar>
              <w:left w:w="108" w:type="dxa"/>
            </w:tcMar>
          </w:tcPr>
          <w:p w:rsidR="00CC13EC" w:rsidRPr="00D67F45" w:rsidRDefault="00CC13EC" w:rsidP="000D7E0A">
            <w:pPr>
              <w:spacing w:line="230" w:lineRule="exact"/>
              <w:rPr>
                <w:lang w:val="it-IT"/>
              </w:rPr>
            </w:pPr>
            <w:r w:rsidRPr="00D67F45">
              <w:rPr>
                <w:lang w:val="it-IT"/>
              </w:rPr>
              <w:t>Gli effetti sorti nel corso dell’esercizio sono imputati al conto economico dell’esercizio in corso</w:t>
            </w:r>
            <w:r>
              <w:rPr>
                <w:lang w:val="it-IT"/>
              </w:rPr>
              <w:t>?</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CC13EC" w:rsidRPr="00CC242B" w:rsidTr="000D7E0A">
        <w:trPr>
          <w:cantSplit/>
          <w:trHeight w:val="20"/>
        </w:trPr>
        <w:tc>
          <w:tcPr>
            <w:tcW w:w="675" w:type="dxa"/>
          </w:tcPr>
          <w:p w:rsidR="00CC13EC" w:rsidRPr="00A85417" w:rsidRDefault="00CC13EC" w:rsidP="000D7E0A">
            <w:pPr>
              <w:jc w:val="center"/>
              <w:rPr>
                <w:b/>
                <w:lang w:val="it-IT"/>
              </w:rPr>
            </w:pPr>
            <w:r>
              <w:rPr>
                <w:b/>
                <w:lang w:val="it-IT"/>
              </w:rPr>
              <w:t>86</w:t>
            </w:r>
            <w:r w:rsidRPr="00A85417">
              <w:rPr>
                <w:b/>
                <w:lang w:val="it-IT"/>
              </w:rPr>
              <w:t>)</w:t>
            </w:r>
          </w:p>
        </w:tc>
        <w:tc>
          <w:tcPr>
            <w:tcW w:w="846" w:type="dxa"/>
            <w:tcMar>
              <w:left w:w="108" w:type="dxa"/>
              <w:right w:w="0" w:type="dxa"/>
            </w:tcMar>
          </w:tcPr>
          <w:p w:rsidR="00CC13EC" w:rsidRDefault="00CC13EC" w:rsidP="000D7E0A">
            <w:pPr>
              <w:pStyle w:val="PrincCont"/>
              <w:jc w:val="left"/>
              <w:rPr>
                <w:lang w:val="it-IT"/>
              </w:rPr>
            </w:pPr>
            <w:r>
              <w:rPr>
                <w:lang w:val="it-IT"/>
              </w:rPr>
              <w:t>OIC 19.92</w:t>
            </w:r>
          </w:p>
        </w:tc>
        <w:tc>
          <w:tcPr>
            <w:tcW w:w="6959" w:type="dxa"/>
            <w:tcMar>
              <w:left w:w="108" w:type="dxa"/>
            </w:tcMar>
          </w:tcPr>
          <w:p w:rsidR="00CC13EC" w:rsidRPr="00D67F45" w:rsidRDefault="00CC13EC" w:rsidP="000D7E0A">
            <w:pPr>
              <w:spacing w:line="230" w:lineRule="exact"/>
              <w:rPr>
                <w:lang w:val="it-IT"/>
              </w:rPr>
            </w:pPr>
            <w:r>
              <w:rPr>
                <w:lang w:val="it-IT"/>
              </w:rPr>
              <w:t>A</w:t>
            </w:r>
            <w:r w:rsidRPr="00D67F45">
              <w:rPr>
                <w:lang w:val="it-IT"/>
              </w:rPr>
              <w:t>i soli fini comparativi, le voci dello stato patrimoniale e del conto economico dell’esercizio precedente a quello di prima applicazione sono presentate come se il presente principio fosse stato da sempre applicato e la differenza che è rilevata negli utili (perdite) portati a nuovo del patrimonio netto nell’esercizio di prima applicazione di questa disciplina (nella normalità dei casi nell’esercizio che inizia il 1° gennaio 2016) è rappresentata nel comparativo evidenziando separatamente:</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23DD7" w:rsidTr="000D7E0A">
        <w:trPr>
          <w:cantSplit/>
          <w:trHeight w:val="20"/>
        </w:trPr>
        <w:tc>
          <w:tcPr>
            <w:tcW w:w="675" w:type="dxa"/>
          </w:tcPr>
          <w:p w:rsidR="00CC13EC" w:rsidRPr="0075607F" w:rsidRDefault="00CC13EC" w:rsidP="000D7E0A">
            <w:pPr>
              <w:jc w:val="center"/>
              <w:rPr>
                <w:lang w:val="it-IT"/>
              </w:rPr>
            </w:pPr>
          </w:p>
        </w:tc>
        <w:tc>
          <w:tcPr>
            <w:tcW w:w="846" w:type="dxa"/>
            <w:tcMar>
              <w:left w:w="108" w:type="dxa"/>
              <w:right w:w="0" w:type="dxa"/>
            </w:tcMar>
          </w:tcPr>
          <w:p w:rsidR="00CC13EC" w:rsidRDefault="00CC13EC" w:rsidP="000D7E0A">
            <w:pPr>
              <w:pStyle w:val="PrincCont"/>
              <w:jc w:val="left"/>
              <w:rPr>
                <w:lang w:val="it-IT"/>
              </w:rPr>
            </w:pPr>
            <w:r>
              <w:rPr>
                <w:lang w:val="it-IT"/>
              </w:rPr>
              <w:t>OIC 19.92</w:t>
            </w:r>
          </w:p>
        </w:tc>
        <w:tc>
          <w:tcPr>
            <w:tcW w:w="6959" w:type="dxa"/>
            <w:tcMar>
              <w:left w:w="108" w:type="dxa"/>
            </w:tcMar>
          </w:tcPr>
          <w:p w:rsidR="00CC13EC" w:rsidRPr="00D67F45" w:rsidRDefault="00CC13EC" w:rsidP="00181C91">
            <w:pPr>
              <w:pStyle w:val="trattinosottoa"/>
              <w:tabs>
                <w:tab w:val="clear" w:pos="704"/>
              </w:tabs>
              <w:spacing w:line="230" w:lineRule="exact"/>
              <w:ind w:left="460" w:hanging="284"/>
            </w:pPr>
            <w:r w:rsidRPr="00D67F45">
              <w:t>negli utili (perdite) portati a nuovo del patrimonio netto l’effetto cumulato derivante dal cambio di principio alla data di apertura dell’esercizio precedente (nella normalità dei casi 1° gennaio 2015)</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CC13EC" w:rsidRPr="00C23DD7" w:rsidTr="000D7E0A">
        <w:trPr>
          <w:cantSplit/>
          <w:trHeight w:val="20"/>
        </w:trPr>
        <w:tc>
          <w:tcPr>
            <w:tcW w:w="675" w:type="dxa"/>
          </w:tcPr>
          <w:p w:rsidR="00CC13EC" w:rsidRPr="0075607F" w:rsidRDefault="00CC13EC" w:rsidP="000D7E0A">
            <w:pPr>
              <w:jc w:val="center"/>
              <w:rPr>
                <w:lang w:val="it-IT"/>
              </w:rPr>
            </w:pPr>
          </w:p>
        </w:tc>
        <w:tc>
          <w:tcPr>
            <w:tcW w:w="846" w:type="dxa"/>
            <w:tcMar>
              <w:left w:w="108" w:type="dxa"/>
              <w:right w:w="0" w:type="dxa"/>
            </w:tcMar>
          </w:tcPr>
          <w:p w:rsidR="00CC13EC" w:rsidRDefault="00CC13EC" w:rsidP="000D7E0A">
            <w:pPr>
              <w:pStyle w:val="PrincCont"/>
              <w:jc w:val="left"/>
              <w:rPr>
                <w:lang w:val="it-IT"/>
              </w:rPr>
            </w:pPr>
            <w:r>
              <w:rPr>
                <w:lang w:val="it-IT"/>
              </w:rPr>
              <w:t>OIC 19.92</w:t>
            </w:r>
          </w:p>
        </w:tc>
        <w:tc>
          <w:tcPr>
            <w:tcW w:w="6959" w:type="dxa"/>
            <w:tcMar>
              <w:left w:w="108" w:type="dxa"/>
            </w:tcMar>
          </w:tcPr>
          <w:p w:rsidR="00CC13EC" w:rsidRPr="00D67F45" w:rsidRDefault="00CC13EC" w:rsidP="00181C91">
            <w:pPr>
              <w:pStyle w:val="trattinosottoa"/>
              <w:tabs>
                <w:tab w:val="clear" w:pos="704"/>
              </w:tabs>
              <w:spacing w:line="230" w:lineRule="exact"/>
              <w:ind w:left="460" w:hanging="284"/>
            </w:pPr>
            <w:r w:rsidRPr="00D67F45">
              <w:t>nel risultato dell’esercizio precedente la quota relativa agli effetti sorti nel corso dell’esercizio precedente</w:t>
            </w:r>
            <w:r>
              <w:t>?</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CA1681">
              <w:rPr>
                <w:lang w:val="it-IT"/>
              </w:rPr>
            </w:r>
            <w:r w:rsidR="00CA1681">
              <w:rPr>
                <w:lang w:val="it-IT"/>
              </w:rPr>
              <w:fldChar w:fldCharType="separate"/>
            </w:r>
            <w:r w:rsidRPr="00C23DD7">
              <w:rPr>
                <w:lang w:val="it-IT"/>
              </w:rPr>
              <w:fldChar w:fldCharType="end"/>
            </w:r>
          </w:p>
        </w:tc>
      </w:tr>
      <w:tr w:rsidR="00CC13EC" w:rsidRPr="00CC242B" w:rsidTr="000D7E0A">
        <w:trPr>
          <w:cantSplit/>
          <w:trHeight w:val="20"/>
        </w:trPr>
        <w:tc>
          <w:tcPr>
            <w:tcW w:w="675" w:type="dxa"/>
          </w:tcPr>
          <w:p w:rsidR="00CC13EC" w:rsidRPr="0075607F" w:rsidRDefault="00CC13EC" w:rsidP="000D7E0A">
            <w:pPr>
              <w:jc w:val="center"/>
              <w:rPr>
                <w:lang w:val="it-IT"/>
              </w:rPr>
            </w:pPr>
          </w:p>
        </w:tc>
        <w:tc>
          <w:tcPr>
            <w:tcW w:w="846" w:type="dxa"/>
            <w:tcMar>
              <w:left w:w="108" w:type="dxa"/>
              <w:right w:w="0" w:type="dxa"/>
            </w:tcMar>
          </w:tcPr>
          <w:p w:rsidR="00CC13EC" w:rsidRDefault="00CC13EC" w:rsidP="000D7E0A">
            <w:pPr>
              <w:pStyle w:val="PrincCont"/>
              <w:jc w:val="left"/>
              <w:rPr>
                <w:lang w:val="it-IT"/>
              </w:rPr>
            </w:pPr>
            <w:r>
              <w:rPr>
                <w:lang w:val="it-IT"/>
              </w:rPr>
              <w:t>OIC 19.93</w:t>
            </w:r>
          </w:p>
        </w:tc>
        <w:tc>
          <w:tcPr>
            <w:tcW w:w="6959" w:type="dxa"/>
            <w:tcMar>
              <w:left w:w="108" w:type="dxa"/>
            </w:tcMar>
          </w:tcPr>
          <w:p w:rsidR="00CC13EC" w:rsidRPr="00D67F45" w:rsidRDefault="00CC13EC" w:rsidP="000D7E0A">
            <w:pPr>
              <w:pStyle w:val="Commentiriquadro"/>
            </w:pPr>
            <w:r w:rsidRPr="00005D1D">
              <w:t>Nel caso in cui una società che redige il bilancio in forma abbreviata o una micro-impresa decida di optare per il criterio del costo ammortizzato, si applicano i paragrafi 91-92. Tali paragrafi si applicano anche nel caso in cui una società che redige il bilancio in forma abbreviata o una micro-impresa diventi una società che redige il bilancio in forma ordinaria.</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C242B" w:rsidTr="000D7E0A">
        <w:trPr>
          <w:cantSplit/>
          <w:trHeight w:val="20"/>
        </w:trPr>
        <w:tc>
          <w:tcPr>
            <w:tcW w:w="675" w:type="dxa"/>
          </w:tcPr>
          <w:p w:rsidR="00CC13EC" w:rsidRDefault="00CC13EC" w:rsidP="000D7E0A">
            <w:pPr>
              <w:rPr>
                <w:lang w:val="it-IT"/>
              </w:rPr>
            </w:pPr>
          </w:p>
        </w:tc>
        <w:tc>
          <w:tcPr>
            <w:tcW w:w="846" w:type="dxa"/>
            <w:tcMar>
              <w:left w:w="108" w:type="dxa"/>
              <w:right w:w="0" w:type="dxa"/>
            </w:tcMar>
          </w:tcPr>
          <w:p w:rsidR="00CC13EC" w:rsidRDefault="00CC13EC" w:rsidP="000D7E0A">
            <w:pPr>
              <w:pStyle w:val="PrincCont"/>
              <w:jc w:val="left"/>
              <w:rPr>
                <w:lang w:val="it-IT"/>
              </w:rPr>
            </w:pPr>
            <w:r>
              <w:rPr>
                <w:lang w:val="it-IT"/>
              </w:rPr>
              <w:t>OIC 19.94</w:t>
            </w:r>
          </w:p>
        </w:tc>
        <w:tc>
          <w:tcPr>
            <w:tcW w:w="6959" w:type="dxa"/>
            <w:tcMar>
              <w:left w:w="108" w:type="dxa"/>
            </w:tcMar>
          </w:tcPr>
          <w:p w:rsidR="00CC13EC" w:rsidRDefault="00CC13EC" w:rsidP="000D7E0A">
            <w:pPr>
              <w:pStyle w:val="Commentiriquadro"/>
            </w:pPr>
            <w:r w:rsidRPr="00005D1D">
              <w:t>I seguenti casi costituiscono cambiamenti di principi contabili volontari e sono, pertanto, disciplinati dall’OIC 29:</w:t>
            </w:r>
          </w:p>
          <w:p w:rsidR="00CC13EC" w:rsidRDefault="00CC13EC" w:rsidP="000D7E0A">
            <w:pPr>
              <w:pStyle w:val="Commentiriquadro"/>
              <w:ind w:left="186" w:hanging="129"/>
            </w:pPr>
            <w:r>
              <w:t xml:space="preserve">- </w:t>
            </w:r>
            <w:r>
              <w:tab/>
            </w:r>
            <w:r w:rsidRPr="00005D1D">
              <w:t>una società che redige il bilancio in forma ordinaria che diventa una società che redige il bilancio in forma abbreviata, e decide di non applicare più il criterio del costo ammortizzato e l’attualizzazione;</w:t>
            </w:r>
          </w:p>
          <w:p w:rsidR="00CC13EC" w:rsidRPr="00005D1D" w:rsidRDefault="00CC13EC" w:rsidP="000D7E0A">
            <w:pPr>
              <w:pStyle w:val="Commentiriquadro"/>
              <w:ind w:left="186" w:hanging="129"/>
            </w:pPr>
            <w:r>
              <w:t>-</w:t>
            </w:r>
            <w:r>
              <w:tab/>
              <w:t xml:space="preserve"> </w:t>
            </w:r>
            <w:r w:rsidRPr="00005D1D">
              <w:t>una società che redige il bilancio in forma abbreviata (art. 2435-</w:t>
            </w:r>
            <w:r w:rsidRPr="00221C5E">
              <w:t>bis</w:t>
            </w:r>
            <w:r>
              <w:t xml:space="preserve"> CC</w:t>
            </w:r>
            <w:r w:rsidRPr="00005D1D">
              <w:t>) che decide facoltativamente di non applicare più il criterio del costo ammortizzato e l’attualizzazione.</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C242B" w:rsidTr="000D7E0A">
        <w:trPr>
          <w:cantSplit/>
          <w:trHeight w:val="20"/>
        </w:trPr>
        <w:tc>
          <w:tcPr>
            <w:tcW w:w="675" w:type="dxa"/>
          </w:tcPr>
          <w:p w:rsidR="00CC13EC" w:rsidRDefault="00CC13EC" w:rsidP="000D7E0A">
            <w:pPr>
              <w:rPr>
                <w:lang w:val="it-IT"/>
              </w:rPr>
            </w:pPr>
          </w:p>
        </w:tc>
        <w:tc>
          <w:tcPr>
            <w:tcW w:w="846" w:type="dxa"/>
            <w:tcMar>
              <w:left w:w="108" w:type="dxa"/>
              <w:right w:w="0" w:type="dxa"/>
            </w:tcMar>
          </w:tcPr>
          <w:p w:rsidR="00CC13EC" w:rsidRDefault="00CC13EC" w:rsidP="000D7E0A">
            <w:pPr>
              <w:pStyle w:val="PrincCont"/>
              <w:jc w:val="left"/>
              <w:rPr>
                <w:lang w:val="it-IT"/>
              </w:rPr>
            </w:pPr>
            <w:r>
              <w:rPr>
                <w:lang w:val="it-IT"/>
              </w:rPr>
              <w:t>OIC 19.95</w:t>
            </w:r>
          </w:p>
        </w:tc>
        <w:tc>
          <w:tcPr>
            <w:tcW w:w="6959" w:type="dxa"/>
            <w:tcMar>
              <w:left w:w="108" w:type="dxa"/>
            </w:tcMar>
          </w:tcPr>
          <w:p w:rsidR="00CC13EC" w:rsidRPr="00D67F45" w:rsidRDefault="00CC13EC" w:rsidP="000D7E0A">
            <w:pPr>
              <w:pStyle w:val="Commentiriquadro"/>
            </w:pPr>
            <w:r w:rsidRPr="00005D1D">
              <w:t>Eventuali effetti derivanti dall’applicazione delle altre modifiche apportate alla precedente versione dell’OIC 19 possono essere rilevati in bilancio prospetticamente ai sensi dell’OIC 29. Pertanto le componenti delle voci riferite ad operazioni che non hanno ancora esaurito i loro effetti in bilancio possono continuare ad essere contabilizzate in conformità al precedente principio.</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bl>
    <w:p w:rsidR="00181C91" w:rsidRPr="00C23DD7" w:rsidRDefault="00181C91" w:rsidP="00181C91">
      <w:pPr>
        <w:rPr>
          <w:lang w:val="it-IT"/>
        </w:rPr>
      </w:pPr>
    </w:p>
    <w:p w:rsidR="00181C91" w:rsidRDefault="00181C91" w:rsidP="00AD4AE2">
      <w:pPr>
        <w:rPr>
          <w:lang w:val="it-IT"/>
        </w:rPr>
        <w:sectPr w:rsidR="00181C91" w:rsidSect="008E5F3E">
          <w:headerReference w:type="default" r:id="rId49"/>
          <w:footerReference w:type="default" r:id="rId50"/>
          <w:pgSz w:w="11906" w:h="16838" w:code="9"/>
          <w:pgMar w:top="1134" w:right="851" w:bottom="851" w:left="851" w:header="709" w:footer="567" w:gutter="0"/>
          <w:cols w:space="708"/>
          <w:docGrid w:linePitch="360"/>
        </w:sectPr>
      </w:pPr>
    </w:p>
    <w:p w:rsidR="004D7697" w:rsidRPr="00655A70" w:rsidRDefault="004D7697" w:rsidP="004D7697">
      <w:pPr>
        <w:tabs>
          <w:tab w:val="left" w:pos="1890"/>
        </w:tabs>
        <w:spacing w:line="260" w:lineRule="exact"/>
        <w:ind w:left="990" w:hanging="990"/>
        <w:jc w:val="left"/>
        <w:rPr>
          <w:sz w:val="28"/>
          <w:lang w:val="it-IT"/>
        </w:rPr>
      </w:pPr>
    </w:p>
    <w:p w:rsidR="004D7697" w:rsidRPr="00532C62" w:rsidRDefault="004D7697" w:rsidP="004D7697">
      <w:pPr>
        <w:pStyle w:val="TitoloPRINCIPIOOIC"/>
        <w:ind w:left="0" w:firstLine="0"/>
        <w:rPr>
          <w:b/>
          <w:color w:val="0070C0"/>
        </w:rPr>
      </w:pPr>
      <w:r w:rsidRPr="00532C62">
        <w:rPr>
          <w:b/>
          <w:color w:val="0070C0"/>
        </w:rPr>
        <w:t>Strumenti finanziari derivati</w:t>
      </w:r>
    </w:p>
    <w:p w:rsidR="004D7697" w:rsidRPr="00694441" w:rsidRDefault="004D7697" w:rsidP="004D7697">
      <w:pPr>
        <w:tabs>
          <w:tab w:val="left" w:pos="1890"/>
        </w:tabs>
        <w:spacing w:line="260" w:lineRule="exact"/>
        <w:ind w:left="990" w:hanging="990"/>
        <w:jc w:val="left"/>
        <w:rPr>
          <w:sz w:val="28"/>
        </w:rPr>
      </w:pPr>
    </w:p>
    <w:p w:rsidR="004D7697" w:rsidRPr="008A0F36" w:rsidRDefault="004D7697" w:rsidP="004D7697">
      <w:pPr>
        <w:rPr>
          <w:lang w:val="it-IT"/>
        </w:rPr>
      </w:pPr>
    </w:p>
    <w:tbl>
      <w:tblPr>
        <w:tblW w:w="10318" w:type="dxa"/>
        <w:tblInd w:w="-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79"/>
        <w:gridCol w:w="851"/>
        <w:gridCol w:w="7079"/>
        <w:gridCol w:w="575"/>
        <w:gridCol w:w="567"/>
        <w:gridCol w:w="567"/>
      </w:tblGrid>
      <w:tr w:rsidR="004D7697" w:rsidRPr="008A0F36" w:rsidTr="000D7E0A">
        <w:trPr>
          <w:cantSplit/>
          <w:trHeight w:val="20"/>
          <w:tblHeader/>
        </w:trPr>
        <w:tc>
          <w:tcPr>
            <w:tcW w:w="679" w:type="dxa"/>
            <w:shd w:val="clear" w:color="auto" w:fill="F2F2F2" w:themeFill="background1" w:themeFillShade="F2"/>
          </w:tcPr>
          <w:p w:rsidR="004D7697" w:rsidRPr="008A0F36" w:rsidRDefault="004D7697" w:rsidP="000D7E0A">
            <w:pPr>
              <w:jc w:val="center"/>
              <w:rPr>
                <w:b/>
                <w:lang w:val="it-IT"/>
              </w:rPr>
            </w:pPr>
          </w:p>
        </w:tc>
        <w:tc>
          <w:tcPr>
            <w:tcW w:w="851" w:type="dxa"/>
            <w:shd w:val="clear" w:color="auto" w:fill="F2F2F2" w:themeFill="background1" w:themeFillShade="F2"/>
            <w:tcMar>
              <w:left w:w="108" w:type="dxa"/>
              <w:right w:w="0" w:type="dxa"/>
            </w:tcMar>
          </w:tcPr>
          <w:p w:rsidR="004D7697" w:rsidRPr="008A0F36" w:rsidRDefault="004D7697" w:rsidP="000D7E0A">
            <w:pPr>
              <w:jc w:val="center"/>
              <w:rPr>
                <w:b/>
                <w:lang w:val="it-IT"/>
              </w:rPr>
            </w:pPr>
          </w:p>
        </w:tc>
        <w:tc>
          <w:tcPr>
            <w:tcW w:w="7079" w:type="dxa"/>
            <w:shd w:val="clear" w:color="auto" w:fill="F2F2F2" w:themeFill="background1" w:themeFillShade="F2"/>
            <w:tcMar>
              <w:left w:w="108" w:type="dxa"/>
            </w:tcMar>
          </w:tcPr>
          <w:p w:rsidR="004D7697" w:rsidRPr="008A0F36" w:rsidRDefault="004D7697" w:rsidP="000D7E0A">
            <w:pPr>
              <w:jc w:val="center"/>
              <w:rPr>
                <w:b/>
                <w:lang w:val="it-IT"/>
              </w:rPr>
            </w:pPr>
          </w:p>
        </w:tc>
        <w:tc>
          <w:tcPr>
            <w:tcW w:w="575" w:type="dxa"/>
            <w:shd w:val="clear" w:color="auto" w:fill="F2F2F2" w:themeFill="background1" w:themeFillShade="F2"/>
            <w:tcMar>
              <w:left w:w="85" w:type="dxa"/>
              <w:right w:w="85" w:type="dxa"/>
            </w:tcMar>
            <w:vAlign w:val="bottom"/>
          </w:tcPr>
          <w:p w:rsidR="004D7697" w:rsidRPr="008A0F36" w:rsidRDefault="004D7697" w:rsidP="000D7E0A">
            <w:pPr>
              <w:jc w:val="center"/>
              <w:rPr>
                <w:b/>
                <w:lang w:val="it-IT"/>
              </w:rPr>
            </w:pPr>
            <w:r w:rsidRPr="008A0F36">
              <w:rPr>
                <w:b/>
                <w:lang w:val="it-IT"/>
              </w:rPr>
              <w:t>SI</w:t>
            </w:r>
          </w:p>
        </w:tc>
        <w:tc>
          <w:tcPr>
            <w:tcW w:w="567" w:type="dxa"/>
            <w:shd w:val="clear" w:color="auto" w:fill="F2F2F2" w:themeFill="background1" w:themeFillShade="F2"/>
            <w:tcMar>
              <w:left w:w="108" w:type="dxa"/>
            </w:tcMar>
            <w:vAlign w:val="bottom"/>
          </w:tcPr>
          <w:p w:rsidR="004D7697" w:rsidRPr="008A0F36" w:rsidRDefault="004D7697" w:rsidP="000D7E0A">
            <w:pPr>
              <w:jc w:val="center"/>
              <w:rPr>
                <w:b/>
                <w:lang w:val="it-IT"/>
              </w:rPr>
            </w:pPr>
            <w:r w:rsidRPr="008A0F36">
              <w:rPr>
                <w:b/>
                <w:lang w:val="it-IT"/>
              </w:rPr>
              <w:t>NO</w:t>
            </w:r>
          </w:p>
        </w:tc>
        <w:tc>
          <w:tcPr>
            <w:tcW w:w="567" w:type="dxa"/>
            <w:shd w:val="clear" w:color="auto" w:fill="F2F2F2" w:themeFill="background1" w:themeFillShade="F2"/>
            <w:tcMar>
              <w:left w:w="108" w:type="dxa"/>
            </w:tcMar>
            <w:vAlign w:val="bottom"/>
          </w:tcPr>
          <w:p w:rsidR="004D7697" w:rsidRPr="008A0F36" w:rsidRDefault="004D7697" w:rsidP="000D7E0A">
            <w:pPr>
              <w:jc w:val="center"/>
              <w:rPr>
                <w:b/>
                <w:lang w:val="it-IT"/>
              </w:rPr>
            </w:pPr>
            <w:r w:rsidRPr="008A0F36">
              <w:rPr>
                <w:b/>
                <w:lang w:val="it-IT"/>
              </w:rPr>
              <w:t>N/A</w:t>
            </w:r>
          </w:p>
        </w:tc>
      </w:tr>
      <w:tr w:rsidR="004D7697" w:rsidRPr="008A0F36" w:rsidTr="000D7E0A">
        <w:trPr>
          <w:cantSplit/>
          <w:trHeight w:val="20"/>
        </w:trPr>
        <w:tc>
          <w:tcPr>
            <w:tcW w:w="679" w:type="dxa"/>
            <w:vAlign w:val="center"/>
          </w:tcPr>
          <w:p w:rsidR="004D7697" w:rsidRPr="008A0F36" w:rsidRDefault="004D7697" w:rsidP="000D7E0A">
            <w:pPr>
              <w:jc w:val="left"/>
              <w:rPr>
                <w:lang w:val="it-IT"/>
              </w:rPr>
            </w:pPr>
          </w:p>
        </w:tc>
        <w:tc>
          <w:tcPr>
            <w:tcW w:w="851" w:type="dxa"/>
            <w:tcMar>
              <w:left w:w="108" w:type="dxa"/>
              <w:right w:w="0" w:type="dxa"/>
            </w:tcMar>
            <w:vAlign w:val="center"/>
          </w:tcPr>
          <w:p w:rsidR="004D7697" w:rsidRPr="008A0F36" w:rsidRDefault="004D7697" w:rsidP="000D7E0A">
            <w:pPr>
              <w:pStyle w:val="PrincCont"/>
              <w:jc w:val="left"/>
              <w:rPr>
                <w:lang w:val="it-IT"/>
              </w:rPr>
            </w:pPr>
          </w:p>
        </w:tc>
        <w:tc>
          <w:tcPr>
            <w:tcW w:w="7079" w:type="dxa"/>
            <w:tcMar>
              <w:left w:w="108" w:type="dxa"/>
            </w:tcMar>
            <w:vAlign w:val="center"/>
          </w:tcPr>
          <w:p w:rsidR="004D7697" w:rsidRPr="008A0F36" w:rsidRDefault="004D7697" w:rsidP="000D7E0A">
            <w:pPr>
              <w:pStyle w:val="Titolo1"/>
            </w:pPr>
            <w:r w:rsidRPr="00762C8D">
              <w:t>STRUMENTI FINANZIARI DERIVATI</w:t>
            </w:r>
          </w:p>
        </w:tc>
        <w:tc>
          <w:tcPr>
            <w:tcW w:w="575" w:type="dxa"/>
            <w:tcMar>
              <w:left w:w="85" w:type="dxa"/>
              <w:right w:w="85" w:type="dxa"/>
            </w:tcMar>
            <w:vAlign w:val="center"/>
          </w:tcPr>
          <w:p w:rsidR="004D7697" w:rsidRPr="008A0F36" w:rsidRDefault="004D7697" w:rsidP="000D7E0A">
            <w:pPr>
              <w:jc w:val="left"/>
              <w:rPr>
                <w:lang w:val="it-IT"/>
              </w:rPr>
            </w:pPr>
          </w:p>
        </w:tc>
        <w:tc>
          <w:tcPr>
            <w:tcW w:w="567" w:type="dxa"/>
            <w:tcMar>
              <w:left w:w="108" w:type="dxa"/>
            </w:tcMar>
            <w:vAlign w:val="center"/>
          </w:tcPr>
          <w:p w:rsidR="004D7697" w:rsidRPr="008A0F36" w:rsidRDefault="004D7697" w:rsidP="000D7E0A">
            <w:pPr>
              <w:jc w:val="left"/>
              <w:rPr>
                <w:lang w:val="it-IT"/>
              </w:rPr>
            </w:pPr>
          </w:p>
        </w:tc>
        <w:tc>
          <w:tcPr>
            <w:tcW w:w="567" w:type="dxa"/>
            <w:tcMar>
              <w:left w:w="108" w:type="dxa"/>
            </w:tcMar>
            <w:vAlign w:val="center"/>
          </w:tcPr>
          <w:p w:rsidR="004D7697" w:rsidRPr="008A0F36" w:rsidRDefault="004D7697" w:rsidP="000D7E0A">
            <w:pPr>
              <w:jc w:val="left"/>
              <w:rPr>
                <w:lang w:val="it-IT"/>
              </w:rPr>
            </w:pPr>
          </w:p>
        </w:tc>
      </w:tr>
      <w:tr w:rsidR="004D7697" w:rsidRPr="00B44710" w:rsidTr="000D7E0A">
        <w:trPr>
          <w:cantSplit/>
          <w:trHeight w:val="340"/>
        </w:trPr>
        <w:tc>
          <w:tcPr>
            <w:tcW w:w="679" w:type="dxa"/>
            <w:vAlign w:val="center"/>
          </w:tcPr>
          <w:p w:rsidR="004D7697" w:rsidRPr="008A0F36" w:rsidRDefault="004D7697" w:rsidP="000D7E0A">
            <w:pPr>
              <w:jc w:val="left"/>
              <w:rPr>
                <w:lang w:val="it-IT"/>
              </w:rPr>
            </w:pPr>
          </w:p>
        </w:tc>
        <w:tc>
          <w:tcPr>
            <w:tcW w:w="851" w:type="dxa"/>
            <w:tcMar>
              <w:left w:w="108" w:type="dxa"/>
              <w:right w:w="0" w:type="dxa"/>
            </w:tcMar>
            <w:vAlign w:val="center"/>
          </w:tcPr>
          <w:p w:rsidR="004D7697" w:rsidRPr="008A0F36" w:rsidRDefault="004D7697" w:rsidP="000D7E0A">
            <w:pPr>
              <w:pStyle w:val="PrincCont"/>
              <w:jc w:val="left"/>
              <w:rPr>
                <w:lang w:val="it-IT"/>
              </w:rPr>
            </w:pPr>
          </w:p>
        </w:tc>
        <w:tc>
          <w:tcPr>
            <w:tcW w:w="7079" w:type="dxa"/>
            <w:tcMar>
              <w:left w:w="108" w:type="dxa"/>
            </w:tcMar>
            <w:vAlign w:val="center"/>
          </w:tcPr>
          <w:p w:rsidR="004D7697" w:rsidRPr="00C737BB" w:rsidRDefault="004D7697" w:rsidP="000D7E0A">
            <w:pPr>
              <w:pStyle w:val="Titolo2"/>
            </w:pPr>
            <w:r w:rsidRPr="00C737BB">
              <w:rPr>
                <w:lang w:val="it-IT"/>
              </w:rPr>
              <w:t xml:space="preserve">Definizioni </w:t>
            </w:r>
          </w:p>
        </w:tc>
        <w:tc>
          <w:tcPr>
            <w:tcW w:w="575" w:type="dxa"/>
            <w:tcMar>
              <w:left w:w="85" w:type="dxa"/>
              <w:right w:w="85" w:type="dxa"/>
            </w:tcMar>
            <w:vAlign w:val="center"/>
          </w:tcPr>
          <w:p w:rsidR="004D7697" w:rsidRPr="008A0F36" w:rsidRDefault="004D7697" w:rsidP="000D7E0A">
            <w:pPr>
              <w:jc w:val="left"/>
              <w:rPr>
                <w:lang w:val="it-IT"/>
              </w:rPr>
            </w:pPr>
          </w:p>
        </w:tc>
        <w:tc>
          <w:tcPr>
            <w:tcW w:w="567" w:type="dxa"/>
            <w:tcMar>
              <w:left w:w="108" w:type="dxa"/>
            </w:tcMar>
            <w:vAlign w:val="center"/>
          </w:tcPr>
          <w:p w:rsidR="004D7697" w:rsidRPr="008A0F36" w:rsidRDefault="004D7697" w:rsidP="000D7E0A">
            <w:pPr>
              <w:jc w:val="left"/>
              <w:rPr>
                <w:lang w:val="it-IT"/>
              </w:rPr>
            </w:pPr>
          </w:p>
        </w:tc>
        <w:tc>
          <w:tcPr>
            <w:tcW w:w="567" w:type="dxa"/>
            <w:tcMar>
              <w:left w:w="108" w:type="dxa"/>
            </w:tcMar>
            <w:vAlign w:val="center"/>
          </w:tcPr>
          <w:p w:rsidR="004D7697" w:rsidRPr="008A0F36" w:rsidRDefault="004D7697" w:rsidP="000D7E0A">
            <w:pPr>
              <w:jc w:val="left"/>
              <w:rPr>
                <w:lang w:val="it-IT"/>
              </w:rPr>
            </w:pPr>
          </w:p>
        </w:tc>
      </w:tr>
      <w:tr w:rsidR="004D7697" w:rsidRPr="00CC242B"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32.9</w:t>
            </w:r>
          </w:p>
        </w:tc>
        <w:tc>
          <w:tcPr>
            <w:tcW w:w="7079" w:type="dxa"/>
            <w:tcMar>
              <w:left w:w="108" w:type="dxa"/>
            </w:tcMar>
          </w:tcPr>
          <w:p w:rsidR="004D7697" w:rsidRPr="000C3DBE" w:rsidRDefault="004D7697" w:rsidP="000D7E0A">
            <w:pPr>
              <w:pStyle w:val="Commentiriquadro"/>
            </w:pPr>
            <w:r w:rsidRPr="000C3DBE">
              <w:t>Ai sensi dell’articolo 2426, comma 2, del codice civile le definizioni di “strumento finanziario”, “strumento finanziario derivato” e “</w:t>
            </w:r>
            <w:r w:rsidRPr="000C3DBE">
              <w:rPr>
                <w:i/>
                <w:iCs/>
              </w:rPr>
              <w:t>fair value</w:t>
            </w:r>
            <w:r w:rsidRPr="000C3DBE">
              <w:t>” sono state mutuate dai principi contabili internazionali adottati dall’</w:t>
            </w:r>
            <w:r>
              <w:t>Unione Europea.</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CC242B"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32.10</w:t>
            </w:r>
          </w:p>
        </w:tc>
        <w:tc>
          <w:tcPr>
            <w:tcW w:w="7079" w:type="dxa"/>
            <w:tcMar>
              <w:left w:w="108" w:type="dxa"/>
            </w:tcMar>
          </w:tcPr>
          <w:p w:rsidR="004D7697" w:rsidRPr="000C3DBE" w:rsidRDefault="004D7697" w:rsidP="000D7E0A">
            <w:pPr>
              <w:pStyle w:val="Commentiriquadro"/>
            </w:pPr>
            <w:r w:rsidRPr="000C3DBE">
              <w:t xml:space="preserve">Uno </w:t>
            </w:r>
            <w:r w:rsidRPr="000C3DBE">
              <w:rPr>
                <w:i/>
                <w:iCs/>
              </w:rPr>
              <w:t xml:space="preserve">strumento finanziario </w:t>
            </w:r>
            <w:r w:rsidRPr="000C3DBE">
              <w:t>è qualsiasi contratto che dia origine ad un’attività finanziaria per una società e ad una passività finanziaria o ad uno strumento di capitale per un’</w:t>
            </w:r>
            <w:r>
              <w:t>altra società</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CC242B"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32.11</w:t>
            </w:r>
          </w:p>
        </w:tc>
        <w:tc>
          <w:tcPr>
            <w:tcW w:w="7079" w:type="dxa"/>
            <w:tcMar>
              <w:left w:w="108" w:type="dxa"/>
            </w:tcMar>
          </w:tcPr>
          <w:p w:rsidR="004D7697" w:rsidRPr="000C3DBE" w:rsidRDefault="004D7697" w:rsidP="000D7E0A">
            <w:pPr>
              <w:pStyle w:val="Commentiriquadro"/>
            </w:pPr>
            <w:r w:rsidRPr="000C3DBE">
              <w:t xml:space="preserve">Un </w:t>
            </w:r>
            <w:r w:rsidRPr="000C3DBE">
              <w:rPr>
                <w:i/>
                <w:iCs/>
              </w:rPr>
              <w:t xml:space="preserve">derivato </w:t>
            </w:r>
            <w:r w:rsidRPr="000C3DBE">
              <w:t>è uno strumento finanziario o un altro contratto che possiede le seguenti tre caratteristiche:</w:t>
            </w:r>
          </w:p>
          <w:p w:rsidR="004D7697" w:rsidRPr="000C3DBE" w:rsidRDefault="004D7697" w:rsidP="000D7E0A">
            <w:pPr>
              <w:pStyle w:val="Commentiriquadro"/>
              <w:ind w:left="317" w:hanging="260"/>
            </w:pPr>
            <w:r w:rsidRPr="000C3DBE">
              <w:t xml:space="preserve">a) </w:t>
            </w:r>
            <w:r>
              <w:tab/>
            </w:r>
            <w:r w:rsidRPr="000C3DBE">
              <w:t xml:space="preserve">il suo valore varia come conseguenza della variazione di un determinato tasso di interesse, prezzo di strumenti finanziari, prezzo di merci, tasso di cambio, indice di prezzo o di tasso, </w:t>
            </w:r>
            <w:r w:rsidRPr="000C3DBE">
              <w:rPr>
                <w:i/>
                <w:iCs/>
              </w:rPr>
              <w:t xml:space="preserve">rating </w:t>
            </w:r>
            <w:r w:rsidRPr="000C3DBE">
              <w:t>di credito o indice di credito o altra variabile, a condizione che, nel caso di una variabile non finanziaria, tale variabile non sia specifica di una delle controparti contrattuali (a volte chiamato il sottostante);</w:t>
            </w:r>
          </w:p>
          <w:p w:rsidR="004D7697" w:rsidRPr="000C3DBE" w:rsidRDefault="004D7697" w:rsidP="000D7E0A">
            <w:pPr>
              <w:pStyle w:val="Commentiriquadro"/>
              <w:ind w:left="317" w:hanging="260"/>
            </w:pPr>
            <w:r w:rsidRPr="000C3DBE">
              <w:t xml:space="preserve">b) </w:t>
            </w:r>
            <w:r>
              <w:tab/>
            </w:r>
            <w:r w:rsidRPr="000C3DBE">
              <w:t>non richiede un investimento netto iniziale o richiede un investimento netto iniziale che sia minore di quanto sarebbe richiesto per altri tipi di contratti da cui ci si aspetterebbe una risposta simile a variazioni di fattori di mercato;</w:t>
            </w:r>
          </w:p>
          <w:p w:rsidR="004D7697" w:rsidRPr="000C3DBE" w:rsidRDefault="004D7697" w:rsidP="000D7E0A">
            <w:pPr>
              <w:pStyle w:val="Commentiriquadro"/>
              <w:ind w:left="317" w:hanging="260"/>
            </w:pPr>
            <w:r w:rsidRPr="000C3DBE">
              <w:t xml:space="preserve">c) </w:t>
            </w:r>
            <w:r>
              <w:tab/>
            </w:r>
            <w:r w:rsidRPr="000C3DBE">
              <w:t>è regolato a data futura.</w:t>
            </w:r>
          </w:p>
          <w:p w:rsidR="004D7697" w:rsidRPr="000C3DBE" w:rsidRDefault="004D7697" w:rsidP="000D7E0A">
            <w:pPr>
              <w:pStyle w:val="Commentiriquadro"/>
            </w:pPr>
            <w:r w:rsidRPr="000C3DBE">
              <w:t xml:space="preserve">L’Appendice A dell’OIC </w:t>
            </w:r>
            <w:r>
              <w:t>3</w:t>
            </w:r>
            <w:r w:rsidRPr="000C3DBE">
              <w:t>2 illustra le principali casistiche di</w:t>
            </w:r>
            <w:r>
              <w:t xml:space="preserve"> strumenti finanziari derivati.</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CC242B"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32.12</w:t>
            </w:r>
          </w:p>
        </w:tc>
        <w:tc>
          <w:tcPr>
            <w:tcW w:w="7079" w:type="dxa"/>
            <w:tcMar>
              <w:left w:w="108" w:type="dxa"/>
            </w:tcMar>
          </w:tcPr>
          <w:p w:rsidR="004D7697" w:rsidRPr="000C3DBE" w:rsidRDefault="004D7697" w:rsidP="000D7E0A">
            <w:pPr>
              <w:pStyle w:val="Commentiriquadro"/>
            </w:pPr>
            <w:r w:rsidRPr="000C3DBE">
              <w:t xml:space="preserve">Il </w:t>
            </w:r>
            <w:r w:rsidRPr="000C3DBE">
              <w:rPr>
                <w:i/>
                <w:iCs/>
              </w:rPr>
              <w:t xml:space="preserve">fair value </w:t>
            </w:r>
            <w:r w:rsidRPr="000C3DBE">
              <w:t>è il prezzo che si percepirebbe per la vendita di un’attività ovvero che si pagherebbe per il trasferimento di una passività in una regolare operazione tra operatori di mercato alla data di valutazione.</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CC242B"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32.13</w:t>
            </w:r>
          </w:p>
        </w:tc>
        <w:tc>
          <w:tcPr>
            <w:tcW w:w="7079" w:type="dxa"/>
            <w:tcMar>
              <w:left w:w="108" w:type="dxa"/>
            </w:tcMar>
          </w:tcPr>
          <w:p w:rsidR="004D7697" w:rsidRPr="00E201B0" w:rsidRDefault="004D7697" w:rsidP="000D7E0A">
            <w:pPr>
              <w:pStyle w:val="Commentiriquadro"/>
            </w:pPr>
            <w:r w:rsidRPr="00E201B0">
              <w:t xml:space="preserve">Uno </w:t>
            </w:r>
            <w:r w:rsidRPr="00E201B0">
              <w:rPr>
                <w:i/>
                <w:iCs/>
              </w:rPr>
              <w:t xml:space="preserve">strumento di copertura </w:t>
            </w:r>
            <w:r w:rsidRPr="00E201B0">
              <w:t xml:space="preserve">è un derivato designato alla copertura di uno dei rischi individuati al paragrafo </w:t>
            </w:r>
            <w:r>
              <w:t>53.</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CC242B"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32.14</w:t>
            </w:r>
          </w:p>
        </w:tc>
        <w:tc>
          <w:tcPr>
            <w:tcW w:w="7079" w:type="dxa"/>
            <w:tcMar>
              <w:left w:w="108" w:type="dxa"/>
            </w:tcMar>
          </w:tcPr>
          <w:p w:rsidR="004D7697" w:rsidRPr="00E201B0" w:rsidRDefault="004D7697" w:rsidP="000D7E0A">
            <w:pPr>
              <w:pStyle w:val="Commentiriquadro"/>
            </w:pPr>
            <w:r w:rsidRPr="00E201B0">
              <w:t xml:space="preserve">Un </w:t>
            </w:r>
            <w:r w:rsidRPr="00E201B0">
              <w:rPr>
                <w:i/>
                <w:iCs/>
              </w:rPr>
              <w:t xml:space="preserve">elemento coperto </w:t>
            </w:r>
            <w:r w:rsidRPr="00E201B0">
              <w:t xml:space="preserve">è un’attività, una passività, un impegno irrevocabile, un’operazione programmata altamente probabile che (a) espone la società al rischio di variazioni nel </w:t>
            </w:r>
            <w:r w:rsidRPr="00E201B0">
              <w:rPr>
                <w:i/>
                <w:iCs/>
              </w:rPr>
              <w:t xml:space="preserve">fair value </w:t>
            </w:r>
            <w:r w:rsidRPr="00E201B0">
              <w:t>o nei flussi finanziari futuri e (b) è designato come coperto</w:t>
            </w:r>
            <w:r>
              <w:t>.</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CC242B"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32.15</w:t>
            </w:r>
          </w:p>
        </w:tc>
        <w:tc>
          <w:tcPr>
            <w:tcW w:w="7079" w:type="dxa"/>
            <w:tcMar>
              <w:left w:w="108" w:type="dxa"/>
            </w:tcMar>
          </w:tcPr>
          <w:p w:rsidR="004D7697" w:rsidRPr="00E201B0" w:rsidRDefault="004D7697" w:rsidP="000D7E0A">
            <w:pPr>
              <w:pStyle w:val="Commentiriquadro"/>
            </w:pPr>
            <w:r w:rsidRPr="00E201B0">
              <w:t xml:space="preserve">Un </w:t>
            </w:r>
            <w:r w:rsidRPr="00E201B0">
              <w:rPr>
                <w:i/>
                <w:iCs/>
              </w:rPr>
              <w:t xml:space="preserve">impegno irrevocabile </w:t>
            </w:r>
            <w:r w:rsidRPr="00E201B0">
              <w:t xml:space="preserve">è un accordo vincolante per lo scambio di una quantità prestabilita di risorse ad un prezzo prestabilito ad una data </w:t>
            </w:r>
            <w:r>
              <w:t>o più date future prestabilite.</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CC242B"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32.16</w:t>
            </w:r>
          </w:p>
        </w:tc>
        <w:tc>
          <w:tcPr>
            <w:tcW w:w="7079" w:type="dxa"/>
            <w:tcMar>
              <w:left w:w="108" w:type="dxa"/>
            </w:tcMar>
          </w:tcPr>
          <w:p w:rsidR="004D7697" w:rsidRPr="00E201B0" w:rsidRDefault="004D7697" w:rsidP="000D7E0A">
            <w:pPr>
              <w:pStyle w:val="Commentiriquadro"/>
            </w:pPr>
            <w:r w:rsidRPr="00E201B0">
              <w:t>Un’</w:t>
            </w:r>
            <w:r w:rsidRPr="00E201B0">
              <w:rPr>
                <w:i/>
                <w:iCs/>
              </w:rPr>
              <w:t xml:space="preserve">operazione programmata </w:t>
            </w:r>
            <w:r w:rsidRPr="00E201B0">
              <w:t xml:space="preserve">è un’operazione futura per la quale non vi è ancora un impegno </w:t>
            </w:r>
            <w:r>
              <w:t>irrevocabile.</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CC242B"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32.17</w:t>
            </w:r>
          </w:p>
        </w:tc>
        <w:tc>
          <w:tcPr>
            <w:tcW w:w="7079" w:type="dxa"/>
            <w:tcMar>
              <w:left w:w="108" w:type="dxa"/>
            </w:tcMar>
          </w:tcPr>
          <w:p w:rsidR="004D7697" w:rsidRPr="00E201B0" w:rsidRDefault="004D7697" w:rsidP="000D7E0A">
            <w:pPr>
              <w:pStyle w:val="Commentiriquadro"/>
            </w:pPr>
            <w:r w:rsidRPr="00E201B0">
              <w:t xml:space="preserve">Una </w:t>
            </w:r>
            <w:r w:rsidRPr="00E201B0">
              <w:rPr>
                <w:i/>
                <w:iCs/>
              </w:rPr>
              <w:t xml:space="preserve">relazione economica </w:t>
            </w:r>
            <w:r w:rsidRPr="00E201B0">
              <w:t>implica che il valore dello strumento di copertura evolve, in genere, nella direzione opposta del valore dell’elemento coperto in conseguenza di uno stesso rischio, che è il rischio oggetto di coper</w:t>
            </w:r>
            <w:r>
              <w:t>tura.</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CC242B"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sidRPr="009B4C9E">
              <w:rPr>
                <w:lang w:val="it-IT"/>
              </w:rPr>
              <w:t>OIC 32.</w:t>
            </w:r>
            <w:r>
              <w:rPr>
                <w:lang w:val="it-IT"/>
              </w:rPr>
              <w:t>1</w:t>
            </w:r>
            <w:r w:rsidRPr="009B4C9E">
              <w:rPr>
                <w:lang w:val="it-IT"/>
              </w:rPr>
              <w:t>8</w:t>
            </w:r>
          </w:p>
        </w:tc>
        <w:tc>
          <w:tcPr>
            <w:tcW w:w="7079" w:type="dxa"/>
            <w:tcMar>
              <w:left w:w="108" w:type="dxa"/>
            </w:tcMar>
          </w:tcPr>
          <w:p w:rsidR="004D7697" w:rsidRPr="00E201B0" w:rsidRDefault="004D7697" w:rsidP="000D7E0A">
            <w:pPr>
              <w:pStyle w:val="Commentiriquadro"/>
            </w:pPr>
            <w:r w:rsidRPr="00E201B0">
              <w:t>L’</w:t>
            </w:r>
            <w:r w:rsidRPr="00E201B0">
              <w:rPr>
                <w:i/>
                <w:iCs/>
              </w:rPr>
              <w:t xml:space="preserve">efficacia della copertura </w:t>
            </w:r>
            <w:r w:rsidRPr="00E201B0">
              <w:t xml:space="preserve">è il livello a cui le variazioni nel </w:t>
            </w:r>
            <w:r w:rsidRPr="00E201B0">
              <w:rPr>
                <w:i/>
                <w:iCs/>
              </w:rPr>
              <w:t xml:space="preserve">fair value </w:t>
            </w:r>
            <w:r w:rsidRPr="00E201B0">
              <w:t xml:space="preserve">o nei flussi finanziari dell’elemento coperto, che sono attribuibili ad un rischio coperto, sono compensate dalle variazioni nel </w:t>
            </w:r>
            <w:r w:rsidRPr="00E201B0">
              <w:rPr>
                <w:i/>
                <w:iCs/>
              </w:rPr>
              <w:t xml:space="preserve">fair value </w:t>
            </w:r>
            <w:r w:rsidRPr="00E201B0">
              <w:t>o nei flussi finanziar</w:t>
            </w:r>
            <w:r>
              <w:t>i dello strumento di copertura.</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CC242B"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32.19</w:t>
            </w:r>
          </w:p>
        </w:tc>
        <w:tc>
          <w:tcPr>
            <w:tcW w:w="7079" w:type="dxa"/>
            <w:tcMar>
              <w:left w:w="108" w:type="dxa"/>
            </w:tcMar>
          </w:tcPr>
          <w:p w:rsidR="004D7697" w:rsidRPr="00E201B0" w:rsidRDefault="004D7697" w:rsidP="000D7E0A">
            <w:pPr>
              <w:pStyle w:val="Commentiriquadro"/>
            </w:pPr>
            <w:r w:rsidRPr="00E201B0">
              <w:t>L’</w:t>
            </w:r>
            <w:r w:rsidRPr="00E201B0">
              <w:rPr>
                <w:i/>
                <w:iCs/>
              </w:rPr>
              <w:t xml:space="preserve">inefficacia della copertura </w:t>
            </w:r>
            <w:r w:rsidRPr="00E201B0">
              <w:t xml:space="preserve">è il grado in cui le variazioni del </w:t>
            </w:r>
            <w:r w:rsidRPr="00E201B0">
              <w:rPr>
                <w:i/>
                <w:iCs/>
              </w:rPr>
              <w:t xml:space="preserve">fair value </w:t>
            </w:r>
            <w:r w:rsidRPr="00E201B0">
              <w:t>o dei flussi finanziari dello strumento di copertura superano o sono inferiori a quelle dell’</w:t>
            </w:r>
            <w:r>
              <w:t>elemento coperto.</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CC242B"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32.20</w:t>
            </w:r>
          </w:p>
        </w:tc>
        <w:tc>
          <w:tcPr>
            <w:tcW w:w="7079" w:type="dxa"/>
            <w:tcMar>
              <w:left w:w="108" w:type="dxa"/>
            </w:tcMar>
          </w:tcPr>
          <w:p w:rsidR="004D7697" w:rsidRPr="00E201B0" w:rsidRDefault="004D7697" w:rsidP="000D7E0A">
            <w:pPr>
              <w:pStyle w:val="Commentiriquadro"/>
            </w:pPr>
            <w:r w:rsidRPr="00E201B0">
              <w:t xml:space="preserve">Il </w:t>
            </w:r>
            <w:r w:rsidRPr="00E201B0">
              <w:rPr>
                <w:i/>
                <w:iCs/>
              </w:rPr>
              <w:t xml:space="preserve">rapporto di copertura </w:t>
            </w:r>
            <w:r w:rsidRPr="00E201B0">
              <w:t>è il rapporto tra la quantità dello strumento di copertura e la quantità dell’elemento coperto in termini di peso relativo</w:t>
            </w:r>
            <w:r w:rsidRPr="00E201B0">
              <w:rPr>
                <w:sz w:val="23"/>
                <w:szCs w:val="23"/>
              </w:rPr>
              <w:t>.</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CC242B"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32.21</w:t>
            </w:r>
          </w:p>
        </w:tc>
        <w:tc>
          <w:tcPr>
            <w:tcW w:w="7079" w:type="dxa"/>
            <w:tcMar>
              <w:left w:w="108" w:type="dxa"/>
            </w:tcMar>
          </w:tcPr>
          <w:p w:rsidR="004D7697" w:rsidRPr="00E201B0" w:rsidRDefault="004D7697" w:rsidP="000D7E0A">
            <w:pPr>
              <w:pStyle w:val="Commentiriquadro"/>
            </w:pPr>
            <w:r w:rsidRPr="00E201B0">
              <w:t xml:space="preserve">Il </w:t>
            </w:r>
            <w:r w:rsidRPr="00E201B0">
              <w:rPr>
                <w:i/>
                <w:iCs/>
              </w:rPr>
              <w:t xml:space="preserve">mercato attivo </w:t>
            </w:r>
            <w:r w:rsidRPr="00E201B0">
              <w:t xml:space="preserve">è un mercato in cui le operazioni relative a strumenti finanziari derivati si verificano con una frequenza e con volumi sufficienti a fornire informazioni utili per la determinazione del </w:t>
            </w:r>
            <w:r>
              <w:t>prezzo su base continuativa.</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CC242B"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32.22</w:t>
            </w:r>
          </w:p>
        </w:tc>
        <w:tc>
          <w:tcPr>
            <w:tcW w:w="7079" w:type="dxa"/>
            <w:tcMar>
              <w:left w:w="108" w:type="dxa"/>
            </w:tcMar>
          </w:tcPr>
          <w:p w:rsidR="004D7697" w:rsidRPr="00E201B0" w:rsidRDefault="004D7697" w:rsidP="000D7E0A">
            <w:pPr>
              <w:pStyle w:val="Commentiriquadro"/>
            </w:pPr>
            <w:r w:rsidRPr="00E201B0">
              <w:t xml:space="preserve">Il </w:t>
            </w:r>
            <w:r w:rsidRPr="00E201B0">
              <w:rPr>
                <w:i/>
                <w:iCs/>
              </w:rPr>
              <w:t xml:space="preserve">mercato principale </w:t>
            </w:r>
            <w:r w:rsidRPr="00E201B0">
              <w:t xml:space="preserve">è il mercato con il maggior volume e il massimo livello di attività per strumenti </w:t>
            </w:r>
            <w:r>
              <w:t>finanziari derivati.</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CC242B"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32.23</w:t>
            </w:r>
          </w:p>
        </w:tc>
        <w:tc>
          <w:tcPr>
            <w:tcW w:w="7079" w:type="dxa"/>
            <w:tcMar>
              <w:left w:w="108" w:type="dxa"/>
            </w:tcMar>
          </w:tcPr>
          <w:p w:rsidR="004D7697" w:rsidRPr="00E201B0" w:rsidRDefault="004D7697" w:rsidP="000D7E0A">
            <w:pPr>
              <w:pStyle w:val="Commentiriquadro"/>
            </w:pPr>
            <w:r w:rsidRPr="00E201B0">
              <w:t xml:space="preserve">Il </w:t>
            </w:r>
            <w:r w:rsidRPr="00E201B0">
              <w:rPr>
                <w:i/>
                <w:iCs/>
              </w:rPr>
              <w:t xml:space="preserve">mercato più vantaggioso </w:t>
            </w:r>
            <w:r w:rsidRPr="00E201B0">
              <w:t>è quel mercato che massimizza l’ammontare che si percepirebbe per la vendita di uno strumento finanziario derivato o che riduce al minimo l’ammontare che si pagherebbe per il trasferimento di uno strumento finanziario derivato.</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CC242B"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Default="004D7697" w:rsidP="000D7E0A">
            <w:pPr>
              <w:pStyle w:val="PrincCont"/>
              <w:jc w:val="left"/>
              <w:rPr>
                <w:lang w:val="it-IT"/>
              </w:rPr>
            </w:pPr>
            <w:r>
              <w:rPr>
                <w:lang w:val="it-IT"/>
              </w:rPr>
              <w:t>OIC 32.24</w:t>
            </w:r>
          </w:p>
        </w:tc>
        <w:tc>
          <w:tcPr>
            <w:tcW w:w="7079" w:type="dxa"/>
            <w:tcMar>
              <w:left w:w="108" w:type="dxa"/>
            </w:tcMar>
          </w:tcPr>
          <w:p w:rsidR="004D7697" w:rsidRPr="00E201B0" w:rsidRDefault="004D7697" w:rsidP="000D7E0A">
            <w:pPr>
              <w:pStyle w:val="Commentiriquadro"/>
            </w:pPr>
            <w:r w:rsidRPr="00E201B0">
              <w:t xml:space="preserve">Nella valutazione al </w:t>
            </w:r>
            <w:r w:rsidRPr="00E201B0">
              <w:rPr>
                <w:i/>
                <w:iCs/>
              </w:rPr>
              <w:t>fair value</w:t>
            </w:r>
            <w:r w:rsidRPr="00E201B0">
              <w:t xml:space="preserve">, i </w:t>
            </w:r>
            <w:r w:rsidRPr="00E201B0">
              <w:rPr>
                <w:i/>
                <w:iCs/>
              </w:rPr>
              <w:t xml:space="preserve">parametri </w:t>
            </w:r>
            <w:r w:rsidRPr="00E201B0">
              <w:t>sono le assunzioni che gli operatori di mercato utilizzerebbero nel determinare il prezzo di uno strumento finanziario derivato, incluse le assunzioni circa il rischio quali, ad esempio:</w:t>
            </w:r>
          </w:p>
          <w:p w:rsidR="004D7697" w:rsidRPr="00E201B0" w:rsidRDefault="004D7697" w:rsidP="000D7E0A">
            <w:pPr>
              <w:pStyle w:val="Commentiriquadro"/>
              <w:ind w:left="317" w:hanging="260"/>
              <w:rPr>
                <w:i/>
                <w:iCs/>
              </w:rPr>
            </w:pPr>
            <w:r w:rsidRPr="00E201B0">
              <w:t xml:space="preserve">a) </w:t>
            </w:r>
            <w:r>
              <w:tab/>
            </w:r>
            <w:r w:rsidRPr="00E201B0">
              <w:t xml:space="preserve">il rischio inerente a una particolare tecnica di valutazione utilizzata per misurare il </w:t>
            </w:r>
            <w:r w:rsidRPr="00E201B0">
              <w:rPr>
                <w:i/>
                <w:iCs/>
              </w:rPr>
              <w:t xml:space="preserve">fair value </w:t>
            </w:r>
            <w:r w:rsidRPr="00E201B0">
              <w:t>(come un modello per la determinazione del prezzo); e</w:t>
            </w:r>
          </w:p>
          <w:p w:rsidR="004D7697" w:rsidRPr="00E201B0" w:rsidRDefault="004D7697" w:rsidP="000D7E0A">
            <w:pPr>
              <w:pStyle w:val="Commentiriquadro"/>
              <w:ind w:left="317" w:hanging="260"/>
            </w:pPr>
            <w:r w:rsidRPr="00E201B0">
              <w:t>b)</w:t>
            </w:r>
            <w:r>
              <w:tab/>
            </w:r>
            <w:r w:rsidRPr="00E201B0">
              <w:t>il rischio inerente ai parametri della tecnica di valutazione.</w:t>
            </w:r>
          </w:p>
          <w:p w:rsidR="004D7697" w:rsidRPr="00E201B0" w:rsidRDefault="004D7697" w:rsidP="000D7E0A">
            <w:pPr>
              <w:pStyle w:val="Commentiriquadro"/>
            </w:pPr>
            <w:r w:rsidRPr="00E201B0">
              <w:t>I parametri possono essere osservabili o non osservabili su mercati attivi.</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CC242B" w:rsidTr="000D7E0A">
        <w:trPr>
          <w:cantSplit/>
          <w:trHeight w:val="340"/>
        </w:trPr>
        <w:tc>
          <w:tcPr>
            <w:tcW w:w="679" w:type="dxa"/>
            <w:vAlign w:val="center"/>
          </w:tcPr>
          <w:p w:rsidR="004D7697" w:rsidRPr="008A0F36" w:rsidRDefault="004D7697" w:rsidP="000D7E0A">
            <w:pPr>
              <w:jc w:val="left"/>
              <w:rPr>
                <w:lang w:val="it-IT"/>
              </w:rPr>
            </w:pPr>
          </w:p>
        </w:tc>
        <w:tc>
          <w:tcPr>
            <w:tcW w:w="851" w:type="dxa"/>
            <w:tcMar>
              <w:left w:w="108" w:type="dxa"/>
              <w:right w:w="0" w:type="dxa"/>
            </w:tcMar>
            <w:vAlign w:val="center"/>
          </w:tcPr>
          <w:p w:rsidR="004D7697" w:rsidRPr="008A0F36" w:rsidRDefault="004D7697" w:rsidP="000D7E0A">
            <w:pPr>
              <w:pStyle w:val="PrincCont"/>
              <w:jc w:val="left"/>
              <w:rPr>
                <w:lang w:val="it-IT"/>
              </w:rPr>
            </w:pPr>
          </w:p>
        </w:tc>
        <w:tc>
          <w:tcPr>
            <w:tcW w:w="7079" w:type="dxa"/>
            <w:tcMar>
              <w:left w:w="108" w:type="dxa"/>
            </w:tcMar>
            <w:vAlign w:val="center"/>
          </w:tcPr>
          <w:p w:rsidR="004D7697" w:rsidRPr="00886A53" w:rsidRDefault="004D7697" w:rsidP="000D7E0A">
            <w:pPr>
              <w:pStyle w:val="Titolo2"/>
              <w:rPr>
                <w:lang w:val="it-IT"/>
              </w:rPr>
            </w:pPr>
            <w:r w:rsidRPr="00C737BB">
              <w:rPr>
                <w:lang w:val="it-IT"/>
              </w:rPr>
              <w:t>Classificazione e contenuto delle voci</w:t>
            </w:r>
          </w:p>
        </w:tc>
        <w:tc>
          <w:tcPr>
            <w:tcW w:w="575" w:type="dxa"/>
            <w:tcMar>
              <w:left w:w="85" w:type="dxa"/>
              <w:right w:w="85" w:type="dxa"/>
            </w:tcMar>
            <w:vAlign w:val="center"/>
          </w:tcPr>
          <w:p w:rsidR="004D7697" w:rsidRPr="008A0F36" w:rsidRDefault="004D7697" w:rsidP="000D7E0A">
            <w:pPr>
              <w:jc w:val="left"/>
              <w:rPr>
                <w:lang w:val="it-IT"/>
              </w:rPr>
            </w:pPr>
          </w:p>
        </w:tc>
        <w:tc>
          <w:tcPr>
            <w:tcW w:w="567" w:type="dxa"/>
            <w:tcMar>
              <w:left w:w="108" w:type="dxa"/>
            </w:tcMar>
            <w:vAlign w:val="center"/>
          </w:tcPr>
          <w:p w:rsidR="004D7697" w:rsidRPr="008A0F36" w:rsidRDefault="004D7697" w:rsidP="000D7E0A">
            <w:pPr>
              <w:jc w:val="left"/>
              <w:rPr>
                <w:lang w:val="it-IT"/>
              </w:rPr>
            </w:pPr>
          </w:p>
        </w:tc>
        <w:tc>
          <w:tcPr>
            <w:tcW w:w="567" w:type="dxa"/>
            <w:tcMar>
              <w:left w:w="108" w:type="dxa"/>
            </w:tcMar>
            <w:vAlign w:val="center"/>
          </w:tcPr>
          <w:p w:rsidR="004D7697" w:rsidRPr="008A0F36" w:rsidRDefault="004D7697" w:rsidP="000D7E0A">
            <w:pPr>
              <w:jc w:val="left"/>
              <w:rPr>
                <w:lang w:val="it-IT"/>
              </w:rPr>
            </w:pPr>
          </w:p>
        </w:tc>
      </w:tr>
      <w:tr w:rsidR="004D7697" w:rsidRPr="00BC1C8F" w:rsidTr="000D7E0A">
        <w:trPr>
          <w:cantSplit/>
          <w:trHeight w:val="284"/>
        </w:trPr>
        <w:tc>
          <w:tcPr>
            <w:tcW w:w="679" w:type="dxa"/>
            <w:vAlign w:val="center"/>
          </w:tcPr>
          <w:p w:rsidR="004D7697" w:rsidRPr="00BC1C8F" w:rsidRDefault="004D7697" w:rsidP="000D7E0A">
            <w:pPr>
              <w:pStyle w:val="Numeroelenco"/>
              <w:numPr>
                <w:ilvl w:val="0"/>
                <w:numId w:val="0"/>
              </w:numPr>
              <w:ind w:left="57"/>
              <w:rPr>
                <w:b/>
                <w:lang w:val="it-IT"/>
              </w:rPr>
            </w:pPr>
          </w:p>
        </w:tc>
        <w:tc>
          <w:tcPr>
            <w:tcW w:w="851" w:type="dxa"/>
            <w:tcMar>
              <w:left w:w="108" w:type="dxa"/>
              <w:right w:w="0" w:type="dxa"/>
            </w:tcMar>
            <w:vAlign w:val="center"/>
          </w:tcPr>
          <w:p w:rsidR="004D7697" w:rsidRPr="00BC1C8F" w:rsidRDefault="004D7697" w:rsidP="000D7E0A">
            <w:pPr>
              <w:pStyle w:val="Numeroelenco"/>
              <w:numPr>
                <w:ilvl w:val="0"/>
                <w:numId w:val="0"/>
              </w:numPr>
              <w:ind w:left="57"/>
              <w:rPr>
                <w:b/>
                <w:lang w:val="it-IT"/>
              </w:rPr>
            </w:pPr>
          </w:p>
        </w:tc>
        <w:tc>
          <w:tcPr>
            <w:tcW w:w="7079" w:type="dxa"/>
            <w:tcMar>
              <w:left w:w="108" w:type="dxa"/>
            </w:tcMar>
            <w:vAlign w:val="center"/>
          </w:tcPr>
          <w:p w:rsidR="004D7697" w:rsidRPr="00424FBD" w:rsidRDefault="004D7697" w:rsidP="000D7E0A">
            <w:pPr>
              <w:pStyle w:val="Numeroelenco"/>
              <w:numPr>
                <w:ilvl w:val="0"/>
                <w:numId w:val="0"/>
              </w:numPr>
              <w:rPr>
                <w:b/>
                <w:i/>
                <w:lang w:val="it-IT"/>
              </w:rPr>
            </w:pPr>
            <w:r w:rsidRPr="00424FBD">
              <w:rPr>
                <w:b/>
                <w:i/>
                <w:lang w:val="it-IT"/>
              </w:rPr>
              <w:t>Stato patrimoniale</w:t>
            </w:r>
          </w:p>
        </w:tc>
        <w:tc>
          <w:tcPr>
            <w:tcW w:w="575" w:type="dxa"/>
            <w:tcMar>
              <w:left w:w="85" w:type="dxa"/>
              <w:right w:w="85" w:type="dxa"/>
            </w:tcMar>
            <w:vAlign w:val="center"/>
          </w:tcPr>
          <w:p w:rsidR="004D7697" w:rsidRPr="00BC1C8F" w:rsidRDefault="004D7697" w:rsidP="000D7E0A">
            <w:pPr>
              <w:pStyle w:val="Numeroelenco"/>
              <w:numPr>
                <w:ilvl w:val="0"/>
                <w:numId w:val="0"/>
              </w:numPr>
              <w:ind w:left="57"/>
              <w:rPr>
                <w:b/>
                <w:lang w:val="it-IT"/>
              </w:rPr>
            </w:pPr>
          </w:p>
        </w:tc>
        <w:tc>
          <w:tcPr>
            <w:tcW w:w="567" w:type="dxa"/>
            <w:tcMar>
              <w:left w:w="108" w:type="dxa"/>
            </w:tcMar>
            <w:vAlign w:val="center"/>
          </w:tcPr>
          <w:p w:rsidR="004D7697" w:rsidRPr="00BC1C8F" w:rsidRDefault="004D7697" w:rsidP="000D7E0A">
            <w:pPr>
              <w:pStyle w:val="Numeroelenco"/>
              <w:numPr>
                <w:ilvl w:val="0"/>
                <w:numId w:val="0"/>
              </w:numPr>
              <w:ind w:left="57"/>
              <w:rPr>
                <w:b/>
                <w:lang w:val="it-IT"/>
              </w:rPr>
            </w:pPr>
          </w:p>
        </w:tc>
        <w:tc>
          <w:tcPr>
            <w:tcW w:w="567" w:type="dxa"/>
            <w:tcMar>
              <w:left w:w="108" w:type="dxa"/>
            </w:tcMar>
            <w:vAlign w:val="center"/>
          </w:tcPr>
          <w:p w:rsidR="004D7697" w:rsidRPr="00BC1C8F" w:rsidRDefault="004D7697" w:rsidP="000D7E0A">
            <w:pPr>
              <w:pStyle w:val="Numeroelenco"/>
              <w:numPr>
                <w:ilvl w:val="0"/>
                <w:numId w:val="0"/>
              </w:numPr>
              <w:ind w:left="57"/>
              <w:rPr>
                <w:b/>
                <w:lang w:val="it-IT"/>
              </w:rPr>
            </w:pPr>
          </w:p>
        </w:tc>
      </w:tr>
      <w:tr w:rsidR="004D7697" w:rsidRPr="00CC242B"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A0F36" w:rsidRDefault="004D7697" w:rsidP="000D7E0A">
            <w:pPr>
              <w:pStyle w:val="PrincCont"/>
              <w:jc w:val="left"/>
              <w:rPr>
                <w:lang w:val="it-IT"/>
              </w:rPr>
            </w:pPr>
            <w:r>
              <w:t>Art. 2424</w:t>
            </w:r>
            <w:r w:rsidRPr="00B84B5E">
              <w:t xml:space="preserve"> CC</w:t>
            </w:r>
            <w:r>
              <w:t xml:space="preserve"> OIC 32.26  OIC 32.27</w:t>
            </w:r>
          </w:p>
        </w:tc>
        <w:tc>
          <w:tcPr>
            <w:tcW w:w="7079" w:type="dxa"/>
            <w:tcMar>
              <w:left w:w="108" w:type="dxa"/>
            </w:tcMar>
          </w:tcPr>
          <w:p w:rsidR="004D7697" w:rsidRPr="00380E0C" w:rsidRDefault="004D7697" w:rsidP="000D7E0A">
            <w:pPr>
              <w:spacing w:line="230" w:lineRule="exact"/>
              <w:rPr>
                <w:lang w:val="it-IT"/>
              </w:rPr>
            </w:pPr>
            <w:r w:rsidRPr="00380E0C">
              <w:rPr>
                <w:lang w:val="it-IT"/>
              </w:rPr>
              <w:t xml:space="preserve">Gli strumenti finanziari derivati </w:t>
            </w:r>
            <w:r>
              <w:rPr>
                <w:lang w:val="it-IT"/>
              </w:rPr>
              <w:t>sono stati</w:t>
            </w:r>
            <w:r w:rsidRPr="00380E0C">
              <w:rPr>
                <w:lang w:val="it-IT"/>
              </w:rPr>
              <w:t xml:space="preserve"> classificati nelle seguenti voci:</w:t>
            </w:r>
          </w:p>
        </w:tc>
        <w:tc>
          <w:tcPr>
            <w:tcW w:w="575" w:type="dxa"/>
            <w:tcMar>
              <w:left w:w="85" w:type="dxa"/>
              <w:right w:w="85" w:type="dxa"/>
            </w:tcMar>
            <w:vAlign w:val="center"/>
          </w:tcPr>
          <w:p w:rsidR="004D7697" w:rsidRPr="00A32A16" w:rsidRDefault="004D7697" w:rsidP="000D7E0A">
            <w:pPr>
              <w:jc w:val="center"/>
              <w:rPr>
                <w:lang w:val="it-IT"/>
              </w:rPr>
            </w:pPr>
          </w:p>
        </w:tc>
        <w:tc>
          <w:tcPr>
            <w:tcW w:w="567" w:type="dxa"/>
            <w:tcMar>
              <w:left w:w="108" w:type="dxa"/>
            </w:tcMar>
            <w:vAlign w:val="center"/>
          </w:tcPr>
          <w:p w:rsidR="004D7697" w:rsidRPr="00A32A16" w:rsidRDefault="004D7697" w:rsidP="000D7E0A">
            <w:pPr>
              <w:jc w:val="center"/>
              <w:rPr>
                <w:lang w:val="it-IT"/>
              </w:rPr>
            </w:pPr>
          </w:p>
        </w:tc>
        <w:tc>
          <w:tcPr>
            <w:tcW w:w="567" w:type="dxa"/>
            <w:tcMar>
              <w:left w:w="108" w:type="dxa"/>
            </w:tcMar>
            <w:vAlign w:val="center"/>
          </w:tcPr>
          <w:p w:rsidR="004D7697" w:rsidRPr="00A32A16" w:rsidRDefault="004D7697" w:rsidP="000D7E0A">
            <w:pPr>
              <w:jc w:val="center"/>
              <w:rPr>
                <w:lang w:val="it-IT"/>
              </w:rPr>
            </w:pPr>
          </w:p>
        </w:tc>
      </w:tr>
      <w:tr w:rsidR="004D7697" w:rsidRPr="00380E0C"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380E0C" w:rsidRDefault="004D7697" w:rsidP="000D7E0A">
            <w:pPr>
              <w:pStyle w:val="PrincCont"/>
              <w:jc w:val="left"/>
              <w:rPr>
                <w:lang w:val="it-IT"/>
              </w:rPr>
            </w:pPr>
          </w:p>
        </w:tc>
        <w:tc>
          <w:tcPr>
            <w:tcW w:w="7079" w:type="dxa"/>
            <w:tcMar>
              <w:left w:w="108" w:type="dxa"/>
            </w:tcMar>
          </w:tcPr>
          <w:p w:rsidR="004D7697" w:rsidRPr="00380E0C" w:rsidRDefault="004D7697" w:rsidP="004D7697">
            <w:pPr>
              <w:pStyle w:val="trattinosottoa"/>
              <w:tabs>
                <w:tab w:val="clear" w:pos="704"/>
              </w:tabs>
              <w:spacing w:line="230" w:lineRule="exact"/>
              <w:ind w:left="460" w:hanging="284"/>
            </w:pPr>
            <w:r w:rsidRPr="00380E0C">
              <w:t>tra le “Immobilizzazioni finanziarie” nella voce B) III 4) strumenti finanziari derivati attivi</w:t>
            </w:r>
          </w:p>
        </w:tc>
        <w:tc>
          <w:tcPr>
            <w:tcW w:w="575" w:type="dxa"/>
            <w:tcMar>
              <w:left w:w="85" w:type="dxa"/>
              <w:right w:w="85"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D7697" w:rsidRPr="00380E0C"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380E0C" w:rsidRDefault="004D7697" w:rsidP="000D7E0A">
            <w:pPr>
              <w:pStyle w:val="PrincCont"/>
              <w:jc w:val="left"/>
              <w:rPr>
                <w:lang w:val="it-IT"/>
              </w:rPr>
            </w:pPr>
          </w:p>
        </w:tc>
        <w:tc>
          <w:tcPr>
            <w:tcW w:w="7079" w:type="dxa"/>
            <w:tcMar>
              <w:left w:w="108" w:type="dxa"/>
            </w:tcMar>
          </w:tcPr>
          <w:p w:rsidR="004D7697" w:rsidRPr="00380E0C" w:rsidRDefault="004D7697" w:rsidP="004D7697">
            <w:pPr>
              <w:pStyle w:val="trattinosottoa"/>
              <w:tabs>
                <w:tab w:val="clear" w:pos="704"/>
              </w:tabs>
              <w:spacing w:line="230" w:lineRule="exact"/>
              <w:ind w:left="460" w:hanging="284"/>
            </w:pPr>
            <w:r w:rsidRPr="00380E0C">
              <w:t>tra le “Attività finanziarie che non costituiscono immobilizzazioni” nella voce C) III 5) strumenti finanziari derivati attivi</w:t>
            </w:r>
          </w:p>
        </w:tc>
        <w:tc>
          <w:tcPr>
            <w:tcW w:w="575" w:type="dxa"/>
            <w:tcMar>
              <w:left w:w="85" w:type="dxa"/>
              <w:right w:w="85"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D7697" w:rsidRPr="00380E0C"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380E0C" w:rsidRDefault="004D7697" w:rsidP="000D7E0A">
            <w:pPr>
              <w:pStyle w:val="PrincCont"/>
              <w:jc w:val="left"/>
              <w:rPr>
                <w:lang w:val="it-IT"/>
              </w:rPr>
            </w:pPr>
          </w:p>
        </w:tc>
        <w:tc>
          <w:tcPr>
            <w:tcW w:w="7079" w:type="dxa"/>
            <w:tcMar>
              <w:left w:w="108" w:type="dxa"/>
            </w:tcMar>
          </w:tcPr>
          <w:p w:rsidR="004D7697" w:rsidRPr="00380E0C" w:rsidRDefault="004D7697" w:rsidP="004D7697">
            <w:pPr>
              <w:pStyle w:val="trattinosottoa"/>
              <w:tabs>
                <w:tab w:val="clear" w:pos="704"/>
              </w:tabs>
              <w:spacing w:line="230" w:lineRule="exact"/>
              <w:ind w:left="460" w:hanging="284"/>
            </w:pPr>
            <w:r w:rsidRPr="00380E0C">
              <w:t>tra i “Fondi per rischi e oneri” nella voce B) 3) – strume</w:t>
            </w:r>
            <w:r>
              <w:t>nti finanziari derivati passivi</w:t>
            </w:r>
          </w:p>
        </w:tc>
        <w:tc>
          <w:tcPr>
            <w:tcW w:w="575" w:type="dxa"/>
            <w:tcMar>
              <w:left w:w="85" w:type="dxa"/>
              <w:right w:w="85"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D7697" w:rsidRPr="00B44710" w:rsidTr="000D7E0A">
        <w:trPr>
          <w:cantSplit/>
          <w:trHeight w:val="20"/>
        </w:trPr>
        <w:tc>
          <w:tcPr>
            <w:tcW w:w="679" w:type="dxa"/>
          </w:tcPr>
          <w:p w:rsidR="004D7697" w:rsidRPr="008A0F36" w:rsidRDefault="004D7697" w:rsidP="000D7E0A">
            <w:pPr>
              <w:pStyle w:val="Numeroelenco"/>
              <w:numPr>
                <w:ilvl w:val="0"/>
                <w:numId w:val="0"/>
              </w:numPr>
              <w:ind w:left="502" w:hanging="360"/>
              <w:rPr>
                <w:lang w:val="it-IT"/>
              </w:rPr>
            </w:pPr>
          </w:p>
        </w:tc>
        <w:tc>
          <w:tcPr>
            <w:tcW w:w="851" w:type="dxa"/>
            <w:tcMar>
              <w:left w:w="108" w:type="dxa"/>
              <w:right w:w="0" w:type="dxa"/>
            </w:tcMar>
          </w:tcPr>
          <w:p w:rsidR="004D7697" w:rsidRPr="008A0F36" w:rsidRDefault="004D7697" w:rsidP="000D7E0A">
            <w:pPr>
              <w:pStyle w:val="PrincCont"/>
              <w:jc w:val="left"/>
              <w:rPr>
                <w:lang w:val="it-IT"/>
              </w:rPr>
            </w:pPr>
          </w:p>
        </w:tc>
        <w:tc>
          <w:tcPr>
            <w:tcW w:w="7079" w:type="dxa"/>
            <w:tcMar>
              <w:left w:w="108" w:type="dxa"/>
            </w:tcMar>
          </w:tcPr>
          <w:p w:rsidR="004D7697" w:rsidRPr="00B061FD" w:rsidRDefault="004D7697" w:rsidP="004D7697">
            <w:pPr>
              <w:pStyle w:val="trattinosottoa"/>
              <w:tabs>
                <w:tab w:val="clear" w:pos="704"/>
              </w:tabs>
              <w:spacing w:line="230" w:lineRule="exact"/>
              <w:ind w:left="460" w:hanging="284"/>
            </w:pPr>
            <w:r w:rsidRPr="007F7829">
              <w:t>nel</w:t>
            </w:r>
            <w:r w:rsidRPr="00B061FD">
              <w:t xml:space="preserve"> </w:t>
            </w:r>
            <w:r w:rsidRPr="007F7829">
              <w:t>“</w:t>
            </w:r>
            <w:r w:rsidRPr="00B061FD">
              <w:t>Patrimonio netto</w:t>
            </w:r>
            <w:r w:rsidRPr="007F7829">
              <w:t xml:space="preserve">” </w:t>
            </w:r>
            <w:r w:rsidRPr="00B061FD">
              <w:t>a</w:t>
            </w:r>
            <w:r w:rsidRPr="007F7829">
              <w:t>lla voce A) VII - r</w:t>
            </w:r>
            <w:r w:rsidRPr="00B061FD">
              <w:t>iserva per operazioni di copertura dei flussi finanziari attesi?</w:t>
            </w:r>
          </w:p>
        </w:tc>
        <w:tc>
          <w:tcPr>
            <w:tcW w:w="575" w:type="dxa"/>
            <w:tcMar>
              <w:left w:w="85" w:type="dxa"/>
              <w:right w:w="85"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Default="004D7697" w:rsidP="000D7E0A">
            <w:pPr>
              <w:pStyle w:val="PrincCont"/>
              <w:jc w:val="left"/>
            </w:pPr>
            <w:r>
              <w:t>OIC 32.28</w:t>
            </w:r>
          </w:p>
        </w:tc>
        <w:tc>
          <w:tcPr>
            <w:tcW w:w="7079" w:type="dxa"/>
            <w:tcMar>
              <w:left w:w="108" w:type="dxa"/>
            </w:tcMar>
          </w:tcPr>
          <w:p w:rsidR="004D7697" w:rsidRPr="00F55051" w:rsidRDefault="004D7697" w:rsidP="000D7E0A">
            <w:pPr>
              <w:pStyle w:val="Commentiriquadro"/>
            </w:pPr>
            <w:r w:rsidRPr="00F55051">
              <w:t>La classificazione tra attivo immobilizzato ed attivo circolante degli strumenti finanziari derivati con fair value positivo alla data di valutazione dipende dalle seguenti considerazioni:</w:t>
            </w:r>
          </w:p>
          <w:p w:rsidR="004D7697" w:rsidRPr="00F55051" w:rsidRDefault="004D7697" w:rsidP="000D7E0A">
            <w:pPr>
              <w:pStyle w:val="Commentiriquadro"/>
              <w:ind w:left="318" w:hanging="261"/>
            </w:pPr>
            <w:r w:rsidRPr="00F55051">
              <w:t xml:space="preserve">a) </w:t>
            </w:r>
            <w:r>
              <w:tab/>
            </w:r>
            <w:r w:rsidRPr="00F55051">
              <w:t>uno strumento finanziario derivato di copertura dei flussi finanziari o del fair value di un’attività segue la classificazione, nell’attivo circolante o immobilizzato, dell’attività coperta;</w:t>
            </w:r>
          </w:p>
          <w:p w:rsidR="004D7697" w:rsidRPr="00F55051" w:rsidRDefault="004D7697" w:rsidP="000D7E0A">
            <w:pPr>
              <w:pStyle w:val="Commentiriquadro"/>
              <w:ind w:left="317" w:hanging="260"/>
            </w:pPr>
            <w:r w:rsidRPr="00F55051">
              <w:t xml:space="preserve">b) </w:t>
            </w:r>
            <w:r>
              <w:tab/>
            </w:r>
            <w:r w:rsidRPr="00F55051">
              <w:t>uno strumento finanziario derivato di copertura dei flussi finanziari e del fair value di una passività classificata oltre l’esercizio successivo, è classificato nell’attivo immobilizzato;</w:t>
            </w:r>
          </w:p>
          <w:p w:rsidR="004D7697" w:rsidRPr="00F55051" w:rsidRDefault="004D7697" w:rsidP="000D7E0A">
            <w:pPr>
              <w:pStyle w:val="Commentiriquadro"/>
              <w:ind w:left="317" w:hanging="260"/>
            </w:pPr>
            <w:r w:rsidRPr="00F55051">
              <w:t>c)</w:t>
            </w:r>
            <w:r>
              <w:tab/>
            </w:r>
            <w:r w:rsidRPr="00F55051">
              <w:t xml:space="preserve"> uno strumento finanziario derivato di copertura di flussi finanziari e del fair value di una passività classificata entro l’esercizio successivo, un impegno irrevocabile o un’operazione programmata altamente probabile è classificato nell’attivo circolante;</w:t>
            </w:r>
          </w:p>
          <w:p w:rsidR="004D7697" w:rsidRPr="00F55051" w:rsidRDefault="004D7697" w:rsidP="000D7E0A">
            <w:pPr>
              <w:pStyle w:val="Commentiriquadro"/>
              <w:ind w:left="317" w:hanging="260"/>
              <w:rPr>
                <w:rFonts w:cstheme="minorBidi"/>
                <w:i/>
                <w:iCs/>
                <w:lang w:eastAsia="it-IT"/>
              </w:rPr>
            </w:pPr>
            <w:r w:rsidRPr="00F55051">
              <w:t>d)</w:t>
            </w:r>
            <w:r>
              <w:tab/>
            </w:r>
            <w:r w:rsidRPr="00F55051">
              <w:t xml:space="preserve"> uno strumento finanziario derivato non di copertura è classificato nell’attivo circolante.</w:t>
            </w:r>
          </w:p>
        </w:tc>
        <w:tc>
          <w:tcPr>
            <w:tcW w:w="575" w:type="dxa"/>
            <w:tcMar>
              <w:left w:w="85" w:type="dxa"/>
              <w:right w:w="85" w:type="dxa"/>
            </w:tcMar>
            <w:vAlign w:val="center"/>
          </w:tcPr>
          <w:p w:rsidR="004D7697" w:rsidRPr="00F55051" w:rsidRDefault="004D7697" w:rsidP="000D7E0A">
            <w:pPr>
              <w:jc w:val="center"/>
              <w:rPr>
                <w:lang w:val="it-IT"/>
              </w:rPr>
            </w:pPr>
          </w:p>
        </w:tc>
        <w:tc>
          <w:tcPr>
            <w:tcW w:w="567" w:type="dxa"/>
            <w:tcMar>
              <w:left w:w="108" w:type="dxa"/>
            </w:tcMar>
            <w:vAlign w:val="center"/>
          </w:tcPr>
          <w:p w:rsidR="004D7697" w:rsidRPr="00F55051" w:rsidRDefault="004D7697" w:rsidP="000D7E0A">
            <w:pPr>
              <w:jc w:val="center"/>
              <w:rPr>
                <w:lang w:val="it-IT"/>
              </w:rPr>
            </w:pPr>
          </w:p>
        </w:tc>
        <w:tc>
          <w:tcPr>
            <w:tcW w:w="567" w:type="dxa"/>
            <w:tcMar>
              <w:left w:w="108" w:type="dxa"/>
            </w:tcMar>
            <w:vAlign w:val="center"/>
          </w:tcPr>
          <w:p w:rsidR="004D7697" w:rsidRPr="00F55051" w:rsidRDefault="004D7697" w:rsidP="000D7E0A">
            <w:pPr>
              <w:jc w:val="center"/>
              <w:rPr>
                <w:lang w:val="it-IT"/>
              </w:rPr>
            </w:pPr>
          </w:p>
        </w:tc>
      </w:tr>
      <w:tr w:rsidR="004D7697" w:rsidRPr="00CC242B" w:rsidTr="000D7E0A">
        <w:trPr>
          <w:cantSplit/>
          <w:trHeight w:val="576"/>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Default="004D7697" w:rsidP="000D7E0A">
            <w:pPr>
              <w:pStyle w:val="PrincCont"/>
              <w:jc w:val="left"/>
            </w:pPr>
            <w:r>
              <w:t>OIC 32.29</w:t>
            </w:r>
          </w:p>
        </w:tc>
        <w:tc>
          <w:tcPr>
            <w:tcW w:w="7079" w:type="dxa"/>
            <w:tcMar>
              <w:left w:w="108" w:type="dxa"/>
            </w:tcMar>
          </w:tcPr>
          <w:p w:rsidR="004D7697" w:rsidRPr="00F55051" w:rsidRDefault="004D7697" w:rsidP="000D7E0A">
            <w:pPr>
              <w:pStyle w:val="Commentiriquadro"/>
            </w:pPr>
            <w:r w:rsidRPr="00F55051">
              <w:t>La voce A) VII “</w:t>
            </w:r>
            <w:r w:rsidRPr="00F55051">
              <w:rPr>
                <w:i/>
                <w:iCs/>
              </w:rPr>
              <w:t xml:space="preserve">Riserva per operazioni di copertura dei flussi finanziari attesi” </w:t>
            </w:r>
            <w:r w:rsidRPr="00F55051">
              <w:t xml:space="preserve">accoglie le variazioni di </w:t>
            </w:r>
            <w:r w:rsidRPr="00F55051">
              <w:rPr>
                <w:i/>
                <w:iCs/>
              </w:rPr>
              <w:t xml:space="preserve">fair value </w:t>
            </w:r>
            <w:r w:rsidRPr="00F55051">
              <w:t>della componente efficace degli strumenti finanziari derivati di copertura di flussi finanziari e si movimenta secondo quanto disposto dai paragrafi 85, 87, 92, 114 e 117</w:t>
            </w:r>
            <w:r>
              <w:t xml:space="preserve"> dell’OIC 32.</w:t>
            </w:r>
          </w:p>
        </w:tc>
        <w:tc>
          <w:tcPr>
            <w:tcW w:w="575" w:type="dxa"/>
            <w:tcMar>
              <w:left w:w="85" w:type="dxa"/>
              <w:right w:w="85" w:type="dxa"/>
            </w:tcMar>
            <w:vAlign w:val="center"/>
          </w:tcPr>
          <w:p w:rsidR="004D7697" w:rsidRPr="00F55051" w:rsidRDefault="004D7697" w:rsidP="000D7E0A">
            <w:pPr>
              <w:jc w:val="center"/>
              <w:rPr>
                <w:lang w:val="it-IT"/>
              </w:rPr>
            </w:pPr>
          </w:p>
        </w:tc>
        <w:tc>
          <w:tcPr>
            <w:tcW w:w="567" w:type="dxa"/>
            <w:tcMar>
              <w:left w:w="108" w:type="dxa"/>
            </w:tcMar>
            <w:vAlign w:val="center"/>
          </w:tcPr>
          <w:p w:rsidR="004D7697" w:rsidRPr="00F55051" w:rsidRDefault="004D7697" w:rsidP="000D7E0A">
            <w:pPr>
              <w:jc w:val="center"/>
              <w:rPr>
                <w:lang w:val="it-IT"/>
              </w:rPr>
            </w:pPr>
          </w:p>
        </w:tc>
        <w:tc>
          <w:tcPr>
            <w:tcW w:w="567" w:type="dxa"/>
            <w:tcMar>
              <w:left w:w="108" w:type="dxa"/>
            </w:tcMar>
            <w:vAlign w:val="center"/>
          </w:tcPr>
          <w:p w:rsidR="004D7697" w:rsidRPr="00F55051" w:rsidRDefault="004D7697" w:rsidP="000D7E0A">
            <w:pPr>
              <w:jc w:val="center"/>
              <w:rPr>
                <w:lang w:val="it-IT"/>
              </w:rPr>
            </w:pPr>
          </w:p>
        </w:tc>
      </w:tr>
      <w:tr w:rsidR="004D7697" w:rsidRPr="00B44710" w:rsidTr="000D7E0A">
        <w:trPr>
          <w:cantSplit/>
          <w:trHeight w:val="119"/>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t>OIC 32.29</w:t>
            </w:r>
          </w:p>
        </w:tc>
        <w:tc>
          <w:tcPr>
            <w:tcW w:w="7079" w:type="dxa"/>
            <w:tcMar>
              <w:left w:w="108" w:type="dxa"/>
            </w:tcMar>
          </w:tcPr>
          <w:p w:rsidR="004D7697" w:rsidRPr="008F4F5C" w:rsidRDefault="004D7697" w:rsidP="000D7E0A">
            <w:pPr>
              <w:spacing w:line="230" w:lineRule="exact"/>
              <w:rPr>
                <w:lang w:val="it-IT"/>
              </w:rPr>
            </w:pPr>
            <w:r w:rsidRPr="008F4F5C">
              <w:rPr>
                <w:lang w:val="it-IT"/>
              </w:rPr>
              <w:t>La suddetta riserva è stata considerata al netto degli effetti fiscali differiti?</w:t>
            </w:r>
          </w:p>
        </w:tc>
        <w:tc>
          <w:tcPr>
            <w:tcW w:w="575" w:type="dxa"/>
            <w:tcMar>
              <w:left w:w="85" w:type="dxa"/>
              <w:right w:w="85"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Default="004D7697" w:rsidP="000D7E0A">
            <w:pPr>
              <w:pStyle w:val="PrincCont"/>
              <w:jc w:val="left"/>
            </w:pPr>
            <w:r>
              <w:t>OIC 32.29</w:t>
            </w:r>
          </w:p>
        </w:tc>
        <w:tc>
          <w:tcPr>
            <w:tcW w:w="7079" w:type="dxa"/>
            <w:tcMar>
              <w:left w:w="108" w:type="dxa"/>
            </w:tcMar>
          </w:tcPr>
          <w:p w:rsidR="004D7697" w:rsidRPr="008F4F5C" w:rsidRDefault="004D7697" w:rsidP="000D7E0A">
            <w:pPr>
              <w:pStyle w:val="Commentiriquadro"/>
            </w:pPr>
            <w:r w:rsidRPr="008F4F5C">
              <w:t>Come previsto dall’articolo 2426, comma 1, numero 11-bis, del codice civile: “</w:t>
            </w:r>
            <w:r w:rsidRPr="008F4F5C">
              <w:rPr>
                <w:i/>
              </w:rPr>
              <w:t>le riserve di patrimonio che derivano dalla valutazione al fair value di derivati utilizzati per la copertura di flussi finanziari attesi di un altro strumento finanziario o di un’operazione programmata non sono considerate nel computo del patrimonio netto per le finalità di cui agli articoli 2412, 2433, 2442, 2446 e 2447 e, se positivi, non sono disponibili e non sono utilizzabili a copertura delle perdite</w:t>
            </w:r>
            <w:r w:rsidRPr="008F4F5C">
              <w:t>”.</w:t>
            </w:r>
          </w:p>
        </w:tc>
        <w:tc>
          <w:tcPr>
            <w:tcW w:w="575" w:type="dxa"/>
            <w:tcMar>
              <w:left w:w="85" w:type="dxa"/>
              <w:right w:w="85" w:type="dxa"/>
            </w:tcMar>
            <w:vAlign w:val="center"/>
          </w:tcPr>
          <w:p w:rsidR="004D7697" w:rsidRPr="008F4F5C" w:rsidRDefault="004D7697" w:rsidP="000D7E0A">
            <w:pPr>
              <w:jc w:val="center"/>
              <w:rPr>
                <w:lang w:val="it-IT"/>
              </w:rPr>
            </w:pPr>
          </w:p>
        </w:tc>
        <w:tc>
          <w:tcPr>
            <w:tcW w:w="567" w:type="dxa"/>
            <w:tcMar>
              <w:left w:w="108" w:type="dxa"/>
            </w:tcMar>
            <w:vAlign w:val="center"/>
          </w:tcPr>
          <w:p w:rsidR="004D7697" w:rsidRPr="008F4F5C" w:rsidRDefault="004D7697" w:rsidP="000D7E0A">
            <w:pPr>
              <w:jc w:val="center"/>
              <w:rPr>
                <w:lang w:val="it-IT"/>
              </w:rPr>
            </w:pPr>
          </w:p>
        </w:tc>
        <w:tc>
          <w:tcPr>
            <w:tcW w:w="567" w:type="dxa"/>
            <w:tcMar>
              <w:left w:w="108" w:type="dxa"/>
            </w:tcMar>
            <w:vAlign w:val="center"/>
          </w:tcPr>
          <w:p w:rsidR="004D7697" w:rsidRPr="008F4F5C" w:rsidRDefault="004D7697" w:rsidP="000D7E0A">
            <w:pPr>
              <w:jc w:val="center"/>
              <w:rPr>
                <w:lang w:val="it-IT"/>
              </w:rPr>
            </w:pPr>
          </w:p>
        </w:tc>
      </w:tr>
      <w:tr w:rsidR="004D7697" w:rsidRPr="00B44710"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t>OIC 32.30</w:t>
            </w:r>
          </w:p>
        </w:tc>
        <w:tc>
          <w:tcPr>
            <w:tcW w:w="7079" w:type="dxa"/>
            <w:tcMar>
              <w:left w:w="108" w:type="dxa"/>
            </w:tcMar>
          </w:tcPr>
          <w:p w:rsidR="004D7697" w:rsidRPr="008F4F5C" w:rsidRDefault="004D7697" w:rsidP="000D7E0A">
            <w:pPr>
              <w:spacing w:after="0" w:line="230" w:lineRule="exact"/>
              <w:rPr>
                <w:lang w:val="it-IT"/>
              </w:rPr>
            </w:pPr>
            <w:r w:rsidRPr="008F4F5C">
              <w:rPr>
                <w:lang w:val="it-IT"/>
              </w:rPr>
              <w:t xml:space="preserve">La voce B) 3) </w:t>
            </w:r>
            <w:r w:rsidRPr="008F4F5C">
              <w:rPr>
                <w:i/>
                <w:iCs/>
                <w:lang w:val="it-IT"/>
              </w:rPr>
              <w:t xml:space="preserve">– “strumenti finanziari derivati passivi” </w:t>
            </w:r>
            <w:r w:rsidRPr="008F4F5C">
              <w:rPr>
                <w:lang w:val="it-IT"/>
              </w:rPr>
              <w:t xml:space="preserve">accoglie gli strumenti finanziari derivati con </w:t>
            </w:r>
            <w:r w:rsidRPr="008F4F5C">
              <w:rPr>
                <w:i/>
                <w:iCs/>
                <w:lang w:val="it-IT"/>
              </w:rPr>
              <w:t xml:space="preserve">fair value </w:t>
            </w:r>
            <w:r w:rsidRPr="008F4F5C">
              <w:rPr>
                <w:lang w:val="it-IT"/>
              </w:rPr>
              <w:t>negativo alla data di valutazione?</w:t>
            </w:r>
          </w:p>
        </w:tc>
        <w:tc>
          <w:tcPr>
            <w:tcW w:w="575" w:type="dxa"/>
            <w:tcMar>
              <w:left w:w="85" w:type="dxa"/>
              <w:right w:w="85"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D7697" w:rsidRPr="00B44710"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t>OIC 32.31</w:t>
            </w:r>
          </w:p>
        </w:tc>
        <w:tc>
          <w:tcPr>
            <w:tcW w:w="7079" w:type="dxa"/>
            <w:tcMar>
              <w:left w:w="108" w:type="dxa"/>
            </w:tcMar>
          </w:tcPr>
          <w:p w:rsidR="004D7697" w:rsidRPr="008F4F5C" w:rsidRDefault="004D7697" w:rsidP="000D7E0A">
            <w:pPr>
              <w:spacing w:after="0" w:line="230" w:lineRule="exact"/>
              <w:rPr>
                <w:lang w:val="it-IT"/>
              </w:rPr>
            </w:pPr>
            <w:r w:rsidRPr="008F4F5C">
              <w:rPr>
                <w:lang w:val="it-IT"/>
              </w:rPr>
              <w:t xml:space="preserve">Qualora la società si avvalga dell’opzione di separazione del valore temporale delle opzioni oppure dei contratti </w:t>
            </w:r>
            <w:r w:rsidRPr="008F4F5C">
              <w:rPr>
                <w:i/>
                <w:iCs/>
                <w:lang w:val="it-IT"/>
              </w:rPr>
              <w:t xml:space="preserve">forward </w:t>
            </w:r>
            <w:r w:rsidRPr="008F4F5C">
              <w:rPr>
                <w:lang w:val="it-IT"/>
              </w:rPr>
              <w:t>ai sensi del paragrafo 58 a) e b), nei casi previsti dai paragrafi 88-89 dell’OIC 32, la variazione del valore temporale è stata contabilizzata nelle voci ratei e risconti attivi o passivi?</w:t>
            </w:r>
          </w:p>
        </w:tc>
        <w:tc>
          <w:tcPr>
            <w:tcW w:w="575" w:type="dxa"/>
            <w:tcMar>
              <w:left w:w="85" w:type="dxa"/>
              <w:right w:w="85"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D7697" w:rsidRPr="00B44710"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Default="004D7697" w:rsidP="000D7E0A">
            <w:pPr>
              <w:pStyle w:val="PrincCont"/>
              <w:jc w:val="left"/>
            </w:pPr>
          </w:p>
        </w:tc>
        <w:tc>
          <w:tcPr>
            <w:tcW w:w="7079" w:type="dxa"/>
            <w:tcMar>
              <w:left w:w="108" w:type="dxa"/>
            </w:tcMar>
          </w:tcPr>
          <w:p w:rsidR="004D7697" w:rsidRPr="00056A5D" w:rsidRDefault="004D7697" w:rsidP="000D7E0A">
            <w:pPr>
              <w:pStyle w:val="Titolo2"/>
              <w:rPr>
                <w:highlight w:val="yellow"/>
                <w:lang w:val="it-IT"/>
              </w:rPr>
            </w:pPr>
            <w:r w:rsidRPr="00424FBD">
              <w:rPr>
                <w:i/>
                <w:sz w:val="20"/>
                <w:lang w:val="it-IT"/>
              </w:rPr>
              <w:t>Conto economico</w:t>
            </w:r>
          </w:p>
        </w:tc>
        <w:tc>
          <w:tcPr>
            <w:tcW w:w="575" w:type="dxa"/>
            <w:tcMar>
              <w:left w:w="85" w:type="dxa"/>
              <w:right w:w="85" w:type="dxa"/>
            </w:tcMar>
            <w:vAlign w:val="center"/>
          </w:tcPr>
          <w:p w:rsidR="004D7697" w:rsidRDefault="004D7697" w:rsidP="000D7E0A">
            <w:pPr>
              <w:jc w:val="center"/>
            </w:pPr>
          </w:p>
        </w:tc>
        <w:tc>
          <w:tcPr>
            <w:tcW w:w="567" w:type="dxa"/>
            <w:tcMar>
              <w:left w:w="108" w:type="dxa"/>
            </w:tcMar>
            <w:vAlign w:val="center"/>
          </w:tcPr>
          <w:p w:rsidR="004D7697" w:rsidRDefault="004D7697" w:rsidP="000D7E0A">
            <w:pPr>
              <w:jc w:val="center"/>
            </w:pPr>
          </w:p>
        </w:tc>
        <w:tc>
          <w:tcPr>
            <w:tcW w:w="567" w:type="dxa"/>
            <w:tcMar>
              <w:left w:w="108" w:type="dxa"/>
            </w:tcMar>
            <w:vAlign w:val="center"/>
          </w:tcPr>
          <w:p w:rsidR="004D7697" w:rsidRDefault="004D7697" w:rsidP="000D7E0A">
            <w:pPr>
              <w:jc w:val="center"/>
            </w:pPr>
          </w:p>
        </w:tc>
      </w:tr>
      <w:tr w:rsidR="004D7697" w:rsidRPr="00F50B82" w:rsidTr="000D7E0A">
        <w:trPr>
          <w:cantSplit/>
          <w:trHeight w:val="20"/>
        </w:trPr>
        <w:tc>
          <w:tcPr>
            <w:tcW w:w="679" w:type="dxa"/>
          </w:tcPr>
          <w:p w:rsidR="004D7697" w:rsidRDefault="004D7697" w:rsidP="000D7E0A">
            <w:pPr>
              <w:pStyle w:val="Numeroelenco"/>
              <w:ind w:left="0" w:firstLine="57"/>
              <w:rPr>
                <w:lang w:val="it-IT"/>
              </w:rPr>
            </w:pPr>
          </w:p>
          <w:p w:rsidR="004D7697" w:rsidRPr="008F037A" w:rsidRDefault="004D7697" w:rsidP="000D7E0A">
            <w:pPr>
              <w:rPr>
                <w:lang w:val="it-IT"/>
              </w:rPr>
            </w:pPr>
          </w:p>
        </w:tc>
        <w:tc>
          <w:tcPr>
            <w:tcW w:w="851" w:type="dxa"/>
            <w:tcMar>
              <w:left w:w="108" w:type="dxa"/>
              <w:right w:w="0" w:type="dxa"/>
            </w:tcMar>
          </w:tcPr>
          <w:p w:rsidR="004D7697" w:rsidRPr="008A0F36" w:rsidRDefault="004D7697" w:rsidP="000D7E0A">
            <w:pPr>
              <w:pStyle w:val="PrincCont"/>
              <w:jc w:val="left"/>
              <w:rPr>
                <w:lang w:val="it-IT"/>
              </w:rPr>
            </w:pPr>
            <w:r>
              <w:t>Art. 2425</w:t>
            </w:r>
            <w:r w:rsidRPr="00B84B5E">
              <w:t xml:space="preserve"> CC</w:t>
            </w:r>
            <w:r>
              <w:t xml:space="preserve"> OIC 32.32</w:t>
            </w:r>
          </w:p>
        </w:tc>
        <w:tc>
          <w:tcPr>
            <w:tcW w:w="7079" w:type="dxa"/>
            <w:tcMar>
              <w:left w:w="108" w:type="dxa"/>
            </w:tcMar>
          </w:tcPr>
          <w:p w:rsidR="004D7697" w:rsidRPr="008F037A" w:rsidRDefault="004D7697" w:rsidP="000D7E0A">
            <w:pPr>
              <w:spacing w:after="0" w:line="240" w:lineRule="auto"/>
              <w:rPr>
                <w:lang w:val="it-IT"/>
              </w:rPr>
            </w:pPr>
            <w:r w:rsidRPr="008F037A">
              <w:rPr>
                <w:lang w:val="it-IT"/>
              </w:rPr>
              <w:t xml:space="preserve">Ad eccezione di quanto previsto al paragrafo 36 dell’OIC 32 la variazione di </w:t>
            </w:r>
            <w:r w:rsidRPr="008F037A">
              <w:rPr>
                <w:i/>
                <w:iCs/>
                <w:lang w:val="it-IT"/>
              </w:rPr>
              <w:t xml:space="preserve">fair value </w:t>
            </w:r>
            <w:r w:rsidRPr="008F037A">
              <w:rPr>
                <w:lang w:val="it-IT"/>
              </w:rPr>
              <w:t>degli strumenti finanziari derivati è esposta nel conto economico nella sezione D) “</w:t>
            </w:r>
            <w:r w:rsidRPr="008F037A">
              <w:rPr>
                <w:i/>
                <w:iCs/>
                <w:lang w:val="it-IT"/>
              </w:rPr>
              <w:t>Rettifiche di valore di attività e passività</w:t>
            </w:r>
            <w:r w:rsidRPr="008F037A">
              <w:rPr>
                <w:lang w:val="it-IT"/>
              </w:rPr>
              <w:t xml:space="preserve"> </w:t>
            </w:r>
            <w:r w:rsidRPr="008F037A">
              <w:rPr>
                <w:i/>
                <w:iCs/>
                <w:lang w:val="it-IT"/>
              </w:rPr>
              <w:t>finanziarie</w:t>
            </w:r>
            <w:r w:rsidRPr="008F037A">
              <w:rPr>
                <w:lang w:val="it-IT"/>
              </w:rPr>
              <w:t>” nelle voci previste dall’articolo 2425 del codice civile:</w:t>
            </w:r>
          </w:p>
          <w:p w:rsidR="004D7697" w:rsidRPr="008F037A" w:rsidRDefault="004D7697" w:rsidP="000D7E0A">
            <w:pPr>
              <w:spacing w:after="0" w:line="240" w:lineRule="auto"/>
              <w:rPr>
                <w:lang w:val="it-IT"/>
              </w:rPr>
            </w:pPr>
            <w:r w:rsidRPr="008F037A">
              <w:rPr>
                <w:lang w:val="it-IT"/>
              </w:rPr>
              <w:t xml:space="preserve">D) 18) d) </w:t>
            </w:r>
            <w:r w:rsidRPr="008F037A">
              <w:rPr>
                <w:i/>
                <w:iCs/>
                <w:lang w:val="it-IT"/>
              </w:rPr>
              <w:t>rivalutazione di strumenti finanziari derivati</w:t>
            </w:r>
            <w:r w:rsidRPr="008F037A">
              <w:rPr>
                <w:lang w:val="it-IT"/>
              </w:rPr>
              <w:t>;</w:t>
            </w:r>
          </w:p>
          <w:p w:rsidR="004D7697" w:rsidRPr="008F037A" w:rsidRDefault="004D7697" w:rsidP="000D7E0A">
            <w:pPr>
              <w:spacing w:after="0" w:line="240" w:lineRule="auto"/>
              <w:rPr>
                <w:rFonts w:ascii="Times New Roman" w:hAnsi="Times New Roman"/>
                <w:sz w:val="21"/>
                <w:szCs w:val="21"/>
                <w:lang w:val="it-IT"/>
              </w:rPr>
            </w:pPr>
            <w:r w:rsidRPr="008F037A">
              <w:rPr>
                <w:lang w:val="it-IT"/>
              </w:rPr>
              <w:t xml:space="preserve">D) 19) d) </w:t>
            </w:r>
            <w:r w:rsidRPr="008F037A">
              <w:rPr>
                <w:i/>
                <w:iCs/>
                <w:lang w:val="it-IT"/>
              </w:rPr>
              <w:t>svalutazione di strumenti finanziari derivati</w:t>
            </w:r>
            <w:r>
              <w:rPr>
                <w:lang w:val="it-IT"/>
              </w:rPr>
              <w:t>?</w:t>
            </w:r>
          </w:p>
        </w:tc>
        <w:tc>
          <w:tcPr>
            <w:tcW w:w="575" w:type="dxa"/>
            <w:tcMar>
              <w:left w:w="85" w:type="dxa"/>
              <w:right w:w="85"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Default="004D7697" w:rsidP="000D7E0A">
            <w:pPr>
              <w:pStyle w:val="PrincCont"/>
              <w:jc w:val="left"/>
            </w:pPr>
            <w:r>
              <w:t>OIC 32.33</w:t>
            </w:r>
          </w:p>
        </w:tc>
        <w:tc>
          <w:tcPr>
            <w:tcW w:w="7079" w:type="dxa"/>
            <w:tcMar>
              <w:left w:w="108" w:type="dxa"/>
            </w:tcMar>
          </w:tcPr>
          <w:p w:rsidR="004D7697" w:rsidRPr="008F037A" w:rsidRDefault="004D7697" w:rsidP="000D7E0A">
            <w:pPr>
              <w:pStyle w:val="Commentiriquadro"/>
            </w:pPr>
            <w:r w:rsidRPr="008F037A">
              <w:t xml:space="preserve">Nella voce D) 18) d) sono incluse le variazioni positive di </w:t>
            </w:r>
            <w:r w:rsidRPr="008F037A">
              <w:rPr>
                <w:i/>
                <w:iCs/>
              </w:rPr>
              <w:t xml:space="preserve">fair value </w:t>
            </w:r>
            <w:r w:rsidRPr="008F037A">
              <w:t xml:space="preserve">degli strumenti finanziari derivati non di copertura, gli utili derivanti dalla componente inefficace della copertura nell’ambito di una copertura dei flussi finanziari, le variazioni positive derivanti dalla valutazione dell’elemento coperto e le variazioni positive derivanti dalla valutazione dello strumento di copertura nell’ambito di una copertura di </w:t>
            </w:r>
            <w:r w:rsidRPr="008F037A">
              <w:rPr>
                <w:i/>
                <w:iCs/>
              </w:rPr>
              <w:t xml:space="preserve">fair value </w:t>
            </w:r>
            <w:r w:rsidRPr="008F037A">
              <w:t>come disciplinato dai paragrafi 78-79 e 107 dell’OIC 32 e la variazione positiva del valore temporale come disciplinato ai paragrafi 80 e 88 dell’OIC 32.</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Default="004D7697" w:rsidP="000D7E0A">
            <w:pPr>
              <w:pStyle w:val="PrincCont"/>
              <w:jc w:val="left"/>
            </w:pPr>
            <w:r>
              <w:t>OIC 32.34</w:t>
            </w:r>
          </w:p>
        </w:tc>
        <w:tc>
          <w:tcPr>
            <w:tcW w:w="7079" w:type="dxa"/>
            <w:tcMar>
              <w:left w:w="108" w:type="dxa"/>
            </w:tcMar>
          </w:tcPr>
          <w:p w:rsidR="004D7697" w:rsidRPr="008F037A" w:rsidRDefault="004D7697" w:rsidP="000D7E0A">
            <w:pPr>
              <w:pStyle w:val="Commentiriquadro"/>
            </w:pPr>
            <w:r w:rsidRPr="008F037A">
              <w:t xml:space="preserve">Nella voce D) 19) d) sono incluse le variazioni negative di </w:t>
            </w:r>
            <w:r w:rsidRPr="008F037A">
              <w:rPr>
                <w:i/>
                <w:iCs/>
              </w:rPr>
              <w:t xml:space="preserve">fair value </w:t>
            </w:r>
            <w:r w:rsidRPr="008F037A">
              <w:t xml:space="preserve">degli strumenti finanziari derivati non di copertura, le perdite derivanti dalla componente inefficace della copertura nell’ambito di una copertura dei flussi finanziari, le variazioni negative derivanti dalla valutazione dell’elemento coperto e le variazioni negative derivanti dalla valutazione dello strumento di copertura nell’ambito di una copertura di </w:t>
            </w:r>
            <w:r w:rsidRPr="008F037A">
              <w:rPr>
                <w:i/>
                <w:iCs/>
              </w:rPr>
              <w:t xml:space="preserve">fair value </w:t>
            </w:r>
            <w:r w:rsidRPr="008F037A">
              <w:t>come disciplinato dai paragrafi 78-79 e 107 dell’OIC 32, la variazione negativa del valore temporale come disciplinato ai paragrafi 80 e 88 dell’OIC 32 e l’ammontare o parte dell’ammontare della voce A) VII “</w:t>
            </w:r>
            <w:r w:rsidRPr="008F037A">
              <w:rPr>
                <w:i/>
                <w:iCs/>
              </w:rPr>
              <w:t xml:space="preserve">Riserva per operazione di copertura di flussi finanziari attesi” </w:t>
            </w:r>
            <w:r w:rsidRPr="008F037A">
              <w:t>quando la società non ne prevede il recupero ai sensi del paragrafo 87 c) e 114 c) dell’OIC 32.</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4D7697" w:rsidRDefault="004D7697" w:rsidP="000D7E0A">
            <w:pPr>
              <w:pStyle w:val="PrincCont"/>
              <w:jc w:val="left"/>
            </w:pPr>
            <w:r w:rsidRPr="004D7697">
              <w:t>Art. 2426, c.1, n.11-bis CC  OIC 32.35</w:t>
            </w:r>
          </w:p>
        </w:tc>
        <w:tc>
          <w:tcPr>
            <w:tcW w:w="7079" w:type="dxa"/>
            <w:tcMar>
              <w:left w:w="108" w:type="dxa"/>
            </w:tcMar>
            <w:vAlign w:val="center"/>
          </w:tcPr>
          <w:p w:rsidR="004D7697" w:rsidRPr="008F037A" w:rsidRDefault="004D7697" w:rsidP="000D7E0A">
            <w:pPr>
              <w:pStyle w:val="Commentiriquadro"/>
              <w:jc w:val="left"/>
            </w:pPr>
            <w:r w:rsidRPr="008F037A">
              <w:t>Come previsto dall’articolo 2426, comma 1, numero 11-bis, del codice civile “</w:t>
            </w:r>
            <w:r w:rsidRPr="008F037A">
              <w:rPr>
                <w:i/>
              </w:rPr>
              <w:t>non sono distribuibili gli utili che derivano dalla valutazione degli strumenti finanziari derivati non utilizzati o non necessari per la copertura</w:t>
            </w:r>
            <w:r w:rsidRPr="008F037A">
              <w:t>”.</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8F037A"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32.36</w:t>
            </w:r>
          </w:p>
        </w:tc>
        <w:tc>
          <w:tcPr>
            <w:tcW w:w="7079" w:type="dxa"/>
            <w:tcMar>
              <w:left w:w="108" w:type="dxa"/>
            </w:tcMar>
          </w:tcPr>
          <w:p w:rsidR="004D7697" w:rsidRPr="008F037A" w:rsidRDefault="004D7697" w:rsidP="000D7E0A">
            <w:pPr>
              <w:spacing w:after="0" w:line="230" w:lineRule="exact"/>
              <w:rPr>
                <w:lang w:val="it-IT"/>
              </w:rPr>
            </w:pPr>
            <w:r w:rsidRPr="008F037A">
              <w:rPr>
                <w:lang w:val="it-IT"/>
              </w:rPr>
              <w:t>L’utilizzo della voce A) VII “</w:t>
            </w:r>
            <w:r w:rsidRPr="008F037A">
              <w:rPr>
                <w:i/>
                <w:iCs/>
                <w:lang w:val="it-IT"/>
              </w:rPr>
              <w:t xml:space="preserve">Riserva per operazioni di copertura dei flussi finanziari attesi” </w:t>
            </w:r>
            <w:r w:rsidRPr="008F037A">
              <w:rPr>
                <w:lang w:val="it-IT"/>
              </w:rPr>
              <w:t>secondo quanto disposto dai paragrafi 87 e 114 dell’OIC 32 è stato imputato a rettifica o integrazione delle voci di conto economico impattate dai flussi finanziari coperti nello stesso esercizio (o esercizi) in cui questi generano effetti sul risultato d’esercizio o a rettifica o integrazione dell’attività o passività non finanziarie scaturenti da un’operazione programmata o da un impegno irrevocabile?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8F037A"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t>OIC 32.37</w:t>
            </w:r>
          </w:p>
        </w:tc>
        <w:tc>
          <w:tcPr>
            <w:tcW w:w="7079" w:type="dxa"/>
            <w:tcMar>
              <w:left w:w="108" w:type="dxa"/>
            </w:tcMar>
          </w:tcPr>
          <w:p w:rsidR="004D7697" w:rsidRPr="008F037A" w:rsidRDefault="004D7697" w:rsidP="000D7E0A">
            <w:pPr>
              <w:spacing w:after="0" w:line="230" w:lineRule="exact"/>
              <w:rPr>
                <w:lang w:val="it-IT"/>
              </w:rPr>
            </w:pPr>
            <w:r w:rsidRPr="008F037A">
              <w:rPr>
                <w:lang w:val="it-IT"/>
              </w:rPr>
              <w:t xml:space="preserve">Nell’ambito delle coperture di </w:t>
            </w:r>
            <w:r w:rsidRPr="008F037A">
              <w:rPr>
                <w:i/>
                <w:iCs/>
                <w:lang w:val="it-IT"/>
              </w:rPr>
              <w:t xml:space="preserve">fair value, </w:t>
            </w:r>
            <w:r w:rsidRPr="008F037A">
              <w:rPr>
                <w:lang w:val="it-IT"/>
              </w:rPr>
              <w:t xml:space="preserve">se la variazione del valore del </w:t>
            </w:r>
            <w:r w:rsidRPr="008F037A">
              <w:rPr>
                <w:i/>
                <w:iCs/>
                <w:lang w:val="it-IT"/>
              </w:rPr>
              <w:t xml:space="preserve">fair value </w:t>
            </w:r>
            <w:r w:rsidRPr="008F037A">
              <w:rPr>
                <w:lang w:val="it-IT"/>
              </w:rPr>
              <w:t xml:space="preserve">dell’elemento coperto è maggiore in valore assoluto della variazione di </w:t>
            </w:r>
            <w:r w:rsidRPr="008F037A">
              <w:rPr>
                <w:i/>
                <w:iCs/>
                <w:lang w:val="it-IT"/>
              </w:rPr>
              <w:t xml:space="preserve">fair value </w:t>
            </w:r>
            <w:r w:rsidRPr="008F037A">
              <w:rPr>
                <w:lang w:val="it-IT"/>
              </w:rPr>
              <w:t xml:space="preserve">dello strumento di copertura la differenza tra le due variazioni di </w:t>
            </w:r>
            <w:r w:rsidRPr="008F037A">
              <w:rPr>
                <w:i/>
                <w:iCs/>
                <w:lang w:val="it-IT"/>
              </w:rPr>
              <w:t xml:space="preserve">fair value </w:t>
            </w:r>
            <w:r w:rsidRPr="008F037A">
              <w:rPr>
                <w:lang w:val="it-IT"/>
              </w:rPr>
              <w:t>è rilevata nella voce di conto economico interessata dall’elemento coperto così come previsto al paragrafo 79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8F037A" w:rsidRDefault="004D7697" w:rsidP="000D7E0A">
            <w:pPr>
              <w:pStyle w:val="Titolo2"/>
              <w:rPr>
                <w:lang w:val="it-IT"/>
              </w:rPr>
            </w:pPr>
            <w:r>
              <w:rPr>
                <w:lang w:val="it-IT"/>
              </w:rPr>
              <w:t>Iscrizione iniziale e valutazione successiva</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886A53"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32.38</w:t>
            </w:r>
          </w:p>
        </w:tc>
        <w:tc>
          <w:tcPr>
            <w:tcW w:w="7079" w:type="dxa"/>
            <w:tcMar>
              <w:left w:w="108" w:type="dxa"/>
            </w:tcMar>
          </w:tcPr>
          <w:p w:rsidR="004D7697" w:rsidRPr="00D33DF4" w:rsidRDefault="004D7697" w:rsidP="000D7E0A">
            <w:pPr>
              <w:spacing w:after="0" w:line="230" w:lineRule="exact"/>
              <w:rPr>
                <w:lang w:val="it-IT"/>
              </w:rPr>
            </w:pPr>
            <w:r w:rsidRPr="00D33DF4">
              <w:rPr>
                <w:lang w:val="it-IT"/>
              </w:rPr>
              <w:t xml:space="preserve">Gli strumenti finanziari derivati sono stati </w:t>
            </w:r>
            <w:r>
              <w:rPr>
                <w:lang w:val="it-IT"/>
              </w:rPr>
              <w:t xml:space="preserve">rilevati inizialmente </w:t>
            </w:r>
            <w:r w:rsidRPr="00D33DF4">
              <w:rPr>
                <w:lang w:val="it-IT"/>
              </w:rPr>
              <w:t>quando la società divenendo parte delle clausole contrattuali, ossia alla data di sottoscrizione del contratto, è soggetta ai relativi diritti ed obblighi?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886A53"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4D7697" w:rsidRDefault="004D7697" w:rsidP="000D7E0A">
            <w:pPr>
              <w:pStyle w:val="PrincCont"/>
              <w:jc w:val="left"/>
            </w:pPr>
            <w:r w:rsidRPr="004D7697">
              <w:t>Art. 2426, c.1, n.11-bis, CC  OIC 32.39</w:t>
            </w:r>
          </w:p>
        </w:tc>
        <w:tc>
          <w:tcPr>
            <w:tcW w:w="7079" w:type="dxa"/>
            <w:tcMar>
              <w:left w:w="108" w:type="dxa"/>
            </w:tcMar>
          </w:tcPr>
          <w:p w:rsidR="004D7697" w:rsidRPr="00D33DF4" w:rsidRDefault="004D7697" w:rsidP="000D7E0A">
            <w:pPr>
              <w:spacing w:after="0" w:line="230" w:lineRule="exact"/>
              <w:rPr>
                <w:lang w:val="it-IT"/>
              </w:rPr>
            </w:pPr>
            <w:r w:rsidRPr="00D33DF4">
              <w:rPr>
                <w:lang w:val="it-IT"/>
              </w:rPr>
              <w:t xml:space="preserve">Gli strumenti finanziari derivati, anche se incorporati in altri strumenti finanziari derivati, sono stati iscritti al </w:t>
            </w:r>
            <w:r w:rsidRPr="00A81240">
              <w:rPr>
                <w:i/>
                <w:lang w:val="it-IT"/>
              </w:rPr>
              <w:t>fair value</w:t>
            </w:r>
            <w:r w:rsidRPr="00D33DF4">
              <w:rPr>
                <w:lang w:val="it-IT"/>
              </w:rP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32.40</w:t>
            </w:r>
          </w:p>
        </w:tc>
        <w:tc>
          <w:tcPr>
            <w:tcW w:w="7079" w:type="dxa"/>
            <w:tcMar>
              <w:left w:w="108" w:type="dxa"/>
            </w:tcMar>
          </w:tcPr>
          <w:p w:rsidR="004D7697" w:rsidRPr="00D33DF4" w:rsidRDefault="004D7697" w:rsidP="000D7E0A">
            <w:pPr>
              <w:pStyle w:val="Commentiriquadro"/>
            </w:pPr>
            <w:r w:rsidRPr="00D33DF4">
              <w:t xml:space="preserve">Gli strumenti finanziari derivati sono valutati al </w:t>
            </w:r>
            <w:r w:rsidRPr="00D33DF4">
              <w:rPr>
                <w:i/>
                <w:iCs/>
              </w:rPr>
              <w:t xml:space="preserve">fair value </w:t>
            </w:r>
            <w:r w:rsidRPr="00D33DF4">
              <w:t xml:space="preserve">sia alla data di rilevazione iniziale sia ad ogni data di chiusura del bilancio. </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886A53"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32.40</w:t>
            </w:r>
          </w:p>
        </w:tc>
        <w:tc>
          <w:tcPr>
            <w:tcW w:w="7079" w:type="dxa"/>
            <w:tcMar>
              <w:left w:w="108" w:type="dxa"/>
            </w:tcMar>
          </w:tcPr>
          <w:p w:rsidR="004D7697" w:rsidRPr="00D33DF4" w:rsidRDefault="004D7697" w:rsidP="000D7E0A">
            <w:pPr>
              <w:spacing w:after="0" w:line="230" w:lineRule="exact"/>
              <w:rPr>
                <w:lang w:val="it-IT"/>
              </w:rPr>
            </w:pPr>
            <w:r w:rsidRPr="00D33DF4">
              <w:rPr>
                <w:lang w:val="it-IT"/>
              </w:rPr>
              <w:t xml:space="preserve">La variazione di </w:t>
            </w:r>
            <w:r w:rsidRPr="00A81240">
              <w:rPr>
                <w:i/>
                <w:lang w:val="it-IT"/>
              </w:rPr>
              <w:t>fair value</w:t>
            </w:r>
            <w:r w:rsidRPr="00D33DF4">
              <w:rPr>
                <w:lang w:val="it-IT"/>
              </w:rPr>
              <w:t xml:space="preserve"> rispetto all’esercizio precedente è stata rilevata a conto economico nelle specifiche voci individuate al paragrafo 32 dell’OIC 32? </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32.40</w:t>
            </w:r>
          </w:p>
        </w:tc>
        <w:tc>
          <w:tcPr>
            <w:tcW w:w="7079" w:type="dxa"/>
            <w:tcMar>
              <w:left w:w="108" w:type="dxa"/>
            </w:tcMar>
          </w:tcPr>
          <w:p w:rsidR="004D7697" w:rsidRPr="00D33DF4" w:rsidRDefault="004D7697" w:rsidP="000D7E0A">
            <w:pPr>
              <w:pStyle w:val="Commentiriquadro"/>
            </w:pPr>
            <w:r w:rsidRPr="00D33DF4">
              <w:t>L’Ap</w:t>
            </w:r>
            <w:r>
              <w:t>pendice B dell’OIC 32</w:t>
            </w:r>
            <w:r w:rsidRPr="00D33DF4">
              <w:t xml:space="preserve"> indica i criteri per la valutazione al </w:t>
            </w:r>
            <w:r w:rsidRPr="00D33DF4">
              <w:rPr>
                <w:i/>
                <w:iCs/>
              </w:rPr>
              <w:t xml:space="preserve">fair value </w:t>
            </w:r>
            <w:r w:rsidRPr="00D33DF4">
              <w:t>degli strumenti finanziari derivati.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886A53"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33DF4" w:rsidRDefault="004D7697" w:rsidP="000D7E0A">
            <w:pPr>
              <w:spacing w:after="0" w:line="240" w:lineRule="auto"/>
              <w:rPr>
                <w:b/>
                <w:i/>
                <w:lang w:val="it-IT"/>
              </w:rPr>
            </w:pPr>
            <w:r w:rsidRPr="00D33DF4">
              <w:rPr>
                <w:b/>
                <w:i/>
                <w:lang w:val="it-IT"/>
              </w:rPr>
              <w:t>Separazione dei derivati incorporati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32.41</w:t>
            </w:r>
          </w:p>
        </w:tc>
        <w:tc>
          <w:tcPr>
            <w:tcW w:w="7079" w:type="dxa"/>
            <w:tcMar>
              <w:left w:w="108" w:type="dxa"/>
            </w:tcMar>
          </w:tcPr>
          <w:p w:rsidR="004D7697" w:rsidRPr="006944D1" w:rsidRDefault="004D7697" w:rsidP="000D7E0A">
            <w:pPr>
              <w:pStyle w:val="Commentiriquadro"/>
            </w:pPr>
            <w:r w:rsidRPr="006944D1">
              <w:t>Si definisce contratto ibrido un contratto composto da uno strumento finanziario derivato (derivato incorporato) e un contratto primario (contratto non derivato regolato a normali condizioni di mercato). Un contratto ibrido genera flussi finanziari che non avrebbero avuto luogo se non fosse stata presente la componente derivativa</w:t>
            </w:r>
            <w:r>
              <w:t>.</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32.42</w:t>
            </w:r>
          </w:p>
        </w:tc>
        <w:tc>
          <w:tcPr>
            <w:tcW w:w="7079" w:type="dxa"/>
            <w:tcMar>
              <w:left w:w="108" w:type="dxa"/>
            </w:tcMar>
          </w:tcPr>
          <w:p w:rsidR="004D7697" w:rsidRPr="006944D1" w:rsidRDefault="004D7697" w:rsidP="000D7E0A">
            <w:pPr>
              <w:spacing w:after="0" w:line="230" w:lineRule="exact"/>
              <w:rPr>
                <w:lang w:val="it-IT"/>
              </w:rPr>
            </w:pPr>
            <w:r w:rsidRPr="006944D1">
              <w:rPr>
                <w:lang w:val="it-IT"/>
              </w:rPr>
              <w:t>Un derivato incorporato è stato separato dal contratto primario ed è stato contabilizzato come uno strumento finanziario derivato, se, e soltanto se: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886A53"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6944D1" w:rsidRDefault="004D7697" w:rsidP="004E27C2">
            <w:pPr>
              <w:pStyle w:val="Rientroa"/>
              <w:numPr>
                <w:ilvl w:val="0"/>
                <w:numId w:val="50"/>
              </w:numPr>
              <w:spacing w:line="230" w:lineRule="exact"/>
              <w:ind w:left="391" w:hanging="357"/>
            </w:pPr>
            <w:r w:rsidRPr="006944D1">
              <w:t xml:space="preserve">le caratteristiche economiche e i rischi del derivato incorporato non sono strettamente correlati alle caratteristiche economiche e ai rischi del contratto primario. Sussiste una stretta correlazione nei casi in cui il contratto ibrido è stipulato secondo le prassi di mercato. </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886A53"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6944D1" w:rsidRDefault="004D7697" w:rsidP="004E27C2">
            <w:pPr>
              <w:pStyle w:val="Rientroa"/>
              <w:numPr>
                <w:ilvl w:val="0"/>
                <w:numId w:val="50"/>
              </w:numPr>
              <w:spacing w:line="230" w:lineRule="exact"/>
              <w:ind w:left="391" w:hanging="357"/>
            </w:pPr>
            <w:r w:rsidRPr="006944D1">
              <w:t>sono soddisfatti tutti gli elementi della definizione di strumento finanziario derivato di cui al paragrafo 11</w:t>
            </w:r>
            <w:r>
              <w:t xml:space="preserve"> dell’OIC 32</w:t>
            </w:r>
            <w:r w:rsidRPr="006944D1">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32.42</w:t>
            </w:r>
          </w:p>
        </w:tc>
        <w:tc>
          <w:tcPr>
            <w:tcW w:w="7079" w:type="dxa"/>
            <w:tcMar>
              <w:left w:w="108" w:type="dxa"/>
            </w:tcMar>
          </w:tcPr>
          <w:p w:rsidR="004D7697" w:rsidRPr="006944D1" w:rsidRDefault="004D7697" w:rsidP="000D7E0A">
            <w:pPr>
              <w:pStyle w:val="Commentiriquadro"/>
            </w:pPr>
            <w:r>
              <w:t xml:space="preserve">Per </w:t>
            </w:r>
            <w:r w:rsidRPr="006944D1">
              <w:t xml:space="preserve">valutare la correlazione tra i due contratti è opportuno fare riferimento alle casistiche riportate </w:t>
            </w:r>
            <w:r>
              <w:t>nell’Appendice C dell’OIC 32.</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32.43</w:t>
            </w:r>
          </w:p>
        </w:tc>
        <w:tc>
          <w:tcPr>
            <w:tcW w:w="7079" w:type="dxa"/>
            <w:tcMar>
              <w:left w:w="108" w:type="dxa"/>
            </w:tcMar>
          </w:tcPr>
          <w:p w:rsidR="004D7697" w:rsidRPr="00DC15BA" w:rsidRDefault="004D7697" w:rsidP="000D7E0A">
            <w:pPr>
              <w:pStyle w:val="Commentiriquadro"/>
            </w:pPr>
            <w:r w:rsidRPr="00DC15BA">
              <w:t>Sebbene l’articolo 2426, comma 1, numero 11-</w:t>
            </w:r>
            <w:r w:rsidRPr="00DC15BA">
              <w:rPr>
                <w:i/>
                <w:iCs/>
              </w:rPr>
              <w:t xml:space="preserve">bis, </w:t>
            </w:r>
            <w:r w:rsidRPr="00DC15BA">
              <w:t>del codice civile faccia riferimento esclusivamente a contratti primari di natura finanziaria, in virtù del principio della sostanza dell’operazione o del contratto, anche nei casi in cui i contratti primari non abbiano natura finanziaria, in via analogica, si applicano le medesime regole di separazione previste per i derivati incorporati</w:t>
            </w:r>
            <w:r>
              <w:t xml:space="preserve"> in altri strumenti finanziari.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Default="004D7697" w:rsidP="000D7E0A">
            <w:pPr>
              <w:pStyle w:val="PrincCont"/>
              <w:jc w:val="left"/>
            </w:pPr>
            <w:r>
              <w:t>OIC 32.44</w:t>
            </w:r>
          </w:p>
        </w:tc>
        <w:tc>
          <w:tcPr>
            <w:tcW w:w="7079" w:type="dxa"/>
            <w:tcMar>
              <w:left w:w="108" w:type="dxa"/>
            </w:tcMar>
          </w:tcPr>
          <w:p w:rsidR="004D7697" w:rsidRPr="00E96A54" w:rsidRDefault="004D7697" w:rsidP="000D7E0A">
            <w:pPr>
              <w:pStyle w:val="Commentiriquadro"/>
            </w:pPr>
            <w:r w:rsidRPr="00E96A54">
              <w:t xml:space="preserve">L’analisi di cui al paragrafo 42 </w:t>
            </w:r>
            <w:r>
              <w:t xml:space="preserve">dell’OIC 32 </w:t>
            </w:r>
            <w:r w:rsidRPr="00E96A54">
              <w:t>è effettuata esclusivamente alla data di rilevazione iniziale dello strumento ibrido o alla data di modifica delle clausole contrattuali; eventuali variazioni alle condizioni di mercato (es. variazione tassi di interesse, quotazioni di borsa, tassi di cambio ecc.) successive a tali date non devono essere tenute in considerazione ai fini dell’eventuale contabilizzazione separata del derivato incorpor</w:t>
            </w:r>
            <w:r>
              <w:t>ato.</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E96A54" w:rsidRDefault="004D7697" w:rsidP="000D7E0A">
            <w:pPr>
              <w:pStyle w:val="PrincCont"/>
              <w:jc w:val="left"/>
              <w:rPr>
                <w:lang w:val="it-IT"/>
              </w:rPr>
            </w:pPr>
            <w:r>
              <w:t>OIC 32.45</w:t>
            </w:r>
          </w:p>
        </w:tc>
        <w:tc>
          <w:tcPr>
            <w:tcW w:w="7079" w:type="dxa"/>
            <w:tcMar>
              <w:left w:w="108" w:type="dxa"/>
            </w:tcMar>
          </w:tcPr>
          <w:p w:rsidR="004D7697" w:rsidRPr="00E96A54" w:rsidRDefault="004D7697" w:rsidP="000D7E0A">
            <w:pPr>
              <w:spacing w:after="0" w:line="230" w:lineRule="exact"/>
              <w:rPr>
                <w:lang w:val="it-IT"/>
              </w:rPr>
            </w:pPr>
            <w:r w:rsidRPr="00E96A54">
              <w:rPr>
                <w:lang w:val="it-IT"/>
              </w:rPr>
              <w:t xml:space="preserve">Il derivato scorporato è stato valutato al </w:t>
            </w:r>
            <w:r w:rsidRPr="00A81240">
              <w:rPr>
                <w:i/>
                <w:lang w:val="it-IT"/>
              </w:rPr>
              <w:t>fair value</w:t>
            </w:r>
            <w:r w:rsidRPr="00E96A54">
              <w:rPr>
                <w:lang w:val="it-IT"/>
              </w:rPr>
              <w:t>:</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886A53"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E96A54" w:rsidRDefault="004D7697" w:rsidP="000D7E0A">
            <w:pPr>
              <w:pStyle w:val="PrincCont"/>
              <w:jc w:val="left"/>
              <w:rPr>
                <w:lang w:val="it-IT"/>
              </w:rPr>
            </w:pPr>
          </w:p>
        </w:tc>
        <w:tc>
          <w:tcPr>
            <w:tcW w:w="7079" w:type="dxa"/>
            <w:tcMar>
              <w:left w:w="108" w:type="dxa"/>
            </w:tcMar>
          </w:tcPr>
          <w:p w:rsidR="004D7697" w:rsidRPr="00E96A54" w:rsidRDefault="004D7697" w:rsidP="004E27C2">
            <w:pPr>
              <w:pStyle w:val="Rientroa"/>
              <w:numPr>
                <w:ilvl w:val="0"/>
                <w:numId w:val="51"/>
              </w:numPr>
              <w:spacing w:line="230" w:lineRule="exact"/>
              <w:ind w:left="391" w:hanging="357"/>
            </w:pPr>
            <w:r w:rsidRPr="00E96A54">
              <w:t>sia alla data di scorporo, ossia alla data di rilevazione iniziale dello strumento ibrido;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886A53"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E96A54" w:rsidRDefault="004D7697" w:rsidP="000D7E0A">
            <w:pPr>
              <w:pStyle w:val="PrincCont"/>
              <w:jc w:val="left"/>
              <w:rPr>
                <w:lang w:val="it-IT"/>
              </w:rPr>
            </w:pPr>
          </w:p>
        </w:tc>
        <w:tc>
          <w:tcPr>
            <w:tcW w:w="7079" w:type="dxa"/>
            <w:tcMar>
              <w:left w:w="108" w:type="dxa"/>
            </w:tcMar>
          </w:tcPr>
          <w:p w:rsidR="004D7697" w:rsidRPr="00E96A54" w:rsidRDefault="004D7697" w:rsidP="004E27C2">
            <w:pPr>
              <w:pStyle w:val="Rientroa"/>
              <w:numPr>
                <w:ilvl w:val="0"/>
                <w:numId w:val="51"/>
              </w:numPr>
            </w:pPr>
            <w:r w:rsidRPr="00E96A54">
              <w:t>sia ad ogni data di chiusura di bilancio successiva</w:t>
            </w:r>
            <w:r>
              <w:t xml:space="preserve"> (vedi punto 17)</w:t>
            </w:r>
            <w:r w:rsidRPr="00E96A54">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886A53"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E96A54" w:rsidRDefault="004D7697" w:rsidP="000D7E0A">
            <w:pPr>
              <w:pStyle w:val="PrincCont"/>
              <w:jc w:val="left"/>
              <w:rPr>
                <w:lang w:val="it-IT"/>
              </w:rPr>
            </w:pPr>
            <w:r>
              <w:t>OIC 32.45</w:t>
            </w:r>
          </w:p>
        </w:tc>
        <w:tc>
          <w:tcPr>
            <w:tcW w:w="7079" w:type="dxa"/>
            <w:tcMar>
              <w:left w:w="108" w:type="dxa"/>
            </w:tcMar>
          </w:tcPr>
          <w:p w:rsidR="004D7697" w:rsidRPr="00E96A54" w:rsidRDefault="004D7697" w:rsidP="000D7E0A">
            <w:pPr>
              <w:spacing w:after="0" w:line="230" w:lineRule="exact"/>
              <w:rPr>
                <w:lang w:val="it-IT"/>
              </w:rPr>
            </w:pPr>
            <w:r w:rsidRPr="00E96A54">
              <w:rPr>
                <w:lang w:val="it-IT"/>
              </w:rPr>
              <w:t xml:space="preserve">Alla data di scorporo l’eventuale differenza tra il valore del contratto ibrido e il </w:t>
            </w:r>
            <w:r w:rsidRPr="00E96A54">
              <w:rPr>
                <w:i/>
                <w:lang w:val="it-IT"/>
              </w:rPr>
              <w:t>fair value</w:t>
            </w:r>
            <w:r w:rsidRPr="00E96A54">
              <w:rPr>
                <w:lang w:val="it-IT"/>
              </w:rPr>
              <w:t xml:space="preserve"> del derivato incorporato è stata attribuita al contratto primario?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886A53"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32.46</w:t>
            </w:r>
          </w:p>
        </w:tc>
        <w:tc>
          <w:tcPr>
            <w:tcW w:w="7079" w:type="dxa"/>
            <w:tcMar>
              <w:left w:w="108" w:type="dxa"/>
            </w:tcMar>
          </w:tcPr>
          <w:p w:rsidR="004D7697" w:rsidRPr="00E96A54" w:rsidRDefault="004D7697" w:rsidP="000D7E0A">
            <w:pPr>
              <w:spacing w:after="0" w:line="230" w:lineRule="exact"/>
              <w:rPr>
                <w:lang w:val="it-IT"/>
              </w:rPr>
            </w:pPr>
            <w:r w:rsidRPr="00E96A54">
              <w:rPr>
                <w:lang w:val="it-IT"/>
              </w:rPr>
              <w:t>Nel caso in cui il derivato incorporato sia un’opzione (</w:t>
            </w:r>
            <w:r w:rsidRPr="00E96A54">
              <w:rPr>
                <w:i/>
                <w:lang w:val="it-IT"/>
              </w:rPr>
              <w:t>call o put</w:t>
            </w:r>
            <w:r w:rsidRPr="00E96A54">
              <w:rPr>
                <w:lang w:val="it-IT"/>
              </w:rPr>
              <w:t xml:space="preserve">), la separazione dal contratto primario è avvenuta determinando il premio, che ne rappresenta il </w:t>
            </w:r>
            <w:r w:rsidRPr="00E96A54">
              <w:rPr>
                <w:i/>
                <w:lang w:val="it-IT"/>
              </w:rPr>
              <w:t>fair value</w:t>
            </w:r>
            <w:r w:rsidRPr="00E96A54">
              <w:rPr>
                <w:lang w:val="it-IT"/>
              </w:rPr>
              <w:t xml:space="preserve"> alla data di scorporo, sulla base delle condizioni contrattuali?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886A53"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32.46</w:t>
            </w:r>
          </w:p>
        </w:tc>
        <w:tc>
          <w:tcPr>
            <w:tcW w:w="7079" w:type="dxa"/>
            <w:tcMar>
              <w:left w:w="108" w:type="dxa"/>
            </w:tcMar>
          </w:tcPr>
          <w:p w:rsidR="004D7697" w:rsidRPr="00E96A54" w:rsidRDefault="004D7697" w:rsidP="000D7E0A">
            <w:pPr>
              <w:spacing w:after="0" w:line="230" w:lineRule="exact"/>
              <w:rPr>
                <w:lang w:val="it-IT"/>
              </w:rPr>
            </w:pPr>
            <w:r w:rsidRPr="00E96A54">
              <w:rPr>
                <w:lang w:val="it-IT"/>
              </w:rPr>
              <w:t xml:space="preserve">Se invece il derivato incorporato è un </w:t>
            </w:r>
            <w:r w:rsidRPr="00E96A54">
              <w:rPr>
                <w:i/>
                <w:iCs/>
                <w:lang w:val="it-IT"/>
              </w:rPr>
              <w:t xml:space="preserve">forward </w:t>
            </w:r>
            <w:r w:rsidRPr="00E96A54">
              <w:rPr>
                <w:lang w:val="it-IT"/>
              </w:rPr>
              <w:t xml:space="preserve">o uno </w:t>
            </w:r>
            <w:r w:rsidRPr="00E96A54">
              <w:rPr>
                <w:i/>
                <w:iCs/>
                <w:lang w:val="it-IT"/>
              </w:rPr>
              <w:t xml:space="preserve">swap, </w:t>
            </w:r>
            <w:r w:rsidRPr="00E96A54">
              <w:rPr>
                <w:lang w:val="it-IT"/>
              </w:rPr>
              <w:t>la separazione è stat</w:t>
            </w:r>
            <w:r>
              <w:rPr>
                <w:lang w:val="it-IT"/>
              </w:rPr>
              <w:t>a</w:t>
            </w:r>
            <w:r w:rsidRPr="00E96A54">
              <w:rPr>
                <w:lang w:val="it-IT"/>
              </w:rPr>
              <w:t xml:space="preserve"> effettuata sulla base delle condizioni sostanziali o implicite del derivato incorporato stesso, determinate in maniera tale da attribuire allo stesso un </w:t>
            </w:r>
            <w:r w:rsidRPr="00E96A54">
              <w:rPr>
                <w:i/>
                <w:iCs/>
                <w:lang w:val="it-IT"/>
              </w:rPr>
              <w:t xml:space="preserve">fair value </w:t>
            </w:r>
            <w:r w:rsidRPr="00E96A54">
              <w:rPr>
                <w:lang w:val="it-IT"/>
              </w:rPr>
              <w:t>pari a zero alla data di rilevazione iniziale?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886A53"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t>OIC 32.47</w:t>
            </w:r>
          </w:p>
        </w:tc>
        <w:tc>
          <w:tcPr>
            <w:tcW w:w="7079" w:type="dxa"/>
            <w:tcMar>
              <w:left w:w="108" w:type="dxa"/>
            </w:tcMar>
          </w:tcPr>
          <w:p w:rsidR="004D7697" w:rsidRPr="00550FAC" w:rsidRDefault="004D7697" w:rsidP="000D7E0A">
            <w:pPr>
              <w:spacing w:after="0" w:line="230" w:lineRule="exact"/>
              <w:rPr>
                <w:lang w:val="it-IT"/>
              </w:rPr>
            </w:pPr>
            <w:r w:rsidRPr="00550FAC">
              <w:rPr>
                <w:lang w:val="it-IT"/>
              </w:rPr>
              <w:t xml:space="preserve">Ad ogni data di chiusura di bilancio successiva il derivato scorporato è stato valutato al </w:t>
            </w:r>
            <w:r w:rsidRPr="00550FAC">
              <w:rPr>
                <w:i/>
                <w:iCs/>
                <w:lang w:val="it-IT"/>
              </w:rPr>
              <w:t xml:space="preserve">fair value </w:t>
            </w:r>
            <w:r w:rsidRPr="00550FAC">
              <w:rPr>
                <w:lang w:val="it-IT"/>
              </w:rPr>
              <w:t xml:space="preserve">e le variazioni di </w:t>
            </w:r>
            <w:r w:rsidRPr="00550FAC">
              <w:rPr>
                <w:i/>
                <w:iCs/>
                <w:lang w:val="it-IT"/>
              </w:rPr>
              <w:t xml:space="preserve">fair value </w:t>
            </w:r>
            <w:r w:rsidRPr="00550FAC">
              <w:rPr>
                <w:lang w:val="it-IT"/>
              </w:rPr>
              <w:t xml:space="preserve">imputate nella sezione D) del conto economico a meno che il derivato scorporato non sia designato come di copertura dei flussi finanziari, nel qual caso la contropartita della variazione di </w:t>
            </w:r>
            <w:r w:rsidRPr="00550FAC">
              <w:rPr>
                <w:i/>
                <w:iCs/>
                <w:lang w:val="it-IT"/>
              </w:rPr>
              <w:t xml:space="preserve">fair value </w:t>
            </w:r>
            <w:r w:rsidRPr="00550FAC">
              <w:rPr>
                <w:lang w:val="it-IT"/>
              </w:rPr>
              <w:t>è stat contabilizzata come previsto dal paragrafo 85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886A53"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t>OIC 32.48</w:t>
            </w:r>
          </w:p>
        </w:tc>
        <w:tc>
          <w:tcPr>
            <w:tcW w:w="7079" w:type="dxa"/>
            <w:tcMar>
              <w:left w:w="108" w:type="dxa"/>
            </w:tcMar>
          </w:tcPr>
          <w:p w:rsidR="004D7697" w:rsidRPr="000F5104" w:rsidRDefault="004D7697" w:rsidP="000D7E0A">
            <w:pPr>
              <w:spacing w:after="0" w:line="230" w:lineRule="exact"/>
              <w:rPr>
                <w:lang w:val="it-IT"/>
              </w:rPr>
            </w:pPr>
            <w:r w:rsidRPr="000F5104">
              <w:rPr>
                <w:lang w:val="it-IT"/>
              </w:rPr>
              <w:t xml:space="preserve">Se una società, alla data di scorporo o successivamente, non è in grado di determinare in modo attendibile il </w:t>
            </w:r>
            <w:r w:rsidRPr="000F5104">
              <w:rPr>
                <w:i/>
                <w:iCs/>
                <w:lang w:val="it-IT"/>
              </w:rPr>
              <w:t xml:space="preserve">fair value </w:t>
            </w:r>
            <w:r w:rsidRPr="000F5104">
              <w:rPr>
                <w:lang w:val="it-IT"/>
              </w:rPr>
              <w:t xml:space="preserve">del derivato incorporato, secondo le tecniche previste dall’Appendice B dell’OIC 32 , ha determinato il </w:t>
            </w:r>
            <w:r w:rsidRPr="000F5104">
              <w:rPr>
                <w:i/>
                <w:iCs/>
                <w:lang w:val="it-IT"/>
              </w:rPr>
              <w:t xml:space="preserve">fair value </w:t>
            </w:r>
            <w:r w:rsidRPr="000F5104">
              <w:rPr>
                <w:lang w:val="it-IT"/>
              </w:rPr>
              <w:t xml:space="preserve">del derivato incorporato come la differenza tra il </w:t>
            </w:r>
            <w:r w:rsidRPr="000F5104">
              <w:rPr>
                <w:i/>
                <w:iCs/>
                <w:lang w:val="it-IT"/>
              </w:rPr>
              <w:t xml:space="preserve">fair value </w:t>
            </w:r>
            <w:r w:rsidRPr="000F5104">
              <w:rPr>
                <w:lang w:val="it-IT"/>
              </w:rPr>
              <w:t xml:space="preserve">dello strumento ibrido e il </w:t>
            </w:r>
            <w:r w:rsidRPr="000F5104">
              <w:rPr>
                <w:i/>
                <w:iCs/>
                <w:lang w:val="it-IT"/>
              </w:rPr>
              <w:t xml:space="preserve">fair value </w:t>
            </w:r>
            <w:r w:rsidRPr="000F5104">
              <w:rPr>
                <w:lang w:val="it-IT"/>
              </w:rPr>
              <w:t>del contratto primario?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886A53"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t>OIC 32.49</w:t>
            </w:r>
          </w:p>
        </w:tc>
        <w:tc>
          <w:tcPr>
            <w:tcW w:w="7079" w:type="dxa"/>
            <w:tcMar>
              <w:left w:w="108" w:type="dxa"/>
            </w:tcMar>
          </w:tcPr>
          <w:p w:rsidR="004D7697" w:rsidRPr="00F32ABB" w:rsidRDefault="004D7697" w:rsidP="000D7E0A">
            <w:pPr>
              <w:spacing w:after="0" w:line="230" w:lineRule="exact"/>
              <w:rPr>
                <w:lang w:val="it-IT"/>
              </w:rPr>
            </w:pPr>
            <w:r w:rsidRPr="00F32ABB">
              <w:rPr>
                <w:lang w:val="it-IT"/>
              </w:rPr>
              <w:t xml:space="preserve">Nel caso di un titolo di debito obbligazionario convertibile emesso, l’allocazione del valore del contratto ibrido al contratto primario e al contratto derivato è avvenuta determinando il </w:t>
            </w:r>
            <w:r w:rsidRPr="00F32ABB">
              <w:rPr>
                <w:i/>
                <w:iCs/>
                <w:lang w:val="it-IT"/>
              </w:rPr>
              <w:t>fair value</w:t>
            </w:r>
            <w:r w:rsidRPr="00F32ABB">
              <w:rPr>
                <w:lang w:val="it-IT"/>
              </w:rPr>
              <w:t xml:space="preserve"> del contratto primario e attribuendo il valore che residua al contratto derivato?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886A53"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rsidRPr="000811A2">
              <w:t>OIC 32.49</w:t>
            </w:r>
          </w:p>
        </w:tc>
        <w:tc>
          <w:tcPr>
            <w:tcW w:w="7079" w:type="dxa"/>
            <w:tcMar>
              <w:left w:w="108" w:type="dxa"/>
            </w:tcMar>
          </w:tcPr>
          <w:p w:rsidR="004D7697" w:rsidRPr="00F32ABB" w:rsidRDefault="004D7697" w:rsidP="000D7E0A">
            <w:pPr>
              <w:spacing w:after="0" w:line="230" w:lineRule="exact"/>
              <w:rPr>
                <w:lang w:val="it-IT"/>
              </w:rPr>
            </w:pPr>
            <w:r w:rsidRPr="00F32ABB">
              <w:rPr>
                <w:lang w:val="it-IT"/>
              </w:rPr>
              <w:t>Lo strumento finanziario derivato separato, ossia l’opzione di conversione del prestito in strumento di capitale, è stato iscritto in una riserva di patrimonio netto?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886A53"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rsidRPr="000811A2">
              <w:t>OIC 32.49</w:t>
            </w:r>
          </w:p>
        </w:tc>
        <w:tc>
          <w:tcPr>
            <w:tcW w:w="7079" w:type="dxa"/>
            <w:tcMar>
              <w:left w:w="108" w:type="dxa"/>
            </w:tcMar>
          </w:tcPr>
          <w:p w:rsidR="004D7697" w:rsidRPr="00F32ABB" w:rsidRDefault="004D7697" w:rsidP="000D7E0A">
            <w:pPr>
              <w:spacing w:after="0" w:line="230" w:lineRule="exact"/>
              <w:rPr>
                <w:lang w:val="it-IT"/>
              </w:rPr>
            </w:pPr>
            <w:r w:rsidRPr="00F32ABB">
              <w:rPr>
                <w:lang w:val="it-IT"/>
              </w:rPr>
              <w:t xml:space="preserve">Eventuali costi di transazione sono stati ripartiti proporzionalmente tra il debito e la riserva? </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Default="004D7697" w:rsidP="000D7E0A">
            <w:pPr>
              <w:pStyle w:val="PrincCont"/>
              <w:jc w:val="left"/>
            </w:pPr>
            <w:r w:rsidRPr="000811A2">
              <w:t>OIC 32.49</w:t>
            </w:r>
          </w:p>
        </w:tc>
        <w:tc>
          <w:tcPr>
            <w:tcW w:w="7079" w:type="dxa"/>
            <w:tcMar>
              <w:left w:w="108" w:type="dxa"/>
            </w:tcMar>
          </w:tcPr>
          <w:p w:rsidR="004D7697" w:rsidRPr="000F5104" w:rsidRDefault="004D7697" w:rsidP="000D7E0A">
            <w:pPr>
              <w:pStyle w:val="Commentiriquadro"/>
            </w:pPr>
            <w:r w:rsidRPr="000F5104">
              <w:t>La riserva, non è soggetta a valutazioni successive.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32.50</w:t>
            </w:r>
          </w:p>
        </w:tc>
        <w:tc>
          <w:tcPr>
            <w:tcW w:w="7079" w:type="dxa"/>
            <w:tcMar>
              <w:left w:w="108" w:type="dxa"/>
            </w:tcMar>
          </w:tcPr>
          <w:p w:rsidR="004D7697" w:rsidRPr="000F5104" w:rsidRDefault="004D7697" w:rsidP="000D7E0A">
            <w:pPr>
              <w:pStyle w:val="Commentiriquadro"/>
            </w:pPr>
            <w:r w:rsidRPr="000F5104">
              <w:t>Nel caso la società possieda un contratto ibrido quotato (</w:t>
            </w:r>
            <w:r w:rsidRPr="000F5104">
              <w:rPr>
                <w:i/>
                <w:iCs/>
              </w:rPr>
              <w:t xml:space="preserve">fair value </w:t>
            </w:r>
            <w:r w:rsidRPr="000F5104">
              <w:t xml:space="preserve">di livello 1) può adottare come politica contabile di valutarlo al </w:t>
            </w:r>
            <w:r w:rsidRPr="000F5104">
              <w:rPr>
                <w:i/>
                <w:iCs/>
              </w:rPr>
              <w:t xml:space="preserve">fair value </w:t>
            </w:r>
            <w:r w:rsidRPr="000F5104">
              <w:t xml:space="preserve">nella sua interezza, senza pertanto ricorrere alla separazione del derivato incorporato. Ciò in quanto normalmente la valutazione del </w:t>
            </w:r>
            <w:r w:rsidRPr="000F5104">
              <w:rPr>
                <w:i/>
                <w:iCs/>
              </w:rPr>
              <w:t>fair value</w:t>
            </w:r>
            <w:r w:rsidRPr="000F5104">
              <w:t xml:space="preserve"> dell’intero strumento ibrido risulta più affidabile rispetto all’esercizio di scorporo del derivato incorporato e alla sua conseguente valutazione al </w:t>
            </w:r>
            <w:r w:rsidRPr="000F5104">
              <w:rPr>
                <w:i/>
                <w:iCs/>
              </w:rPr>
              <w:t>fair value</w:t>
            </w:r>
            <w:r w:rsidRPr="000F5104">
              <w:t>. Tale principio contabile deve essere applicato a tutti i contratti ibridi quotati posseduti dalla società. Qualora la società decidesse di cambiare principio contabile deve applicare l’OIC 29 “Cambiamenti di principi contabili, cambiamenti di stime contabili, correzione di errori, fatti intervenuti dopo la chiusura dell’esercizio”.</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6944D1" w:rsidRDefault="004D7697" w:rsidP="000D7E0A">
            <w:pPr>
              <w:pStyle w:val="Titolo2"/>
              <w:rPr>
                <w:lang w:val="it-IT"/>
              </w:rPr>
            </w:pPr>
            <w:r>
              <w:rPr>
                <w:lang w:val="it-IT"/>
              </w:rPr>
              <w:t>Operazioni di copertura</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32.51</w:t>
            </w:r>
          </w:p>
        </w:tc>
        <w:tc>
          <w:tcPr>
            <w:tcW w:w="7079" w:type="dxa"/>
            <w:tcMar>
              <w:left w:w="108" w:type="dxa"/>
            </w:tcMar>
          </w:tcPr>
          <w:p w:rsidR="004D7697" w:rsidRPr="00DC11F3" w:rsidRDefault="004D7697" w:rsidP="000D7E0A">
            <w:pPr>
              <w:pStyle w:val="Commentiriquadro"/>
            </w:pPr>
            <w:r w:rsidRPr="00DC11F3">
              <w:t>La società può scegliere di designare una relazione di copertura tra uno o più strumenti di copertura (OIC 32 paragrafi 56-60) e uno o più elementi coperti (OIC 32 paragrafi 61-66). La contabilizzazione delle operazioni di copertura è applicata alle relazioni di copertura se e solo se soddisfano i requisiti previsti dal paragrafo 71 dell’OIC 32.</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32.52</w:t>
            </w:r>
          </w:p>
        </w:tc>
        <w:tc>
          <w:tcPr>
            <w:tcW w:w="7079" w:type="dxa"/>
            <w:tcMar>
              <w:left w:w="108" w:type="dxa"/>
            </w:tcMar>
          </w:tcPr>
          <w:p w:rsidR="004D7697" w:rsidRPr="00DC11F3" w:rsidRDefault="004D7697" w:rsidP="000D7E0A">
            <w:pPr>
              <w:pStyle w:val="Commentiriquadro"/>
            </w:pPr>
            <w:r w:rsidRPr="00DC11F3">
              <w:t>Le relazioni di copertura sono di due tipi:</w:t>
            </w:r>
          </w:p>
          <w:p w:rsidR="004D7697" w:rsidRPr="00DC11F3" w:rsidRDefault="004D7697" w:rsidP="000D7E0A">
            <w:pPr>
              <w:pStyle w:val="Commentiriquadro"/>
              <w:ind w:left="317" w:hanging="260"/>
            </w:pPr>
            <w:r w:rsidRPr="00DC11F3">
              <w:t xml:space="preserve">a) </w:t>
            </w:r>
            <w:r>
              <w:tab/>
            </w:r>
            <w:r w:rsidRPr="00DC11F3">
              <w:t xml:space="preserve">copertura delle variazioni di </w:t>
            </w:r>
            <w:r w:rsidRPr="00DC11F3">
              <w:rPr>
                <w:i/>
                <w:iCs/>
              </w:rPr>
              <w:t xml:space="preserve">fair value </w:t>
            </w:r>
            <w:r w:rsidRPr="00DC11F3">
              <w:t xml:space="preserve">(OIC 32 paragrafi 74-82): si applica nei casi in cui l’obiettivo della copertura è quello di limitare l’esposizione al rischio delle variazioni di </w:t>
            </w:r>
            <w:r w:rsidRPr="00DC11F3">
              <w:rPr>
                <w:i/>
                <w:iCs/>
              </w:rPr>
              <w:t xml:space="preserve">fair value </w:t>
            </w:r>
            <w:r w:rsidRPr="00DC11F3">
              <w:t>di attività, passività iscritte in bilancio o impegni irrevocabili, che in assenza di una copertura potrebbero influenzare il risultato d’esercizio;</w:t>
            </w:r>
          </w:p>
          <w:p w:rsidR="004D7697" w:rsidRPr="00DC11F3" w:rsidRDefault="004D7697" w:rsidP="000D7E0A">
            <w:pPr>
              <w:pStyle w:val="Commentiriquadro"/>
              <w:ind w:left="317" w:hanging="260"/>
            </w:pPr>
            <w:r w:rsidRPr="00DC11F3">
              <w:t xml:space="preserve">b) </w:t>
            </w:r>
            <w:r>
              <w:tab/>
            </w:r>
            <w:r w:rsidRPr="00DC11F3">
              <w:t>copertura di flussi finanziari (OIC 32 paragrafi 83-92): si applica nei casi in cui l’obiettivo della copertura è quello di limitare l’esposizione al rischio di variabilità dei flussi finanziari attribuibili ad attività, passività iscritte in bilancio, ad impegni irrevocabili oppure operazioni programmate altamente probabili, che in assenza di una copertura potrebbero influenzare il risultato d’</w:t>
            </w:r>
            <w:r>
              <w:t>esercizio.</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32.53</w:t>
            </w:r>
          </w:p>
        </w:tc>
        <w:tc>
          <w:tcPr>
            <w:tcW w:w="7079" w:type="dxa"/>
            <w:tcMar>
              <w:left w:w="108" w:type="dxa"/>
            </w:tcMar>
          </w:tcPr>
          <w:p w:rsidR="004D7697" w:rsidRPr="00DC11F3" w:rsidRDefault="004D7697" w:rsidP="000D7E0A">
            <w:pPr>
              <w:pStyle w:val="Commentiriquadro"/>
            </w:pPr>
            <w:r w:rsidRPr="00DC11F3">
              <w:t>È ammessa la contabilizzazione di operazioni di copertura solo per i seguenti rischi:</w:t>
            </w:r>
          </w:p>
          <w:p w:rsidR="004D7697" w:rsidRPr="00DC11F3" w:rsidRDefault="004D7697" w:rsidP="000D7E0A">
            <w:pPr>
              <w:pStyle w:val="Commentiriquadro"/>
              <w:ind w:left="317" w:hanging="260"/>
            </w:pPr>
            <w:r w:rsidRPr="00DC11F3">
              <w:t>a)</w:t>
            </w:r>
            <w:r>
              <w:tab/>
            </w:r>
            <w:r w:rsidRPr="00DC11F3">
              <w:t>rischio di tasso d’interesse, ad esempio, di uno strumento di debito rilevato al costo ammortizzato;</w:t>
            </w:r>
          </w:p>
          <w:p w:rsidR="004D7697" w:rsidRPr="00DC11F3" w:rsidRDefault="004D7697" w:rsidP="000D7E0A">
            <w:pPr>
              <w:pStyle w:val="Commentiriquadro"/>
              <w:ind w:left="317" w:hanging="260"/>
            </w:pPr>
            <w:r w:rsidRPr="00DC11F3">
              <w:t>b)</w:t>
            </w:r>
            <w:r>
              <w:tab/>
            </w:r>
            <w:r w:rsidRPr="00DC11F3">
              <w:t>rischio di cambio, ad esempio il rischio di cambio su un acquisto futuro altamente probabile in valuta estera;</w:t>
            </w:r>
          </w:p>
          <w:p w:rsidR="004D7697" w:rsidRPr="00DC11F3" w:rsidRDefault="004D7697" w:rsidP="000D7E0A">
            <w:pPr>
              <w:pStyle w:val="Commentiriquadro"/>
              <w:ind w:left="317" w:hanging="260"/>
            </w:pPr>
            <w:r w:rsidRPr="00DC11F3">
              <w:t>c)</w:t>
            </w:r>
            <w:r>
              <w:tab/>
            </w:r>
            <w:r w:rsidRPr="00DC11F3">
              <w:t>rischio di prezzo, ad esempio di una merce in magazzino o di un titolo azionario detenuto dalla società;</w:t>
            </w:r>
          </w:p>
          <w:p w:rsidR="004D7697" w:rsidRPr="00DC11F3" w:rsidRDefault="004D7697" w:rsidP="000D7E0A">
            <w:pPr>
              <w:pStyle w:val="Commentiriquadro"/>
              <w:ind w:left="317" w:hanging="260"/>
            </w:pPr>
            <w:r w:rsidRPr="00DC11F3">
              <w:t xml:space="preserve">d) </w:t>
            </w:r>
            <w:r>
              <w:tab/>
            </w:r>
            <w:r w:rsidRPr="00DC11F3">
              <w:t xml:space="preserve">rischio di credito (ad esclusione del rischio di </w:t>
            </w:r>
            <w:r>
              <w:t>credito proprio della società).</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32.53</w:t>
            </w:r>
          </w:p>
        </w:tc>
        <w:tc>
          <w:tcPr>
            <w:tcW w:w="7079" w:type="dxa"/>
            <w:tcMar>
              <w:left w:w="108" w:type="dxa"/>
            </w:tcMar>
          </w:tcPr>
          <w:p w:rsidR="004D7697" w:rsidRPr="00DC11F3" w:rsidRDefault="004D7697" w:rsidP="000D7E0A">
            <w:pPr>
              <w:pStyle w:val="Commentiriquadro"/>
            </w:pPr>
            <w:r w:rsidRPr="00DC11F3">
              <w:t>L’Appendice D dell’OIC 32</w:t>
            </w:r>
            <w:r>
              <w:t xml:space="preserve"> </w:t>
            </w:r>
            <w:r w:rsidRPr="00DC11F3">
              <w:t>contiene indicazioni utili su come applicare alcune re</w:t>
            </w:r>
            <w:r>
              <w:t>gole della copertura contabile.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32.54</w:t>
            </w:r>
          </w:p>
        </w:tc>
        <w:tc>
          <w:tcPr>
            <w:tcW w:w="7079" w:type="dxa"/>
            <w:tcMar>
              <w:left w:w="108" w:type="dxa"/>
            </w:tcMar>
          </w:tcPr>
          <w:p w:rsidR="004D7697" w:rsidRPr="00DC11F3" w:rsidRDefault="004D7697" w:rsidP="000D7E0A">
            <w:pPr>
              <w:pStyle w:val="Commentiriquadro"/>
            </w:pPr>
            <w:r w:rsidRPr="00DC11F3">
              <w:t>Una volta che la società designa una relazione di copertura contabile, la stessa può essere interrotta esclusivamente nei casi descritti ai paragrafi 81 e 91 dell’OIC 32</w:t>
            </w:r>
            <w:r>
              <w:t>.</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32.55</w:t>
            </w:r>
          </w:p>
        </w:tc>
        <w:tc>
          <w:tcPr>
            <w:tcW w:w="7079" w:type="dxa"/>
            <w:tcMar>
              <w:left w:w="108" w:type="dxa"/>
            </w:tcMar>
          </w:tcPr>
          <w:p w:rsidR="004D7697" w:rsidRPr="00DC11F3" w:rsidRDefault="004D7697" w:rsidP="000D7E0A">
            <w:pPr>
              <w:pStyle w:val="Commentiriquadro"/>
            </w:pPr>
            <w:r w:rsidRPr="00DC11F3">
              <w:t>Quando le operazioni di copertura sono poste in essere mediante strumenti finanziari derivati aventi caratteristiche del tutto simili a quelle dell’elemento coperto, quali la scadenza, il valore nominale, la data di regolamento dei flussi finanziari e la variabile sottostante (definite “</w:t>
            </w:r>
            <w:r w:rsidRPr="00DC11F3">
              <w:rPr>
                <w:i/>
                <w:iCs/>
              </w:rPr>
              <w:t>relazioni di copertura</w:t>
            </w:r>
            <w:r w:rsidRPr="00DC11F3">
              <w:t xml:space="preserve"> </w:t>
            </w:r>
            <w:r w:rsidRPr="00DC11F3">
              <w:rPr>
                <w:i/>
                <w:iCs/>
              </w:rPr>
              <w:t>semplici</w:t>
            </w:r>
            <w:r w:rsidRPr="00DC11F3">
              <w:t xml:space="preserve">”) e lo strumento finanziario derivato è stipulato a condizioni di mercato (ad esempio un </w:t>
            </w:r>
            <w:r w:rsidRPr="00DC11F3">
              <w:rPr>
                <w:i/>
                <w:iCs/>
              </w:rPr>
              <w:t xml:space="preserve">forward </w:t>
            </w:r>
            <w:r w:rsidRPr="00DC11F3">
              <w:t xml:space="preserve">oppure </w:t>
            </w:r>
            <w:r w:rsidRPr="00DC11F3">
              <w:rPr>
                <w:i/>
                <w:iCs/>
              </w:rPr>
              <w:t xml:space="preserve">swap </w:t>
            </w:r>
            <w:r w:rsidRPr="00DC11F3">
              <w:t xml:space="preserve">che hanno un </w:t>
            </w:r>
            <w:r w:rsidRPr="00DC11F3">
              <w:rPr>
                <w:i/>
                <w:iCs/>
              </w:rPr>
              <w:t xml:space="preserve">fair value </w:t>
            </w:r>
            <w:r w:rsidRPr="00DC11F3">
              <w:t>prossimo allo zero), alla data di rilevazione iniziale la loro contabilizzazione può essere basata su un’analisi esclusivamente qualitativa ai sensi del paragrafo 72 dell’OIC 32 e non necessita dell’elaborazione di un test quantitativo ai sensi del paragrafo 73 dell’OIC 32. Nei paragrafi dal 101 al 118 dell’OIC 32 sono riepilogati i passaggi necessari per la contabilizzazione di suddette relazioni di copertura.</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F4654" w:rsidRDefault="004D7697" w:rsidP="000D7E0A">
            <w:pPr>
              <w:rPr>
                <w:b/>
                <w:i/>
                <w:lang w:val="it-IT"/>
              </w:rPr>
            </w:pPr>
            <w:r w:rsidRPr="00DF4654">
              <w:rPr>
                <w:b/>
                <w:i/>
                <w:lang w:val="it-IT"/>
              </w:rPr>
              <w:t>Strumenti di copertura ammissibili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32.56</w:t>
            </w:r>
          </w:p>
        </w:tc>
        <w:tc>
          <w:tcPr>
            <w:tcW w:w="7079" w:type="dxa"/>
            <w:tcMar>
              <w:left w:w="108" w:type="dxa"/>
            </w:tcMar>
          </w:tcPr>
          <w:p w:rsidR="004D7697" w:rsidRPr="00C46AD3" w:rsidRDefault="004D7697" w:rsidP="000D7E0A">
            <w:pPr>
              <w:pStyle w:val="Commentiriquadro"/>
            </w:pPr>
            <w:r w:rsidRPr="00C46AD3">
              <w:t>Uno o più strumenti finanziari derivati possono essere designa</w:t>
            </w:r>
            <w:r>
              <w:t>ti come strumenti di copertura.</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32.57</w:t>
            </w:r>
          </w:p>
        </w:tc>
        <w:tc>
          <w:tcPr>
            <w:tcW w:w="7079" w:type="dxa"/>
            <w:tcMar>
              <w:left w:w="108" w:type="dxa"/>
            </w:tcMar>
          </w:tcPr>
          <w:p w:rsidR="004D7697" w:rsidRPr="00C46AD3" w:rsidRDefault="004D7697" w:rsidP="000D7E0A">
            <w:pPr>
              <w:spacing w:after="0" w:line="230" w:lineRule="exact"/>
              <w:rPr>
                <w:lang w:val="it-IT"/>
              </w:rPr>
            </w:pPr>
            <w:r w:rsidRPr="00C46AD3">
              <w:rPr>
                <w:lang w:val="it-IT"/>
              </w:rPr>
              <w:t xml:space="preserve">Tenuto conto che non è consentito suddividere il </w:t>
            </w:r>
            <w:r w:rsidRPr="00C46AD3">
              <w:rPr>
                <w:i/>
                <w:iCs/>
                <w:lang w:val="it-IT"/>
              </w:rPr>
              <w:t xml:space="preserve">fair value, </w:t>
            </w:r>
            <w:r w:rsidRPr="00C46AD3">
              <w:rPr>
                <w:lang w:val="it-IT"/>
              </w:rPr>
              <w:t>in componenti e designare una o più di queste come strumento di copertura, lo strumento finanziario derivato è stato designato come strumento di copertura nella sua interezza?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C46AD3"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32.58</w:t>
            </w:r>
          </w:p>
        </w:tc>
        <w:tc>
          <w:tcPr>
            <w:tcW w:w="7079" w:type="dxa"/>
            <w:tcMar>
              <w:left w:w="108" w:type="dxa"/>
            </w:tcMar>
          </w:tcPr>
          <w:p w:rsidR="004D7697" w:rsidRPr="00615242" w:rsidRDefault="004D7697" w:rsidP="000D7E0A">
            <w:pPr>
              <w:spacing w:line="230" w:lineRule="exact"/>
              <w:rPr>
                <w:lang w:val="it-IT"/>
              </w:rPr>
            </w:pPr>
            <w:r w:rsidRPr="00615242">
              <w:rPr>
                <w:lang w:val="it-IT"/>
              </w:rPr>
              <w:t>Fermo restando quanto previsto al paragrafo 57 (vedi punto precedente):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615242" w:rsidRDefault="004D7697" w:rsidP="004E27C2">
            <w:pPr>
              <w:pStyle w:val="Rientroa"/>
              <w:numPr>
                <w:ilvl w:val="0"/>
                <w:numId w:val="52"/>
              </w:numPr>
              <w:spacing w:line="230" w:lineRule="exact"/>
              <w:ind w:left="391" w:hanging="357"/>
            </w:pPr>
            <w:r w:rsidRPr="00615242">
              <w:t>nel caso di opzione (</w:t>
            </w:r>
            <w:r w:rsidRPr="00615242">
              <w:rPr>
                <w:i/>
              </w:rPr>
              <w:t>put o call</w:t>
            </w:r>
            <w:r w:rsidRPr="00615242">
              <w:t xml:space="preserve">) acquistata è stato designato di copertura il solo valore intrinseco (o variazione di valore del prezzo a pronti) del </w:t>
            </w:r>
            <w:r w:rsidRPr="00615242">
              <w:rPr>
                <w:i/>
              </w:rPr>
              <w:t>fair value</w:t>
            </w:r>
            <w:r w:rsidRPr="00615242">
              <w:t xml:space="preserve">? </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6944D1" w:rsidRDefault="004D7697" w:rsidP="000D7E0A">
            <w:pPr>
              <w:pStyle w:val="Commentiriquadro"/>
            </w:pPr>
            <w:r w:rsidRPr="00C46AD3">
              <w:t xml:space="preserve">Il valore intrinseco dell’opzione rappresenta la differenza tra il prezzo di mercato del sottostante e il prezzo di esercizio dell’opzione. Ciò che residua rispetto al </w:t>
            </w:r>
            <w:r w:rsidRPr="00C46AD3">
              <w:rPr>
                <w:i/>
                <w:iCs/>
              </w:rPr>
              <w:t xml:space="preserve">fair value </w:t>
            </w:r>
            <w:r w:rsidRPr="00C46AD3">
              <w:t>dell’opzione è il valore temporale, ossia la probabilità che, con il passare del tempo, il valore intrinseco aumenti. In questo caso il valore temporale dell’opzione è escluso dalla relazione di copertura e contabilizzato secondo quanto previsto dal paragr</w:t>
            </w:r>
            <w:r>
              <w:t>afo 80 oppure 88-89 dell’OIC 32;</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615242" w:rsidRDefault="004D7697" w:rsidP="004E27C2">
            <w:pPr>
              <w:pStyle w:val="Rientroa"/>
              <w:numPr>
                <w:ilvl w:val="0"/>
                <w:numId w:val="52"/>
              </w:numPr>
              <w:spacing w:line="230" w:lineRule="exact"/>
              <w:ind w:left="391" w:hanging="357"/>
            </w:pPr>
            <w:r w:rsidRPr="00615242">
              <w:t xml:space="preserve">nel caso di contratto </w:t>
            </w:r>
            <w:r w:rsidRPr="00615242">
              <w:rPr>
                <w:i/>
              </w:rPr>
              <w:t>forward</w:t>
            </w:r>
            <w:r w:rsidRPr="00615242">
              <w:t xml:space="preserve"> è stato designato di copertura il solo elemento </w:t>
            </w:r>
            <w:r w:rsidRPr="00615242">
              <w:rPr>
                <w:i/>
              </w:rPr>
              <w:t>spot</w:t>
            </w:r>
            <w:r>
              <w:t>?</w:t>
            </w:r>
            <w:r w:rsidRPr="00615242">
              <w:t xml:space="preserve"> </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615242" w:rsidRDefault="004D7697" w:rsidP="000D7E0A">
            <w:pPr>
              <w:pStyle w:val="Commentiriquadro"/>
            </w:pPr>
            <w:r w:rsidRPr="00615242">
              <w:t xml:space="preserve">L’elemento </w:t>
            </w:r>
            <w:r w:rsidRPr="00615242">
              <w:rPr>
                <w:i/>
                <w:iCs/>
              </w:rPr>
              <w:t xml:space="preserve">spot </w:t>
            </w:r>
            <w:r w:rsidRPr="00615242">
              <w:t xml:space="preserve">(di seguito valore intrinseco) è uguale al prezzo o tasso corrente del sottostante mentre ciò che residua rispetto al </w:t>
            </w:r>
            <w:r w:rsidRPr="00615242">
              <w:rPr>
                <w:i/>
                <w:iCs/>
              </w:rPr>
              <w:t xml:space="preserve">fair value </w:t>
            </w:r>
            <w:r w:rsidRPr="00615242">
              <w:t xml:space="preserve">del </w:t>
            </w:r>
            <w:r w:rsidRPr="00615242">
              <w:rPr>
                <w:i/>
                <w:iCs/>
              </w:rPr>
              <w:t xml:space="preserve">forward </w:t>
            </w:r>
            <w:r w:rsidRPr="00615242">
              <w:t xml:space="preserve">è l’elemento </w:t>
            </w:r>
            <w:r w:rsidRPr="00615242">
              <w:rPr>
                <w:i/>
                <w:iCs/>
              </w:rPr>
              <w:t xml:space="preserve">forward </w:t>
            </w:r>
            <w:r w:rsidRPr="00615242">
              <w:t xml:space="preserve">(di seguito valore temporale) che rappresenta il valore finanziario del tempo. Similmente a quanto previsto per le opzioni, anche per i contratti </w:t>
            </w:r>
            <w:r w:rsidRPr="00615242">
              <w:rPr>
                <w:i/>
                <w:iCs/>
              </w:rPr>
              <w:t xml:space="preserve">forward </w:t>
            </w:r>
            <w:r w:rsidRPr="00615242">
              <w:t>in questo caso il valore temporale è escluso dalla relazione di copertura ed è contabilizzato secondo quanto previsto dal paragrafo 80 oppure 88-89 dell’OIC 32</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32.59</w:t>
            </w:r>
          </w:p>
        </w:tc>
        <w:tc>
          <w:tcPr>
            <w:tcW w:w="7079" w:type="dxa"/>
            <w:tcMar>
              <w:left w:w="108" w:type="dxa"/>
            </w:tcMar>
          </w:tcPr>
          <w:p w:rsidR="004D7697" w:rsidRPr="008C6092" w:rsidRDefault="004D7697" w:rsidP="000D7E0A">
            <w:pPr>
              <w:pStyle w:val="Commentiriquadro"/>
            </w:pPr>
            <w:r w:rsidRPr="008C6092">
              <w:t xml:space="preserve">Fermo restando quanto previsto al paragrafo 57 </w:t>
            </w:r>
            <w:r>
              <w:t xml:space="preserve">dell’OIC 32 </w:t>
            </w:r>
            <w:r w:rsidRPr="008C6092">
              <w:t xml:space="preserve">può essere designata una quota dell’intero strumento di copertura, quale ad esempio il 50% del sottostante. La restante quota rappresenta uno strumento finanziario derivato non di copertura. Tuttavia, lo strumento di copertura non può essere designato per una parte del periodo di tempo in cui </w:t>
            </w:r>
            <w:r>
              <w:t>lo strumento è in circolazione.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32.60</w:t>
            </w:r>
          </w:p>
        </w:tc>
        <w:tc>
          <w:tcPr>
            <w:tcW w:w="7079" w:type="dxa"/>
            <w:tcMar>
              <w:left w:w="108" w:type="dxa"/>
            </w:tcMar>
          </w:tcPr>
          <w:p w:rsidR="004D7697" w:rsidRPr="008C6092" w:rsidRDefault="004D7697" w:rsidP="000D7E0A">
            <w:pPr>
              <w:spacing w:after="0" w:line="230" w:lineRule="exact"/>
              <w:rPr>
                <w:lang w:val="it-IT"/>
              </w:rPr>
            </w:pPr>
            <w:r w:rsidRPr="008C6092">
              <w:rPr>
                <w:lang w:val="it-IT"/>
              </w:rPr>
              <w:t xml:space="preserve">Un’opzione </w:t>
            </w:r>
            <w:r w:rsidRPr="008C6092">
              <w:rPr>
                <w:i/>
                <w:iCs/>
                <w:lang w:val="it-IT"/>
              </w:rPr>
              <w:t xml:space="preserve">(put o call) </w:t>
            </w:r>
            <w:r w:rsidRPr="008C6092">
              <w:rPr>
                <w:lang w:val="it-IT"/>
              </w:rPr>
              <w:t>venduta, o una combinazione di strumenti finanziari derivati che abbiano lo stesso effetto di un’opzione venduta, è stata designata come strumento di copertura solo nel caso in cui sia designata a compensazione di un’opzione (</w:t>
            </w:r>
            <w:r w:rsidRPr="008C6092">
              <w:rPr>
                <w:i/>
                <w:iCs/>
                <w:lang w:val="it-IT"/>
              </w:rPr>
              <w:t>put o call</w:t>
            </w:r>
            <w:r w:rsidRPr="008C6092">
              <w:rPr>
                <w:lang w:val="it-IT"/>
              </w:rPr>
              <w:t>) acquistata?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vAlign w:val="center"/>
          </w:tcPr>
          <w:p w:rsidR="004D7697" w:rsidRPr="00D27A48" w:rsidRDefault="004D7697" w:rsidP="000D7E0A">
            <w:pPr>
              <w:jc w:val="left"/>
              <w:rPr>
                <w:b/>
                <w:i/>
                <w:lang w:val="it-IT"/>
              </w:rPr>
            </w:pPr>
            <w:r w:rsidRPr="00D27A48">
              <w:rPr>
                <w:b/>
                <w:i/>
                <w:lang w:val="it-IT"/>
              </w:rPr>
              <w:t>Elementi coperti ammissibili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32.61</w:t>
            </w:r>
          </w:p>
        </w:tc>
        <w:tc>
          <w:tcPr>
            <w:tcW w:w="7079" w:type="dxa"/>
            <w:tcMar>
              <w:left w:w="108" w:type="dxa"/>
            </w:tcMar>
          </w:tcPr>
          <w:p w:rsidR="004D7697" w:rsidRPr="00261CD8" w:rsidRDefault="004D7697" w:rsidP="000D7E0A">
            <w:pPr>
              <w:pStyle w:val="Commentiriquadro"/>
              <w:spacing w:before="20"/>
            </w:pPr>
            <w:r w:rsidRPr="00261CD8">
              <w:t>Sono ammissibili come elementi coperti, sia singolarmente che raggruppati, i seguenti elementi o loro componenti:</w:t>
            </w:r>
          </w:p>
          <w:p w:rsidR="004D7697" w:rsidRPr="00261CD8" w:rsidRDefault="004D7697" w:rsidP="000D7E0A">
            <w:pPr>
              <w:pStyle w:val="Commentiriquadro"/>
              <w:spacing w:before="20"/>
              <w:ind w:left="317" w:hanging="260"/>
            </w:pPr>
            <w:r w:rsidRPr="00261CD8">
              <w:t>a)</w:t>
            </w:r>
            <w:r>
              <w:tab/>
            </w:r>
            <w:r w:rsidRPr="00261CD8">
              <w:t>attività e passività iscritte in bilancio;</w:t>
            </w:r>
          </w:p>
          <w:p w:rsidR="004D7697" w:rsidRPr="00261CD8" w:rsidRDefault="004D7697" w:rsidP="000D7E0A">
            <w:pPr>
              <w:pStyle w:val="Commentiriquadro"/>
              <w:spacing w:before="20"/>
              <w:ind w:left="317" w:hanging="260"/>
              <w:rPr>
                <w:sz w:val="18"/>
                <w:szCs w:val="18"/>
              </w:rPr>
            </w:pPr>
            <w:r w:rsidRPr="00261CD8">
              <w:t xml:space="preserve">b) </w:t>
            </w:r>
            <w:r>
              <w:tab/>
            </w:r>
            <w:r w:rsidRPr="00261CD8">
              <w:t>impegni irrevocabili;</w:t>
            </w:r>
          </w:p>
          <w:p w:rsidR="004D7697" w:rsidRPr="00261CD8" w:rsidRDefault="004D7697" w:rsidP="000D7E0A">
            <w:pPr>
              <w:pStyle w:val="Commentiriquadro"/>
              <w:spacing w:before="20"/>
              <w:ind w:left="318" w:hanging="261"/>
            </w:pPr>
            <w:r w:rsidRPr="00261CD8">
              <w:t>c)</w:t>
            </w:r>
            <w:r>
              <w:tab/>
            </w:r>
            <w:r w:rsidRPr="00261CD8">
              <w:t>operazioni programmate altamente probabili.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32.62</w:t>
            </w:r>
          </w:p>
        </w:tc>
        <w:tc>
          <w:tcPr>
            <w:tcW w:w="7079" w:type="dxa"/>
            <w:tcMar>
              <w:left w:w="108" w:type="dxa"/>
            </w:tcMar>
          </w:tcPr>
          <w:p w:rsidR="004D7697" w:rsidRPr="00261CD8" w:rsidRDefault="004D7697" w:rsidP="000D7E0A">
            <w:pPr>
              <w:pStyle w:val="Commentiriquadro"/>
            </w:pPr>
            <w:r w:rsidRPr="00261CD8">
              <w:t>Un elemento di Patrimonio Netto non può essere designato come elemento coperto.</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32.63</w:t>
            </w:r>
          </w:p>
        </w:tc>
        <w:tc>
          <w:tcPr>
            <w:tcW w:w="7079" w:type="dxa"/>
            <w:tcMar>
              <w:left w:w="108" w:type="dxa"/>
            </w:tcMar>
          </w:tcPr>
          <w:p w:rsidR="004D7697" w:rsidRPr="006C6A0F" w:rsidRDefault="004D7697" w:rsidP="000D7E0A">
            <w:pPr>
              <w:spacing w:after="0" w:line="230" w:lineRule="exact"/>
              <w:rPr>
                <w:lang w:val="it-IT"/>
              </w:rPr>
            </w:pPr>
            <w:r w:rsidRPr="006C6A0F">
              <w:rPr>
                <w:lang w:val="it-IT"/>
              </w:rPr>
              <w:t>Se l’elemento coperto è un’operazione programmata (o sua componente), il verificarsi in futuro di tale operazione è altamente probabile ovvero la probabilità di verificarsi dell’operazione è ben superiore al 51%?</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32.63</w:t>
            </w:r>
          </w:p>
        </w:tc>
        <w:tc>
          <w:tcPr>
            <w:tcW w:w="7079" w:type="dxa"/>
            <w:tcMar>
              <w:left w:w="108" w:type="dxa"/>
            </w:tcMar>
          </w:tcPr>
          <w:p w:rsidR="004D7697" w:rsidRPr="006C6A0F" w:rsidRDefault="004D7697" w:rsidP="000D7E0A">
            <w:pPr>
              <w:pStyle w:val="Commentiriquadro"/>
            </w:pPr>
            <w:r w:rsidRPr="006C6A0F">
              <w:t>La stima della probabilità di accadimento dell’operazione programmata deve avvenire secondo quanto indicato nei paragrafi dal D.1 al D.8 dell’Appendice D dell’OIC 32</w:t>
            </w:r>
            <w:r>
              <w:t>.</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32.64</w:t>
            </w:r>
          </w:p>
        </w:tc>
        <w:tc>
          <w:tcPr>
            <w:tcW w:w="7079" w:type="dxa"/>
            <w:tcMar>
              <w:left w:w="108" w:type="dxa"/>
            </w:tcMar>
          </w:tcPr>
          <w:p w:rsidR="004D7697" w:rsidRPr="006C6A0F" w:rsidRDefault="004D7697" w:rsidP="000D7E0A">
            <w:pPr>
              <w:pStyle w:val="Commentiriquadro"/>
            </w:pPr>
            <w:r w:rsidRPr="006C6A0F">
              <w:t>Può essere oggetto di copertura anche un’esposizione aggregata, ossia una combinazione tra un elemento coperto conformemente al precedente paragrafo 61 e uno strumento finanziario derivato</w:t>
            </w:r>
            <w:r>
              <w:t>.</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32.65</w:t>
            </w:r>
          </w:p>
        </w:tc>
        <w:tc>
          <w:tcPr>
            <w:tcW w:w="7079" w:type="dxa"/>
            <w:tcMar>
              <w:left w:w="108" w:type="dxa"/>
            </w:tcMar>
          </w:tcPr>
          <w:p w:rsidR="004D7697" w:rsidRPr="006C6A0F" w:rsidRDefault="004D7697" w:rsidP="000D7E0A">
            <w:pPr>
              <w:spacing w:after="0" w:line="230" w:lineRule="exact"/>
              <w:rPr>
                <w:lang w:val="it-IT"/>
              </w:rPr>
            </w:pPr>
            <w:r w:rsidRPr="006C6A0F">
              <w:rPr>
                <w:lang w:val="it-IT"/>
              </w:rPr>
              <w:t xml:space="preserve">La società ha designato una parte del </w:t>
            </w:r>
            <w:r w:rsidRPr="006C6A0F">
              <w:rPr>
                <w:i/>
                <w:iCs/>
                <w:lang w:val="it-IT"/>
              </w:rPr>
              <w:t xml:space="preserve">fair value </w:t>
            </w:r>
            <w:r w:rsidRPr="006C6A0F">
              <w:rPr>
                <w:lang w:val="it-IT"/>
              </w:rPr>
              <w:t>o dei flussi finanziari attesi di un elemento coperto o gruppi di elementi coperti solo se attribuibile: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6C6A0F" w:rsidRDefault="004D7697" w:rsidP="004E27C2">
            <w:pPr>
              <w:pStyle w:val="Rientroa"/>
              <w:numPr>
                <w:ilvl w:val="0"/>
                <w:numId w:val="53"/>
              </w:numPr>
              <w:spacing w:line="230" w:lineRule="exact"/>
              <w:ind w:left="391" w:hanging="357"/>
            </w:pPr>
            <w:r w:rsidRPr="006C6A0F">
              <w:t xml:space="preserve">alle variazioni dei flussi finanziari o del </w:t>
            </w:r>
            <w:r w:rsidRPr="006C6A0F">
              <w:rPr>
                <w:i/>
              </w:rPr>
              <w:t>fair value</w:t>
            </w:r>
            <w:r w:rsidRPr="006C6A0F">
              <w:t xml:space="preserve"> di uno specifico rischio o di specifici rischi, a condizione che la componente di rischio sia identificabile separatamente e valutabile attendibilmente;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6C6A0F" w:rsidRDefault="004D7697" w:rsidP="004E27C2">
            <w:pPr>
              <w:pStyle w:val="Rientroa"/>
              <w:numPr>
                <w:ilvl w:val="0"/>
                <w:numId w:val="53"/>
              </w:numPr>
              <w:spacing w:line="230" w:lineRule="exact"/>
              <w:ind w:left="391" w:hanging="357"/>
            </w:pPr>
            <w:r w:rsidRPr="006C6A0F">
              <w:t>a uno o più flussi finanziari contrattuali;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6C6A0F" w:rsidRDefault="004D7697" w:rsidP="004E27C2">
            <w:pPr>
              <w:pStyle w:val="Rientroa"/>
              <w:numPr>
                <w:ilvl w:val="0"/>
                <w:numId w:val="53"/>
              </w:numPr>
              <w:spacing w:line="230" w:lineRule="exact"/>
              <w:ind w:left="391" w:hanging="357"/>
            </w:pPr>
            <w:r w:rsidRPr="006C6A0F">
              <w:t>ad una parte determinata dell’importo dell’elemento coperto, ad esempio il 50% oppure uno strato del valore nominale dell’elemento coperto?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32.66</w:t>
            </w:r>
          </w:p>
        </w:tc>
        <w:tc>
          <w:tcPr>
            <w:tcW w:w="7079" w:type="dxa"/>
            <w:tcMar>
              <w:left w:w="108" w:type="dxa"/>
            </w:tcMar>
          </w:tcPr>
          <w:p w:rsidR="004D7697" w:rsidRPr="000D6117" w:rsidRDefault="004D7697" w:rsidP="000D7E0A">
            <w:pPr>
              <w:spacing w:after="0" w:line="230" w:lineRule="exact"/>
              <w:rPr>
                <w:lang w:val="it-IT"/>
              </w:rPr>
            </w:pPr>
            <w:r w:rsidRPr="000D6117">
              <w:rPr>
                <w:lang w:val="it-IT"/>
              </w:rPr>
              <w:t>Come previsto dal principio, la componente dei flussi finanziari di un elemento finanziario o non finanziario designata come elemento coperto è inferiore o uguale ai flussi finanziari totali dell’intero elemento?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071633" w:rsidRDefault="004D7697" w:rsidP="000D7E0A">
            <w:pPr>
              <w:rPr>
                <w:b/>
                <w:i/>
                <w:lang w:val="it-IT"/>
              </w:rPr>
            </w:pPr>
            <w:r w:rsidRPr="00071633">
              <w:rPr>
                <w:b/>
                <w:i/>
                <w:lang w:val="it-IT"/>
              </w:rPr>
              <w:t>Coperture di gruppi di elementi o posizioni nette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32.67</w:t>
            </w:r>
          </w:p>
        </w:tc>
        <w:tc>
          <w:tcPr>
            <w:tcW w:w="7079" w:type="dxa"/>
            <w:tcMar>
              <w:left w:w="108" w:type="dxa"/>
            </w:tcMar>
          </w:tcPr>
          <w:p w:rsidR="004D7697" w:rsidRPr="00B24DA5" w:rsidRDefault="004D7697" w:rsidP="000D7E0A">
            <w:pPr>
              <w:spacing w:after="0" w:line="240" w:lineRule="auto"/>
              <w:rPr>
                <w:lang w:val="it-IT"/>
              </w:rPr>
            </w:pPr>
            <w:r w:rsidRPr="00B24DA5">
              <w:rPr>
                <w:lang w:val="it-IT"/>
              </w:rPr>
              <w:t>Un gruppo di elementi è stato designato per la copertura soltanto se: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B24DA5" w:rsidRDefault="004D7697" w:rsidP="004E27C2">
            <w:pPr>
              <w:pStyle w:val="Rientroa"/>
              <w:numPr>
                <w:ilvl w:val="0"/>
                <w:numId w:val="54"/>
              </w:numPr>
              <w:spacing w:line="230" w:lineRule="exact"/>
              <w:ind w:left="391" w:hanging="357"/>
            </w:pPr>
            <w:r w:rsidRPr="00B24DA5">
              <w:t>è costituito da elementi (o componenti di elementi) che individualmente sono elementi ammissibili per la copertura;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B24DA5" w:rsidRDefault="004D7697" w:rsidP="004E27C2">
            <w:pPr>
              <w:pStyle w:val="Rientroa"/>
              <w:numPr>
                <w:ilvl w:val="0"/>
                <w:numId w:val="54"/>
              </w:numPr>
              <w:spacing w:line="230" w:lineRule="exact"/>
              <w:ind w:left="391" w:hanging="357"/>
            </w:pPr>
            <w:r w:rsidRPr="00B24DA5">
              <w:t>gli elementi del gruppo sono utilizzati nell’insieme ai fini della gestione del rischio oggetto di copertura; 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B24DA5" w:rsidRDefault="004D7697" w:rsidP="004E27C2">
            <w:pPr>
              <w:pStyle w:val="Rientroa"/>
              <w:numPr>
                <w:ilvl w:val="0"/>
                <w:numId w:val="54"/>
              </w:numPr>
              <w:spacing w:line="230" w:lineRule="exact"/>
              <w:ind w:left="391" w:hanging="357"/>
            </w:pPr>
            <w:r w:rsidRPr="00B24DA5">
              <w:t xml:space="preserve">a designazione della posizione netta stabilisce l’esercizio in cui si prevede che le operazioni programmate incidano sull’utile (perdita) d’esercizio, nonché la loro natura e l’ammontare </w:t>
            </w:r>
            <w:r>
              <w:t>atteso?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32.68</w:t>
            </w:r>
          </w:p>
        </w:tc>
        <w:tc>
          <w:tcPr>
            <w:tcW w:w="7079" w:type="dxa"/>
            <w:tcMar>
              <w:left w:w="108" w:type="dxa"/>
            </w:tcMar>
          </w:tcPr>
          <w:p w:rsidR="004D7697" w:rsidRPr="00D0494D" w:rsidRDefault="004D7697" w:rsidP="000D7E0A">
            <w:pPr>
              <w:pStyle w:val="Commentiriquadro"/>
            </w:pPr>
            <w:r w:rsidRPr="00D0494D">
              <w:t>Purché ciò sia coerente con gli obiettivi della gestione del rischio della società, è possibile designare una componente di un gruppo di elementi nel seguente modo:</w:t>
            </w:r>
          </w:p>
          <w:p w:rsidR="004D7697" w:rsidRPr="00D0494D" w:rsidRDefault="004D7697" w:rsidP="000D7E0A">
            <w:pPr>
              <w:pStyle w:val="Commentiriquadro"/>
              <w:ind w:left="317" w:hanging="260"/>
            </w:pPr>
            <w:r w:rsidRPr="00D0494D">
              <w:t xml:space="preserve">a) </w:t>
            </w:r>
            <w:r>
              <w:tab/>
            </w:r>
            <w:r w:rsidRPr="00D0494D">
              <w:t>una percentuale del gruppo di elementi;</w:t>
            </w:r>
          </w:p>
          <w:p w:rsidR="004D7697" w:rsidRPr="00D0494D" w:rsidRDefault="004D7697" w:rsidP="000D7E0A">
            <w:pPr>
              <w:pStyle w:val="Commentiriquadro"/>
              <w:ind w:left="317" w:hanging="260"/>
            </w:pPr>
            <w:r w:rsidRPr="00D0494D">
              <w:t>b)</w:t>
            </w:r>
            <w:r>
              <w:tab/>
            </w:r>
            <w:r w:rsidRPr="00D0494D">
              <w:t xml:space="preserve">uno strato del gruppo di elementi (es. i primi 20 milioni di divisa estera incassati nel successivo trimestre) sempreché la società sia in grado di tracciare le operazioni designate e verificarne nel tempo la conformità ai criteri di </w:t>
            </w:r>
            <w:r>
              <w:t>ammissibilità per le coperture.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32.69</w:t>
            </w:r>
          </w:p>
        </w:tc>
        <w:tc>
          <w:tcPr>
            <w:tcW w:w="7079" w:type="dxa"/>
            <w:tcMar>
              <w:left w:w="108" w:type="dxa"/>
            </w:tcMar>
          </w:tcPr>
          <w:p w:rsidR="004D7697" w:rsidRPr="00D0494D" w:rsidRDefault="004D7697" w:rsidP="000D7E0A">
            <w:pPr>
              <w:spacing w:after="0" w:line="230" w:lineRule="exact"/>
              <w:rPr>
                <w:lang w:val="it-IT"/>
              </w:rPr>
            </w:pPr>
            <w:r w:rsidRPr="00D0494D">
              <w:rPr>
                <w:lang w:val="it-IT"/>
              </w:rPr>
              <w:t xml:space="preserve">Nel caso in cui la società abbia contabilizzato delle operazioni di copertura su base netta, il fatto che la società usa tale tipo di copertura risulta anche dalla realtà dei fatti e non da una semplice affermazione o dalla sola documentazione? </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32.69</w:t>
            </w:r>
          </w:p>
        </w:tc>
        <w:tc>
          <w:tcPr>
            <w:tcW w:w="7079" w:type="dxa"/>
            <w:tcMar>
              <w:left w:w="108" w:type="dxa"/>
            </w:tcMar>
          </w:tcPr>
          <w:p w:rsidR="004D7697" w:rsidRPr="00D0494D" w:rsidRDefault="004D7697" w:rsidP="000D7E0A">
            <w:pPr>
              <w:spacing w:after="0" w:line="230" w:lineRule="exact"/>
              <w:rPr>
                <w:lang w:val="it-IT"/>
              </w:rPr>
            </w:pPr>
            <w:r w:rsidRPr="00D0494D">
              <w:rPr>
                <w:lang w:val="it-IT"/>
              </w:rPr>
              <w:t>La copertura delle posizioni nette è supportata dalla strategia della società nella gestione del rischio?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t>OIC 32.70</w:t>
            </w:r>
          </w:p>
        </w:tc>
        <w:tc>
          <w:tcPr>
            <w:tcW w:w="7079" w:type="dxa"/>
            <w:tcMar>
              <w:left w:w="108" w:type="dxa"/>
            </w:tcMar>
          </w:tcPr>
          <w:p w:rsidR="004D7697" w:rsidRPr="00D0494D" w:rsidRDefault="004D7697" w:rsidP="000D7E0A">
            <w:pPr>
              <w:spacing w:after="0" w:line="230" w:lineRule="exact"/>
              <w:rPr>
                <w:lang w:val="it-IT"/>
              </w:rPr>
            </w:pPr>
            <w:r w:rsidRPr="00D0494D">
              <w:rPr>
                <w:lang w:val="it-IT"/>
              </w:rPr>
              <w:t>Se un gruppo di elementi che costituiscono una posizione netta è designato come elemento coperto, la società ha designato tutto il gruppo di elementi?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t>OIC 32.70</w:t>
            </w:r>
          </w:p>
        </w:tc>
        <w:tc>
          <w:tcPr>
            <w:tcW w:w="7079" w:type="dxa"/>
            <w:tcMar>
              <w:left w:w="108" w:type="dxa"/>
            </w:tcMar>
          </w:tcPr>
          <w:p w:rsidR="004D7697" w:rsidRPr="00D0494D" w:rsidRDefault="004D7697" w:rsidP="000D7E0A">
            <w:pPr>
              <w:spacing w:after="0" w:line="230" w:lineRule="exact"/>
              <w:rPr>
                <w:lang w:val="it-IT"/>
              </w:rPr>
            </w:pPr>
            <w:r w:rsidRPr="00D0494D">
              <w:rPr>
                <w:lang w:val="it-IT"/>
              </w:rPr>
              <w:t xml:space="preserve">Come previsto dal principio, la società ha </w:t>
            </w:r>
            <w:r>
              <w:rPr>
                <w:lang w:val="it-IT"/>
              </w:rPr>
              <w:t xml:space="preserve">considerato il divieto di </w:t>
            </w:r>
            <w:r w:rsidRPr="00D0494D">
              <w:rPr>
                <w:lang w:val="it-IT"/>
              </w:rPr>
              <w:t>designa</w:t>
            </w:r>
            <w:r>
              <w:rPr>
                <w:lang w:val="it-IT"/>
              </w:rPr>
              <w:t>re</w:t>
            </w:r>
            <w:r w:rsidRPr="00D0494D">
              <w:rPr>
                <w:lang w:val="it-IT"/>
              </w:rPr>
              <w:t xml:space="preserve"> un importo indefinito di una posizione netta</w:t>
            </w:r>
            <w:r>
              <w:rPr>
                <w:lang w:val="it-IT"/>
              </w:rP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vAlign w:val="center"/>
          </w:tcPr>
          <w:p w:rsidR="004D7697" w:rsidRPr="006944D1" w:rsidRDefault="004D7697" w:rsidP="000D7E0A">
            <w:pPr>
              <w:jc w:val="left"/>
              <w:rPr>
                <w:lang w:val="it-IT"/>
              </w:rPr>
            </w:pPr>
            <w:r w:rsidRPr="003B404D">
              <w:rPr>
                <w:b/>
                <w:i/>
                <w:lang w:val="it-IT"/>
              </w:rPr>
              <w:t>Criteri di ammissibilità per la contabilizzazione delle operazioni di copertura</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32.71</w:t>
            </w:r>
          </w:p>
        </w:tc>
        <w:tc>
          <w:tcPr>
            <w:tcW w:w="7079" w:type="dxa"/>
            <w:tcMar>
              <w:left w:w="108" w:type="dxa"/>
            </w:tcMar>
          </w:tcPr>
          <w:p w:rsidR="004D7697" w:rsidRPr="00D9351F" w:rsidRDefault="004D7697" w:rsidP="000D7E0A">
            <w:pPr>
              <w:spacing w:after="0" w:line="230" w:lineRule="exact"/>
              <w:rPr>
                <w:lang w:val="it-IT"/>
              </w:rPr>
            </w:pPr>
            <w:r w:rsidRPr="00D9351F">
              <w:rPr>
                <w:lang w:val="it-IT"/>
              </w:rPr>
              <w:t xml:space="preserve">Ai </w:t>
            </w:r>
            <w:r>
              <w:rPr>
                <w:lang w:val="it-IT"/>
              </w:rPr>
              <w:t xml:space="preserve">fini </w:t>
            </w:r>
            <w:r w:rsidRPr="00D9351F">
              <w:rPr>
                <w:lang w:val="it-IT"/>
              </w:rPr>
              <w:t>dell’ammissibilità per la contabilizzazione delle operazioni di copertura, la società ha verificato che tutte le seguenti condizioni sono state soddisfatte: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9351F" w:rsidRDefault="004D7697" w:rsidP="004E27C2">
            <w:pPr>
              <w:pStyle w:val="Rientroa"/>
              <w:numPr>
                <w:ilvl w:val="0"/>
                <w:numId w:val="55"/>
              </w:numPr>
              <w:spacing w:line="230" w:lineRule="exact"/>
              <w:ind w:left="391" w:hanging="357"/>
            </w:pPr>
            <w:r w:rsidRPr="00D9351F">
              <w:t>la relazione di copertura consiste solo di strumenti di copertura ammissibili ed elementi coperti ammissibili;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9351F" w:rsidRDefault="004D7697" w:rsidP="004E27C2">
            <w:pPr>
              <w:pStyle w:val="Rientroa"/>
              <w:numPr>
                <w:ilvl w:val="0"/>
                <w:numId w:val="55"/>
              </w:numPr>
              <w:spacing w:line="224" w:lineRule="exact"/>
              <w:ind w:left="391" w:hanging="357"/>
            </w:pPr>
            <w:r w:rsidRPr="00D9351F">
              <w:t>ai sensi dell’articolo 2426 comma 1, numero 11-bis, del codice civile “</w:t>
            </w:r>
            <w:r w:rsidRPr="00D9351F">
              <w:rPr>
                <w:i/>
              </w:rPr>
              <w:t>si considera sussistente la copertura in presenza, di stretta e documentata correlazione tra le caratteristiche dello strumento o dell’operazione coperti e quelle dello strumento di copertura</w:t>
            </w:r>
            <w:r w:rsidRPr="00D9351F">
              <w:t>”. Pertanto all’inizio della relazione di copertura vi è una designazione e una documentazione formale della relazione di copertura, degli obiettivi della società nella gestione del rischio e della strategia nell’effettuare la co</w:t>
            </w:r>
            <w:r>
              <w:t>pertura. La documentazione include</w:t>
            </w:r>
            <w:r w:rsidRPr="00D9351F">
              <w:t xml:space="preserve"> l’individuazione dello strumento di copertura, dell’elemento coperto, della natura del rischio coperto e di come la società valuterà se la relazione di copertura soddisfi i requisiti di efficacia della copertura (compresa la sua analisi delle fonti di inefficacia della copertura e di come essa determina il rapporto di copertura);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9351F" w:rsidRDefault="004D7697" w:rsidP="004E27C2">
            <w:pPr>
              <w:pStyle w:val="Rientroa"/>
              <w:numPr>
                <w:ilvl w:val="0"/>
                <w:numId w:val="55"/>
              </w:numPr>
              <w:spacing w:line="230" w:lineRule="exact"/>
              <w:ind w:left="391" w:hanging="357"/>
            </w:pPr>
            <w:r w:rsidRPr="00D9351F">
              <w:t>la relazione di copertura soddisfa tutti i seguenti requisiti di efficacia della copertura (paragrafo 18 OIC</w:t>
            </w:r>
            <w:r>
              <w:t xml:space="preserve"> </w:t>
            </w:r>
            <w:r w:rsidRPr="00D9351F">
              <w:t>32):</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9351F" w:rsidRDefault="004D7697" w:rsidP="004E27C2">
            <w:pPr>
              <w:pStyle w:val="Paragrafoelenco"/>
              <w:numPr>
                <w:ilvl w:val="0"/>
                <w:numId w:val="47"/>
              </w:numPr>
              <w:spacing w:line="230" w:lineRule="exact"/>
              <w:ind w:left="743" w:hanging="284"/>
              <w:rPr>
                <w:lang w:val="it-IT"/>
              </w:rPr>
            </w:pPr>
            <w:r w:rsidRPr="00D9351F">
              <w:rPr>
                <w:lang w:val="it-IT"/>
              </w:rPr>
              <w:t xml:space="preserve">vi è una relazione economica tra l’elemento coperto e lo strumento di copertura. </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32.71</w:t>
            </w:r>
          </w:p>
        </w:tc>
        <w:tc>
          <w:tcPr>
            <w:tcW w:w="7079" w:type="dxa"/>
            <w:tcMar>
              <w:left w:w="108" w:type="dxa"/>
            </w:tcMar>
          </w:tcPr>
          <w:p w:rsidR="004D7697" w:rsidRPr="00D9351F" w:rsidRDefault="004D7697" w:rsidP="000D7E0A">
            <w:pPr>
              <w:pStyle w:val="Commentiriquadro"/>
            </w:pPr>
            <w:r w:rsidRPr="00D9351F">
              <w:t>Ciò implica che il valore dello strumento di copertura varia al variare, in relazione al rischio oggetto della copertura, nella direzione opposta di quello dell’elemento coperto. Ci si deve pertanto attendere una variazione sistematica del valore dello strumento di copertura e del valore dell’elemento coperto in conseguenza ai movimenti della stessa variabile sottostante.</w:t>
            </w:r>
          </w:p>
        </w:tc>
        <w:tc>
          <w:tcPr>
            <w:tcW w:w="575" w:type="dxa"/>
            <w:tcMar>
              <w:left w:w="85" w:type="dxa"/>
              <w:right w:w="85" w:type="dxa"/>
            </w:tcMar>
            <w:vAlign w:val="center"/>
          </w:tcPr>
          <w:p w:rsidR="004D7697" w:rsidRPr="003C3DEC" w:rsidRDefault="004D7697" w:rsidP="000D7E0A">
            <w:pPr>
              <w:jc w:val="center"/>
              <w:rPr>
                <w:lang w:val="it-IT"/>
              </w:rPr>
            </w:pPr>
          </w:p>
        </w:tc>
        <w:tc>
          <w:tcPr>
            <w:tcW w:w="567" w:type="dxa"/>
            <w:tcMar>
              <w:left w:w="108" w:type="dxa"/>
            </w:tcMar>
            <w:vAlign w:val="center"/>
          </w:tcPr>
          <w:p w:rsidR="004D7697" w:rsidRPr="003C3DEC" w:rsidRDefault="004D7697" w:rsidP="000D7E0A">
            <w:pPr>
              <w:jc w:val="center"/>
              <w:rPr>
                <w:lang w:val="it-IT"/>
              </w:rPr>
            </w:pPr>
          </w:p>
        </w:tc>
        <w:tc>
          <w:tcPr>
            <w:tcW w:w="567" w:type="dxa"/>
            <w:tcMar>
              <w:left w:w="108" w:type="dxa"/>
            </w:tcMar>
            <w:vAlign w:val="center"/>
          </w:tcPr>
          <w:p w:rsidR="004D7697" w:rsidRPr="003C3DEC"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32.71</w:t>
            </w:r>
          </w:p>
        </w:tc>
        <w:tc>
          <w:tcPr>
            <w:tcW w:w="7079" w:type="dxa"/>
            <w:tcMar>
              <w:left w:w="108" w:type="dxa"/>
            </w:tcMar>
          </w:tcPr>
          <w:p w:rsidR="004D7697" w:rsidRPr="003C3DEC" w:rsidRDefault="004D7697" w:rsidP="000D7E0A">
            <w:pPr>
              <w:pStyle w:val="Commentiriquadro"/>
            </w:pPr>
            <w:r w:rsidRPr="00D9351F">
              <w:t xml:space="preserve">La verifica di tale relazione economica può avvenire sia in termini </w:t>
            </w:r>
            <w:r w:rsidRPr="003C3DEC">
              <w:rPr>
                <w:i/>
              </w:rPr>
              <w:t>qualitativi</w:t>
            </w:r>
            <w:r w:rsidRPr="00D9351F">
              <w:t xml:space="preserve"> (paragrafo 72 successivo) sia </w:t>
            </w:r>
            <w:r w:rsidRPr="003C3DEC">
              <w:rPr>
                <w:i/>
              </w:rPr>
              <w:t>quantitativ</w:t>
            </w:r>
            <w:r w:rsidRPr="003C3DEC">
              <w:t xml:space="preserve">i </w:t>
            </w:r>
            <w:r w:rsidRPr="00D9351F">
              <w:t>(paragrafo 73 successivo);</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3C3DEC" w:rsidRDefault="004D7697" w:rsidP="000D7E0A">
            <w:pPr>
              <w:jc w:val="center"/>
              <w:rPr>
                <w:lang w:val="it-IT"/>
              </w:rPr>
            </w:pPr>
          </w:p>
        </w:tc>
        <w:tc>
          <w:tcPr>
            <w:tcW w:w="567" w:type="dxa"/>
            <w:tcMar>
              <w:left w:w="108" w:type="dxa"/>
            </w:tcMar>
            <w:vAlign w:val="center"/>
          </w:tcPr>
          <w:p w:rsidR="004D7697" w:rsidRPr="003C3DEC"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9351F" w:rsidRDefault="004D7697" w:rsidP="004E27C2">
            <w:pPr>
              <w:pStyle w:val="Paragrafoelenco"/>
              <w:numPr>
                <w:ilvl w:val="0"/>
                <w:numId w:val="47"/>
              </w:numPr>
              <w:spacing w:line="224" w:lineRule="exact"/>
              <w:ind w:left="743" w:hanging="284"/>
              <w:rPr>
                <w:lang w:val="it-IT"/>
              </w:rPr>
            </w:pPr>
            <w:r w:rsidRPr="00D9351F">
              <w:rPr>
                <w:lang w:val="it-IT"/>
              </w:rPr>
              <w:t xml:space="preserve">l’effetto del rischio di credito della controparte dello strumento finanziario derivato e dell’elemento coperto, qualora il rischio di credito non sia il rischio oggetto di copertura, non prevale sulle variazioni di valore risultanti dalla relazione economica. Pertanto ci si attende che il rischio di credito non incida significativamente sul </w:t>
            </w:r>
            <w:r w:rsidRPr="0008153F">
              <w:rPr>
                <w:i/>
                <w:lang w:val="it-IT"/>
              </w:rPr>
              <w:t>fair value</w:t>
            </w:r>
            <w:r w:rsidRPr="00133BF6">
              <w:rPr>
                <w:lang w:val="it-IT"/>
              </w:rPr>
              <w:t xml:space="preserve"> </w:t>
            </w:r>
            <w:r w:rsidRPr="00D9351F">
              <w:rPr>
                <w:lang w:val="it-IT"/>
              </w:rPr>
              <w:t>dello strumento di copertura e dell’elemento coperto;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9351F" w:rsidRDefault="004D7697" w:rsidP="004E27C2">
            <w:pPr>
              <w:pStyle w:val="Paragrafoelenco"/>
              <w:numPr>
                <w:ilvl w:val="0"/>
                <w:numId w:val="47"/>
              </w:numPr>
              <w:spacing w:line="224" w:lineRule="exact"/>
              <w:ind w:left="743" w:hanging="284"/>
              <w:rPr>
                <w:lang w:val="it-IT"/>
              </w:rPr>
            </w:pPr>
            <w:r w:rsidRPr="00D9351F">
              <w:rPr>
                <w:lang w:val="it-IT"/>
              </w:rPr>
              <w:t>viene determinato il rapporto di copertura pari al rapporto tra le quantità di strumenti finanziari derivati utilizzati e le quantità di elementi coperti</w:t>
            </w:r>
            <w:r>
              <w:rPr>
                <w:lang w:val="it-IT"/>
              </w:rP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32.71</w:t>
            </w:r>
          </w:p>
        </w:tc>
        <w:tc>
          <w:tcPr>
            <w:tcW w:w="7079" w:type="dxa"/>
            <w:tcMar>
              <w:left w:w="108" w:type="dxa"/>
            </w:tcMar>
          </w:tcPr>
          <w:p w:rsidR="004D7697" w:rsidRPr="006944D1" w:rsidRDefault="004D7697" w:rsidP="000D7E0A">
            <w:pPr>
              <w:pStyle w:val="Commentiriquadro"/>
            </w:pPr>
            <w:r w:rsidRPr="00D9351F">
              <w:t xml:space="preserve">Normalmente questo rapporto è 1:1 (uno strumento finanziario derivato copre esattamente l’elemento coperto) sebbene in alcuni casi possa essere differente. Il calcolo del rapporto di copertura deve essere tale da non determinare </w:t>
            </w:r>
            <w:r w:rsidRPr="00D9351F">
              <w:rPr>
                <w:i/>
                <w:iCs/>
              </w:rPr>
              <w:t xml:space="preserve">ex ante </w:t>
            </w:r>
            <w:r w:rsidRPr="00D9351F">
              <w:t>l’inefficacia della copertura (esempio copertura di un nozionale superiore di quello dell’elemento coperto).</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32.72</w:t>
            </w:r>
          </w:p>
        </w:tc>
        <w:tc>
          <w:tcPr>
            <w:tcW w:w="7079" w:type="dxa"/>
            <w:tcMar>
              <w:left w:w="108" w:type="dxa"/>
            </w:tcMar>
          </w:tcPr>
          <w:p w:rsidR="004D7697" w:rsidRPr="008C734E" w:rsidRDefault="004D7697" w:rsidP="000D7E0A">
            <w:pPr>
              <w:pStyle w:val="Commentiriquadro"/>
            </w:pPr>
            <w:r w:rsidRPr="008C734E">
              <w:t xml:space="preserve">La verifica della relazione economica avviene in via </w:t>
            </w:r>
            <w:r w:rsidRPr="008C734E">
              <w:rPr>
                <w:i/>
                <w:iCs/>
              </w:rPr>
              <w:t xml:space="preserve">qualitativa </w:t>
            </w:r>
            <w:r w:rsidRPr="008C734E">
              <w:t>quando gli elementi portanti dello strumento di copertura e dell’elemento coperto corrispondono o sono strettamente allineati. Sono elementi portanti: l’importo nominale; la data di regolamento dei flussi finanziari; la scadenza e la variabile sottostante. In tal caso è possibile concludere che il valore dello strumento di copertura evolve nella direzione opposta di quello dell’elemento coperto per effetto di uno stesso rischio e che, quindi, tra elemento coperto e strumento di copertura esiste una relazione economica non casuale. In ogni caso è necessario verificare la sussistenza del requisito</w:t>
            </w:r>
            <w:r>
              <w:t xml:space="preserve"> di cui al precdente paragrafo 71 c) ii).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32.73</w:t>
            </w:r>
          </w:p>
        </w:tc>
        <w:tc>
          <w:tcPr>
            <w:tcW w:w="7079" w:type="dxa"/>
            <w:tcMar>
              <w:left w:w="108" w:type="dxa"/>
            </w:tcMar>
          </w:tcPr>
          <w:p w:rsidR="004D7697" w:rsidRPr="008C734E" w:rsidRDefault="004D7697" w:rsidP="000D7E0A">
            <w:pPr>
              <w:pStyle w:val="Commentiriquadro"/>
            </w:pPr>
            <w:r w:rsidRPr="008C734E">
              <w:t xml:space="preserve">Per una valutazione sotto il profilo </w:t>
            </w:r>
            <w:r w:rsidRPr="008C734E">
              <w:rPr>
                <w:i/>
                <w:iCs/>
              </w:rPr>
              <w:t xml:space="preserve">quantitativo </w:t>
            </w:r>
            <w:r w:rsidRPr="008C734E">
              <w:t xml:space="preserve">della relazione economica è possibile ricorrere a varie metodologie, anche statistiche, normalmente utilizzate in azienda nell’attività di </w:t>
            </w:r>
            <w:r w:rsidRPr="008C734E">
              <w:rPr>
                <w:i/>
                <w:iCs/>
              </w:rPr>
              <w:t>risk management.</w:t>
            </w:r>
          </w:p>
          <w:p w:rsidR="004D7697" w:rsidRPr="008C734E" w:rsidRDefault="004D7697" w:rsidP="000D7E0A">
            <w:pPr>
              <w:pStyle w:val="Commentiriquadro"/>
            </w:pPr>
            <w:r w:rsidRPr="008C734E">
              <w:t>L’esistenza di una correlazione statistica</w:t>
            </w:r>
            <w:r w:rsidRPr="008C734E">
              <w:rPr>
                <w:sz w:val="14"/>
                <w:szCs w:val="14"/>
              </w:rPr>
              <w:t xml:space="preserve">3 </w:t>
            </w:r>
            <w:r w:rsidRPr="008C734E">
              <w:t>fra due variabili rappresenta un’utile indicazione che potrebbe esistere una relazione economica efficace tra lo strumento di copertura e l’elemento coperto.</w:t>
            </w:r>
          </w:p>
          <w:p w:rsidR="004D7697" w:rsidRPr="008C734E" w:rsidRDefault="004D7697" w:rsidP="000D7E0A">
            <w:pPr>
              <w:pStyle w:val="Commentiriquadro"/>
            </w:pPr>
            <w:r w:rsidRPr="008C734E">
              <w:t xml:space="preserve">In alcune circostanze, specialmente in presenza di variabili sottostanti differenti tra elemento coperto e strumento di copertura, può essere necessario corroborare la mera analisi statistica con altre valutazioni quantitative quali ad esempio le tecniche utilizzate per la determinazione del livello di inefficacia (paragrafo 86 dell’OIC 32) e la tecnica del derivato ipotetico o altre metodologie quali, ad esempio, studi di sensitività. La valutazione in via </w:t>
            </w:r>
            <w:r w:rsidRPr="008C734E">
              <w:rPr>
                <w:i/>
                <w:iCs/>
              </w:rPr>
              <w:t xml:space="preserve">quantitativa </w:t>
            </w:r>
            <w:r w:rsidRPr="008C734E">
              <w:t>della relazione economica può essere utilizzata per il calcolo della componente di inefficacia della copertura da determinare per le coperture dei flussi finanziari ai sensi del paragrafo 85 dell’OIC 32.</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vAlign w:val="center"/>
          </w:tcPr>
          <w:p w:rsidR="004D7697" w:rsidRPr="008C734E" w:rsidRDefault="004D7697" w:rsidP="000D7E0A">
            <w:pPr>
              <w:jc w:val="left"/>
              <w:rPr>
                <w:i/>
                <w:lang w:val="it-IT"/>
              </w:rPr>
            </w:pPr>
            <w:r w:rsidRPr="008C734E">
              <w:rPr>
                <w:b/>
                <w:bCs/>
                <w:i/>
                <w:lang w:val="it-IT" w:eastAsia="it-IT"/>
              </w:rPr>
              <w:t xml:space="preserve">Coperture di </w:t>
            </w:r>
            <w:r w:rsidRPr="008C734E">
              <w:rPr>
                <w:b/>
                <w:bCs/>
                <w:i/>
                <w:iCs/>
                <w:lang w:val="it-IT" w:eastAsia="it-IT"/>
              </w:rPr>
              <w:t>fair value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32.74</w:t>
            </w:r>
          </w:p>
        </w:tc>
        <w:tc>
          <w:tcPr>
            <w:tcW w:w="7079" w:type="dxa"/>
            <w:tcMar>
              <w:left w:w="108" w:type="dxa"/>
            </w:tcMar>
          </w:tcPr>
          <w:p w:rsidR="004D7697" w:rsidRPr="00424298" w:rsidRDefault="004D7697" w:rsidP="000D7E0A">
            <w:pPr>
              <w:pStyle w:val="Commentiriquadro"/>
            </w:pPr>
            <w:r w:rsidRPr="00424298">
              <w:t xml:space="preserve">La copertura di </w:t>
            </w:r>
            <w:r w:rsidRPr="00424298">
              <w:rPr>
                <w:i/>
                <w:iCs/>
              </w:rPr>
              <w:t xml:space="preserve">fair value </w:t>
            </w:r>
            <w:r w:rsidRPr="00424298">
              <w:t xml:space="preserve">può essere attivata solo se il </w:t>
            </w:r>
            <w:r w:rsidRPr="00424298">
              <w:rPr>
                <w:i/>
                <w:iCs/>
              </w:rPr>
              <w:t xml:space="preserve">fair value </w:t>
            </w:r>
            <w:r w:rsidRPr="00424298">
              <w:t>dell’elemento coperto, con riferimento al solo rischio oggetto di copertura</w:t>
            </w:r>
            <w:r w:rsidRPr="00424298">
              <w:rPr>
                <w:i/>
                <w:iCs/>
              </w:rPr>
              <w:t xml:space="preserve">, </w:t>
            </w:r>
            <w:r w:rsidRPr="00424298">
              <w:t>può essere valutato attendibilmente secondo le disposizioni dell’Appendice B</w:t>
            </w:r>
            <w:r>
              <w:t xml:space="preserve"> dell’OIC 32</w:t>
            </w:r>
            <w:r w:rsidRPr="00424298">
              <w:t>.</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32.75</w:t>
            </w:r>
          </w:p>
        </w:tc>
        <w:tc>
          <w:tcPr>
            <w:tcW w:w="7079" w:type="dxa"/>
            <w:tcMar>
              <w:left w:w="108" w:type="dxa"/>
            </w:tcMar>
          </w:tcPr>
          <w:p w:rsidR="004D7697" w:rsidRPr="00344020" w:rsidRDefault="004D7697" w:rsidP="000D7E0A">
            <w:pPr>
              <w:pStyle w:val="Commentiriquadro"/>
            </w:pPr>
            <w:r w:rsidRPr="00344020">
              <w:t xml:space="preserve">La copertura di </w:t>
            </w:r>
            <w:r w:rsidRPr="00344020">
              <w:rPr>
                <w:i/>
                <w:iCs/>
              </w:rPr>
              <w:t xml:space="preserve">fair value </w:t>
            </w:r>
            <w:r w:rsidRPr="00344020">
              <w:t>è attivabile quando l’elemento coperto è un’attività o una passività iscritta in bilancio oppure un impegno irrevocabile</w:t>
            </w:r>
            <w:r>
              <w:t>.</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32.76</w:t>
            </w:r>
          </w:p>
        </w:tc>
        <w:tc>
          <w:tcPr>
            <w:tcW w:w="7079" w:type="dxa"/>
            <w:tcMar>
              <w:left w:w="108" w:type="dxa"/>
            </w:tcMar>
          </w:tcPr>
          <w:p w:rsidR="004D7697" w:rsidRPr="00344020" w:rsidRDefault="004D7697" w:rsidP="000D7E0A">
            <w:pPr>
              <w:spacing w:after="0" w:line="230" w:lineRule="exact"/>
              <w:rPr>
                <w:lang w:val="it-IT"/>
              </w:rPr>
            </w:pPr>
            <w:r w:rsidRPr="00344020">
              <w:rPr>
                <w:lang w:val="it-IT"/>
              </w:rPr>
              <w:t xml:space="preserve">Come previsto dal principio, la copertura di </w:t>
            </w:r>
            <w:r w:rsidRPr="00344020">
              <w:rPr>
                <w:i/>
                <w:iCs/>
                <w:lang w:val="it-IT"/>
              </w:rPr>
              <w:t xml:space="preserve">fair value </w:t>
            </w:r>
            <w:r w:rsidRPr="00344020">
              <w:rPr>
                <w:iCs/>
                <w:lang w:val="it-IT"/>
              </w:rPr>
              <w:t xml:space="preserve">è stata contabilizzata </w:t>
            </w:r>
            <w:r w:rsidRPr="00344020">
              <w:rPr>
                <w:lang w:val="it-IT"/>
              </w:rPr>
              <w:t>lungo la sua durata come segue: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344020" w:rsidRDefault="004D7697" w:rsidP="004E27C2">
            <w:pPr>
              <w:pStyle w:val="Rientroa"/>
              <w:numPr>
                <w:ilvl w:val="0"/>
                <w:numId w:val="56"/>
              </w:numPr>
            </w:pPr>
            <w:r>
              <w:t>l</w:t>
            </w:r>
            <w:r w:rsidRPr="00344020">
              <w:t>o strumento di copertura (cioè lo strumento finanziario derivato) è stato</w:t>
            </w:r>
            <w:r>
              <w:t xml:space="preserve"> </w:t>
            </w:r>
            <w:r w:rsidRPr="00344020">
              <w:t xml:space="preserve">valutato al </w:t>
            </w:r>
            <w:r w:rsidRPr="00344020">
              <w:rPr>
                <w:i/>
              </w:rPr>
              <w:t>fair value</w:t>
            </w:r>
            <w:r w:rsidRPr="00344020">
              <w:t xml:space="preserve"> e quindi rilevato nello stato patrimoniale come un’attività o una passività;</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344020" w:rsidRDefault="004D7697" w:rsidP="004E27C2">
            <w:pPr>
              <w:pStyle w:val="Rientroa"/>
              <w:numPr>
                <w:ilvl w:val="0"/>
                <w:numId w:val="56"/>
              </w:numPr>
              <w:spacing w:line="230" w:lineRule="exact"/>
              <w:ind w:left="391" w:hanging="357"/>
            </w:pPr>
            <w:r w:rsidRPr="00344020">
              <w:t>l’elemento coperto è stato valutato nei seguenti modi: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344020" w:rsidRDefault="004D7697" w:rsidP="004E27C2">
            <w:pPr>
              <w:pStyle w:val="Paragrafoelenco"/>
              <w:numPr>
                <w:ilvl w:val="0"/>
                <w:numId w:val="48"/>
              </w:numPr>
              <w:spacing w:line="230" w:lineRule="exact"/>
              <w:ind w:left="743" w:hanging="284"/>
              <w:rPr>
                <w:lang w:val="it-IT"/>
              </w:rPr>
            </w:pPr>
            <w:r w:rsidRPr="00344020">
              <w:rPr>
                <w:lang w:val="it-IT"/>
              </w:rPr>
              <w:t xml:space="preserve">nel caso di un’attività o una passività iscritta in bilancio, il valore contabile è adeguato per tener conto della valutazione al </w:t>
            </w:r>
            <w:r w:rsidRPr="0008153F">
              <w:rPr>
                <w:i/>
                <w:lang w:val="it-IT"/>
              </w:rPr>
              <w:t xml:space="preserve">fair value </w:t>
            </w:r>
            <w:r w:rsidRPr="00344020">
              <w:rPr>
                <w:lang w:val="it-IT"/>
              </w:rPr>
              <w:t xml:space="preserve">della componente relativa al rischio oggetto di copertura. L’adeguamento del valore contabile di un’attività </w:t>
            </w:r>
            <w:r>
              <w:rPr>
                <w:lang w:val="it-IT"/>
              </w:rPr>
              <w:t>è avvenuto</w:t>
            </w:r>
            <w:r w:rsidRPr="00344020">
              <w:rPr>
                <w:lang w:val="it-IT"/>
              </w:rPr>
              <w:t xml:space="preserve"> nei limiti del valore recuperabile;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344020" w:rsidRDefault="004D7697" w:rsidP="004E27C2">
            <w:pPr>
              <w:pStyle w:val="Paragrafoelenco"/>
              <w:numPr>
                <w:ilvl w:val="0"/>
                <w:numId w:val="48"/>
              </w:numPr>
              <w:spacing w:line="230" w:lineRule="exact"/>
              <w:ind w:left="743" w:hanging="284"/>
              <w:rPr>
                <w:lang w:val="it-IT"/>
              </w:rPr>
            </w:pPr>
            <w:r w:rsidRPr="00344020">
              <w:rPr>
                <w:lang w:val="it-IT"/>
              </w:rPr>
              <w:t xml:space="preserve">nel caso di un impegno irrevocabile, il </w:t>
            </w:r>
            <w:r w:rsidRPr="0008153F">
              <w:rPr>
                <w:i/>
                <w:lang w:val="it-IT"/>
              </w:rPr>
              <w:t>fair value</w:t>
            </w:r>
            <w:r w:rsidRPr="00344020">
              <w:rPr>
                <w:lang w:val="it-IT"/>
              </w:rPr>
              <w:t xml:space="preserve"> della componente relativa al rischio oggetto di copertura è iscritto nello stato patrimoniale come attività o passività nella voce di stato patrimoniale che sarà interessata dall’impegno irrevocabil</w:t>
            </w:r>
            <w:r>
              <w:rPr>
                <w:lang w:val="it-IT"/>
              </w:rPr>
              <w:t>e al momento del suo realizzo?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32.77</w:t>
            </w:r>
          </w:p>
        </w:tc>
        <w:tc>
          <w:tcPr>
            <w:tcW w:w="7079" w:type="dxa"/>
            <w:tcMar>
              <w:left w:w="108" w:type="dxa"/>
            </w:tcMar>
          </w:tcPr>
          <w:p w:rsidR="004D7697" w:rsidRPr="003E330D" w:rsidRDefault="004D7697" w:rsidP="000D7E0A">
            <w:pPr>
              <w:pStyle w:val="Commentiriquadro"/>
            </w:pPr>
            <w:r w:rsidRPr="003E330D">
              <w:t xml:space="preserve">L’applicazione del paragrafo 76 </w:t>
            </w:r>
            <w:r>
              <w:t xml:space="preserve">precedente </w:t>
            </w:r>
            <w:r w:rsidRPr="003E330D">
              <w:t xml:space="preserve">non comporta l’adeguamento dell’elemento coperto al </w:t>
            </w:r>
            <w:r w:rsidRPr="003E330D">
              <w:rPr>
                <w:i/>
                <w:iCs/>
              </w:rPr>
              <w:t xml:space="preserve">fair value </w:t>
            </w:r>
            <w:r w:rsidRPr="003E330D">
              <w:t xml:space="preserve">alla data di attivazione della copertura contabile, bensì l’adeguamento dell’elemento coperto lungo la durata della copertura per le variazioni di </w:t>
            </w:r>
            <w:r w:rsidRPr="003E330D">
              <w:rPr>
                <w:i/>
                <w:iCs/>
              </w:rPr>
              <w:t xml:space="preserve">fair value </w:t>
            </w:r>
            <w:r w:rsidRPr="003E330D">
              <w:t>del solo rischio coperto intervenute successivamente all’a</w:t>
            </w:r>
            <w:r>
              <w:t>vvio della copertura contabile.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32.78</w:t>
            </w:r>
          </w:p>
        </w:tc>
        <w:tc>
          <w:tcPr>
            <w:tcW w:w="7079" w:type="dxa"/>
            <w:tcMar>
              <w:left w:w="108" w:type="dxa"/>
            </w:tcMar>
          </w:tcPr>
          <w:p w:rsidR="004D7697" w:rsidRPr="003E330D" w:rsidRDefault="004D7697" w:rsidP="000D7E0A">
            <w:pPr>
              <w:spacing w:after="0" w:line="230" w:lineRule="exact"/>
              <w:rPr>
                <w:lang w:val="it-IT"/>
              </w:rPr>
            </w:pPr>
            <w:r w:rsidRPr="003E330D">
              <w:rPr>
                <w:lang w:val="it-IT"/>
              </w:rPr>
              <w:t xml:space="preserve">Le variazioni del </w:t>
            </w:r>
            <w:r w:rsidRPr="003E330D">
              <w:rPr>
                <w:i/>
                <w:iCs/>
                <w:lang w:val="it-IT"/>
              </w:rPr>
              <w:t xml:space="preserve">fair value </w:t>
            </w:r>
            <w:r w:rsidRPr="003E330D">
              <w:rPr>
                <w:lang w:val="it-IT"/>
              </w:rPr>
              <w:t>dello strumento di copertura e dell’elemento coperto sono state rilevate, a seconda del loro segno, nelle voci D) 18) d) o D) 19) d) del conto economico</w:t>
            </w:r>
            <w:r>
              <w:rPr>
                <w:lang w:val="it-IT"/>
              </w:rP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32.79</w:t>
            </w:r>
          </w:p>
        </w:tc>
        <w:tc>
          <w:tcPr>
            <w:tcW w:w="7079" w:type="dxa"/>
            <w:tcMar>
              <w:left w:w="108" w:type="dxa"/>
            </w:tcMar>
          </w:tcPr>
          <w:p w:rsidR="004D7697" w:rsidRPr="00861490" w:rsidRDefault="004D7697" w:rsidP="000D7E0A">
            <w:pPr>
              <w:spacing w:line="230" w:lineRule="exact"/>
              <w:rPr>
                <w:lang w:val="it-IT"/>
              </w:rPr>
            </w:pPr>
            <w:r w:rsidRPr="00861490">
              <w:rPr>
                <w:lang w:val="it-IT"/>
              </w:rPr>
              <w:t>Ad eccezione del paragrafo 78 prece</w:t>
            </w:r>
            <w:r>
              <w:rPr>
                <w:lang w:val="it-IT"/>
              </w:rPr>
              <w:t>dente</w:t>
            </w:r>
            <w:r w:rsidRPr="00861490">
              <w:rPr>
                <w:lang w:val="it-IT"/>
              </w:rPr>
              <w:t xml:space="preserve">, nel caso in cui la variazione del valore del </w:t>
            </w:r>
            <w:r w:rsidRPr="00861490">
              <w:rPr>
                <w:i/>
                <w:iCs/>
                <w:lang w:val="it-IT"/>
              </w:rPr>
              <w:t xml:space="preserve">fair value </w:t>
            </w:r>
            <w:r w:rsidRPr="00861490">
              <w:rPr>
                <w:lang w:val="it-IT"/>
              </w:rPr>
              <w:t xml:space="preserve">dell’elemento coperto è maggiore in valore assoluto alla variazione del </w:t>
            </w:r>
            <w:r w:rsidRPr="00861490">
              <w:rPr>
                <w:i/>
                <w:iCs/>
                <w:lang w:val="it-IT"/>
              </w:rPr>
              <w:t xml:space="preserve">fair value </w:t>
            </w:r>
            <w:r w:rsidRPr="00861490">
              <w:rPr>
                <w:lang w:val="it-IT"/>
              </w:rPr>
              <w:t xml:space="preserve">dello strumento di copertura le variazioni del </w:t>
            </w:r>
            <w:r w:rsidRPr="00861490">
              <w:rPr>
                <w:i/>
                <w:iCs/>
                <w:lang w:val="it-IT"/>
              </w:rPr>
              <w:t xml:space="preserve">fair value </w:t>
            </w:r>
            <w:r w:rsidRPr="00861490">
              <w:rPr>
                <w:lang w:val="it-IT"/>
              </w:rPr>
              <w:t xml:space="preserve">dello strumento di copertura e dell’elemento coperto sono state rilevate a seconda del loro segno nelle voci D) 18) d) o D) 19) d) per un importo pari alla variazione di </w:t>
            </w:r>
            <w:r w:rsidRPr="00861490">
              <w:rPr>
                <w:i/>
                <w:iCs/>
                <w:lang w:val="it-IT"/>
              </w:rPr>
              <w:t xml:space="preserve">fair value </w:t>
            </w:r>
            <w:r w:rsidRPr="00861490">
              <w:rPr>
                <w:lang w:val="it-IT"/>
              </w:rPr>
              <w:t xml:space="preserve">dello strumento di copertura e la differenza tra la variazione di </w:t>
            </w:r>
            <w:r w:rsidRPr="00861490">
              <w:rPr>
                <w:i/>
                <w:iCs/>
                <w:lang w:val="it-IT"/>
              </w:rPr>
              <w:t xml:space="preserve">fair value </w:t>
            </w:r>
            <w:r w:rsidRPr="00861490">
              <w:rPr>
                <w:lang w:val="it-IT"/>
              </w:rPr>
              <w:t>dell’elemento coperto e dello strumento di copertura è</w:t>
            </w:r>
            <w:r>
              <w:rPr>
                <w:lang w:val="it-IT"/>
              </w:rPr>
              <w:t xml:space="preserve"> stata </w:t>
            </w:r>
            <w:r w:rsidRPr="00861490">
              <w:rPr>
                <w:lang w:val="it-IT"/>
              </w:rPr>
              <w:t>rilevata nella voce di conto economico interessata dall’elemento coperto (ad esempio B) 11) “</w:t>
            </w:r>
            <w:r w:rsidRPr="00861490">
              <w:rPr>
                <w:i/>
                <w:iCs/>
                <w:lang w:val="it-IT"/>
              </w:rPr>
              <w:t>Variazioni delle rimanenze di materie prime, sussidiarie di consumo e merci</w:t>
            </w:r>
            <w:r>
              <w:rPr>
                <w:lang w:val="it-IT"/>
              </w:rP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ind w:left="0" w:firstLine="57"/>
              <w:jc w:val="center"/>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32.80</w:t>
            </w:r>
          </w:p>
        </w:tc>
        <w:tc>
          <w:tcPr>
            <w:tcW w:w="7079" w:type="dxa"/>
            <w:tcMar>
              <w:left w:w="108" w:type="dxa"/>
            </w:tcMar>
          </w:tcPr>
          <w:p w:rsidR="004D7697" w:rsidRPr="00861490" w:rsidRDefault="004D7697" w:rsidP="000D7E0A">
            <w:pPr>
              <w:spacing w:after="0" w:line="230" w:lineRule="exact"/>
              <w:rPr>
                <w:lang w:val="it-IT"/>
              </w:rPr>
            </w:pPr>
            <w:r w:rsidRPr="00861490">
              <w:rPr>
                <w:lang w:val="it-IT"/>
              </w:rPr>
              <w:t>Nei casi in cui lo strumento di copertura sia un’opzione acquistata (</w:t>
            </w:r>
            <w:r w:rsidRPr="00861490">
              <w:rPr>
                <w:i/>
                <w:iCs/>
                <w:lang w:val="it-IT"/>
              </w:rPr>
              <w:t xml:space="preserve">put </w:t>
            </w:r>
            <w:r w:rsidRPr="00861490">
              <w:rPr>
                <w:lang w:val="it-IT"/>
              </w:rPr>
              <w:t xml:space="preserve">o </w:t>
            </w:r>
            <w:r w:rsidRPr="00861490">
              <w:rPr>
                <w:i/>
                <w:iCs/>
                <w:lang w:val="it-IT"/>
              </w:rPr>
              <w:t xml:space="preserve">call) </w:t>
            </w:r>
            <w:r w:rsidRPr="00861490">
              <w:rPr>
                <w:lang w:val="it-IT"/>
              </w:rPr>
              <w:t xml:space="preserve">oppure un contratto </w:t>
            </w:r>
            <w:r w:rsidRPr="00861490">
              <w:rPr>
                <w:i/>
                <w:iCs/>
                <w:lang w:val="it-IT"/>
              </w:rPr>
              <w:t xml:space="preserve">forward </w:t>
            </w:r>
            <w:r w:rsidRPr="00861490">
              <w:rPr>
                <w:lang w:val="it-IT"/>
              </w:rPr>
              <w:t>e ai sensi del paragrafo 58 a) e b) dell’OIC 32 la società designi il solo valore intrinseco quale strumento per coprire le variazioni di flussi finanziari attribuibili al rischio coperto, la variazione del valore temporale è stata imputata nella sezione D) del conto economico per tutta la durata della copertura, ad esempio utilizzando un criterio lineare di allocazione di tale componente a conto economico?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32.81</w:t>
            </w:r>
          </w:p>
        </w:tc>
        <w:tc>
          <w:tcPr>
            <w:tcW w:w="7079" w:type="dxa"/>
            <w:tcMar>
              <w:left w:w="108" w:type="dxa"/>
            </w:tcMar>
          </w:tcPr>
          <w:p w:rsidR="004D7697" w:rsidRPr="00861490" w:rsidRDefault="004D7697" w:rsidP="000D7E0A">
            <w:pPr>
              <w:spacing w:after="0" w:line="230" w:lineRule="exact"/>
              <w:rPr>
                <w:lang w:val="it-IT"/>
              </w:rPr>
            </w:pPr>
            <w:r w:rsidRPr="00861490">
              <w:rPr>
                <w:lang w:val="it-IT"/>
              </w:rPr>
              <w:t xml:space="preserve">La società ha cessato prospetticamente la contabilizzazione di copertura del </w:t>
            </w:r>
            <w:r w:rsidRPr="00861490">
              <w:rPr>
                <w:i/>
                <w:iCs/>
                <w:lang w:val="it-IT"/>
              </w:rPr>
              <w:t xml:space="preserve">fair value </w:t>
            </w:r>
            <w:r w:rsidRPr="00861490">
              <w:rPr>
                <w:lang w:val="it-IT"/>
              </w:rPr>
              <w:t>se e soltanto se: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861490" w:rsidRDefault="004D7697" w:rsidP="004E27C2">
            <w:pPr>
              <w:pStyle w:val="Rientroa"/>
              <w:numPr>
                <w:ilvl w:val="0"/>
                <w:numId w:val="57"/>
              </w:numPr>
              <w:spacing w:line="230" w:lineRule="exact"/>
              <w:ind w:left="391" w:hanging="357"/>
            </w:pPr>
            <w:r w:rsidRPr="00861490">
              <w:t>lo strumento di copertura scade, è venduto o cessato ad eccezione di quanto previsto dal paragrafo 99 successivo;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861490" w:rsidRDefault="004D7697" w:rsidP="004E27C2">
            <w:pPr>
              <w:pStyle w:val="Rientroa"/>
              <w:numPr>
                <w:ilvl w:val="0"/>
                <w:numId w:val="57"/>
              </w:numPr>
              <w:spacing w:line="230" w:lineRule="exact"/>
              <w:ind w:left="391" w:hanging="357"/>
            </w:pPr>
            <w:r w:rsidRPr="00861490">
              <w:t>la copertura non soddisfa più le condizioni per la contabilizzazione di copertura specificate nei paragrafi dal 71 al 73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32.82</w:t>
            </w:r>
          </w:p>
        </w:tc>
        <w:tc>
          <w:tcPr>
            <w:tcW w:w="7079" w:type="dxa"/>
            <w:tcMar>
              <w:left w:w="108" w:type="dxa"/>
            </w:tcMar>
          </w:tcPr>
          <w:p w:rsidR="004D7697" w:rsidRPr="00E311F7" w:rsidRDefault="004D7697" w:rsidP="000D7E0A">
            <w:pPr>
              <w:spacing w:after="0" w:line="240" w:lineRule="auto"/>
              <w:rPr>
                <w:szCs w:val="21"/>
                <w:lang w:val="it-IT"/>
              </w:rPr>
            </w:pPr>
            <w:r w:rsidRPr="00E311F7">
              <w:rPr>
                <w:szCs w:val="21"/>
                <w:lang w:val="it-IT"/>
              </w:rPr>
              <w:t>Nel momento in cui cessa l’operazione di copertura l’adeguamento dell’elemento coperto è stato mantenuto nello Stato Patrimoniale e considerato componente del costo dell’attività (nei limiti del valore recuperabile), o della passività, anche scaturente dalla realizzazione dell’impegno irrevocabile?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32.82</w:t>
            </w:r>
          </w:p>
        </w:tc>
        <w:tc>
          <w:tcPr>
            <w:tcW w:w="7079" w:type="dxa"/>
            <w:tcMar>
              <w:left w:w="108" w:type="dxa"/>
            </w:tcMar>
          </w:tcPr>
          <w:p w:rsidR="004D7697" w:rsidRPr="00E311F7" w:rsidRDefault="004D7697" w:rsidP="000D7E0A">
            <w:pPr>
              <w:spacing w:after="0" w:line="230" w:lineRule="exact"/>
              <w:rPr>
                <w:szCs w:val="21"/>
                <w:lang w:val="it-IT"/>
              </w:rPr>
            </w:pPr>
            <w:r w:rsidRPr="00E311F7">
              <w:rPr>
                <w:szCs w:val="21"/>
                <w:lang w:val="it-IT"/>
              </w:rPr>
              <w:t>Qualora l’elemento coperto sia un’attività o una passività finanziaria, l’adeguamento cumulato dell’elemento coperto è stato imputato gradualmente a conto economico lungo la durata dell’elemento coperto?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32.82</w:t>
            </w:r>
          </w:p>
        </w:tc>
        <w:tc>
          <w:tcPr>
            <w:tcW w:w="7079" w:type="dxa"/>
            <w:tcMar>
              <w:left w:w="108" w:type="dxa"/>
            </w:tcMar>
          </w:tcPr>
          <w:p w:rsidR="004D7697" w:rsidRPr="00E311F7" w:rsidRDefault="004D7697" w:rsidP="000D7E0A">
            <w:pPr>
              <w:spacing w:after="0" w:line="230" w:lineRule="exact"/>
              <w:rPr>
                <w:szCs w:val="21"/>
                <w:lang w:val="it-IT"/>
              </w:rPr>
            </w:pPr>
            <w:r w:rsidRPr="00E311F7">
              <w:rPr>
                <w:szCs w:val="21"/>
                <w:lang w:val="it-IT"/>
              </w:rPr>
              <w:t>Se l’elemento coperto è un’attività o una passività finanziaria valutata al costo ammortizzato l’adeguamento cumulato dell’elemento coperto è</w:t>
            </w:r>
            <w:r>
              <w:rPr>
                <w:szCs w:val="21"/>
                <w:lang w:val="it-IT"/>
              </w:rPr>
              <w:t xml:space="preserve"> </w:t>
            </w:r>
            <w:r w:rsidRPr="00E311F7">
              <w:rPr>
                <w:szCs w:val="21"/>
                <w:lang w:val="it-IT"/>
              </w:rPr>
              <w:t>stato imputato a conto economico secondo il criterio dell’interesse effettivo stabilito dall’OIC 15 “Crediti”, OIC 19 “Debiti” e OIC 20 “Titoli di debito”?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9F0FD4" w:rsidRDefault="004D7697" w:rsidP="000D7E0A">
            <w:pPr>
              <w:rPr>
                <w:i/>
                <w:lang w:val="it-IT"/>
              </w:rPr>
            </w:pPr>
            <w:r w:rsidRPr="009F0FD4">
              <w:rPr>
                <w:b/>
                <w:bCs/>
                <w:i/>
                <w:lang w:val="it-IT" w:eastAsia="it-IT"/>
              </w:rPr>
              <w:t>Coperture di flussi finanziari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32.83</w:t>
            </w:r>
          </w:p>
        </w:tc>
        <w:tc>
          <w:tcPr>
            <w:tcW w:w="7079" w:type="dxa"/>
            <w:tcMar>
              <w:left w:w="108" w:type="dxa"/>
            </w:tcMar>
          </w:tcPr>
          <w:p w:rsidR="004D7697" w:rsidRPr="00DC645E" w:rsidRDefault="004D7697" w:rsidP="000D7E0A">
            <w:pPr>
              <w:pStyle w:val="Commentiriquadro"/>
            </w:pPr>
            <w:r w:rsidRPr="00DC645E">
              <w:t xml:space="preserve">In un’operazione di copertura dei flussi finanziari l’obiettivo strategico della direzione aziendale è di norma quello di stabilizzare i flussi finanziari attesi di un elemento coperto quale, ad esempio, l’interesse variabile pagato periodicamente su un debito finanziario, un impegno all’acquisto o vendita di beni, oppure un’operazione programmata altamente probabile dalla quale scaturirà per esempio un </w:t>
            </w:r>
            <w:r>
              <w:t>acquisto o una vendita di beni.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32.84</w:t>
            </w:r>
          </w:p>
        </w:tc>
        <w:tc>
          <w:tcPr>
            <w:tcW w:w="7079" w:type="dxa"/>
            <w:tcMar>
              <w:left w:w="108" w:type="dxa"/>
            </w:tcMar>
          </w:tcPr>
          <w:p w:rsidR="004D7697" w:rsidRPr="00DC645E" w:rsidRDefault="004D7697" w:rsidP="000D7E0A">
            <w:pPr>
              <w:pStyle w:val="Commentiriquadro"/>
            </w:pPr>
            <w:r w:rsidRPr="00DC645E">
              <w:t>Può essere oggetto di copertura di flussi finanziari qualunque elemento co</w:t>
            </w:r>
            <w:r>
              <w:t>perto indicato al precedente paragrafo 61.</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32.85</w:t>
            </w:r>
          </w:p>
        </w:tc>
        <w:tc>
          <w:tcPr>
            <w:tcW w:w="7079" w:type="dxa"/>
            <w:tcMar>
              <w:left w:w="108" w:type="dxa"/>
            </w:tcMar>
          </w:tcPr>
          <w:p w:rsidR="004D7697" w:rsidRPr="00B64D8D" w:rsidRDefault="004D7697" w:rsidP="000D7E0A">
            <w:pPr>
              <w:spacing w:after="0" w:line="230" w:lineRule="exact"/>
              <w:rPr>
                <w:iCs/>
                <w:lang w:val="it-IT"/>
              </w:rPr>
            </w:pPr>
            <w:r w:rsidRPr="00B64D8D">
              <w:rPr>
                <w:lang w:val="it-IT"/>
              </w:rPr>
              <w:t xml:space="preserve">In accordo con il modello contabile della copertura dei flussi finanziari, ad ogni chiusura di bilancio, la società ha rilevato nello stato patrimoniale lo strumento di copertura al </w:t>
            </w:r>
            <w:r w:rsidRPr="00B64D8D">
              <w:rPr>
                <w:i/>
                <w:iCs/>
                <w:lang w:val="it-IT"/>
              </w:rPr>
              <w:t xml:space="preserve">fair value </w:t>
            </w:r>
            <w:r w:rsidRPr="00B64D8D">
              <w:rPr>
                <w:lang w:val="it-IT"/>
              </w:rPr>
              <w:t xml:space="preserve">e in contropartita </w:t>
            </w:r>
            <w:r>
              <w:rPr>
                <w:lang w:val="it-IT"/>
              </w:rPr>
              <w:t xml:space="preserve">ha </w:t>
            </w:r>
            <w:r w:rsidRPr="00B64D8D">
              <w:rPr>
                <w:lang w:val="it-IT"/>
              </w:rPr>
              <w:t>alimenta</w:t>
            </w:r>
            <w:r>
              <w:rPr>
                <w:lang w:val="it-IT"/>
              </w:rPr>
              <w:t>to</w:t>
            </w:r>
            <w:r w:rsidRPr="00B64D8D">
              <w:rPr>
                <w:lang w:val="it-IT"/>
              </w:rPr>
              <w:t xml:space="preserve"> la voce A) VII “</w:t>
            </w:r>
            <w:r w:rsidRPr="00B64D8D">
              <w:rPr>
                <w:i/>
                <w:iCs/>
                <w:lang w:val="it-IT"/>
              </w:rPr>
              <w:t>Riserva per operazioni di copertura dei flussi finanziari attesi”</w:t>
            </w:r>
            <w:r w:rsidRPr="00B64D8D">
              <w:rPr>
                <w:iCs/>
                <w:lang w:val="it-IT"/>
              </w:rP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32.85</w:t>
            </w:r>
          </w:p>
        </w:tc>
        <w:tc>
          <w:tcPr>
            <w:tcW w:w="7079" w:type="dxa"/>
            <w:tcMar>
              <w:left w:w="108" w:type="dxa"/>
            </w:tcMar>
          </w:tcPr>
          <w:p w:rsidR="004D7697" w:rsidRPr="00B64D8D" w:rsidRDefault="004D7697" w:rsidP="000D7E0A">
            <w:pPr>
              <w:pStyle w:val="Commentiriquadro"/>
            </w:pPr>
            <w:r w:rsidRPr="00B64D8D">
              <w:t xml:space="preserve">Tale riserva di patrimonio netto non può accogliere le componenti inefficaci della copertura contabile, ossia variazioni di </w:t>
            </w:r>
            <w:r w:rsidRPr="00B64D8D">
              <w:rPr>
                <w:i/>
                <w:iCs/>
              </w:rPr>
              <w:t xml:space="preserve">fair value </w:t>
            </w:r>
            <w:r w:rsidRPr="00B64D8D">
              <w:t xml:space="preserve">dello strumento finanziario derivato alle quali non corrisponde una variazione di segno contrario dei flussi finanziari attesi dell’elemento coperto. Qualora, infatti, l’ammontare delle variazioni di </w:t>
            </w:r>
            <w:r w:rsidRPr="00B64D8D">
              <w:rPr>
                <w:i/>
                <w:iCs/>
              </w:rPr>
              <w:t xml:space="preserve">fair value </w:t>
            </w:r>
            <w:r w:rsidRPr="00B64D8D">
              <w:t xml:space="preserve">intervenute nello strumento di copertura sia superiore all’ammontare in valore assoluto delle variazioni di valore intervenute sull’elemento coperto dall’inizio della relazionedi copertura, l’eccedenza rappresenta la parte di inefficacia della copertura. </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32.85</w:t>
            </w:r>
          </w:p>
        </w:tc>
        <w:tc>
          <w:tcPr>
            <w:tcW w:w="7079" w:type="dxa"/>
            <w:tcMar>
              <w:left w:w="108" w:type="dxa"/>
            </w:tcMar>
          </w:tcPr>
          <w:p w:rsidR="004D7697" w:rsidRPr="00B64D8D" w:rsidRDefault="004D7697" w:rsidP="000D7E0A">
            <w:pPr>
              <w:spacing w:after="0" w:line="230" w:lineRule="exact"/>
              <w:rPr>
                <w:lang w:val="it-IT"/>
              </w:rPr>
            </w:pPr>
            <w:r w:rsidRPr="00B64D8D">
              <w:rPr>
                <w:lang w:val="it-IT"/>
              </w:rPr>
              <w:t>La componente di inefficacia è stata rilevata nella sezione D) del conto economico?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32.86</w:t>
            </w:r>
          </w:p>
        </w:tc>
        <w:tc>
          <w:tcPr>
            <w:tcW w:w="7079" w:type="dxa"/>
            <w:tcMar>
              <w:left w:w="108" w:type="dxa"/>
            </w:tcMar>
          </w:tcPr>
          <w:p w:rsidR="004D7697" w:rsidRPr="00C46111" w:rsidRDefault="004D7697" w:rsidP="000D7E0A">
            <w:pPr>
              <w:pStyle w:val="Commentiriquadro"/>
            </w:pPr>
            <w:r w:rsidRPr="00C46111">
              <w:t>La determinazione dell’inefficacia può avvenire attraverso l’utilizzo del metodo del derivato ipotetico. Si tratta di una tecnica che stima il valore dell’elemento coperto ipotizzando di essere in presenza di un contratto derivato avente tutte le caratteristiche di rischiosità dell’elemento coperto. Il ricorso al derivato ipotetico non è quindi un metodo in sé, bensì un espediente matematico utilizzabile solo per calcolare il valore dell’elemento coperto.</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32.87</w:t>
            </w:r>
          </w:p>
        </w:tc>
        <w:tc>
          <w:tcPr>
            <w:tcW w:w="7079" w:type="dxa"/>
            <w:tcMar>
              <w:left w:w="108" w:type="dxa"/>
            </w:tcMar>
          </w:tcPr>
          <w:p w:rsidR="004D7697" w:rsidRPr="00C46111" w:rsidRDefault="004D7697" w:rsidP="000D7E0A">
            <w:pPr>
              <w:spacing w:after="0" w:line="230" w:lineRule="exact"/>
              <w:rPr>
                <w:lang w:val="it-IT"/>
              </w:rPr>
            </w:pPr>
            <w:r w:rsidRPr="00C46111">
              <w:rPr>
                <w:lang w:val="it-IT"/>
              </w:rPr>
              <w:t xml:space="preserve">Il rilascio della </w:t>
            </w:r>
            <w:r w:rsidRPr="00C46111">
              <w:rPr>
                <w:i/>
                <w:iCs/>
                <w:lang w:val="it-IT"/>
              </w:rPr>
              <w:t xml:space="preserve">riserva per operazioni di copertura dei flussi finanziari attesi </w:t>
            </w:r>
            <w:r w:rsidRPr="00C46111">
              <w:rPr>
                <w:lang w:val="it-IT"/>
              </w:rPr>
              <w:t>è avvenuta come segue: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46111" w:rsidRDefault="004D7697" w:rsidP="004E27C2">
            <w:pPr>
              <w:pStyle w:val="Rientroa"/>
              <w:numPr>
                <w:ilvl w:val="0"/>
                <w:numId w:val="58"/>
              </w:numPr>
            </w:pPr>
            <w:r w:rsidRPr="00C46111">
              <w:t xml:space="preserve">in una copertura di flussi finanziari connessi ad un’attività o passività iscritta in bilancio o di un’operazione programmata altamente probabile o impegno irrevocabile l’importo della riserva </w:t>
            </w:r>
            <w:r>
              <w:t>è stato</w:t>
            </w:r>
            <w:r w:rsidRPr="00C46111">
              <w:t xml:space="preserve"> riclassificato a conto economico nello stesso esercizio o negli stessi esercizi in cui i flussi finanziari futuri coperti hanno un effetto sull’utile (perdita) d’esercizio (per esempio, negli esercizi in cui sono rilevati gli interessi attivi o gli interessi passivi o quando si verifica la vendita programmata);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32.87</w:t>
            </w:r>
          </w:p>
        </w:tc>
        <w:tc>
          <w:tcPr>
            <w:tcW w:w="7079" w:type="dxa"/>
            <w:tcMar>
              <w:left w:w="108" w:type="dxa"/>
            </w:tcMar>
          </w:tcPr>
          <w:p w:rsidR="004D7697" w:rsidRPr="00C46111" w:rsidRDefault="004D7697" w:rsidP="000D7E0A">
            <w:pPr>
              <w:pStyle w:val="Commentiriquadro"/>
            </w:pPr>
            <w:r w:rsidRPr="00C46111">
              <w:t>La voce di conto economico in cui classificare il rilascio della riserva è la stessa che è impattata dai flussi finanziari attesi quando hanno effetto sull’utile (perdita) d’</w:t>
            </w:r>
            <w:r>
              <w:t>esercizio.</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E311F7" w:rsidRDefault="004D7697" w:rsidP="004E27C2">
            <w:pPr>
              <w:pStyle w:val="Rientroa"/>
              <w:numPr>
                <w:ilvl w:val="0"/>
                <w:numId w:val="58"/>
              </w:numPr>
              <w:spacing w:line="230" w:lineRule="exact"/>
              <w:ind w:left="391" w:hanging="357"/>
            </w:pPr>
            <w:r w:rsidRPr="00E311F7">
              <w:t>in una copertura dei flussi finanziari connessi ad un’operazione programmata altamente probabile o impegno irrevocabile che comportano successivamente la rilevazione di un’attività o passività non finanziarie, la società al momento della rilevazione dell’attività o della passività ha eliminato l’importo dalla riserva per operazioni di copertura dei flussi finanziari attesi e includerlo direttamente nel valore contabile dell’attività (nei limiti del valore recuperabile) o della passività;</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E311F7" w:rsidRDefault="004D7697" w:rsidP="004E27C2">
            <w:pPr>
              <w:pStyle w:val="Rientroa"/>
              <w:numPr>
                <w:ilvl w:val="0"/>
                <w:numId w:val="58"/>
              </w:numPr>
              <w:spacing w:line="230" w:lineRule="exact"/>
              <w:ind w:left="391" w:hanging="357"/>
            </w:pPr>
            <w:r w:rsidRPr="00E311F7">
              <w:t>tuttavia, in presenza di una riserva negativa se la società non prevede di recuperare tutta la perdita o parte della riserva in un esercizio o in più esercizi futuri, la società ha immediatamente imputato alla voce D) 19) d) del conto economico dell’esercizio la riserva o la parte di riserva che non prevede di recuperare?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32.88</w:t>
            </w:r>
          </w:p>
        </w:tc>
        <w:tc>
          <w:tcPr>
            <w:tcW w:w="7079" w:type="dxa"/>
            <w:tcMar>
              <w:left w:w="108" w:type="dxa"/>
            </w:tcMar>
          </w:tcPr>
          <w:p w:rsidR="004D7697" w:rsidRPr="00FC0A23" w:rsidRDefault="004D7697" w:rsidP="000D7E0A">
            <w:pPr>
              <w:spacing w:after="0" w:line="230" w:lineRule="exact"/>
              <w:rPr>
                <w:lang w:val="it-IT"/>
              </w:rPr>
            </w:pPr>
            <w:r w:rsidRPr="00FC0A23">
              <w:rPr>
                <w:lang w:val="it-IT"/>
              </w:rPr>
              <w:t>Nei casi in cui lo strumento di copertura sia un’opzione acquistata (</w:t>
            </w:r>
            <w:r w:rsidRPr="00FC0A23">
              <w:rPr>
                <w:i/>
                <w:iCs/>
                <w:lang w:val="it-IT"/>
              </w:rPr>
              <w:t xml:space="preserve">put </w:t>
            </w:r>
            <w:r w:rsidRPr="00FC0A23">
              <w:rPr>
                <w:lang w:val="it-IT"/>
              </w:rPr>
              <w:t xml:space="preserve">o </w:t>
            </w:r>
            <w:r w:rsidRPr="00FC0A23">
              <w:rPr>
                <w:i/>
                <w:iCs/>
                <w:lang w:val="it-IT"/>
              </w:rPr>
              <w:t xml:space="preserve">call) </w:t>
            </w:r>
            <w:r w:rsidRPr="00FC0A23">
              <w:rPr>
                <w:lang w:val="it-IT"/>
              </w:rPr>
              <w:t xml:space="preserve">oppure un contratto </w:t>
            </w:r>
            <w:r w:rsidRPr="00FC0A23">
              <w:rPr>
                <w:i/>
                <w:iCs/>
                <w:lang w:val="it-IT"/>
              </w:rPr>
              <w:t xml:space="preserve">forward </w:t>
            </w:r>
            <w:r w:rsidRPr="00FC0A23">
              <w:rPr>
                <w:lang w:val="it-IT"/>
              </w:rPr>
              <w:t>e ai sensi del paragrafo 58 a) e b) dell’OIC 32 la società designi il solo valore intrinseco quale strumento per coprire le variazioni di flussi finanziari attribuibili al rischio coperto, la variazione del valore temporale è stata imputata nella sezione D) del conto economico per tutta la durata della copertura, ad esempio utilizzando un criterio lineare di allocazione di tale componente a conto economico?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32.89</w:t>
            </w:r>
          </w:p>
        </w:tc>
        <w:tc>
          <w:tcPr>
            <w:tcW w:w="7079" w:type="dxa"/>
            <w:tcMar>
              <w:left w:w="108" w:type="dxa"/>
            </w:tcMar>
          </w:tcPr>
          <w:p w:rsidR="004D7697" w:rsidRPr="0052006F" w:rsidRDefault="004D7697" w:rsidP="000D7E0A">
            <w:pPr>
              <w:spacing w:after="0" w:line="230" w:lineRule="exact"/>
              <w:rPr>
                <w:lang w:val="it-IT"/>
              </w:rPr>
            </w:pPr>
            <w:r w:rsidRPr="0052006F">
              <w:rPr>
                <w:lang w:val="it-IT"/>
              </w:rPr>
              <w:t>Nel caso in cui l’elemento coperto sia un’operazione programmata o un impegno irrevocabile di acquisto o di una vendita, la variazione del valore temporale imputata a conto economico nell’esercizio è stata rilevata nelle voci ratei e risconti attivi o passivi?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32.89</w:t>
            </w:r>
          </w:p>
        </w:tc>
        <w:tc>
          <w:tcPr>
            <w:tcW w:w="7079" w:type="dxa"/>
            <w:tcMar>
              <w:left w:w="108" w:type="dxa"/>
            </w:tcMar>
          </w:tcPr>
          <w:p w:rsidR="004D7697" w:rsidRPr="0052006F" w:rsidRDefault="004D7697" w:rsidP="000D7E0A">
            <w:pPr>
              <w:spacing w:after="0" w:line="230" w:lineRule="exact"/>
              <w:rPr>
                <w:lang w:val="it-IT"/>
              </w:rPr>
            </w:pPr>
            <w:r w:rsidRPr="0052006F">
              <w:rPr>
                <w:lang w:val="it-IT"/>
              </w:rPr>
              <w:t>Alla cessazione della copertura il rateo o risconto è stato rilevato come componente del valore contabile dell’attività o passività derivante dal concretizzarsi dell’operazione programmata o dell’impegno irrevocabile o rilevato a conto economico al concretizzarsi della vendita?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32.90</w:t>
            </w:r>
          </w:p>
        </w:tc>
        <w:tc>
          <w:tcPr>
            <w:tcW w:w="7079" w:type="dxa"/>
            <w:tcMar>
              <w:left w:w="108" w:type="dxa"/>
            </w:tcMar>
          </w:tcPr>
          <w:p w:rsidR="004D7697" w:rsidRPr="00DB4CFD" w:rsidRDefault="004D7697" w:rsidP="000D7E0A">
            <w:pPr>
              <w:pStyle w:val="Commentiriquadro"/>
            </w:pPr>
            <w:r w:rsidRPr="00DB4CFD">
              <w:t>Il modello contabile descritto ai paragrafi 88-89 dell’OIC 32 è opzionale. In ogni caso è sempre possibile designare l’intero strumento finanziario derivato come di copertura e rilevare l’inefficacia al conto economico ai sensi del paragrafo 85 dell’OIC 32</w:t>
            </w:r>
            <w:r>
              <w:t>.</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32.91</w:t>
            </w:r>
          </w:p>
        </w:tc>
        <w:tc>
          <w:tcPr>
            <w:tcW w:w="7079" w:type="dxa"/>
            <w:tcMar>
              <w:left w:w="108" w:type="dxa"/>
            </w:tcMar>
          </w:tcPr>
          <w:p w:rsidR="004D7697" w:rsidRPr="00DB4CFD" w:rsidRDefault="004D7697" w:rsidP="000D7E0A">
            <w:pPr>
              <w:spacing w:after="0" w:line="230" w:lineRule="exact"/>
              <w:rPr>
                <w:lang w:val="it-IT"/>
              </w:rPr>
            </w:pPr>
            <w:r w:rsidRPr="00DB4CFD">
              <w:rPr>
                <w:lang w:val="it-IT"/>
              </w:rPr>
              <w:t>La società ha cessato prospetticamente la contabilizzazione di copertura di flussi finanziari se e soltanto se: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B4CFD" w:rsidRDefault="004D7697" w:rsidP="004E27C2">
            <w:pPr>
              <w:pStyle w:val="Rientroa"/>
              <w:numPr>
                <w:ilvl w:val="0"/>
                <w:numId w:val="59"/>
              </w:numPr>
              <w:spacing w:line="230" w:lineRule="exact"/>
              <w:ind w:left="391" w:hanging="357"/>
            </w:pPr>
            <w:r w:rsidRPr="00DB4CFD">
              <w:t>lo strumento di copertura scade, è venduto o cessato ad eccezione di quanto previsto dal paragrafo 98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B4CFD" w:rsidRDefault="004D7697" w:rsidP="004E27C2">
            <w:pPr>
              <w:pStyle w:val="Rientroa"/>
              <w:numPr>
                <w:ilvl w:val="0"/>
                <w:numId w:val="59"/>
              </w:numPr>
              <w:spacing w:line="230" w:lineRule="exact"/>
              <w:ind w:left="391" w:hanging="357"/>
            </w:pPr>
            <w:r w:rsidRPr="00DB4CFD">
              <w:t>la copertura non soddisfa più i criteri per la contabilizzazione di copertura specificata nei paragrafi dal 71 al 73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B4CFD" w:rsidRDefault="004D7697" w:rsidP="004E27C2">
            <w:pPr>
              <w:pStyle w:val="Rientroa"/>
              <w:numPr>
                <w:ilvl w:val="0"/>
                <w:numId w:val="59"/>
              </w:numPr>
              <w:spacing w:line="230" w:lineRule="exact"/>
              <w:ind w:left="391" w:hanging="357"/>
            </w:pPr>
            <w:r w:rsidRPr="00DB4CFD">
              <w:t>in una copertura di un’operazione programmata, l’operazione programmata non è più altamente probabile?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32.92</w:t>
            </w:r>
          </w:p>
        </w:tc>
        <w:tc>
          <w:tcPr>
            <w:tcW w:w="7079" w:type="dxa"/>
            <w:tcMar>
              <w:left w:w="108" w:type="dxa"/>
            </w:tcMar>
          </w:tcPr>
          <w:p w:rsidR="004D7697" w:rsidRPr="00DB4CFD" w:rsidRDefault="004D7697" w:rsidP="000D7E0A">
            <w:pPr>
              <w:spacing w:after="0" w:line="230" w:lineRule="exact"/>
              <w:rPr>
                <w:lang w:val="it-IT"/>
              </w:rPr>
            </w:pPr>
            <w:r w:rsidRPr="00DB4CFD">
              <w:rPr>
                <w:lang w:val="it-IT"/>
              </w:rPr>
              <w:t>Se cessa la contabilizzazione delle operazioni di copertura per la copertura di flussi finanziari (paragrafo 91), la società ha contabilizzato l’importo accumulato nella voce A) VII “</w:t>
            </w:r>
            <w:r w:rsidRPr="00DB4CFD">
              <w:rPr>
                <w:i/>
                <w:iCs/>
                <w:lang w:val="it-IT"/>
              </w:rPr>
              <w:t>Riserva per</w:t>
            </w:r>
            <w:r w:rsidRPr="00DB4CFD">
              <w:rPr>
                <w:lang w:val="it-IT"/>
              </w:rPr>
              <w:t xml:space="preserve"> </w:t>
            </w:r>
            <w:r w:rsidRPr="00DB4CFD">
              <w:rPr>
                <w:i/>
                <w:iCs/>
                <w:lang w:val="it-IT"/>
              </w:rPr>
              <w:t>operazioni di copertura dei flussi finanziari attesi”</w:t>
            </w:r>
            <w:r w:rsidRPr="00DB4CFD">
              <w:rPr>
                <w:lang w:val="it-IT"/>
              </w:rPr>
              <w:t>, come segue:</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514E08" w:rsidRDefault="004D7697" w:rsidP="000D7E0A">
            <w:pPr>
              <w:jc w:val="center"/>
              <w:rPr>
                <w:lang w:val="it-IT"/>
              </w:rPr>
            </w:pPr>
          </w:p>
        </w:tc>
        <w:tc>
          <w:tcPr>
            <w:tcW w:w="567" w:type="dxa"/>
            <w:tcMar>
              <w:left w:w="108" w:type="dxa"/>
            </w:tcMar>
            <w:vAlign w:val="center"/>
          </w:tcPr>
          <w:p w:rsidR="004D7697" w:rsidRPr="00514E08" w:rsidRDefault="004D7697" w:rsidP="000D7E0A">
            <w:pP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B4CFD" w:rsidRDefault="004D7697" w:rsidP="004E27C2">
            <w:pPr>
              <w:pStyle w:val="Rientroa"/>
              <w:numPr>
                <w:ilvl w:val="0"/>
                <w:numId w:val="60"/>
              </w:numPr>
              <w:spacing w:line="230" w:lineRule="exact"/>
              <w:ind w:left="391" w:hanging="357"/>
            </w:pPr>
            <w:r w:rsidRPr="00DB4CFD">
              <w:t>se si prevede che si verifichino ancora futuri flussi finanziari dell’elemento coperto, l’importo è rimasto nella voce A) VII “</w:t>
            </w:r>
            <w:r w:rsidRPr="00DB4CFD">
              <w:rPr>
                <w:i/>
              </w:rPr>
              <w:t>Riserva per operazioni di copertura dei flussi finanziari attesi</w:t>
            </w:r>
            <w:r w:rsidRPr="00DB4CFD">
              <w:t>” fino al verificarsi dei flussi finanziari futuri;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B4CFD" w:rsidRDefault="004D7697" w:rsidP="004E27C2">
            <w:pPr>
              <w:pStyle w:val="Rientroa"/>
              <w:numPr>
                <w:ilvl w:val="0"/>
                <w:numId w:val="60"/>
              </w:numPr>
              <w:spacing w:line="230" w:lineRule="exact"/>
              <w:ind w:left="391" w:hanging="357"/>
            </w:pPr>
            <w:r w:rsidRPr="00DB4CFD">
              <w:t>se non si prevedono più i flussi finanziari futuri o l’operazione programmata non si prevede più sia altamente probabile l’importo della riserva è stato riclassificato immediatamente nella sezione D) del conto economico in quanto l’ammontare della riserva è divenuto inefficace?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pageBreakBefore/>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pageBreakBefore/>
              <w:jc w:val="left"/>
              <w:rPr>
                <w:lang w:val="it-IT"/>
              </w:rPr>
            </w:pPr>
          </w:p>
        </w:tc>
        <w:tc>
          <w:tcPr>
            <w:tcW w:w="7079" w:type="dxa"/>
            <w:tcMar>
              <w:left w:w="108" w:type="dxa"/>
            </w:tcMar>
          </w:tcPr>
          <w:p w:rsidR="004D7697" w:rsidRPr="00185D5D" w:rsidRDefault="004D7697" w:rsidP="000D7E0A">
            <w:pPr>
              <w:pageBreakBefore/>
              <w:overflowPunct/>
              <w:spacing w:before="0" w:after="0" w:line="240" w:lineRule="auto"/>
              <w:textAlignment w:val="auto"/>
              <w:rPr>
                <w:b/>
                <w:bCs/>
                <w:i/>
                <w:lang w:val="it-IT" w:eastAsia="it-IT"/>
              </w:rPr>
            </w:pPr>
            <w:r w:rsidRPr="00185D5D">
              <w:rPr>
                <w:b/>
                <w:bCs/>
                <w:i/>
                <w:lang w:val="it-IT" w:eastAsia="it-IT"/>
              </w:rPr>
              <w:t>Valutazione successiva dei criteri di ammissibilità per la contab</w:t>
            </w:r>
            <w:r>
              <w:rPr>
                <w:b/>
                <w:bCs/>
                <w:i/>
                <w:lang w:val="it-IT" w:eastAsia="it-IT"/>
              </w:rPr>
              <w:t xml:space="preserve">ilizzazione delle </w:t>
            </w:r>
            <w:r w:rsidRPr="00185D5D">
              <w:rPr>
                <w:b/>
                <w:bCs/>
                <w:i/>
                <w:lang w:val="it-IT" w:eastAsia="it-IT"/>
              </w:rPr>
              <w:t>operazioni di copertura</w:t>
            </w:r>
          </w:p>
        </w:tc>
        <w:tc>
          <w:tcPr>
            <w:tcW w:w="575" w:type="dxa"/>
            <w:tcMar>
              <w:left w:w="85" w:type="dxa"/>
              <w:right w:w="85" w:type="dxa"/>
            </w:tcMar>
            <w:vAlign w:val="center"/>
          </w:tcPr>
          <w:p w:rsidR="004D7697" w:rsidRPr="008F037A" w:rsidRDefault="004D7697" w:rsidP="000D7E0A">
            <w:pPr>
              <w:pageBreakBefore/>
              <w:jc w:val="center"/>
              <w:rPr>
                <w:lang w:val="it-IT"/>
              </w:rPr>
            </w:pPr>
          </w:p>
        </w:tc>
        <w:tc>
          <w:tcPr>
            <w:tcW w:w="567" w:type="dxa"/>
            <w:tcMar>
              <w:left w:w="108" w:type="dxa"/>
            </w:tcMar>
            <w:vAlign w:val="center"/>
          </w:tcPr>
          <w:p w:rsidR="004D7697" w:rsidRPr="008F037A" w:rsidRDefault="004D7697" w:rsidP="000D7E0A">
            <w:pPr>
              <w:pageBreakBefore/>
              <w:jc w:val="center"/>
              <w:rPr>
                <w:lang w:val="it-IT"/>
              </w:rPr>
            </w:pPr>
          </w:p>
        </w:tc>
        <w:tc>
          <w:tcPr>
            <w:tcW w:w="567" w:type="dxa"/>
            <w:tcMar>
              <w:left w:w="108" w:type="dxa"/>
            </w:tcMar>
            <w:vAlign w:val="center"/>
          </w:tcPr>
          <w:p w:rsidR="004D7697" w:rsidRPr="008F037A" w:rsidRDefault="004D7697" w:rsidP="000D7E0A">
            <w:pPr>
              <w:pageBreakBefore/>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32.93</w:t>
            </w:r>
          </w:p>
        </w:tc>
        <w:tc>
          <w:tcPr>
            <w:tcW w:w="7079" w:type="dxa"/>
            <w:tcMar>
              <w:left w:w="108" w:type="dxa"/>
            </w:tcMar>
          </w:tcPr>
          <w:p w:rsidR="004D7697" w:rsidRPr="003A5018" w:rsidRDefault="004D7697" w:rsidP="000D7E0A">
            <w:pPr>
              <w:pStyle w:val="Commentiriquadro"/>
            </w:pPr>
            <w:r w:rsidRPr="003A5018">
              <w:t xml:space="preserve">La verifica della sussistenza dei criteri di ammissibilità deve essere fatta in via continuativa. </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32.93</w:t>
            </w:r>
          </w:p>
        </w:tc>
        <w:tc>
          <w:tcPr>
            <w:tcW w:w="7079" w:type="dxa"/>
            <w:tcMar>
              <w:left w:w="108" w:type="dxa"/>
            </w:tcMar>
          </w:tcPr>
          <w:p w:rsidR="004D7697" w:rsidRPr="003A5018" w:rsidRDefault="004D7697" w:rsidP="000D7E0A">
            <w:pPr>
              <w:rPr>
                <w:lang w:val="it-IT"/>
              </w:rPr>
            </w:pPr>
            <w:r w:rsidRPr="003A5018">
              <w:rPr>
                <w:lang w:val="it-IT"/>
              </w:rPr>
              <w:t>Ad ogni data di chiusura del bilancio la società ha valutato tra l’altro se la relazione di copertura soddisfi ancora i requisiti di efficacia?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32.94</w:t>
            </w:r>
          </w:p>
        </w:tc>
        <w:tc>
          <w:tcPr>
            <w:tcW w:w="7079" w:type="dxa"/>
            <w:tcMar>
              <w:left w:w="108" w:type="dxa"/>
            </w:tcMar>
          </w:tcPr>
          <w:p w:rsidR="004D7697" w:rsidRPr="003A5018" w:rsidRDefault="004D7697" w:rsidP="000D7E0A">
            <w:pPr>
              <w:pStyle w:val="Commentiriquadro"/>
            </w:pPr>
            <w:r w:rsidRPr="003A5018">
              <w:t>In caso di cambiamenti significativi nella relazione economica tra elemento coperto e strumento di copertura oppure di incremento significativo del rischio di credito, è necessario applicare le regole di cessazione di una relazione di copertura. Ciò in quanto la relazione di copertura anche se portata avanti darebbe luogo ad un importo significativo di inefficacia. L’OIC 32 non stabilisce una soglia quantitativa oltre la quale è necessario cessare la copertura, tuttavia è opportuno rivedere il rapporto di copertura, come indicato al successivo paragrafo 96, ogni qualvolta si siano verificate delle variazioni della relazione economica tra elemento co</w:t>
            </w:r>
            <w:r>
              <w:t>perto e strumento di copertura.</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32.95</w:t>
            </w:r>
          </w:p>
        </w:tc>
        <w:tc>
          <w:tcPr>
            <w:tcW w:w="7079" w:type="dxa"/>
            <w:tcMar>
              <w:left w:w="108" w:type="dxa"/>
            </w:tcMar>
          </w:tcPr>
          <w:p w:rsidR="004D7697" w:rsidRPr="003A5018" w:rsidRDefault="004D7697" w:rsidP="000D7E0A">
            <w:pPr>
              <w:pStyle w:val="Commentiriquadro"/>
            </w:pPr>
            <w:r w:rsidRPr="003A5018">
              <w:t xml:space="preserve">Se il cambiamento della relazione economica tra elemento coperto e strumento di copertura è tale da portare ad una cessazione della relazione di copertura e l’obiettivo della gestione del rischio per la relazione di copertura designata rimane lo stesso, è necessario operare una revisione del rapporto di copertura per evitare che ulteriori variazioni di tale rapporto possano successivamente comportare la cessazione della copertura per inefficacia. </w:t>
            </w:r>
          </w:p>
          <w:p w:rsidR="004D7697" w:rsidRPr="003A5018" w:rsidRDefault="004D7697" w:rsidP="000D7E0A">
            <w:pPr>
              <w:pStyle w:val="Commentiriquadro"/>
            </w:pPr>
            <w:r w:rsidRPr="003A5018">
              <w:t>La revisione del rapporto di copertura non può essere attuata se è evidente che sia stata fatta per raggiungere un determinato effetto di bilancio, quale ad esempio quello di determinare una sistematica inefficacia della copertura per ottenere utili o perdite a conto economico. Pertanto la revisione del rapporto di copertura può essere attuata solo nel caso in cui la variazione della relazione economica oltre i limiti definiti nella documentazione a supporto della copertura è determinata d</w:t>
            </w:r>
            <w:r>
              <w:t>a fattori esogeni alla società.</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32.96</w:t>
            </w:r>
          </w:p>
        </w:tc>
        <w:tc>
          <w:tcPr>
            <w:tcW w:w="7079" w:type="dxa"/>
            <w:tcMar>
              <w:left w:w="108" w:type="dxa"/>
            </w:tcMar>
          </w:tcPr>
          <w:p w:rsidR="004D7697" w:rsidRPr="003A5018" w:rsidRDefault="004D7697" w:rsidP="000D7E0A">
            <w:pPr>
              <w:spacing w:after="0" w:line="230" w:lineRule="exact"/>
              <w:rPr>
                <w:lang w:val="it-IT"/>
              </w:rPr>
            </w:pPr>
            <w:r w:rsidRPr="003A5018">
              <w:rPr>
                <w:lang w:val="it-IT"/>
              </w:rPr>
              <w:t>La revisione del rapporto di copertura (riequilibrio della copertura) è stata operata secondo le seguenti tecniche: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A0F38" w:rsidRDefault="004D7697" w:rsidP="004E27C2">
            <w:pPr>
              <w:pStyle w:val="Rientroa"/>
              <w:numPr>
                <w:ilvl w:val="0"/>
                <w:numId w:val="61"/>
              </w:numPr>
              <w:ind w:left="391" w:hanging="357"/>
            </w:pPr>
            <w:r w:rsidRPr="00CA0F38">
              <w:t>revisione del rapporto di copertura tramite aumento delle quantità dell’elemento coperto designate per la copertura.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A0F38" w:rsidRDefault="004D7697" w:rsidP="000D7E0A">
            <w:pPr>
              <w:pStyle w:val="Commentiriquadro"/>
            </w:pPr>
            <w:r w:rsidRPr="00CA0F38">
              <w:t>Ai fini dell’efficacia della relazione di copertura e dell’inefficacia delle coperture di flussi finanziari, dalla data di riequilibrio, le variazioni del valore dell’elemento coperto comprendono anche la variazione del valore della quantità supplementare dell’elemento coperto. Per esempio se inizialmente l’elemento coperto equivale a 100 barili di petrolio e successivamente la società prevede di acquistare 10 barili mantenendo invariata la quantità dello strumento di copertura l’elemento coperto, a seguito dell’operazione è composto da 100 barili inizialmente designati e 10 barili designati successivamente alla revisione.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8C5A0A" w:rsidRDefault="004D7697" w:rsidP="004E27C2">
            <w:pPr>
              <w:pStyle w:val="Rientroa"/>
              <w:numPr>
                <w:ilvl w:val="0"/>
                <w:numId w:val="61"/>
              </w:numPr>
              <w:ind w:left="391" w:hanging="357"/>
            </w:pPr>
            <w:r w:rsidRPr="008C5A0A">
              <w:t>revisione del rapporto di copertura tramite riduzione delle quantità dello strumento di copertura designate per la copertura.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A0F38" w:rsidRDefault="004D7697" w:rsidP="000D7E0A">
            <w:pPr>
              <w:pStyle w:val="Commentiriquadro"/>
            </w:pPr>
            <w:r w:rsidRPr="00CA0F38">
              <w:t>Ai fini dell’efficacia della relazione di copertura e dell’inefficacia</w:t>
            </w:r>
            <w:r w:rsidRPr="00CA0F38">
              <w:rPr>
                <w:i/>
                <w:iCs/>
              </w:rPr>
              <w:t xml:space="preserve"> </w:t>
            </w:r>
            <w:r w:rsidRPr="00CA0F38">
              <w:t>delle coperture di flussi finanziari, dalla data di riequilibrio, la quantità per cui lo strumento di</w:t>
            </w:r>
            <w:r w:rsidRPr="00CA0F38">
              <w:rPr>
                <w:i/>
                <w:iCs/>
              </w:rPr>
              <w:t xml:space="preserve"> </w:t>
            </w:r>
            <w:r w:rsidRPr="00CA0F38">
              <w:t>copertura è stato ridotto non fa più parte della relazione di copertura ed è valutata come uno</w:t>
            </w:r>
            <w:r w:rsidRPr="00CA0F38">
              <w:rPr>
                <w:i/>
                <w:iCs/>
              </w:rPr>
              <w:t xml:space="preserve"> </w:t>
            </w:r>
            <w:r w:rsidRPr="00CA0F38">
              <w:t>strumento non di copertura. Per esempio una società copre inizialmente il rischio prezzo di un</w:t>
            </w:r>
            <w:r w:rsidRPr="00CA0F38">
              <w:rPr>
                <w:i/>
                <w:iCs/>
              </w:rPr>
              <w:t xml:space="preserve"> </w:t>
            </w:r>
            <w:r w:rsidRPr="00CA0F38">
              <w:t>acquisto di 100 barili di petrolio usando una quantità in derivati pari a 100 barili di petrolio e</w:t>
            </w:r>
            <w:r w:rsidRPr="00CA0F38">
              <w:rPr>
                <w:i/>
                <w:iCs/>
              </w:rPr>
              <w:t xml:space="preserve"> </w:t>
            </w:r>
            <w:r w:rsidRPr="00CA0F38">
              <w:t xml:space="preserve">successivamente prevendendo di acquistare 10 barili in meno di petrolio, riduce il derivato di 10barili. Dal momento della revisione il derivato è contabilizzato come di copertura per 90 barili e </w:t>
            </w:r>
            <w:r>
              <w:t>come non di copertura per 10.</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A0F38" w:rsidRDefault="004D7697" w:rsidP="004E27C2">
            <w:pPr>
              <w:pStyle w:val="Rientroa"/>
              <w:numPr>
                <w:ilvl w:val="0"/>
                <w:numId w:val="61"/>
              </w:numPr>
              <w:ind w:left="391" w:hanging="357"/>
            </w:pPr>
            <w:r w:rsidRPr="00CA0F38">
              <w:t>revisione del rapporto di copertura tramite aumento delle quantità dello strumento di copertura designate per la copertura.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A0F38" w:rsidRDefault="004D7697" w:rsidP="000D7E0A">
            <w:pPr>
              <w:pStyle w:val="Commentiriquadro"/>
              <w:rPr>
                <w:i/>
                <w:iCs/>
              </w:rPr>
            </w:pPr>
            <w:r w:rsidRPr="00CA0F38">
              <w:t>Ai fini dell’efficacia della relazione di copertura e dell’inefficacia</w:t>
            </w:r>
            <w:r w:rsidRPr="00CA0F38">
              <w:rPr>
                <w:i/>
                <w:iCs/>
              </w:rPr>
              <w:t xml:space="preserve"> </w:t>
            </w:r>
            <w:r w:rsidRPr="00CA0F38">
              <w:t xml:space="preserve">delle coperture di flussi finanziari, dalla data di riequilibrio le variazioni del </w:t>
            </w:r>
            <w:r w:rsidRPr="00CA0F38">
              <w:rPr>
                <w:i/>
                <w:iCs/>
              </w:rPr>
              <w:t xml:space="preserve">fair value </w:t>
            </w:r>
            <w:r w:rsidRPr="00CA0F38">
              <w:t>dello</w:t>
            </w:r>
            <w:r w:rsidRPr="00CA0F38">
              <w:rPr>
                <w:i/>
                <w:iCs/>
              </w:rPr>
              <w:t xml:space="preserve"> </w:t>
            </w:r>
            <w:r w:rsidRPr="00CA0F38">
              <w:t>strumento di copertura comprendono anche le variazioni del valore della quantità supplementare</w:t>
            </w:r>
            <w:r w:rsidRPr="00CA0F38">
              <w:rPr>
                <w:i/>
                <w:iCs/>
              </w:rPr>
              <w:t xml:space="preserve"> </w:t>
            </w:r>
            <w:r w:rsidRPr="00CA0F38">
              <w:t>di strumento di copertura. Per esempio una società ha inizialmente coperto il rischio prezzo di un</w:t>
            </w:r>
            <w:r w:rsidRPr="00CA0F38">
              <w:rPr>
                <w:i/>
                <w:iCs/>
              </w:rPr>
              <w:t xml:space="preserve"> </w:t>
            </w:r>
            <w:r w:rsidRPr="00CA0F38">
              <w:t>acquisto di 100 barili di petrolio con una quantità in derivati pari a 100 barili di petrolio.</w:t>
            </w:r>
          </w:p>
          <w:p w:rsidR="004D7697" w:rsidRPr="00CA0F38" w:rsidRDefault="004D7697" w:rsidP="000D7E0A">
            <w:pPr>
              <w:pStyle w:val="Commentiriquadro"/>
            </w:pPr>
            <w:r w:rsidRPr="00CA0F38">
              <w:t xml:space="preserve">Successivamente la società prevedendo di acquistare un quantitativo di petrolio aggiuntivo per 10 barili acquista un derivato aggiuntivo aumentando la quantità dello strumento derivato di 10 barili. Dal momento della revisione il derivato basato sulla quantità complessiva di 110 barili è contabilizzato come di copertura. La variazione del </w:t>
            </w:r>
            <w:r w:rsidRPr="00CA0F38">
              <w:rPr>
                <w:i/>
                <w:iCs/>
              </w:rPr>
              <w:t xml:space="preserve">fair value </w:t>
            </w:r>
            <w:r w:rsidRPr="00CA0F38">
              <w:t xml:space="preserve">dello strumento di copertura è pari alla variazione totale dei </w:t>
            </w:r>
            <w:r w:rsidRPr="00CA0F38">
              <w:rPr>
                <w:i/>
                <w:iCs/>
              </w:rPr>
              <w:t xml:space="preserve">fair value </w:t>
            </w:r>
            <w:r w:rsidRPr="00CA0F38">
              <w:t xml:space="preserve">dei derivati basati su una quantità di 110 barili. Tali derivati potrebbero avere elementi portanti diversi (per esempio prezzi </w:t>
            </w:r>
            <w:r w:rsidRPr="00CA0F38">
              <w:rPr>
                <w:i/>
                <w:iCs/>
              </w:rPr>
              <w:t>forward</w:t>
            </w:r>
            <w:r w:rsidRPr="00CA0F38">
              <w:t>) essendo stati negoziati in mo</w:t>
            </w:r>
            <w:r>
              <w:t>menti diversi.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A0F38" w:rsidRDefault="004D7697" w:rsidP="004E27C2">
            <w:pPr>
              <w:pStyle w:val="Rientroa"/>
              <w:numPr>
                <w:ilvl w:val="0"/>
                <w:numId w:val="61"/>
              </w:numPr>
              <w:ind w:left="391" w:hanging="357"/>
            </w:pPr>
            <w:r w:rsidRPr="00CA0F38">
              <w:t>revisione del rapporto di copertura tramite riduzione delle quantità dell’elemento coperto designate per la copertura</w:t>
            </w:r>
            <w: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A0F38" w:rsidRDefault="004D7697" w:rsidP="000D7E0A">
            <w:pPr>
              <w:pStyle w:val="Commentiriquadro"/>
              <w:rPr>
                <w:i/>
                <w:iCs/>
              </w:rPr>
            </w:pPr>
            <w:r w:rsidRPr="00CA0F38">
              <w:t>Ai fini del calcolo dell’inefficacia, dalla data del riequilibrio, tuttavia,</w:t>
            </w:r>
            <w:r w:rsidRPr="00CA0F38">
              <w:rPr>
                <w:i/>
                <w:iCs/>
              </w:rPr>
              <w:t xml:space="preserve"> </w:t>
            </w:r>
            <w:r w:rsidRPr="00CA0F38">
              <w:t>la quantità di cui è stato ridotto l’elemento coperto cessa di far parte della relazione di copertura.</w:t>
            </w:r>
            <w:r w:rsidRPr="00CA0F38">
              <w:rPr>
                <w:i/>
                <w:iCs/>
              </w:rPr>
              <w:t xml:space="preserve"> </w:t>
            </w:r>
            <w:r w:rsidRPr="00CA0F38">
              <w:t>Per esempio se inizialmente l’elemento coperto equivale a 100 barili di petrolio e quando rivede il rapporto di copertura, riduce l’elemento coperto di 10 barili di petrolio, l’elemento coperto è pari a 90 barili. I 10 barili, di cui è stato ridotto l’elemento coperto non sono più parte della copertura e sono contabilizzati conformemente ai requisiti per la cessazione delle operazioni di copertura.</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32.97</w:t>
            </w:r>
          </w:p>
        </w:tc>
        <w:tc>
          <w:tcPr>
            <w:tcW w:w="7079" w:type="dxa"/>
            <w:tcMar>
              <w:left w:w="108" w:type="dxa"/>
            </w:tcMar>
          </w:tcPr>
          <w:p w:rsidR="004D7697" w:rsidRPr="009226A4" w:rsidRDefault="004D7697" w:rsidP="000D7E0A">
            <w:pPr>
              <w:spacing w:after="0" w:line="230" w:lineRule="exact"/>
              <w:rPr>
                <w:lang w:val="it-IT"/>
              </w:rPr>
            </w:pPr>
            <w:r w:rsidRPr="009226A4">
              <w:rPr>
                <w:lang w:val="it-IT"/>
              </w:rPr>
              <w:t>All’atto della revisione del rapporto di copertura è stata calcolata l’inefficacia della copertura ai sensi del paragrafo 85 dell’OIC 32</w:t>
            </w:r>
            <w:r>
              <w:rPr>
                <w:lang w:val="it-IT"/>
              </w:rP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32.97</w:t>
            </w:r>
          </w:p>
        </w:tc>
        <w:tc>
          <w:tcPr>
            <w:tcW w:w="7079" w:type="dxa"/>
            <w:tcMar>
              <w:left w:w="108" w:type="dxa"/>
            </w:tcMar>
          </w:tcPr>
          <w:p w:rsidR="004D7697" w:rsidRPr="009226A4" w:rsidRDefault="004D7697" w:rsidP="000D7E0A">
            <w:pPr>
              <w:spacing w:after="0"/>
              <w:rPr>
                <w:lang w:val="it-IT"/>
              </w:rPr>
            </w:pPr>
            <w:r w:rsidRPr="009226A4">
              <w:rPr>
                <w:lang w:val="it-IT"/>
              </w:rPr>
              <w:t>L’inefficacia della copertura è stata imputata al conto economico dell’esercizio nella sezione D) prima di rettificare prospetticamente il rapporto di copertura?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32.98</w:t>
            </w:r>
          </w:p>
        </w:tc>
        <w:tc>
          <w:tcPr>
            <w:tcW w:w="7079" w:type="dxa"/>
            <w:tcMar>
              <w:left w:w="108" w:type="dxa"/>
            </w:tcMar>
          </w:tcPr>
          <w:p w:rsidR="004D7697" w:rsidRPr="009226A4" w:rsidRDefault="004D7697" w:rsidP="000D7E0A">
            <w:pPr>
              <w:spacing w:after="0" w:line="224" w:lineRule="exact"/>
              <w:rPr>
                <w:lang w:val="it-IT"/>
              </w:rPr>
            </w:pPr>
            <w:r w:rsidRPr="009226A4">
              <w:rPr>
                <w:lang w:val="it-IT"/>
              </w:rPr>
              <w:t>La società ha cessato di applicare prospetticamente la contabilizzazione delle operazioni di copertura soltanto e dalla data in cui la relazione di copertura (o una parte di essa) cessa di soddisfare i criteri di ammissibilità?</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32.98</w:t>
            </w:r>
          </w:p>
        </w:tc>
        <w:tc>
          <w:tcPr>
            <w:tcW w:w="7079" w:type="dxa"/>
            <w:tcMar>
              <w:left w:w="108" w:type="dxa"/>
            </w:tcMar>
          </w:tcPr>
          <w:p w:rsidR="004D7697" w:rsidRPr="009226A4" w:rsidRDefault="004D7697" w:rsidP="000D7E0A">
            <w:pPr>
              <w:pStyle w:val="Commentiriquadro"/>
            </w:pPr>
            <w:r w:rsidRPr="009226A4">
              <w:t>A questo scopo, la sostituzione dello strumento di copertura con un altro strumento di copertura prevista nell’originaria strategia di copertura oppure come conseguenza di una normativa o di regolamenti esistenti o dell’introduzione di leggi o regolamenti non è da considerarsi una scadenza o una cessazione.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32.99</w:t>
            </w:r>
          </w:p>
        </w:tc>
        <w:tc>
          <w:tcPr>
            <w:tcW w:w="7079" w:type="dxa"/>
            <w:tcMar>
              <w:left w:w="108" w:type="dxa"/>
            </w:tcMar>
          </w:tcPr>
          <w:p w:rsidR="004D7697" w:rsidRPr="009226A4" w:rsidRDefault="004D7697" w:rsidP="000D7E0A">
            <w:pPr>
              <w:spacing w:after="0" w:line="230" w:lineRule="exact"/>
              <w:rPr>
                <w:lang w:val="it-IT"/>
              </w:rPr>
            </w:pPr>
            <w:r w:rsidRPr="009226A4">
              <w:rPr>
                <w:lang w:val="it-IT"/>
              </w:rPr>
              <w:t>La società non ha riclassificato e quindi non ha cessato, una relazione di copertura che: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9226A4" w:rsidRDefault="004D7697" w:rsidP="004E27C2">
            <w:pPr>
              <w:pStyle w:val="Rientroa"/>
              <w:numPr>
                <w:ilvl w:val="0"/>
                <w:numId w:val="62"/>
              </w:numPr>
              <w:spacing w:line="230" w:lineRule="exact"/>
              <w:ind w:left="391" w:hanging="357"/>
            </w:pPr>
            <w:r w:rsidRPr="009226A4">
              <w:t>risponde ancora all’obiettivo di gestione del rischio in base al quale è stata ammessa alla contabilizzazione delle operazioni di copertura;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9226A4" w:rsidRDefault="004D7697" w:rsidP="004E27C2">
            <w:pPr>
              <w:pStyle w:val="Rientroa"/>
              <w:numPr>
                <w:ilvl w:val="0"/>
                <w:numId w:val="62"/>
              </w:numPr>
              <w:spacing w:line="230" w:lineRule="exact"/>
              <w:ind w:left="391" w:hanging="357"/>
            </w:pPr>
            <w:r w:rsidRPr="009226A4">
              <w:t>continua a soddisfare tutti gli altri criteri di ammissibilità (una volta tenuto conto di un’eventuale revisione della relazione di copertura, se del caso)</w:t>
            </w:r>
            <w: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32.100</w:t>
            </w:r>
          </w:p>
        </w:tc>
        <w:tc>
          <w:tcPr>
            <w:tcW w:w="7079" w:type="dxa"/>
            <w:tcMar>
              <w:left w:w="108" w:type="dxa"/>
            </w:tcMar>
          </w:tcPr>
          <w:p w:rsidR="004D7697" w:rsidRPr="00CE25CC" w:rsidRDefault="004D7697" w:rsidP="000D7E0A">
            <w:pPr>
              <w:pStyle w:val="Commentiriquadro"/>
            </w:pPr>
            <w:r w:rsidRPr="00CE25CC">
              <w:t xml:space="preserve">Gli effetti contabili derivanti dalla cessazione di una relazione di copertura differiscono a seconda che si tratti di coperture del </w:t>
            </w:r>
            <w:r w:rsidRPr="00CE25CC">
              <w:rPr>
                <w:i/>
                <w:iCs/>
              </w:rPr>
              <w:t xml:space="preserve">fair value </w:t>
            </w:r>
            <w:r w:rsidRPr="00CE25CC">
              <w:t>(paragrafo 82 dell’OIC 32) o di coperture dei flussi finanziari (paragrafo 92 dell’OIC 32).</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vAlign w:val="center"/>
          </w:tcPr>
          <w:p w:rsidR="004D7697" w:rsidRPr="00CE25CC" w:rsidRDefault="004D7697" w:rsidP="000D7E0A">
            <w:pPr>
              <w:jc w:val="left"/>
              <w:rPr>
                <w:i/>
                <w:lang w:val="it-IT"/>
              </w:rPr>
            </w:pPr>
            <w:r w:rsidRPr="00CE25CC">
              <w:rPr>
                <w:b/>
                <w:bCs/>
                <w:i/>
                <w:lang w:val="it-IT" w:eastAsia="it-IT"/>
              </w:rPr>
              <w:t>Contabilizzazione delle coperture contabili per relazioni di copertura semplici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32.101</w:t>
            </w:r>
          </w:p>
        </w:tc>
        <w:tc>
          <w:tcPr>
            <w:tcW w:w="7079" w:type="dxa"/>
            <w:tcMar>
              <w:left w:w="108" w:type="dxa"/>
            </w:tcMar>
          </w:tcPr>
          <w:p w:rsidR="004D7697" w:rsidRPr="00CE25CC" w:rsidRDefault="004D7697" w:rsidP="000D7E0A">
            <w:pPr>
              <w:pStyle w:val="Commentiriquadro"/>
            </w:pPr>
            <w:r w:rsidRPr="00CE25CC">
              <w:t xml:space="preserve">Quando le operazioni di copertura riguardano strumenti finanziari derivati aventi caratteristiche del tutto simili a quelle dell’elemento coperto (definite “relazioni di copertura semplici”) e lo strumento finanziario derivato è stipulato a condizioni di mercato (ad esempio un </w:t>
            </w:r>
            <w:r w:rsidRPr="00CE25CC">
              <w:rPr>
                <w:i/>
                <w:iCs/>
              </w:rPr>
              <w:t xml:space="preserve">forward </w:t>
            </w:r>
            <w:r w:rsidRPr="00CE25CC">
              <w:t xml:space="preserve">oppure </w:t>
            </w:r>
            <w:r w:rsidRPr="00CE25CC">
              <w:rPr>
                <w:i/>
                <w:iCs/>
              </w:rPr>
              <w:t xml:space="preserve">swap </w:t>
            </w:r>
            <w:r w:rsidRPr="00CE25CC">
              <w:t xml:space="preserve">che hanno un </w:t>
            </w:r>
            <w:r w:rsidRPr="00CE25CC">
              <w:rPr>
                <w:i/>
                <w:iCs/>
              </w:rPr>
              <w:t xml:space="preserve">fair value </w:t>
            </w:r>
            <w:r w:rsidRPr="00CE25CC">
              <w:t>prossimo allo zero) alla data di rilevazione iniziale la società può applicare, il modello contabile che prevede i seguenti passaggi.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E25CC" w:rsidRDefault="004D7697" w:rsidP="000D7E0A">
            <w:pPr>
              <w:rPr>
                <w:lang w:val="it-IT"/>
              </w:rPr>
            </w:pPr>
            <w:r w:rsidRPr="00CE25CC">
              <w:rPr>
                <w:bCs/>
                <w:i/>
                <w:lang w:val="it-IT" w:eastAsia="it-IT"/>
              </w:rPr>
              <w:t>Criteri di ammissibilità</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32.102</w:t>
            </w:r>
          </w:p>
        </w:tc>
        <w:tc>
          <w:tcPr>
            <w:tcW w:w="7079" w:type="dxa"/>
            <w:tcMar>
              <w:left w:w="108" w:type="dxa"/>
            </w:tcMar>
          </w:tcPr>
          <w:p w:rsidR="004D7697" w:rsidRPr="00054F5E" w:rsidRDefault="004D7697" w:rsidP="000D7E0A">
            <w:pPr>
              <w:spacing w:after="0" w:line="230" w:lineRule="exact"/>
            </w:pPr>
            <w:r w:rsidRPr="00054F5E">
              <w:t>Designazione della copertura:</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E25CC" w:rsidRDefault="004D7697" w:rsidP="004E27C2">
            <w:pPr>
              <w:pStyle w:val="Rientroa"/>
              <w:numPr>
                <w:ilvl w:val="0"/>
                <w:numId w:val="63"/>
              </w:numPr>
              <w:spacing w:line="230" w:lineRule="exact"/>
              <w:ind w:left="391" w:hanging="357"/>
            </w:pPr>
            <w:r w:rsidRPr="00CE25CC">
              <w:t>la relazione di copertura consiste solo di strumenti di copertura ammissibili (paragrafi 56-60 dell’OIC 32) ed elementi coperti ammissibili (paragrafi dal 61 al 66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E25CC" w:rsidRDefault="004D7697" w:rsidP="004E27C2">
            <w:pPr>
              <w:pStyle w:val="Rientroa"/>
              <w:numPr>
                <w:ilvl w:val="0"/>
                <w:numId w:val="63"/>
              </w:numPr>
              <w:spacing w:line="230" w:lineRule="exact"/>
              <w:ind w:left="391" w:hanging="357"/>
            </w:pPr>
            <w:r w:rsidRPr="00CE25CC">
              <w:t>ai sensi dell’articolo 2426 comma 1, numero 11-bis, del codice civile “</w:t>
            </w:r>
            <w:r w:rsidRPr="00CE25CC">
              <w:rPr>
                <w:i/>
              </w:rPr>
              <w:t>si considera sussistente la copertura in presenza, di stretta e documentata correlazione tra le caratteristiche dello strumento o dell’operazione coperti e quelle dello strumento di copertura</w:t>
            </w:r>
            <w:r w:rsidRPr="00CE25CC">
              <w:t>”. Pertanto all’inizio della relazione di copertura vi è una designazione e una documentazione formale della relazione di copertura, degli obiettivi della società nella gestione del rischio e della strategia nell’effettuare la co</w:t>
            </w:r>
            <w:r>
              <w:t>pertura. La documentazione include</w:t>
            </w:r>
            <w:r w:rsidRPr="00CE25CC">
              <w:t xml:space="preserve"> l’individuazione dello strumento di copertura, dell’elemento coperto, della natura del rischio coperto e di come la società valuterà se la relazione di copertura soddisfi i requisiti di efficacia della copertura;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E25CC" w:rsidRDefault="004D7697" w:rsidP="004E27C2">
            <w:pPr>
              <w:pStyle w:val="Rientroa"/>
              <w:numPr>
                <w:ilvl w:val="0"/>
                <w:numId w:val="63"/>
              </w:numPr>
              <w:spacing w:line="230" w:lineRule="exact"/>
              <w:ind w:left="391" w:hanging="357"/>
            </w:pPr>
            <w:r>
              <w:t>la relazione di copertura è stata</w:t>
            </w:r>
            <w:r w:rsidRPr="00CE25CC">
              <w:t xml:space="preserve"> considera</w:t>
            </w:r>
            <w:r>
              <w:t>ta</w:t>
            </w:r>
            <w:r w:rsidRPr="00CE25CC">
              <w:t xml:space="preserve"> efficace semplicemente verificando che gli elementi portanti: quali l’importo nominale, la data di regolamento dei flussi finanziari, la scadenza e la variabile sottostante dello strumento di copertura e dell’elemento coperto corrispondano o siano strettamente allineati e il rischio di credito della controparte non sia tale da incidere significativamente sul </w:t>
            </w:r>
            <w:r w:rsidRPr="00CE25CC">
              <w:rPr>
                <w:i/>
              </w:rPr>
              <w:t>fair value</w:t>
            </w:r>
            <w:r w:rsidRPr="00CE25CC">
              <w:t xml:space="preserve"> sia dello strumento di copertu</w:t>
            </w:r>
            <w:r>
              <w:t>ra sia dello strumento coperto?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32.103</w:t>
            </w:r>
          </w:p>
        </w:tc>
        <w:tc>
          <w:tcPr>
            <w:tcW w:w="7079" w:type="dxa"/>
            <w:tcMar>
              <w:left w:w="108" w:type="dxa"/>
            </w:tcMar>
          </w:tcPr>
          <w:p w:rsidR="004D7697" w:rsidRPr="00DB0CEB" w:rsidRDefault="004D7697" w:rsidP="000D7E0A">
            <w:pPr>
              <w:pStyle w:val="Commentiriquadro"/>
            </w:pPr>
            <w:r w:rsidRPr="00DB0CEB">
              <w:t xml:space="preserve">La scelta dell’approccio semplificato non esonera la società dall’analisi della continua sussistenza dei requisiti di cui al precedente paragrafo 102. </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32.103</w:t>
            </w:r>
          </w:p>
        </w:tc>
        <w:tc>
          <w:tcPr>
            <w:tcW w:w="7079" w:type="dxa"/>
            <w:tcMar>
              <w:left w:w="108" w:type="dxa"/>
            </w:tcMar>
          </w:tcPr>
          <w:p w:rsidR="004D7697" w:rsidRPr="00DC5823" w:rsidRDefault="004D7697" w:rsidP="000D7E0A">
            <w:pPr>
              <w:spacing w:line="230" w:lineRule="exact"/>
              <w:rPr>
                <w:lang w:val="it-IT"/>
              </w:rPr>
            </w:pPr>
            <w:r w:rsidRPr="00DC5823">
              <w:rPr>
                <w:lang w:val="it-IT"/>
              </w:rPr>
              <w:t>Ad ogni data di chiusura del bilancio la società ha valutato la sussistenza dei requisiti di cui al precedente paragrafo 102 inclusa la verifica del rischio di credito della controparte dello strumento di copertura e dell’elemento coperto che qualora significativo potrebbe determinare la cessazione della relazione di copertura?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6944D1" w:rsidRDefault="004D7697" w:rsidP="000D7E0A">
            <w:pPr>
              <w:rPr>
                <w:lang w:val="it-IT"/>
              </w:rPr>
            </w:pPr>
            <w:r w:rsidRPr="000F0AE6">
              <w:rPr>
                <w:bCs/>
                <w:i/>
                <w:lang w:val="it-IT" w:eastAsia="it-IT"/>
              </w:rPr>
              <w:t>Coperture di fair value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32.104</w:t>
            </w:r>
          </w:p>
        </w:tc>
        <w:tc>
          <w:tcPr>
            <w:tcW w:w="7079" w:type="dxa"/>
            <w:tcMar>
              <w:left w:w="108" w:type="dxa"/>
            </w:tcMar>
          </w:tcPr>
          <w:p w:rsidR="004D7697" w:rsidRPr="000F0AE6" w:rsidRDefault="004D7697" w:rsidP="000D7E0A">
            <w:pPr>
              <w:pStyle w:val="Commentiriquadro"/>
            </w:pPr>
            <w:r>
              <w:t>La co</w:t>
            </w:r>
            <w:r w:rsidRPr="000F0AE6">
              <w:t xml:space="preserve">pertura di </w:t>
            </w:r>
            <w:r w:rsidRPr="000F0AE6">
              <w:rPr>
                <w:i/>
                <w:iCs/>
              </w:rPr>
              <w:t xml:space="preserve">fair value </w:t>
            </w:r>
            <w:r w:rsidRPr="000F0AE6">
              <w:t xml:space="preserve">è attivabile quando l’elemento coperto è un’attività o una passività iscritta nello stato patrimoniale </w:t>
            </w:r>
            <w:r>
              <w:t>oppure un impegno irrevocabile.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32.105</w:t>
            </w:r>
          </w:p>
        </w:tc>
        <w:tc>
          <w:tcPr>
            <w:tcW w:w="7079" w:type="dxa"/>
            <w:tcMar>
              <w:left w:w="108" w:type="dxa"/>
            </w:tcMar>
          </w:tcPr>
          <w:p w:rsidR="004D7697" w:rsidRPr="000F0AE6" w:rsidRDefault="004D7697" w:rsidP="000D7E0A">
            <w:pPr>
              <w:spacing w:after="0" w:line="230" w:lineRule="exact"/>
              <w:rPr>
                <w:lang w:val="it-IT"/>
              </w:rPr>
            </w:pPr>
            <w:r w:rsidRPr="000F0AE6">
              <w:rPr>
                <w:lang w:val="it-IT"/>
              </w:rPr>
              <w:t xml:space="preserve">A seguito della designazione la copertura di </w:t>
            </w:r>
            <w:r w:rsidRPr="000F0AE6">
              <w:rPr>
                <w:i/>
                <w:iCs/>
                <w:lang w:val="it-IT"/>
              </w:rPr>
              <w:t xml:space="preserve">fair value </w:t>
            </w:r>
            <w:r w:rsidRPr="000F0AE6">
              <w:rPr>
                <w:lang w:val="it-IT"/>
              </w:rPr>
              <w:t>lungo la sua durata è stata contabilizzata come segue: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0F0AE6" w:rsidRDefault="004D7697" w:rsidP="004E27C2">
            <w:pPr>
              <w:pStyle w:val="Rientroa"/>
              <w:numPr>
                <w:ilvl w:val="0"/>
                <w:numId w:val="64"/>
              </w:numPr>
              <w:spacing w:line="230" w:lineRule="exact"/>
              <w:ind w:left="391" w:hanging="357"/>
            </w:pPr>
            <w:r w:rsidRPr="000F0AE6">
              <w:t xml:space="preserve">lo strumento di copertura (cioè lo strumento finanziario derivato) è stato valutato al </w:t>
            </w:r>
            <w:r w:rsidRPr="000F0AE6">
              <w:rPr>
                <w:i/>
              </w:rPr>
              <w:t>fair value</w:t>
            </w:r>
            <w:r w:rsidRPr="000F0AE6">
              <w:t xml:space="preserve"> e quindi rilevato nello stato patrimoniale come un’attività o una passività;</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0F0AE6" w:rsidRDefault="004D7697" w:rsidP="004E27C2">
            <w:pPr>
              <w:pStyle w:val="Rientroa"/>
              <w:numPr>
                <w:ilvl w:val="0"/>
                <w:numId w:val="64"/>
              </w:numPr>
              <w:spacing w:line="230" w:lineRule="exact"/>
              <w:ind w:left="391" w:hanging="357"/>
            </w:pPr>
            <w:r w:rsidRPr="000F0AE6">
              <w:t>l’elemento coperto è stato valutato nei seguenti modi: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0F0AE6" w:rsidRDefault="004D7697" w:rsidP="004E27C2">
            <w:pPr>
              <w:pStyle w:val="Paragrafoelenco"/>
              <w:numPr>
                <w:ilvl w:val="0"/>
                <w:numId w:val="49"/>
              </w:numPr>
              <w:spacing w:line="230" w:lineRule="exact"/>
              <w:ind w:left="743" w:hanging="284"/>
              <w:rPr>
                <w:lang w:val="it-IT"/>
              </w:rPr>
            </w:pPr>
            <w:r w:rsidRPr="000F0AE6">
              <w:rPr>
                <w:lang w:val="it-IT"/>
              </w:rPr>
              <w:t xml:space="preserve">nel caso di un’attività o una passività iscritta in bilancio, il valore contabile è stato adeguato per tener conto della valutazione al </w:t>
            </w:r>
            <w:r w:rsidRPr="00BA4295">
              <w:rPr>
                <w:i/>
                <w:lang w:val="it-IT"/>
              </w:rPr>
              <w:t>fair value</w:t>
            </w:r>
            <w:r w:rsidRPr="000F0AE6">
              <w:rPr>
                <w:lang w:val="it-IT"/>
              </w:rPr>
              <w:t xml:space="preserve"> della componente relativa al rischio oggetto di </w:t>
            </w:r>
            <w:r>
              <w:rPr>
                <w:lang w:val="it-IT"/>
              </w:rPr>
              <w:t>copertura;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32.105</w:t>
            </w:r>
          </w:p>
        </w:tc>
        <w:tc>
          <w:tcPr>
            <w:tcW w:w="7079" w:type="dxa"/>
            <w:tcMar>
              <w:left w:w="108" w:type="dxa"/>
            </w:tcMar>
          </w:tcPr>
          <w:p w:rsidR="004D7697" w:rsidRPr="000F0AE6" w:rsidRDefault="004D7697" w:rsidP="000D7E0A">
            <w:pPr>
              <w:pStyle w:val="Commentiriquadro"/>
            </w:pPr>
            <w:r w:rsidRPr="000F0AE6">
              <w:t xml:space="preserve">L’adeguamento del valore contabile di un’attività avviene nei limiti del valore </w:t>
            </w:r>
            <w:r>
              <w:t>recuperabile.</w:t>
            </w:r>
          </w:p>
        </w:tc>
        <w:tc>
          <w:tcPr>
            <w:tcW w:w="575" w:type="dxa"/>
            <w:tcMar>
              <w:left w:w="85" w:type="dxa"/>
              <w:right w:w="85" w:type="dxa"/>
            </w:tcMar>
            <w:vAlign w:val="center"/>
          </w:tcPr>
          <w:p w:rsidR="004D7697" w:rsidRPr="00BA4295" w:rsidRDefault="004D7697" w:rsidP="000D7E0A">
            <w:pPr>
              <w:jc w:val="center"/>
              <w:rPr>
                <w:lang w:val="it-IT"/>
              </w:rPr>
            </w:pPr>
          </w:p>
        </w:tc>
        <w:tc>
          <w:tcPr>
            <w:tcW w:w="567" w:type="dxa"/>
            <w:tcMar>
              <w:left w:w="108" w:type="dxa"/>
            </w:tcMar>
            <w:vAlign w:val="center"/>
          </w:tcPr>
          <w:p w:rsidR="004D7697" w:rsidRPr="00BA4295" w:rsidRDefault="004D7697" w:rsidP="000D7E0A">
            <w:pPr>
              <w:jc w:val="center"/>
              <w:rPr>
                <w:lang w:val="it-IT"/>
              </w:rPr>
            </w:pPr>
          </w:p>
        </w:tc>
        <w:tc>
          <w:tcPr>
            <w:tcW w:w="567" w:type="dxa"/>
            <w:tcMar>
              <w:left w:w="108" w:type="dxa"/>
            </w:tcMar>
            <w:vAlign w:val="center"/>
          </w:tcPr>
          <w:p w:rsidR="004D7697" w:rsidRPr="00BA4295"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0F0AE6" w:rsidRDefault="004D7697" w:rsidP="004E27C2">
            <w:pPr>
              <w:pStyle w:val="Paragrafoelenco"/>
              <w:numPr>
                <w:ilvl w:val="0"/>
                <w:numId w:val="49"/>
              </w:numPr>
              <w:spacing w:line="230" w:lineRule="exact"/>
              <w:ind w:left="743" w:hanging="284"/>
              <w:rPr>
                <w:lang w:val="it-IT"/>
              </w:rPr>
            </w:pPr>
            <w:r w:rsidRPr="000F0AE6">
              <w:rPr>
                <w:lang w:val="it-IT"/>
              </w:rPr>
              <w:t xml:space="preserve">nel caso di un impegno irrevocabile, </w:t>
            </w:r>
            <w:r w:rsidRPr="00BA4295">
              <w:rPr>
                <w:i/>
                <w:lang w:val="it-IT"/>
              </w:rPr>
              <w:t>il fair value</w:t>
            </w:r>
            <w:r w:rsidRPr="000F0AE6">
              <w:rPr>
                <w:lang w:val="it-IT"/>
              </w:rPr>
              <w:t xml:space="preserve"> della componente relativa al rischio oggetto di copertura è stato iscritto nello stato patrimoniale come attività o passività nella voce di stato patrimoniale che sarà interessata dall’impegno irrevocabile al momento del suo realizzo?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32.106</w:t>
            </w:r>
          </w:p>
        </w:tc>
        <w:tc>
          <w:tcPr>
            <w:tcW w:w="7079" w:type="dxa"/>
            <w:tcMar>
              <w:left w:w="108" w:type="dxa"/>
            </w:tcMar>
          </w:tcPr>
          <w:p w:rsidR="004D7697" w:rsidRPr="00BA4295" w:rsidRDefault="004D7697" w:rsidP="000D7E0A">
            <w:pPr>
              <w:pStyle w:val="Commentiriquadro"/>
              <w:rPr>
                <w:i/>
                <w:iCs/>
              </w:rPr>
            </w:pPr>
            <w:r w:rsidRPr="00BA4295">
              <w:t xml:space="preserve">L’applicazione del paragrafo 105 precedente non comporta l’adeguamento dell’elemento coperto al </w:t>
            </w:r>
            <w:r w:rsidRPr="00BA4295">
              <w:rPr>
                <w:i/>
                <w:iCs/>
              </w:rPr>
              <w:t xml:space="preserve">fair value </w:t>
            </w:r>
            <w:r w:rsidRPr="00BA4295">
              <w:t>alla data di attivazione della copertura contabile, bensì l’adeguamento dell’elemento coperto lungo la</w:t>
            </w:r>
            <w:r w:rsidRPr="00BA4295">
              <w:rPr>
                <w:i/>
                <w:iCs/>
              </w:rPr>
              <w:t xml:space="preserve"> </w:t>
            </w:r>
            <w:r w:rsidRPr="00BA4295">
              <w:t xml:space="preserve">durata della copertura per le variazioni di </w:t>
            </w:r>
            <w:r w:rsidRPr="00BA4295">
              <w:rPr>
                <w:i/>
                <w:iCs/>
              </w:rPr>
              <w:t xml:space="preserve">fair value </w:t>
            </w:r>
            <w:r w:rsidRPr="00BA4295">
              <w:t>del solo rischio coperto intervenute</w:t>
            </w:r>
            <w:r w:rsidRPr="00BA4295">
              <w:rPr>
                <w:i/>
                <w:iCs/>
              </w:rPr>
              <w:t xml:space="preserve"> </w:t>
            </w:r>
            <w:r w:rsidRPr="00BA4295">
              <w:t>successivamente all’avvio della copertura contabile.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BA4295" w:rsidRDefault="004D7697" w:rsidP="000D7E0A">
            <w:pPr>
              <w:pStyle w:val="PrincCont"/>
              <w:jc w:val="left"/>
              <w:rPr>
                <w:b/>
                <w:lang w:val="it-IT"/>
              </w:rPr>
            </w:pPr>
            <w:r>
              <w:t>OIC 32.107</w:t>
            </w:r>
          </w:p>
        </w:tc>
        <w:tc>
          <w:tcPr>
            <w:tcW w:w="7079" w:type="dxa"/>
            <w:tcMar>
              <w:left w:w="108" w:type="dxa"/>
            </w:tcMar>
          </w:tcPr>
          <w:p w:rsidR="004D7697" w:rsidRPr="00BA4295" w:rsidRDefault="004D7697" w:rsidP="000D7E0A">
            <w:pPr>
              <w:spacing w:after="0" w:line="230" w:lineRule="exact"/>
              <w:rPr>
                <w:lang w:val="it-IT"/>
              </w:rPr>
            </w:pPr>
            <w:r w:rsidRPr="00BA4295">
              <w:rPr>
                <w:lang w:val="it-IT"/>
              </w:rPr>
              <w:t xml:space="preserve">L’elemento coperto è stato adeguato per un ammontare pari e di segno opposto al </w:t>
            </w:r>
            <w:r w:rsidRPr="00BA4295">
              <w:rPr>
                <w:i/>
                <w:iCs/>
                <w:lang w:val="it-IT"/>
              </w:rPr>
              <w:t xml:space="preserve">fair value </w:t>
            </w:r>
            <w:r w:rsidRPr="00BA4295">
              <w:rPr>
                <w:lang w:val="it-IT"/>
              </w:rPr>
              <w:t>dello strumento finanziario derivato ed entrambe le variazione sono state imputate, a seconda del loro segno nelle voci D) 18) d) e D) 19) d) del conto economico senza necessità di calcolare la differenza da imputare nella voce di conto economico dell’elemento coperto?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BA4295" w:rsidRDefault="004D7697" w:rsidP="000D7E0A">
            <w:pPr>
              <w:pStyle w:val="PrincCont"/>
              <w:jc w:val="left"/>
              <w:rPr>
                <w:b/>
                <w:lang w:val="it-IT"/>
              </w:rPr>
            </w:pPr>
            <w:r>
              <w:t>OIC 32.108</w:t>
            </w:r>
          </w:p>
        </w:tc>
        <w:tc>
          <w:tcPr>
            <w:tcW w:w="7079" w:type="dxa"/>
            <w:tcMar>
              <w:left w:w="108" w:type="dxa"/>
            </w:tcMar>
          </w:tcPr>
          <w:p w:rsidR="004D7697" w:rsidRPr="00BA4295" w:rsidRDefault="004D7697" w:rsidP="000D7E0A">
            <w:pPr>
              <w:spacing w:after="0" w:line="240" w:lineRule="auto"/>
              <w:rPr>
                <w:lang w:val="it-IT"/>
              </w:rPr>
            </w:pPr>
            <w:r w:rsidRPr="00BA4295">
              <w:rPr>
                <w:lang w:val="it-IT"/>
              </w:rPr>
              <w:t xml:space="preserve">La società ha cessato prospetticamente la contabilizzazione di copertura del </w:t>
            </w:r>
            <w:r w:rsidRPr="00BA4295">
              <w:rPr>
                <w:i/>
                <w:iCs/>
                <w:lang w:val="it-IT"/>
              </w:rPr>
              <w:t xml:space="preserve">fair value </w:t>
            </w:r>
            <w:r w:rsidRPr="00BA4295">
              <w:rPr>
                <w:lang w:val="it-IT"/>
              </w:rPr>
              <w:t>se e soltanto se: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BA4295" w:rsidRDefault="004D7697" w:rsidP="004E27C2">
            <w:pPr>
              <w:pStyle w:val="Rientroa"/>
              <w:numPr>
                <w:ilvl w:val="0"/>
                <w:numId w:val="65"/>
              </w:numPr>
              <w:spacing w:line="230" w:lineRule="exact"/>
              <w:ind w:left="391" w:hanging="357"/>
            </w:pPr>
            <w:r w:rsidRPr="00BA4295">
              <w:t>lo strumento di copertura scade, è venduto o cessato ad eccezione di quanto previsto dal paragrafo 109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BA4295" w:rsidRDefault="004D7697" w:rsidP="004E27C2">
            <w:pPr>
              <w:pStyle w:val="Rientroa"/>
              <w:numPr>
                <w:ilvl w:val="0"/>
                <w:numId w:val="65"/>
              </w:numPr>
              <w:spacing w:line="230" w:lineRule="exact"/>
              <w:ind w:left="391" w:hanging="357"/>
            </w:pPr>
            <w:r w:rsidRPr="00BA4295">
              <w:t>la copertura non soddisfa più le condizioni per la contabilizzazione di copertura specificata nel paragrafo 102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32.109</w:t>
            </w:r>
          </w:p>
        </w:tc>
        <w:tc>
          <w:tcPr>
            <w:tcW w:w="7079" w:type="dxa"/>
            <w:tcMar>
              <w:left w:w="108" w:type="dxa"/>
            </w:tcMar>
          </w:tcPr>
          <w:p w:rsidR="004D7697" w:rsidRPr="00FD415A" w:rsidRDefault="004D7697" w:rsidP="000D7E0A">
            <w:pPr>
              <w:pStyle w:val="Commentiriquadro"/>
            </w:pPr>
            <w:r w:rsidRPr="00FD415A">
              <w:t xml:space="preserve">La sostituzione dello strumento di copertura con un altro strumento di copertura prevista nell’originaria strategia di copertura oppure come conseguenza di una normativa o di regolamenti esistenti o dell’introduzione di leggi o regolamenti non è da considerarsi una scadenza o una </w:t>
            </w:r>
            <w:r>
              <w:t>cessazione.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32.110</w:t>
            </w:r>
          </w:p>
        </w:tc>
        <w:tc>
          <w:tcPr>
            <w:tcW w:w="7079" w:type="dxa"/>
            <w:tcMar>
              <w:left w:w="108" w:type="dxa"/>
            </w:tcMar>
          </w:tcPr>
          <w:p w:rsidR="004D7697" w:rsidRPr="00FD415A" w:rsidRDefault="004D7697" w:rsidP="000D7E0A">
            <w:pPr>
              <w:spacing w:after="0" w:line="230" w:lineRule="exact"/>
              <w:rPr>
                <w:lang w:val="it-IT"/>
              </w:rPr>
            </w:pPr>
            <w:r w:rsidRPr="00FD415A">
              <w:rPr>
                <w:lang w:val="it-IT"/>
              </w:rPr>
              <w:t xml:space="preserve">Nel momento in cui cessa l’operazione di copertura l’adeguamento dell’elemento coperto è stato mantenuto nello Stato Patrimoniale e considerato componente del costo dell’attività, passività, anche scaturente dalla realizzazione dell’impegno irrevocabile? </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32.110</w:t>
            </w:r>
          </w:p>
        </w:tc>
        <w:tc>
          <w:tcPr>
            <w:tcW w:w="7079" w:type="dxa"/>
            <w:tcMar>
              <w:left w:w="108" w:type="dxa"/>
            </w:tcMar>
          </w:tcPr>
          <w:p w:rsidR="004D7697" w:rsidRPr="00FD415A" w:rsidRDefault="004D7697" w:rsidP="000D7E0A">
            <w:pPr>
              <w:spacing w:line="230" w:lineRule="exact"/>
              <w:rPr>
                <w:lang w:val="it-IT"/>
              </w:rPr>
            </w:pPr>
            <w:r w:rsidRPr="00FD415A">
              <w:rPr>
                <w:lang w:val="it-IT"/>
              </w:rPr>
              <w:t>Qualora l’elemento coperto sia un’attività o una passività finanziaria, l’adeguamento cumulato dell’elemento coperto è stato imputato sistematicamente a conto economico lungo la durata dell’elemento coperto?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32.110</w:t>
            </w:r>
          </w:p>
        </w:tc>
        <w:tc>
          <w:tcPr>
            <w:tcW w:w="7079" w:type="dxa"/>
            <w:tcMar>
              <w:left w:w="108" w:type="dxa"/>
            </w:tcMar>
          </w:tcPr>
          <w:p w:rsidR="004D7697" w:rsidRPr="00FD415A" w:rsidRDefault="004D7697" w:rsidP="000D7E0A">
            <w:pPr>
              <w:spacing w:after="0" w:line="230" w:lineRule="exact"/>
              <w:rPr>
                <w:lang w:val="it-IT"/>
              </w:rPr>
            </w:pPr>
            <w:r w:rsidRPr="00FD415A">
              <w:rPr>
                <w:lang w:val="it-IT"/>
              </w:rPr>
              <w:t>Se l’elemento coperto è un’attività o una passività finanziaria valutata al costo ammortizzato l’adeguamento cumulato dell’elemento coperto è stato imputato a conto economico secondo il criterio dell’interesse effettivo stabilito dall’OIC 15 “Crediti”, OIC 19 “Debiti” e OIC 20 “Titoli di debito”?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8E3321" w:rsidRDefault="004D7697" w:rsidP="000D7E0A">
            <w:pPr>
              <w:rPr>
                <w:bCs/>
                <w:i/>
                <w:lang w:val="it-IT" w:eastAsia="it-IT"/>
              </w:rPr>
            </w:pPr>
            <w:r w:rsidRPr="008E3321">
              <w:rPr>
                <w:bCs/>
                <w:i/>
                <w:lang w:val="it-IT" w:eastAsia="it-IT"/>
              </w:rPr>
              <w:t>Coperture di flussi finanziari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32.111</w:t>
            </w:r>
          </w:p>
        </w:tc>
        <w:tc>
          <w:tcPr>
            <w:tcW w:w="7079" w:type="dxa"/>
            <w:tcMar>
              <w:left w:w="108" w:type="dxa"/>
            </w:tcMar>
          </w:tcPr>
          <w:p w:rsidR="004D7697" w:rsidRPr="008E3321" w:rsidRDefault="004D7697" w:rsidP="000D7E0A">
            <w:pPr>
              <w:pStyle w:val="Commentiriquadro"/>
            </w:pPr>
            <w:r w:rsidRPr="008E3321">
              <w:t xml:space="preserve">In un’operazione di copertura di flussi finanziari l’obiettivo strategico della direzione aziendale è di norma quello di stabilizzare i flussi finanziari attesi di un elemento coperto quale, ad esempio, l’interesse variabile pagato periodicamente su un debito finanziario, un impegno all’acquisto o vendita di beni, oppure un’operazione programmata altamente probabile dalla quale scaturirà per esempio un </w:t>
            </w:r>
            <w:r>
              <w:t>acquisto o una vendita di beni.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32.112</w:t>
            </w:r>
          </w:p>
        </w:tc>
        <w:tc>
          <w:tcPr>
            <w:tcW w:w="7079" w:type="dxa"/>
            <w:tcMar>
              <w:left w:w="108" w:type="dxa"/>
            </w:tcMar>
          </w:tcPr>
          <w:p w:rsidR="004D7697" w:rsidRPr="008E3321" w:rsidRDefault="004D7697" w:rsidP="000D7E0A">
            <w:pPr>
              <w:pStyle w:val="Commentiriquadro"/>
            </w:pPr>
            <w:r w:rsidRPr="008E3321">
              <w:t>Possono essere oggetto di copertura di flussi finanziari attività, passività, impegni irrevocabili, operazioni programmate altamente pro</w:t>
            </w:r>
            <w:r>
              <w:t>babili o esposizioni aggregate.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32.113</w:t>
            </w:r>
          </w:p>
        </w:tc>
        <w:tc>
          <w:tcPr>
            <w:tcW w:w="7079" w:type="dxa"/>
            <w:tcMar>
              <w:left w:w="108" w:type="dxa"/>
            </w:tcMar>
          </w:tcPr>
          <w:p w:rsidR="004D7697" w:rsidRPr="00E65A70" w:rsidRDefault="004D7697" w:rsidP="000D7E0A">
            <w:pPr>
              <w:spacing w:after="0" w:line="230" w:lineRule="exact"/>
              <w:rPr>
                <w:lang w:val="it-IT"/>
              </w:rPr>
            </w:pPr>
            <w:r w:rsidRPr="00E65A70">
              <w:rPr>
                <w:lang w:val="it-IT"/>
              </w:rPr>
              <w:t xml:space="preserve">A seguito della designazione, nel caso di copertura di flussi finanziari lo strumento finanziario derivato è stato valutato al </w:t>
            </w:r>
            <w:r w:rsidRPr="00E65A70">
              <w:rPr>
                <w:i/>
                <w:iCs/>
                <w:lang w:val="it-IT"/>
              </w:rPr>
              <w:t xml:space="preserve">fair value </w:t>
            </w:r>
            <w:r w:rsidRPr="00E65A70">
              <w:rPr>
                <w:lang w:val="it-IT"/>
              </w:rPr>
              <w:t>ad ogni data di chiusura di bilancio e la variazione è stata interamente imputata alla voce A) VII “</w:t>
            </w:r>
            <w:r w:rsidRPr="00E65A70">
              <w:rPr>
                <w:i/>
                <w:iCs/>
                <w:lang w:val="it-IT"/>
              </w:rPr>
              <w:t xml:space="preserve">Riserva per operazioni di copertura dei flussi finanziari attesi” </w:t>
            </w:r>
            <w:r w:rsidRPr="00E65A70">
              <w:rPr>
                <w:lang w:val="it-IT"/>
              </w:rPr>
              <w:t>senza necessità di calcolare quanta parte della copertura sia inefficace e quindi vada rilevata a conto economico, sezione D)?</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32.114</w:t>
            </w:r>
          </w:p>
        </w:tc>
        <w:tc>
          <w:tcPr>
            <w:tcW w:w="7079" w:type="dxa"/>
            <w:tcMar>
              <w:left w:w="108" w:type="dxa"/>
            </w:tcMar>
          </w:tcPr>
          <w:p w:rsidR="004D7697" w:rsidRPr="00F34D16" w:rsidRDefault="004D7697" w:rsidP="000D7E0A">
            <w:pPr>
              <w:spacing w:after="0" w:line="230" w:lineRule="exact"/>
              <w:rPr>
                <w:lang w:val="it-IT"/>
              </w:rPr>
            </w:pPr>
            <w:r w:rsidRPr="00F34D16">
              <w:rPr>
                <w:lang w:val="it-IT"/>
              </w:rPr>
              <w:t xml:space="preserve">Il rilascio della </w:t>
            </w:r>
            <w:r w:rsidRPr="00F34D16">
              <w:rPr>
                <w:i/>
                <w:iCs/>
                <w:lang w:val="it-IT"/>
              </w:rPr>
              <w:t xml:space="preserve">riserva per operazioni di copertura dei flussi finanziari attesi </w:t>
            </w:r>
            <w:r w:rsidRPr="00F34D16">
              <w:rPr>
                <w:lang w:val="it-IT"/>
              </w:rPr>
              <w:t>è avvenuto come segue: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F34D16" w:rsidRDefault="004D7697" w:rsidP="004E27C2">
            <w:pPr>
              <w:pStyle w:val="Rientroa"/>
              <w:numPr>
                <w:ilvl w:val="0"/>
                <w:numId w:val="66"/>
              </w:numPr>
              <w:spacing w:line="230" w:lineRule="exact"/>
              <w:ind w:left="391" w:hanging="357"/>
            </w:pPr>
            <w:r w:rsidRPr="00F34D16">
              <w:t xml:space="preserve">in una copertura di flussi finanziari connessi ad un’attività o passività iscritta in bilancio o di un’operazione programmata altamente probabile o impegno irrevocabile l’importo della riserva è stato riclassificato a conto economico nello stesso esercizio o negli stessi esercizi in cui i flussi finanziari futuri coperti hanno un effetto sull’utile (perdita) d’esercizio (per esempio, negli esercizi in cui sono rilevati gli interessi attivi o gli interessi passivi o quando si verifica la vendita o l’acquisto programmati o quando si incassa un credito in valuta). </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F34D16" w:rsidRDefault="004D7697" w:rsidP="004E27C2">
            <w:pPr>
              <w:pStyle w:val="Rientroa"/>
              <w:numPr>
                <w:ilvl w:val="0"/>
                <w:numId w:val="66"/>
              </w:numPr>
              <w:spacing w:line="230" w:lineRule="exact"/>
              <w:ind w:left="391" w:hanging="357"/>
            </w:pPr>
            <w:r w:rsidRPr="00F34D16">
              <w:t>Il rilascio della riserva è stato classificato nella stessa voce di conto economico che è impattata dai flussi finanziari attesi quando hanno effetto sull’utile (perdita) d’esercizio;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F34D16" w:rsidRDefault="004D7697" w:rsidP="004E27C2">
            <w:pPr>
              <w:pStyle w:val="Rientroa"/>
              <w:numPr>
                <w:ilvl w:val="0"/>
                <w:numId w:val="66"/>
              </w:numPr>
              <w:spacing w:line="230" w:lineRule="exact"/>
              <w:ind w:left="391" w:hanging="357"/>
            </w:pPr>
            <w:r w:rsidRPr="00F34D16">
              <w:t>in una copertura dei flussi finanziari connessi ad un’operazione programmata altamente probabile o impegno irrevocabile che comporta successivamente la rilevazione di un’attività o passività non finanziarie, la società al momento della rilevazione dell’attività o della passività ha eliminato l’importo dalla riserva per operazioni di copertura dei flussi finanziari attesi che è stato incluso direttamente nel valore contabile dell’attività (nei limiti del valore recuperabile) o della passività;</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F34D16" w:rsidRDefault="004D7697" w:rsidP="004E27C2">
            <w:pPr>
              <w:pStyle w:val="Rientroa"/>
              <w:numPr>
                <w:ilvl w:val="0"/>
                <w:numId w:val="66"/>
              </w:numPr>
              <w:spacing w:line="230" w:lineRule="exact"/>
              <w:ind w:left="391" w:hanging="357"/>
            </w:pPr>
            <w:r w:rsidRPr="00F34D16">
              <w:t>tuttavia, in presenza di una riserva negativa se la società non prevede di recuperare tutta la perdita o parte della riserva in un esercizio o in più esercizi futuri, la società ha immediatamente imputato alla voce D) 19) d) del conto economico dell’esercizio la riserva o la parte di riserva che non prevede di recuperare?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32.115</w:t>
            </w:r>
          </w:p>
        </w:tc>
        <w:tc>
          <w:tcPr>
            <w:tcW w:w="7079" w:type="dxa"/>
            <w:tcMar>
              <w:left w:w="108" w:type="dxa"/>
            </w:tcMar>
          </w:tcPr>
          <w:p w:rsidR="004D7697" w:rsidRPr="004276B6" w:rsidRDefault="004D7697" w:rsidP="000D7E0A">
            <w:pPr>
              <w:spacing w:after="0" w:line="230" w:lineRule="exact"/>
              <w:rPr>
                <w:lang w:val="it-IT"/>
              </w:rPr>
            </w:pPr>
            <w:r w:rsidRPr="004276B6">
              <w:rPr>
                <w:lang w:val="it-IT"/>
              </w:rPr>
              <w:t>La società ha cessato prospetticamente la contabilizzazione di copertura di flussi finanziari se e soltanto se: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4276B6" w:rsidRDefault="004D7697" w:rsidP="004E27C2">
            <w:pPr>
              <w:pStyle w:val="Rientroa"/>
              <w:numPr>
                <w:ilvl w:val="0"/>
                <w:numId w:val="67"/>
              </w:numPr>
              <w:spacing w:line="230" w:lineRule="exact"/>
              <w:ind w:left="391" w:hanging="357"/>
            </w:pPr>
            <w:r w:rsidRPr="004276B6">
              <w:t>lo strumento di copertura scade, è venduto o cessato ad eccezione di quanto previsto dal paragrafo 116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4276B6" w:rsidRDefault="004D7697" w:rsidP="004E27C2">
            <w:pPr>
              <w:pStyle w:val="Rientroa"/>
              <w:numPr>
                <w:ilvl w:val="0"/>
                <w:numId w:val="67"/>
              </w:numPr>
              <w:spacing w:line="230" w:lineRule="exact"/>
              <w:ind w:left="391" w:hanging="357"/>
            </w:pPr>
            <w:r w:rsidRPr="004276B6">
              <w:t>la copertura non soddisfa più i criteri per la contabilizzazione di copertura specificata nei paragrafi dal 102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4276B6" w:rsidRDefault="004D7697" w:rsidP="004E27C2">
            <w:pPr>
              <w:pStyle w:val="Rientroa"/>
              <w:numPr>
                <w:ilvl w:val="0"/>
                <w:numId w:val="67"/>
              </w:numPr>
              <w:spacing w:line="230" w:lineRule="exact"/>
              <w:ind w:left="391" w:hanging="357"/>
            </w:pPr>
            <w:r w:rsidRPr="004276B6">
              <w:t>in una copertura di un’operazione programmata, l’operazione programmata non è più altamente probabile?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32.116</w:t>
            </w:r>
          </w:p>
        </w:tc>
        <w:tc>
          <w:tcPr>
            <w:tcW w:w="7079" w:type="dxa"/>
            <w:tcMar>
              <w:left w:w="108" w:type="dxa"/>
            </w:tcMar>
          </w:tcPr>
          <w:p w:rsidR="004D7697" w:rsidRPr="002F2C66" w:rsidRDefault="004D7697" w:rsidP="000D7E0A">
            <w:pPr>
              <w:pStyle w:val="Commentiriquadro"/>
            </w:pPr>
            <w:r w:rsidRPr="002F2C66">
              <w:t xml:space="preserve">La sostituzione dello strumento di copertura con un altro strumento di copertura prevista nell’originaria strategia di copertura oppure come conseguenza di una normativa o di regolamenti esistenti o dell’introduzione di leggi o regolamenti non è da considerarsi una scadenza o una </w:t>
            </w:r>
            <w:r>
              <w:t>cessazione.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32.117</w:t>
            </w:r>
          </w:p>
        </w:tc>
        <w:tc>
          <w:tcPr>
            <w:tcW w:w="7079" w:type="dxa"/>
            <w:tcMar>
              <w:left w:w="108" w:type="dxa"/>
            </w:tcMar>
          </w:tcPr>
          <w:p w:rsidR="004D7697" w:rsidRPr="002F2C66" w:rsidRDefault="004D7697" w:rsidP="000D7E0A">
            <w:pPr>
              <w:spacing w:after="0" w:line="230" w:lineRule="exact"/>
              <w:rPr>
                <w:lang w:val="it-IT"/>
              </w:rPr>
            </w:pPr>
            <w:r w:rsidRPr="002F2C66">
              <w:rPr>
                <w:lang w:val="it-IT"/>
              </w:rPr>
              <w:t>Se cessa la contabilizzazione delle operazioni di copertura per la copertura di flussi finanziari, la società ha contabilizzato l’importo accumulato nella voce A) VII “</w:t>
            </w:r>
            <w:r w:rsidRPr="002F2C66">
              <w:rPr>
                <w:i/>
                <w:iCs/>
                <w:lang w:val="it-IT"/>
              </w:rPr>
              <w:t>Riserva per operazioni di</w:t>
            </w:r>
            <w:r w:rsidRPr="002F2C66">
              <w:rPr>
                <w:lang w:val="it-IT"/>
              </w:rPr>
              <w:t xml:space="preserve"> </w:t>
            </w:r>
            <w:r w:rsidRPr="002F2C66">
              <w:rPr>
                <w:i/>
                <w:iCs/>
                <w:lang w:val="it-IT"/>
              </w:rPr>
              <w:t>copertura dei flussi finanziari attesi”</w:t>
            </w:r>
            <w:r w:rsidRPr="002F2C66">
              <w:rPr>
                <w:lang w:val="it-IT"/>
              </w:rPr>
              <w:t>, come segue: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2F2C66" w:rsidRDefault="004D7697" w:rsidP="004E27C2">
            <w:pPr>
              <w:pStyle w:val="Rientroa"/>
              <w:numPr>
                <w:ilvl w:val="0"/>
                <w:numId w:val="68"/>
              </w:numPr>
              <w:spacing w:line="230" w:lineRule="exact"/>
              <w:ind w:left="391" w:hanging="357"/>
            </w:pPr>
            <w:r w:rsidRPr="002F2C66">
              <w:t>se si prevede che si verifichino ancora futuri flussi finanziari dell’elemento coperto, l’importo è rimanasto nella voce A) VII “</w:t>
            </w:r>
            <w:r w:rsidRPr="002F2C66">
              <w:rPr>
                <w:i/>
              </w:rPr>
              <w:t>Riserva per operazioni di copertura dei flussi finanziari attesi</w:t>
            </w:r>
            <w:r w:rsidRPr="002F2C66">
              <w:t>” fino al verificarsi dei flussi finanziari futuri;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2F2C66" w:rsidRDefault="004D7697" w:rsidP="004E27C2">
            <w:pPr>
              <w:pStyle w:val="Rientroa"/>
              <w:numPr>
                <w:ilvl w:val="0"/>
                <w:numId w:val="68"/>
              </w:numPr>
              <w:spacing w:line="230" w:lineRule="exact"/>
              <w:ind w:left="391" w:hanging="357"/>
            </w:pPr>
            <w:r w:rsidRPr="002F2C66">
              <w:t>b) se non si prevedono più i flussi finanziari futuri o l’operazione programmata non si prevede più sia altamente probabile l’importo della riserva è stato riclassificato immediatamente nella sezione D) del conto economico in quanto l’ammontare della riserva è divenuto inefficace?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32.118</w:t>
            </w:r>
          </w:p>
        </w:tc>
        <w:tc>
          <w:tcPr>
            <w:tcW w:w="7079" w:type="dxa"/>
            <w:tcMar>
              <w:left w:w="108" w:type="dxa"/>
            </w:tcMar>
          </w:tcPr>
          <w:p w:rsidR="004D7697" w:rsidRPr="002F2C66" w:rsidRDefault="004D7697" w:rsidP="000D7E0A">
            <w:pPr>
              <w:pStyle w:val="Commentiriquadro"/>
            </w:pPr>
            <w:r w:rsidRPr="002F2C66">
              <w:t>Nell’ambito delle coperture dei flussi finanziari se lo strumento di copertura è un’opzione acquistata (</w:t>
            </w:r>
            <w:r w:rsidRPr="002F2C66">
              <w:rPr>
                <w:i/>
                <w:iCs/>
              </w:rPr>
              <w:t xml:space="preserve">put </w:t>
            </w:r>
            <w:r w:rsidRPr="002F2C66">
              <w:t xml:space="preserve">o call) oppure un </w:t>
            </w:r>
            <w:r w:rsidRPr="002F2C66">
              <w:rPr>
                <w:i/>
                <w:iCs/>
              </w:rPr>
              <w:t xml:space="preserve">forward </w:t>
            </w:r>
            <w:r w:rsidRPr="002F2C66">
              <w:t xml:space="preserve">è possibile rilevare la variazione dell’intero </w:t>
            </w:r>
            <w:r w:rsidRPr="002F2C66">
              <w:rPr>
                <w:i/>
                <w:iCs/>
              </w:rPr>
              <w:t xml:space="preserve">fair value </w:t>
            </w:r>
            <w:r w:rsidRPr="002F2C66">
              <w:t>(valore temporale e valore intrinseco) nella A) VII “</w:t>
            </w:r>
            <w:r w:rsidRPr="002F2C66">
              <w:rPr>
                <w:i/>
                <w:iCs/>
              </w:rPr>
              <w:t>Riserva per operazioni di copertura dei flussi finanziari</w:t>
            </w:r>
            <w:r w:rsidRPr="002F2C66">
              <w:t xml:space="preserve"> </w:t>
            </w:r>
            <w:r w:rsidRPr="002F2C66">
              <w:rPr>
                <w:i/>
                <w:iCs/>
              </w:rPr>
              <w:t>attesi</w:t>
            </w:r>
            <w:r w:rsidRPr="002F2C66">
              <w:t xml:space="preserve">” perché vi è la presunzione relativa che, in assenza di altri fonti di inefficacia, l’effetto del valore temporale sia irrilevante e pertanto possa essere contabilizzato come fosse parte del valore intrinseco. </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CC242B"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32.118</w:t>
            </w:r>
          </w:p>
        </w:tc>
        <w:tc>
          <w:tcPr>
            <w:tcW w:w="7079" w:type="dxa"/>
            <w:tcMar>
              <w:left w:w="108" w:type="dxa"/>
            </w:tcMar>
          </w:tcPr>
          <w:p w:rsidR="004D7697" w:rsidRPr="002F2C66" w:rsidRDefault="004D7697" w:rsidP="000D7E0A">
            <w:pPr>
              <w:spacing w:after="0" w:line="230" w:lineRule="exact"/>
              <w:rPr>
                <w:lang w:val="it-IT"/>
              </w:rPr>
            </w:pPr>
            <w:r w:rsidRPr="002F2C66">
              <w:rPr>
                <w:lang w:val="it-IT"/>
              </w:rPr>
              <w:t>Se la società dovesse verificare, alla data di designazione della copertura, che tale valore non</w:t>
            </w:r>
            <w:r>
              <w:rPr>
                <w:lang w:val="it-IT"/>
              </w:rPr>
              <w:t xml:space="preserve"> sia insignificante</w:t>
            </w:r>
            <w:r w:rsidRPr="002F2C66">
              <w:rPr>
                <w:lang w:val="it-IT"/>
              </w:rPr>
              <w:t xml:space="preserve">: </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2F2C66" w:rsidRDefault="004D7697" w:rsidP="004E27C2">
            <w:pPr>
              <w:pStyle w:val="Rientroa"/>
              <w:numPr>
                <w:ilvl w:val="0"/>
                <w:numId w:val="69"/>
              </w:numPr>
            </w:pPr>
            <w:r>
              <w:t xml:space="preserve">è stato </w:t>
            </w:r>
            <w:r w:rsidRPr="002F2C66">
              <w:t xml:space="preserve">separato contabilmente il valore temporale e applicare il modello contabile decritto ai paragrafi 88 e 89 dell’OIC 32 anche per le relazioni di copertura semplici; </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2F2C66" w:rsidRDefault="004D7697" w:rsidP="004E27C2">
            <w:pPr>
              <w:pStyle w:val="Rientroa"/>
              <w:numPr>
                <w:ilvl w:val="0"/>
                <w:numId w:val="69"/>
              </w:numPr>
            </w:pPr>
            <w:r w:rsidRPr="002F2C66">
              <w:t>oppure è stato rilevato il valore temporale come componente di inefficacia della copertura ai sensi del paragrafo 85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4E1ACD" w:rsidRDefault="00104BFF" w:rsidP="000D7E0A">
            <w:pPr>
              <w:rPr>
                <w:b/>
                <w:sz w:val="22"/>
                <w:szCs w:val="22"/>
                <w:lang w:val="it-IT"/>
              </w:rPr>
            </w:pPr>
            <w:r>
              <w:rPr>
                <w:b/>
                <w:sz w:val="22"/>
                <w:szCs w:val="22"/>
                <w:lang w:val="it-IT"/>
              </w:rPr>
              <w:t>Nota I</w:t>
            </w:r>
            <w:r w:rsidR="004D7697" w:rsidRPr="004E1ACD">
              <w:rPr>
                <w:b/>
                <w:sz w:val="22"/>
                <w:szCs w:val="22"/>
                <w:lang w:val="it-IT"/>
              </w:rPr>
              <w:t>ntegrativa</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4D7697" w:rsidRDefault="004D7697" w:rsidP="000D7E0A">
            <w:pPr>
              <w:pStyle w:val="PrincCont"/>
              <w:jc w:val="left"/>
            </w:pPr>
            <w:r>
              <w:t>Art. 2427, c.1, n.</w:t>
            </w:r>
            <w:r w:rsidRPr="008F33F2">
              <w:t>1, CC</w:t>
            </w:r>
            <w:r>
              <w:t xml:space="preserve">      OIC 32.119</w:t>
            </w:r>
          </w:p>
        </w:tc>
        <w:tc>
          <w:tcPr>
            <w:tcW w:w="7079" w:type="dxa"/>
            <w:tcMar>
              <w:left w:w="108" w:type="dxa"/>
            </w:tcMar>
          </w:tcPr>
          <w:p w:rsidR="004D7697" w:rsidRPr="008F33F2" w:rsidRDefault="004D7697" w:rsidP="000D7E0A">
            <w:pPr>
              <w:spacing w:after="0" w:line="240" w:lineRule="auto"/>
              <w:rPr>
                <w:i/>
                <w:iCs/>
                <w:lang w:val="it-IT"/>
              </w:rPr>
            </w:pPr>
            <w:r w:rsidRPr="008F33F2">
              <w:rPr>
                <w:lang w:val="it-IT"/>
              </w:rPr>
              <w:t>La società indica i “</w:t>
            </w:r>
            <w:r w:rsidRPr="008F33F2">
              <w:rPr>
                <w:i/>
                <w:iCs/>
                <w:lang w:val="it-IT"/>
              </w:rPr>
              <w:t>criteri applicati nella valutazione delle voci del bilancio e delle rettifiche di valore</w:t>
            </w:r>
            <w:r w:rsidRPr="008F33F2">
              <w:rPr>
                <w:lang w:val="it-IT"/>
              </w:rP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4D7697" w:rsidRDefault="004D7697" w:rsidP="000D7E0A">
            <w:pPr>
              <w:pStyle w:val="PrincCont"/>
              <w:jc w:val="left"/>
            </w:pPr>
            <w:r w:rsidRPr="008F33F2">
              <w:t>Art. 2427, c</w:t>
            </w:r>
            <w:r>
              <w:t>.</w:t>
            </w:r>
            <w:r w:rsidRPr="008F33F2">
              <w:t>1, n</w:t>
            </w:r>
            <w:r>
              <w:t>.</w:t>
            </w:r>
            <w:r w:rsidRPr="008F33F2">
              <w:t>2, CC</w:t>
            </w:r>
            <w:r>
              <w:t xml:space="preserve">      OIC 32.120</w:t>
            </w:r>
          </w:p>
        </w:tc>
        <w:tc>
          <w:tcPr>
            <w:tcW w:w="7079" w:type="dxa"/>
            <w:tcMar>
              <w:left w:w="108" w:type="dxa"/>
            </w:tcMar>
          </w:tcPr>
          <w:p w:rsidR="004D7697" w:rsidRPr="008F33F2" w:rsidRDefault="004D7697" w:rsidP="000D7E0A">
            <w:pPr>
              <w:spacing w:after="0" w:line="230" w:lineRule="exact"/>
              <w:rPr>
                <w:i/>
                <w:iCs/>
                <w:lang w:val="it-IT"/>
              </w:rPr>
            </w:pPr>
            <w:r w:rsidRPr="008F33F2">
              <w:rPr>
                <w:lang w:val="it-IT"/>
              </w:rPr>
              <w:t>La società indica i “</w:t>
            </w:r>
            <w:r w:rsidRPr="008F33F2">
              <w:rPr>
                <w:i/>
                <w:iCs/>
                <w:lang w:val="it-IT"/>
              </w:rPr>
              <w:t>i movimenti delle immobilizzazioni, specificando per ciascuna voce: il costo; le precedenti rivalutazioni, ammortamenti e svalutazioni; le acquisizioni, gli spostamenti da una ad altra voce, le alienazioni avvenuti nell'esercizio; le rivalutazioni, gli ammortamenti e le svalutazioni effettuati nell'esercizio; il totale delle rivalutazioni riguardanti le immobilizzazioni esistenti alla chiusura dell'esercizio</w:t>
            </w:r>
            <w:r w:rsidRPr="008F33F2">
              <w:rPr>
                <w:lang w:val="it-IT"/>
              </w:rP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D477DA" w:rsidRDefault="004D7697" w:rsidP="000D7E0A">
            <w:pPr>
              <w:pStyle w:val="PrincCont"/>
              <w:jc w:val="left"/>
            </w:pPr>
            <w:r w:rsidRPr="00D477DA">
              <w:t>Art. 2427-bis, c</w:t>
            </w:r>
            <w:r>
              <w:t>.</w:t>
            </w:r>
            <w:r w:rsidRPr="00D477DA">
              <w:t>1, CC</w:t>
            </w:r>
            <w:r>
              <w:t xml:space="preserve">      OIC 32.121   OIC 32.122</w:t>
            </w:r>
          </w:p>
        </w:tc>
        <w:tc>
          <w:tcPr>
            <w:tcW w:w="7079" w:type="dxa"/>
            <w:tcMar>
              <w:left w:w="108" w:type="dxa"/>
            </w:tcMar>
          </w:tcPr>
          <w:p w:rsidR="004D7697" w:rsidRPr="00D477DA" w:rsidRDefault="004D7697" w:rsidP="000D7E0A">
            <w:pPr>
              <w:spacing w:after="0" w:line="230" w:lineRule="exact"/>
              <w:rPr>
                <w:lang w:val="it-IT"/>
              </w:rPr>
            </w:pPr>
            <w:r w:rsidRPr="00D477DA">
              <w:rPr>
                <w:lang w:val="it-IT"/>
              </w:rPr>
              <w:t>La società fornisce le informazioni per ciascuna categoria di</w:t>
            </w:r>
            <w:r>
              <w:rPr>
                <w:lang w:val="it-IT"/>
              </w:rPr>
              <w:t xml:space="preserve"> strumento finanziario derivato, ovvero:</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8C1F27" w:rsidRDefault="004D7697" w:rsidP="000D7E0A">
            <w:pPr>
              <w:jc w:val="center"/>
              <w:rPr>
                <w:lang w:val="it-IT"/>
              </w:rPr>
            </w:pPr>
          </w:p>
        </w:tc>
        <w:tc>
          <w:tcPr>
            <w:tcW w:w="567" w:type="dxa"/>
            <w:tcMar>
              <w:left w:w="108" w:type="dxa"/>
            </w:tcMar>
            <w:vAlign w:val="center"/>
          </w:tcPr>
          <w:p w:rsidR="004D7697" w:rsidRPr="008C1F27" w:rsidRDefault="004D7697" w:rsidP="000D7E0A">
            <w:pPr>
              <w:jc w:val="center"/>
              <w:rPr>
                <w:lang w:val="it-IT"/>
              </w:rPr>
            </w:pPr>
          </w:p>
        </w:tc>
      </w:tr>
      <w:tr w:rsidR="004D7697" w:rsidRPr="00D477DA" w:rsidTr="000D7E0A">
        <w:trPr>
          <w:cantSplit/>
          <w:trHeight w:val="20"/>
        </w:trPr>
        <w:tc>
          <w:tcPr>
            <w:tcW w:w="679" w:type="dxa"/>
          </w:tcPr>
          <w:p w:rsidR="004D7697" w:rsidRPr="008A0F36" w:rsidRDefault="004D7697" w:rsidP="000D7E0A">
            <w:pPr>
              <w:pStyle w:val="Numeroelenco"/>
              <w:numPr>
                <w:ilvl w:val="0"/>
                <w:numId w:val="0"/>
              </w:numPr>
              <w:ind w:left="502" w:hanging="360"/>
              <w:rPr>
                <w:lang w:val="it-IT"/>
              </w:rPr>
            </w:pPr>
          </w:p>
        </w:tc>
        <w:tc>
          <w:tcPr>
            <w:tcW w:w="851" w:type="dxa"/>
            <w:tcMar>
              <w:left w:w="108" w:type="dxa"/>
              <w:right w:w="0" w:type="dxa"/>
            </w:tcMar>
          </w:tcPr>
          <w:p w:rsidR="004D7697" w:rsidRPr="008C1F27" w:rsidRDefault="004D7697" w:rsidP="000D7E0A">
            <w:pPr>
              <w:pStyle w:val="PrincCont"/>
              <w:jc w:val="left"/>
              <w:rPr>
                <w:lang w:val="it-IT"/>
              </w:rPr>
            </w:pPr>
          </w:p>
        </w:tc>
        <w:tc>
          <w:tcPr>
            <w:tcW w:w="7079" w:type="dxa"/>
            <w:tcMar>
              <w:left w:w="108" w:type="dxa"/>
            </w:tcMar>
          </w:tcPr>
          <w:p w:rsidR="004D7697" w:rsidRPr="00D477DA" w:rsidRDefault="004D7697" w:rsidP="004E27C2">
            <w:pPr>
              <w:pStyle w:val="Rientroa"/>
              <w:numPr>
                <w:ilvl w:val="0"/>
                <w:numId w:val="70"/>
              </w:numPr>
            </w:pPr>
            <w:r w:rsidRPr="00D477DA">
              <w:t xml:space="preserve">il loro </w:t>
            </w:r>
            <w:r w:rsidRPr="005318EA">
              <w:rPr>
                <w:i/>
              </w:rPr>
              <w:t>fair value</w:t>
            </w:r>
            <w:r w:rsidRPr="00D477DA">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D477DA" w:rsidTr="000D7E0A">
        <w:trPr>
          <w:cantSplit/>
          <w:trHeight w:val="20"/>
        </w:trPr>
        <w:tc>
          <w:tcPr>
            <w:tcW w:w="679" w:type="dxa"/>
          </w:tcPr>
          <w:p w:rsidR="004D7697" w:rsidRPr="008A0F36" w:rsidRDefault="004D7697" w:rsidP="000D7E0A">
            <w:pPr>
              <w:pStyle w:val="Numeroelenco"/>
              <w:numPr>
                <w:ilvl w:val="0"/>
                <w:numId w:val="0"/>
              </w:numPr>
              <w:ind w:left="502" w:hanging="360"/>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D477DA" w:rsidRDefault="004D7697" w:rsidP="004E27C2">
            <w:pPr>
              <w:pStyle w:val="Rientroa"/>
              <w:numPr>
                <w:ilvl w:val="0"/>
                <w:numId w:val="70"/>
              </w:numPr>
              <w:spacing w:line="230" w:lineRule="exact"/>
              <w:ind w:left="391" w:hanging="357"/>
            </w:pPr>
            <w:r w:rsidRPr="00D477DA">
              <w:t>informazioni sulla loro entità e sulla loro natura, compresi i termini e le condizioni significative che possono influenzare l’importo, le scadenze e la certezza dei flussi finanziari futuri;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D477DA" w:rsidTr="000D7E0A">
        <w:trPr>
          <w:cantSplit/>
          <w:trHeight w:val="20"/>
        </w:trPr>
        <w:tc>
          <w:tcPr>
            <w:tcW w:w="679" w:type="dxa"/>
          </w:tcPr>
          <w:p w:rsidR="004D7697" w:rsidRPr="008A0F36" w:rsidRDefault="004D7697" w:rsidP="000D7E0A">
            <w:pPr>
              <w:pStyle w:val="Numeroelenco"/>
              <w:numPr>
                <w:ilvl w:val="0"/>
                <w:numId w:val="0"/>
              </w:numPr>
              <w:ind w:left="502" w:hanging="360"/>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D477DA" w:rsidRDefault="004D7697" w:rsidP="004E27C2">
            <w:pPr>
              <w:pStyle w:val="Rientroa"/>
              <w:numPr>
                <w:ilvl w:val="0"/>
                <w:numId w:val="70"/>
              </w:numPr>
              <w:spacing w:line="230" w:lineRule="exact"/>
              <w:ind w:left="391" w:hanging="357"/>
            </w:pPr>
            <w:r w:rsidRPr="00D477DA">
              <w:t>gli assunti fondamentali su cui si basano i modelli e le tecniche di valutazione, qualora il fair value non sia stato determinato sulla base di evidenze di mercato;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D477DA" w:rsidTr="000D7E0A">
        <w:trPr>
          <w:cantSplit/>
          <w:trHeight w:val="20"/>
        </w:trPr>
        <w:tc>
          <w:tcPr>
            <w:tcW w:w="679" w:type="dxa"/>
          </w:tcPr>
          <w:p w:rsidR="004D7697" w:rsidRPr="008A0F36" w:rsidRDefault="004D7697" w:rsidP="000D7E0A">
            <w:pPr>
              <w:pStyle w:val="Numeroelenco"/>
              <w:numPr>
                <w:ilvl w:val="0"/>
                <w:numId w:val="0"/>
              </w:numPr>
              <w:ind w:left="502" w:hanging="360"/>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D477DA" w:rsidRDefault="004D7697" w:rsidP="004E27C2">
            <w:pPr>
              <w:pStyle w:val="Rientroa"/>
              <w:numPr>
                <w:ilvl w:val="0"/>
                <w:numId w:val="70"/>
              </w:numPr>
              <w:spacing w:line="230" w:lineRule="exact"/>
              <w:ind w:left="391" w:hanging="357"/>
            </w:pPr>
            <w:r w:rsidRPr="00D477DA">
              <w:t>le variazioni di valore iscritte direttamente nel conto economico, nonché quelle imputate alle riserve di patrimonio netto;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D477DA" w:rsidTr="000D7E0A">
        <w:trPr>
          <w:cantSplit/>
          <w:trHeight w:val="20"/>
        </w:trPr>
        <w:tc>
          <w:tcPr>
            <w:tcW w:w="679" w:type="dxa"/>
          </w:tcPr>
          <w:p w:rsidR="004D7697" w:rsidRPr="008A0F36" w:rsidRDefault="004D7697" w:rsidP="000D7E0A">
            <w:pPr>
              <w:pStyle w:val="Numeroelenco"/>
              <w:numPr>
                <w:ilvl w:val="0"/>
                <w:numId w:val="0"/>
              </w:numPr>
              <w:ind w:left="502" w:hanging="360"/>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D477DA" w:rsidRDefault="004D7697" w:rsidP="004E27C2">
            <w:pPr>
              <w:pStyle w:val="Rientroa"/>
              <w:numPr>
                <w:ilvl w:val="0"/>
                <w:numId w:val="70"/>
              </w:numPr>
              <w:spacing w:line="230" w:lineRule="exact"/>
              <w:ind w:left="391" w:hanging="357"/>
            </w:pPr>
            <w:r w:rsidRPr="00D477DA">
              <w:t>una tabella che indichi i movimenti delle riserve di fair value avvenuti nell’esercizio</w:t>
            </w:r>
            <w: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D477DA" w:rsidTr="000D7E0A">
        <w:trPr>
          <w:cantSplit/>
          <w:trHeight w:val="20"/>
        </w:trPr>
        <w:tc>
          <w:tcPr>
            <w:tcW w:w="679" w:type="dxa"/>
          </w:tcPr>
          <w:p w:rsidR="004D7697" w:rsidRPr="00D477DA" w:rsidRDefault="004D7697" w:rsidP="000D7E0A">
            <w:pPr>
              <w:pStyle w:val="Numeroelenco"/>
              <w:ind w:left="0" w:firstLine="57"/>
              <w:rPr>
                <w:lang w:val="it-IT"/>
              </w:rPr>
            </w:pPr>
          </w:p>
        </w:tc>
        <w:tc>
          <w:tcPr>
            <w:tcW w:w="851" w:type="dxa"/>
            <w:tcMar>
              <w:left w:w="108" w:type="dxa"/>
              <w:right w:w="0" w:type="dxa"/>
            </w:tcMar>
          </w:tcPr>
          <w:p w:rsidR="004D7697" w:rsidRPr="00D477DA" w:rsidRDefault="004D7697" w:rsidP="000D7E0A">
            <w:pPr>
              <w:pStyle w:val="PrincCont"/>
              <w:jc w:val="left"/>
            </w:pPr>
            <w:r w:rsidRPr="00D477DA">
              <w:t>Art. 2427-bis, c</w:t>
            </w:r>
            <w:r>
              <w:t>.</w:t>
            </w:r>
            <w:r w:rsidRPr="00D477DA">
              <w:t>1, CC</w:t>
            </w:r>
            <w:r>
              <w:t xml:space="preserve">       OIC 32.121</w:t>
            </w:r>
          </w:p>
        </w:tc>
        <w:tc>
          <w:tcPr>
            <w:tcW w:w="7079" w:type="dxa"/>
            <w:tcMar>
              <w:left w:w="108" w:type="dxa"/>
            </w:tcMar>
          </w:tcPr>
          <w:p w:rsidR="004D7697" w:rsidRPr="00D477DA" w:rsidRDefault="004D7697" w:rsidP="000D7E0A">
            <w:pPr>
              <w:spacing w:after="0" w:line="230" w:lineRule="exact"/>
              <w:rPr>
                <w:lang w:val="it-IT"/>
              </w:rPr>
            </w:pPr>
            <w:r w:rsidRPr="00D477DA">
              <w:rPr>
                <w:lang w:val="it-IT"/>
              </w:rPr>
              <w:t xml:space="preserve">La società determina le categorie di strumenti finanziari derivati al fine di garantire la migliore informativa possibile, per il lettore del bilancio, tenendo in considerazione la natura, le caratteristiche e i rischi degli strumenti finanziari derivati? </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32.121</w:t>
            </w:r>
          </w:p>
        </w:tc>
        <w:tc>
          <w:tcPr>
            <w:tcW w:w="7079" w:type="dxa"/>
            <w:tcMar>
              <w:left w:w="108" w:type="dxa"/>
            </w:tcMar>
          </w:tcPr>
          <w:p w:rsidR="004D7697" w:rsidRPr="00D477DA" w:rsidRDefault="004D7697" w:rsidP="000D7E0A">
            <w:pPr>
              <w:pStyle w:val="Commentiriquadro"/>
              <w:rPr>
                <w:i/>
                <w:iCs/>
              </w:rPr>
            </w:pPr>
            <w:r w:rsidRPr="00D477DA">
              <w:t>Per esempio la società potrebbe raggruppare gli strumenti finanziari a seconda che siano strumenti non di copertura o strumenti di copertura a seconda del rischio coperto (paragrafo 53 dell’OIC 32) per tipologia di strumento finanziario (</w:t>
            </w:r>
            <w:r w:rsidRPr="00D477DA">
              <w:rPr>
                <w:i/>
                <w:iCs/>
              </w:rPr>
              <w:t>future, swap</w:t>
            </w:r>
            <w:r w:rsidRPr="00D477DA">
              <w:t xml:space="preserve">, opzioni). Gli strumenti di copertura possono essere ulteriormente raggruppati a seconda che l’oggetto della copertura sia il </w:t>
            </w:r>
            <w:r w:rsidRPr="00D477DA">
              <w:rPr>
                <w:i/>
                <w:iCs/>
              </w:rPr>
              <w:t xml:space="preserve">fair value </w:t>
            </w:r>
            <w:r w:rsidRPr="00D477DA">
              <w:t>o i flussi finanziari.</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CC242B"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Default="004D7697" w:rsidP="000D7E0A">
            <w:pPr>
              <w:pStyle w:val="PrincCont"/>
              <w:jc w:val="left"/>
            </w:pPr>
            <w:r>
              <w:t>OIC 32.123</w:t>
            </w:r>
          </w:p>
        </w:tc>
        <w:tc>
          <w:tcPr>
            <w:tcW w:w="7079" w:type="dxa"/>
            <w:tcMar>
              <w:left w:w="108" w:type="dxa"/>
            </w:tcMar>
          </w:tcPr>
          <w:p w:rsidR="004D7697" w:rsidRPr="001D3E3A" w:rsidRDefault="004D7697" w:rsidP="000D7E0A">
            <w:pPr>
              <w:pStyle w:val="Commentiriquadro"/>
            </w:pPr>
            <w:r w:rsidRPr="001D3E3A">
              <w:t xml:space="preserve">Le informazioni di cui al punto 122 a) </w:t>
            </w:r>
            <w:r>
              <w:t xml:space="preserve">dell’OIC 32 (si veda punto 71 a)) </w:t>
            </w:r>
            <w:r w:rsidRPr="001D3E3A">
              <w:t>sono quantitative. Le informazioni quantitative sono riferite all’esercizio in chiusura e sono confrontate con quelle dell’</w:t>
            </w:r>
            <w:r>
              <w:t>esercizio precedente.</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D477DA" w:rsidTr="000D7E0A">
        <w:trPr>
          <w:cantSplit/>
          <w:trHeight w:val="20"/>
        </w:trPr>
        <w:tc>
          <w:tcPr>
            <w:tcW w:w="679" w:type="dxa"/>
          </w:tcPr>
          <w:p w:rsidR="004D7697" w:rsidRPr="00D477DA" w:rsidRDefault="004D7697" w:rsidP="000D7E0A">
            <w:pPr>
              <w:pStyle w:val="Numeroelenco"/>
              <w:ind w:left="0" w:firstLine="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32.124</w:t>
            </w:r>
          </w:p>
        </w:tc>
        <w:tc>
          <w:tcPr>
            <w:tcW w:w="7079" w:type="dxa"/>
            <w:tcMar>
              <w:left w:w="108" w:type="dxa"/>
            </w:tcMar>
          </w:tcPr>
          <w:p w:rsidR="004D7697" w:rsidRPr="001D3E3A" w:rsidRDefault="004D7697" w:rsidP="000D7E0A">
            <w:pPr>
              <w:spacing w:after="0" w:line="230" w:lineRule="exact"/>
              <w:rPr>
                <w:lang w:val="it-IT"/>
              </w:rPr>
            </w:pPr>
            <w:r w:rsidRPr="001D3E3A">
              <w:rPr>
                <w:lang w:val="it-IT"/>
              </w:rPr>
              <w:t>Con riferimento alle informazioni di cui al punto 122 b) dell’OIC 32 (si veda punto 71b) la società descrive eventuali termini e condizioni contrattuali che possano influenzare l’importo, le scadenze e la certezza dei flussi finanziari futuri?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32.125</w:t>
            </w:r>
          </w:p>
        </w:tc>
        <w:tc>
          <w:tcPr>
            <w:tcW w:w="7079" w:type="dxa"/>
            <w:tcMar>
              <w:left w:w="108" w:type="dxa"/>
            </w:tcMar>
          </w:tcPr>
          <w:p w:rsidR="004D7697" w:rsidRPr="0027446E" w:rsidRDefault="004D7697" w:rsidP="000D7E0A">
            <w:pPr>
              <w:pStyle w:val="Commentiriquadro"/>
            </w:pPr>
            <w:r w:rsidRPr="0027446E">
              <w:t>Le informazioni di cui al punto 122 c) dell’OIC 32 (si veda punto 71 c))</w:t>
            </w:r>
            <w:r>
              <w:t xml:space="preserve"> </w:t>
            </w:r>
            <w:r w:rsidRPr="0027446E">
              <w:t xml:space="preserve">dovrebbero includere l’informativa di quale o quali metodo/i e di quali parametri sono stati utilizzati per la determinazione del </w:t>
            </w:r>
            <w:r w:rsidRPr="0027446E">
              <w:rPr>
                <w:i/>
                <w:iCs/>
              </w:rPr>
              <w:t>fair value</w:t>
            </w:r>
            <w:r w:rsidRPr="0027446E">
              <w:t>. Inoltre se la società apporta eventuali modifiche ai sensi del paragrafo B.28 dell’Appendice B</w:t>
            </w:r>
            <w:r>
              <w:t xml:space="preserve"> dell’OIC 32</w:t>
            </w:r>
            <w:r w:rsidRPr="0027446E">
              <w:t xml:space="preserve"> rispetto all’esercizio precedente</w:t>
            </w:r>
            <w:r>
              <w:t xml:space="preserve"> ne dà informativa in bilancio.</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CC242B"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32.126</w:t>
            </w:r>
          </w:p>
        </w:tc>
        <w:tc>
          <w:tcPr>
            <w:tcW w:w="7079" w:type="dxa"/>
            <w:tcMar>
              <w:left w:w="108" w:type="dxa"/>
            </w:tcMar>
          </w:tcPr>
          <w:p w:rsidR="004D7697" w:rsidRPr="0027446E" w:rsidRDefault="004D7697" w:rsidP="000D7E0A">
            <w:pPr>
              <w:pStyle w:val="Commentiriquadro"/>
            </w:pPr>
            <w:r w:rsidRPr="0027446E">
              <w:t>Le informazioni di cui al punto 122 d)</w:t>
            </w:r>
            <w:r>
              <w:t xml:space="preserve"> </w:t>
            </w:r>
            <w:r w:rsidRPr="0027446E">
              <w:t xml:space="preserve">dell’OIC 32 (si veda punto 71 d)) si riferiscono agli effetti economici e patrimoniali derivanti dall’applicazione del presente principio e possono essere date in forma descrittiva a commento delle singole voci di conto </w:t>
            </w:r>
            <w:r>
              <w:t>economico o stato patrimoniale.</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CC242B"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32.127</w:t>
            </w:r>
          </w:p>
        </w:tc>
        <w:tc>
          <w:tcPr>
            <w:tcW w:w="7079" w:type="dxa"/>
            <w:tcMar>
              <w:left w:w="108" w:type="dxa"/>
            </w:tcMar>
          </w:tcPr>
          <w:p w:rsidR="004D7697" w:rsidRPr="0027446E" w:rsidRDefault="004D7697" w:rsidP="000D7E0A">
            <w:pPr>
              <w:pStyle w:val="Commentiriquadro"/>
            </w:pPr>
            <w:r w:rsidRPr="0027446E">
              <w:t>Le informazioni di cui al punto 122 e) dell’OIC 32 (si veda punto 71 e)) possono essere esposte secondo il modello proposto nell’OIC 28 “Patrimonio netto”</w:t>
            </w:r>
            <w:r>
              <w:t>.</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CC242B"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32.128</w:t>
            </w:r>
          </w:p>
        </w:tc>
        <w:tc>
          <w:tcPr>
            <w:tcW w:w="7079" w:type="dxa"/>
            <w:tcMar>
              <w:left w:w="108" w:type="dxa"/>
            </w:tcMar>
          </w:tcPr>
          <w:p w:rsidR="004D7697" w:rsidRPr="001A7B7F" w:rsidRDefault="004D7697" w:rsidP="000D7E0A">
            <w:pPr>
              <w:pStyle w:val="Commentiriquadro"/>
            </w:pPr>
            <w:r w:rsidRPr="001A7B7F">
              <w:t>L’articolo 2423, comma 4, codice civile prevede che “</w:t>
            </w:r>
            <w:r w:rsidRPr="001A7B7F">
              <w:rPr>
                <w:i/>
              </w:rPr>
              <w:t>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nota integrativa i criteri con i quali hanno dato attuazione alla presente disposizione</w:t>
            </w:r>
            <w:r w:rsidRPr="001A7B7F">
              <w:t>.”</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CC242B" w:rsidTr="000D7E0A">
        <w:trPr>
          <w:cantSplit/>
          <w:trHeight w:val="20"/>
        </w:trPr>
        <w:tc>
          <w:tcPr>
            <w:tcW w:w="679" w:type="dxa"/>
          </w:tcPr>
          <w:p w:rsidR="004D7697" w:rsidRPr="00D477DA" w:rsidRDefault="004D7697" w:rsidP="000D7E0A">
            <w:pPr>
              <w:pStyle w:val="Numeroelenco"/>
              <w:ind w:left="0" w:firstLine="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32.129</w:t>
            </w:r>
          </w:p>
        </w:tc>
        <w:tc>
          <w:tcPr>
            <w:tcW w:w="7079" w:type="dxa"/>
            <w:tcMar>
              <w:left w:w="108" w:type="dxa"/>
            </w:tcMar>
          </w:tcPr>
          <w:p w:rsidR="004D7697" w:rsidRPr="0070753C" w:rsidRDefault="004D7697" w:rsidP="000D7E0A">
            <w:pPr>
              <w:spacing w:line="230" w:lineRule="exact"/>
              <w:rPr>
                <w:lang w:val="it-IT"/>
              </w:rPr>
            </w:pPr>
            <w:r>
              <w:rPr>
                <w:lang w:val="it-IT"/>
              </w:rPr>
              <w:t>La società ha dato</w:t>
            </w:r>
            <w:r w:rsidRPr="0070753C">
              <w:rPr>
                <w:lang w:val="it-IT"/>
              </w:rPr>
              <w:t xml:space="preserve"> inoltre in </w:t>
            </w:r>
            <w:r w:rsidR="00104BFF">
              <w:rPr>
                <w:lang w:val="it-IT"/>
              </w:rPr>
              <w:t>Nota Integrativa</w:t>
            </w:r>
            <w:r w:rsidRPr="0070753C">
              <w:rPr>
                <w:lang w:val="it-IT"/>
              </w:rPr>
              <w:t xml:space="preserve"> le seguenti informazioni:</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D477DA"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70753C" w:rsidRDefault="004D7697" w:rsidP="004E27C2">
            <w:pPr>
              <w:pStyle w:val="Rientroa"/>
              <w:numPr>
                <w:ilvl w:val="0"/>
                <w:numId w:val="71"/>
              </w:numPr>
              <w:spacing w:line="230" w:lineRule="exact"/>
              <w:ind w:left="391" w:hanging="357"/>
            </w:pPr>
            <w:r w:rsidRPr="0070753C">
              <w:t xml:space="preserve">la componente di fair value inclusa nelle attività e passività oggetto di copertura di </w:t>
            </w:r>
            <w:r w:rsidRPr="0070753C">
              <w:rPr>
                <w:i/>
              </w:rPr>
              <w:t>fair value</w:t>
            </w:r>
            <w:r w:rsidRPr="0070753C">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D477DA"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70753C" w:rsidRDefault="004D7697" w:rsidP="004E27C2">
            <w:pPr>
              <w:pStyle w:val="Rientroa"/>
              <w:numPr>
                <w:ilvl w:val="0"/>
                <w:numId w:val="71"/>
              </w:numPr>
              <w:spacing w:line="230" w:lineRule="exact"/>
              <w:ind w:left="391" w:hanging="357"/>
            </w:pPr>
            <w:r w:rsidRPr="0070753C">
              <w:t>le informazioni richieste dal paragrafo B.13 dell’Appendice B</w:t>
            </w:r>
            <w:r>
              <w:t xml:space="preserve"> dell’OIC 32</w:t>
            </w:r>
            <w:r w:rsidRPr="0070753C">
              <w:t xml:space="preserve"> in merito all’indeterminabilità del </w:t>
            </w:r>
            <w:r w:rsidRPr="0070753C">
              <w:rPr>
                <w:i/>
              </w:rPr>
              <w:t>fair value</w:t>
            </w:r>
            <w:r w:rsidRPr="0070753C">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D477DA"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70753C" w:rsidRDefault="004D7697" w:rsidP="004E27C2">
            <w:pPr>
              <w:pStyle w:val="Rientroa"/>
              <w:numPr>
                <w:ilvl w:val="0"/>
                <w:numId w:val="71"/>
              </w:numPr>
              <w:spacing w:line="230" w:lineRule="exact"/>
              <w:ind w:left="391" w:hanging="357"/>
            </w:pPr>
            <w:r w:rsidRPr="0070753C">
              <w:t>la descrizione del venir meno del requisito “altamente probabile” per un’operazione programmata oggetto di copertura di flussi finanziari;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D477DA"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70753C" w:rsidRDefault="004D7697" w:rsidP="004E27C2">
            <w:pPr>
              <w:pStyle w:val="Rientroa"/>
              <w:numPr>
                <w:ilvl w:val="0"/>
                <w:numId w:val="71"/>
              </w:numPr>
              <w:spacing w:line="230" w:lineRule="exact"/>
              <w:ind w:left="391" w:hanging="357"/>
            </w:pPr>
            <w:r>
              <w:t>l</w:t>
            </w:r>
            <w:r w:rsidRPr="0070753C">
              <w:t>a compente inefficace riconosciuta a conto economico nel caso di copertura dei flussi finanziari;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D477DA"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70753C" w:rsidRDefault="004D7697" w:rsidP="004E27C2">
            <w:pPr>
              <w:pStyle w:val="Rientroa"/>
              <w:numPr>
                <w:ilvl w:val="0"/>
                <w:numId w:val="71"/>
              </w:numPr>
              <w:spacing w:line="230" w:lineRule="exact"/>
              <w:ind w:left="391" w:hanging="357"/>
            </w:pPr>
            <w:r w:rsidRPr="0070753C">
              <w:t>eventuali cause di cessazione della relazione di copertura</w:t>
            </w:r>
            <w:r>
              <w:t xml:space="preserve"> e i relativi effetti contabili?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vAlign w:val="center"/>
          </w:tcPr>
          <w:p w:rsidR="004D7697" w:rsidRPr="00D477DA" w:rsidRDefault="004D7697" w:rsidP="000D7E0A">
            <w:pPr>
              <w:jc w:val="left"/>
              <w:rPr>
                <w:lang w:val="it-IT"/>
              </w:rPr>
            </w:pPr>
            <w:r>
              <w:rPr>
                <w:b/>
                <w:sz w:val="22"/>
                <w:szCs w:val="22"/>
                <w:lang w:val="it-IT"/>
              </w:rPr>
              <w:t>Società che redigono il bilancio in forma abbreviata</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CC242B"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32.130</w:t>
            </w:r>
          </w:p>
        </w:tc>
        <w:tc>
          <w:tcPr>
            <w:tcW w:w="7079" w:type="dxa"/>
            <w:tcMar>
              <w:left w:w="108" w:type="dxa"/>
            </w:tcMar>
          </w:tcPr>
          <w:p w:rsidR="004D7697" w:rsidRPr="00E7259B" w:rsidRDefault="004D7697" w:rsidP="000D7E0A">
            <w:pPr>
              <w:pStyle w:val="Commentiriquadro"/>
            </w:pPr>
            <w:r w:rsidRPr="00E7259B">
              <w:t>Le società che redigono il bilancio in forma abbreviata sono tenute ad applicare la disciplina prevista dall’articolo 2426, comma 1, numero 11-</w:t>
            </w:r>
            <w:r w:rsidRPr="00E7259B">
              <w:rPr>
                <w:i/>
                <w:iCs/>
              </w:rPr>
              <w:t xml:space="preserve">bis, </w:t>
            </w:r>
            <w:r w:rsidRPr="00E7259B">
              <w:t>codice civile e pertanto applicano l’OIC 32</w:t>
            </w:r>
            <w:r>
              <w:t>.</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CC242B"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rsidRPr="00E7259B">
              <w:t>Art. 2435-bis, CC</w:t>
            </w:r>
            <w:r>
              <w:t xml:space="preserve">             OIC 32.131</w:t>
            </w:r>
          </w:p>
        </w:tc>
        <w:tc>
          <w:tcPr>
            <w:tcW w:w="7079" w:type="dxa"/>
            <w:tcMar>
              <w:left w:w="108" w:type="dxa"/>
            </w:tcMar>
          </w:tcPr>
          <w:p w:rsidR="004D7697" w:rsidRPr="00E7259B" w:rsidRDefault="004D7697" w:rsidP="000D7E0A">
            <w:pPr>
              <w:pStyle w:val="Commentiriquadro"/>
            </w:pPr>
            <w:r w:rsidRPr="00E7259B">
              <w:t>Nel bilancio in forma abbreviata, “</w:t>
            </w:r>
            <w:r w:rsidRPr="00E7259B">
              <w:rPr>
                <w:i/>
              </w:rPr>
              <w:t>lo stato patrimoniale comprende solo le voci contrassegnate nell’art. 2424 con lettere maiuscole e con numeri romani</w:t>
            </w:r>
            <w:r w:rsidRPr="00E7259B">
              <w:t xml:space="preserve">”. </w:t>
            </w:r>
          </w:p>
          <w:p w:rsidR="004D7697" w:rsidRPr="00E7259B" w:rsidRDefault="004D7697" w:rsidP="000D7E0A">
            <w:pPr>
              <w:pStyle w:val="Commentiriquadro"/>
            </w:pPr>
            <w:r w:rsidRPr="00E7259B">
              <w:t>Inoltre, nel conto economico del bilancio in forma abbreviata le seguenti voci previste dall’art. 2425 possono essere tra loro raggruppate: voci C16(b) e C16(c); voci D18(a), D18(b), D18(c) e D18(d); voci D19(a), D19(b), D19(c) e D19(d).</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CC242B"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151AD" w:rsidRDefault="004D7697" w:rsidP="000D7E0A">
            <w:pPr>
              <w:pStyle w:val="PrincCont"/>
              <w:jc w:val="left"/>
            </w:pPr>
            <w:r w:rsidRPr="00D151AD">
              <w:t>Art. 2435-bis, CC</w:t>
            </w:r>
            <w:r>
              <w:t xml:space="preserve">             OIC 32.132</w:t>
            </w:r>
          </w:p>
        </w:tc>
        <w:tc>
          <w:tcPr>
            <w:tcW w:w="7079" w:type="dxa"/>
            <w:tcMar>
              <w:left w:w="108" w:type="dxa"/>
            </w:tcMar>
          </w:tcPr>
          <w:p w:rsidR="004D7697" w:rsidRPr="00E7259B" w:rsidRDefault="004D7697" w:rsidP="000D7E0A">
            <w:pPr>
              <w:pStyle w:val="Commentiriquadro"/>
            </w:pPr>
            <w:r w:rsidRPr="00D151AD">
              <w:t xml:space="preserve">La </w:t>
            </w:r>
            <w:r w:rsidR="00104BFF">
              <w:t>Nota Integrativa</w:t>
            </w:r>
            <w:r w:rsidRPr="00D151AD">
              <w:t xml:space="preserve"> deve fornire le informazioni richieste dagli articoli 2427, comma 1, n. 1 e n. 2 e 2427-</w:t>
            </w:r>
            <w:r w:rsidRPr="00D151AD">
              <w:rPr>
                <w:i/>
                <w:iCs/>
              </w:rPr>
              <w:t xml:space="preserve">bis, </w:t>
            </w:r>
            <w:r w:rsidRPr="00D151AD">
              <w:t>comma 1, n. 1 del codice civile e pertanto si devono applicare i paragrafi dal 119 al 128 dell’OIC 32.</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D477DA"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vAlign w:val="center"/>
          </w:tcPr>
          <w:p w:rsidR="004D7697" w:rsidRPr="00C128C6" w:rsidRDefault="004D7697" w:rsidP="000D7E0A">
            <w:pPr>
              <w:jc w:val="left"/>
              <w:rPr>
                <w:b/>
                <w:sz w:val="22"/>
                <w:szCs w:val="22"/>
                <w:lang w:val="it-IT"/>
              </w:rPr>
            </w:pPr>
            <w:r w:rsidRPr="00C128C6">
              <w:rPr>
                <w:b/>
                <w:sz w:val="22"/>
                <w:szCs w:val="22"/>
                <w:lang w:val="it-IT"/>
              </w:rPr>
              <w:t>Disposizioni di prima applicazione</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D477DA" w:rsidTr="000D7E0A">
        <w:trPr>
          <w:cantSplit/>
          <w:trHeight w:val="20"/>
        </w:trPr>
        <w:tc>
          <w:tcPr>
            <w:tcW w:w="679" w:type="dxa"/>
          </w:tcPr>
          <w:p w:rsidR="004D7697" w:rsidRPr="00D477DA" w:rsidRDefault="004D7697" w:rsidP="000D7E0A">
            <w:pPr>
              <w:pStyle w:val="Numeroelenco"/>
              <w:ind w:left="0" w:firstLine="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32.138</w:t>
            </w:r>
          </w:p>
        </w:tc>
        <w:tc>
          <w:tcPr>
            <w:tcW w:w="7079" w:type="dxa"/>
            <w:tcMar>
              <w:left w:w="108" w:type="dxa"/>
            </w:tcMar>
          </w:tcPr>
          <w:p w:rsidR="004D7697" w:rsidRPr="00C128C6" w:rsidRDefault="004D7697" w:rsidP="000D7E0A">
            <w:pPr>
              <w:spacing w:after="0" w:line="230" w:lineRule="exact"/>
              <w:rPr>
                <w:lang w:val="it-IT"/>
              </w:rPr>
            </w:pPr>
            <w:r w:rsidRPr="00C128C6">
              <w:rPr>
                <w:lang w:val="it-IT"/>
              </w:rPr>
              <w:t>Ad eccezione di quanto previsto ai paragrafi successivi la società ha applicato l’OIC 32 retrospetticamente, ai sensi dell’OIC 29?</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D477DA"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t>OIC 32.139</w:t>
            </w:r>
          </w:p>
        </w:tc>
        <w:tc>
          <w:tcPr>
            <w:tcW w:w="7079" w:type="dxa"/>
            <w:tcMar>
              <w:left w:w="108" w:type="dxa"/>
            </w:tcMar>
          </w:tcPr>
          <w:p w:rsidR="004D7697" w:rsidRPr="00345FDB" w:rsidRDefault="004D7697" w:rsidP="000D7E0A">
            <w:pPr>
              <w:spacing w:after="0" w:line="240" w:lineRule="auto"/>
              <w:rPr>
                <w:lang w:val="it-IT"/>
              </w:rPr>
            </w:pPr>
            <w:r w:rsidRPr="00345FDB">
              <w:rPr>
                <w:lang w:val="it-IT"/>
              </w:rPr>
              <w:t xml:space="preserve">Per le operazioni di copertura preesistenti all’applicazione del presente principio contabile è possibile procedere alla designazione della copertura contabile alla data di inizio del bilancio dell’esercizio di prima applicazione del presente principio. </w:t>
            </w:r>
          </w:p>
          <w:p w:rsidR="004D7697" w:rsidRPr="00C128C6" w:rsidRDefault="004D7697" w:rsidP="000D7E0A">
            <w:pPr>
              <w:spacing w:after="0" w:line="230" w:lineRule="exact"/>
              <w:rPr>
                <w:lang w:val="it-IT"/>
              </w:rPr>
            </w:pPr>
            <w:r w:rsidRPr="00B061FD">
              <w:rPr>
                <w:lang w:val="it-IT"/>
              </w:rPr>
              <w:t>Nel caso la società abbia seguito tale impostazione sono state effettuate le seguenti attività:</w:t>
            </w:r>
          </w:p>
        </w:tc>
        <w:tc>
          <w:tcPr>
            <w:tcW w:w="575" w:type="dxa"/>
            <w:tcMar>
              <w:left w:w="85" w:type="dxa"/>
              <w:right w:w="85" w:type="dxa"/>
            </w:tcMar>
            <w:vAlign w:val="center"/>
          </w:tcPr>
          <w:p w:rsidR="004D7697" w:rsidRPr="00B061FD" w:rsidRDefault="004D7697" w:rsidP="000D7E0A">
            <w:pPr>
              <w:jc w:val="center"/>
              <w:rPr>
                <w:lang w:val="it-IT"/>
              </w:rPr>
            </w:pPr>
          </w:p>
        </w:tc>
        <w:tc>
          <w:tcPr>
            <w:tcW w:w="567" w:type="dxa"/>
            <w:tcMar>
              <w:left w:w="108" w:type="dxa"/>
            </w:tcMar>
            <w:vAlign w:val="center"/>
          </w:tcPr>
          <w:p w:rsidR="004D7697" w:rsidRPr="00B061FD" w:rsidRDefault="004D7697" w:rsidP="000D7E0A">
            <w:pPr>
              <w:jc w:val="center"/>
              <w:rPr>
                <w:lang w:val="it-IT"/>
              </w:rPr>
            </w:pPr>
          </w:p>
        </w:tc>
        <w:tc>
          <w:tcPr>
            <w:tcW w:w="567" w:type="dxa"/>
            <w:tcMar>
              <w:left w:w="108" w:type="dxa"/>
            </w:tcMar>
            <w:vAlign w:val="center"/>
          </w:tcPr>
          <w:p w:rsidR="004D7697" w:rsidRPr="00B061FD" w:rsidRDefault="004D7697" w:rsidP="000D7E0A">
            <w:pPr>
              <w:jc w:val="center"/>
              <w:rPr>
                <w:lang w:val="it-IT"/>
              </w:rPr>
            </w:pPr>
          </w:p>
        </w:tc>
      </w:tr>
      <w:tr w:rsidR="004D7697" w:rsidRPr="00D477DA"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345FDB" w:rsidRDefault="004D7697" w:rsidP="004E27C2">
            <w:pPr>
              <w:pStyle w:val="Rientroa"/>
              <w:numPr>
                <w:ilvl w:val="0"/>
                <w:numId w:val="72"/>
              </w:numPr>
              <w:spacing w:line="230" w:lineRule="exact"/>
              <w:ind w:left="391" w:hanging="357"/>
            </w:pPr>
            <w:r w:rsidRPr="00345FDB">
              <w:t>la verifica a tale data dei criteri di ammissibilità ai sensi del paragrafo 71 oppure 102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D477DA"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345FDB" w:rsidRDefault="004D7697" w:rsidP="004E27C2">
            <w:pPr>
              <w:pStyle w:val="Rientroa"/>
              <w:numPr>
                <w:ilvl w:val="0"/>
                <w:numId w:val="72"/>
              </w:numPr>
              <w:spacing w:line="230" w:lineRule="exact"/>
              <w:ind w:left="391" w:hanging="357"/>
            </w:pPr>
            <w:r w:rsidRPr="00345FDB">
              <w:t xml:space="preserve">in caso di copertura del </w:t>
            </w:r>
            <w:r w:rsidRPr="00345FDB">
              <w:rPr>
                <w:i/>
              </w:rPr>
              <w:t>fair value</w:t>
            </w:r>
            <w:r w:rsidRPr="00345FDB">
              <w:t xml:space="preserve">, la valutazione del </w:t>
            </w:r>
            <w:r w:rsidRPr="00345FDB">
              <w:rPr>
                <w:i/>
              </w:rPr>
              <w:t>fair value</w:t>
            </w:r>
            <w:r w:rsidRPr="00345FDB">
              <w:t xml:space="preserve"> sia dell’elemento coperto, in accordo alle disposizioni del paragrafo 76 dell’OIC 32, sia dello strumento di copertura, fatta alla data di inizio del bilancio dell’esercizio di prima applicazione del presente principio, è interamente imputata agli utili o perdite di esercizi precedenti;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D477DA"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345FDB" w:rsidRDefault="004D7697" w:rsidP="004E27C2">
            <w:pPr>
              <w:pStyle w:val="Rientroa"/>
              <w:numPr>
                <w:ilvl w:val="0"/>
                <w:numId w:val="72"/>
              </w:numPr>
              <w:spacing w:line="230" w:lineRule="exact"/>
              <w:ind w:left="391" w:hanging="357"/>
            </w:pPr>
            <w:r w:rsidRPr="00345FDB">
              <w:t>in caso di coperture dei flussi finanziari, il calcolo dell’eventuale inefficacia della copertura come previsto al paragrafo 86 dell’OIC 32, fatto alla data di inizio del bilancio dell’esercizio di prima applicazione del presente principio comporta che la componente di inefficacia, se esistente, sia imputata agli utili o perdite di esercizi precedenti, mentre la componente efficace sia imputata alla voce A) VII “</w:t>
            </w:r>
            <w:r w:rsidRPr="00345FDB">
              <w:rPr>
                <w:i/>
              </w:rPr>
              <w:t>Riserva per operazioni di copertura dei flussi finanziari attesi</w:t>
            </w:r>
            <w:r w:rsidRPr="00345FDB">
              <w:t>”</w:t>
            </w:r>
            <w: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32.139</w:t>
            </w:r>
          </w:p>
        </w:tc>
        <w:tc>
          <w:tcPr>
            <w:tcW w:w="7079" w:type="dxa"/>
            <w:tcMar>
              <w:left w:w="108" w:type="dxa"/>
            </w:tcMar>
          </w:tcPr>
          <w:p w:rsidR="004D7697" w:rsidRPr="00345FDB" w:rsidRDefault="004D7697" w:rsidP="000D7E0A">
            <w:pPr>
              <w:pStyle w:val="Commentiriquadro"/>
            </w:pPr>
            <w:r w:rsidRPr="00345FDB">
              <w:t>Ciò consente di rilevare nel conto economico dell’esercizio di prima adozione solo gli effetti della copertura di competenza.</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D477DA" w:rsidTr="000D7E0A">
        <w:trPr>
          <w:cantSplit/>
          <w:trHeight w:val="20"/>
        </w:trPr>
        <w:tc>
          <w:tcPr>
            <w:tcW w:w="679" w:type="dxa"/>
          </w:tcPr>
          <w:p w:rsidR="004D7697" w:rsidRPr="00D477DA" w:rsidRDefault="004D7697" w:rsidP="000D7E0A">
            <w:pPr>
              <w:pStyle w:val="Numeroelenco"/>
              <w:ind w:left="0" w:firstLine="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32.139</w:t>
            </w:r>
          </w:p>
        </w:tc>
        <w:tc>
          <w:tcPr>
            <w:tcW w:w="7079" w:type="dxa"/>
            <w:tcMar>
              <w:left w:w="108" w:type="dxa"/>
            </w:tcMar>
          </w:tcPr>
          <w:p w:rsidR="004D7697" w:rsidRPr="00345FDB" w:rsidRDefault="004D7697" w:rsidP="000D7E0A">
            <w:pPr>
              <w:spacing w:after="0" w:line="230" w:lineRule="exact"/>
              <w:rPr>
                <w:lang w:val="it-IT"/>
              </w:rPr>
            </w:pPr>
            <w:r>
              <w:rPr>
                <w:lang w:val="it-IT"/>
              </w:rPr>
              <w:t>L’opzione di cui al precedente punto è stata</w:t>
            </w:r>
            <w:r w:rsidRPr="00345FDB">
              <w:rPr>
                <w:lang w:val="it-IT"/>
              </w:rPr>
              <w:t xml:space="preserve"> adottata per tutte le operazioni designate di copertura nell’esercizio di prima applicazione de</w:t>
            </w:r>
            <w:r>
              <w:rPr>
                <w:lang w:val="it-IT"/>
              </w:rPr>
              <w:t>l presente principio contabile?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CA1681">
              <w:fldChar w:fldCharType="separate"/>
            </w:r>
            <w:r w:rsidRPr="007477DE">
              <w:fldChar w:fldCharType="end"/>
            </w:r>
          </w:p>
        </w:tc>
      </w:tr>
      <w:tr w:rsidR="004D7697" w:rsidRPr="00CC242B"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32.140</w:t>
            </w:r>
          </w:p>
        </w:tc>
        <w:tc>
          <w:tcPr>
            <w:tcW w:w="7079" w:type="dxa"/>
            <w:tcMar>
              <w:left w:w="108" w:type="dxa"/>
            </w:tcMar>
          </w:tcPr>
          <w:p w:rsidR="004D7697" w:rsidRPr="00A10D97" w:rsidRDefault="004D7697" w:rsidP="000D7E0A">
            <w:pPr>
              <w:pStyle w:val="Commentiriquadro"/>
            </w:pPr>
            <w:r w:rsidRPr="00A10D97">
              <w:t>Nei casi in cui, dopo aver fatto ogni ragionevole sforzo, non è fattibile procedere alla verifica richiesta al paragrafo 139 a)</w:t>
            </w:r>
            <w:r>
              <w:t xml:space="preserve"> </w:t>
            </w:r>
            <w:r w:rsidRPr="00A10D97">
              <w:t>dell’OIC 32 alla data di inizio del bilancio dell’esercizio di prima applicazione, si può applicare il disposto del paragrafo 139 b) e c) dell’OIC 32, se i criteri di ammissibilità della copertura ai sensi del paragrafo 71 oppure 102 dell’OIC 32 sono soddisfatti alla data di chiusura del bilancio dell’esercizio di prima applicaz</w:t>
            </w:r>
            <w:r>
              <w:t>ione.</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CC242B"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32.141</w:t>
            </w:r>
          </w:p>
        </w:tc>
        <w:tc>
          <w:tcPr>
            <w:tcW w:w="7079" w:type="dxa"/>
            <w:tcMar>
              <w:left w:w="108" w:type="dxa"/>
            </w:tcMar>
          </w:tcPr>
          <w:p w:rsidR="004D7697" w:rsidRPr="00A10D97" w:rsidRDefault="004D7697" w:rsidP="000D7E0A">
            <w:pPr>
              <w:pStyle w:val="Commentiriquadro"/>
            </w:pPr>
            <w:r w:rsidRPr="00A10D97">
              <w:t xml:space="preserve">Per i derivati incorporati, preesistenti all’applicazione del presente principio contabile, qualora sussistano le condizioni di cui al paragrafo 42 dell’OIC 32, è possibile far coincidere la data dello scorporo, a cui deve essere effettuata la valutazione del </w:t>
            </w:r>
            <w:r w:rsidRPr="00A10D97">
              <w:rPr>
                <w:i/>
                <w:iCs/>
              </w:rPr>
              <w:t xml:space="preserve">fair value </w:t>
            </w:r>
            <w:r w:rsidRPr="00A10D97">
              <w:t>del derivato scorporato, con la data di inizio del bilancio dell’esercizio di prima applicazione de</w:t>
            </w:r>
            <w:r>
              <w:t>l presente principio contabile.</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CC242B"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32.142</w:t>
            </w:r>
          </w:p>
        </w:tc>
        <w:tc>
          <w:tcPr>
            <w:tcW w:w="7079" w:type="dxa"/>
            <w:tcMar>
              <w:left w:w="108" w:type="dxa"/>
            </w:tcMar>
          </w:tcPr>
          <w:p w:rsidR="004D7697" w:rsidRPr="00A10D97" w:rsidRDefault="004D7697" w:rsidP="000D7E0A">
            <w:pPr>
              <w:pStyle w:val="Commentiriquadro"/>
            </w:pPr>
            <w:r w:rsidRPr="00A10D97">
              <w:t xml:space="preserve">Per il modello di prima applicazione previsto al paragrafo 139 dell’OIC 32 (si veda punto 76) e limitatamente alle relazioni di copertura in essere alla data di inizio del bilancio dell’esercizio di prima applicazione, si presume che la copertura sia pienamente efficace se sono rispettati i requisiti di cui al paragrafo 72 dell’OIC 32. In questo caso è possibile applicare il modello contabile delle relazioni di copertura semplici previste ai paragrafi dal 101 al 118 dell’OIC 32 senza necessità di verificare che lo strumento di copertura fosse stato stipulato alle </w:t>
            </w:r>
            <w:r>
              <w:t>condizioni di mercato.</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CC242B"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32.143</w:t>
            </w:r>
          </w:p>
        </w:tc>
        <w:tc>
          <w:tcPr>
            <w:tcW w:w="7079" w:type="dxa"/>
            <w:tcMar>
              <w:left w:w="108" w:type="dxa"/>
            </w:tcMar>
          </w:tcPr>
          <w:p w:rsidR="004D7697" w:rsidRPr="00A10D97" w:rsidRDefault="004D7697" w:rsidP="000D7E0A">
            <w:pPr>
              <w:pStyle w:val="Commentiriquadro"/>
            </w:pPr>
            <w:r w:rsidRPr="00A10D97">
              <w:t>Il regime di disponibilità delle poste di patrimonio netto che si generano in sede di prima adozione del presente principio contabile segue le regole previste dall’articolo 2426, comma 1, numero 11-</w:t>
            </w:r>
            <w:r w:rsidRPr="00A10D97">
              <w:rPr>
                <w:i/>
                <w:iCs/>
              </w:rPr>
              <w:t>bis,</w:t>
            </w:r>
            <w:r w:rsidRPr="00A10D97">
              <w:t xml:space="preserve"> del codice civile.</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bl>
    <w:p w:rsidR="004D7697" w:rsidRPr="00D477DA" w:rsidRDefault="004D7697" w:rsidP="004D7697">
      <w:pPr>
        <w:ind w:left="284" w:hanging="284"/>
        <w:rPr>
          <w:lang w:val="it-IT"/>
        </w:rPr>
      </w:pPr>
    </w:p>
    <w:p w:rsidR="001716CA" w:rsidRDefault="001716CA" w:rsidP="00AD4AE2">
      <w:pPr>
        <w:rPr>
          <w:lang w:val="it-IT"/>
        </w:rPr>
        <w:sectPr w:rsidR="001716CA" w:rsidSect="000D7E0A">
          <w:headerReference w:type="default" r:id="rId51"/>
          <w:footerReference w:type="default" r:id="rId52"/>
          <w:pgSz w:w="11906" w:h="16838" w:code="9"/>
          <w:pgMar w:top="1134" w:right="851" w:bottom="851" w:left="851" w:header="709" w:footer="567" w:gutter="0"/>
          <w:cols w:space="708"/>
          <w:docGrid w:linePitch="360"/>
        </w:sectPr>
      </w:pPr>
    </w:p>
    <w:p w:rsidR="001716CA" w:rsidRPr="00655A70" w:rsidRDefault="001716CA" w:rsidP="001716CA">
      <w:pPr>
        <w:rPr>
          <w:lang w:val="it-IT"/>
        </w:rPr>
      </w:pPr>
    </w:p>
    <w:p w:rsidR="001716CA" w:rsidRPr="009E010F" w:rsidRDefault="001716CA" w:rsidP="001716CA">
      <w:pPr>
        <w:tabs>
          <w:tab w:val="left" w:pos="1890"/>
        </w:tabs>
        <w:spacing w:line="260" w:lineRule="exact"/>
        <w:ind w:left="990" w:hanging="990"/>
        <w:jc w:val="left"/>
        <w:rPr>
          <w:b/>
          <w:color w:val="0070C0"/>
          <w:lang w:val="it-IT"/>
        </w:rPr>
      </w:pPr>
      <w:r w:rsidRPr="009E010F">
        <w:rPr>
          <w:b/>
          <w:color w:val="0070C0"/>
          <w:sz w:val="28"/>
          <w:lang w:val="it-IT"/>
        </w:rPr>
        <w:t>Operazioni, attività e passività in valuta estera</w:t>
      </w:r>
    </w:p>
    <w:p w:rsidR="001716CA" w:rsidRPr="00BE4B7D" w:rsidRDefault="001716CA" w:rsidP="001716CA">
      <w:pPr>
        <w:rPr>
          <w:lang w:val="it-IT"/>
        </w:rPr>
      </w:pPr>
    </w:p>
    <w:p w:rsidR="001716CA" w:rsidRPr="00BE4B7D" w:rsidRDefault="001716CA" w:rsidP="001716CA">
      <w:pPr>
        <w:rPr>
          <w:lang w:val="it-IT"/>
        </w:rPr>
      </w:pPr>
    </w:p>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1716CA" w:rsidRPr="008A0F36" w:rsidTr="000D7E0A">
        <w:trPr>
          <w:cantSplit/>
          <w:trHeight w:val="20"/>
          <w:tblHeader/>
        </w:trPr>
        <w:tc>
          <w:tcPr>
            <w:tcW w:w="680" w:type="dxa"/>
            <w:shd w:val="clear" w:color="auto" w:fill="F2F2F2" w:themeFill="background1" w:themeFillShade="F2"/>
          </w:tcPr>
          <w:p w:rsidR="001716CA" w:rsidRPr="008A0F36" w:rsidRDefault="001716CA" w:rsidP="000D7E0A">
            <w:pPr>
              <w:jc w:val="center"/>
              <w:rPr>
                <w:lang w:val="it-IT"/>
              </w:rPr>
            </w:pPr>
          </w:p>
        </w:tc>
        <w:tc>
          <w:tcPr>
            <w:tcW w:w="851" w:type="dxa"/>
            <w:shd w:val="clear" w:color="auto" w:fill="F2F2F2" w:themeFill="background1" w:themeFillShade="F2"/>
            <w:tcMar>
              <w:left w:w="108" w:type="dxa"/>
              <w:right w:w="0" w:type="dxa"/>
            </w:tcMar>
          </w:tcPr>
          <w:p w:rsidR="001716CA" w:rsidRPr="008A0F36" w:rsidRDefault="001716CA" w:rsidP="000D7E0A">
            <w:pPr>
              <w:jc w:val="left"/>
              <w:rPr>
                <w:b/>
                <w:lang w:val="it-IT"/>
              </w:rPr>
            </w:pPr>
          </w:p>
        </w:tc>
        <w:tc>
          <w:tcPr>
            <w:tcW w:w="7060" w:type="dxa"/>
            <w:shd w:val="clear" w:color="auto" w:fill="F2F2F2" w:themeFill="background1" w:themeFillShade="F2"/>
            <w:tcMar>
              <w:left w:w="108" w:type="dxa"/>
            </w:tcMar>
          </w:tcPr>
          <w:p w:rsidR="001716CA" w:rsidRPr="008A0F36" w:rsidRDefault="001716CA" w:rsidP="000D7E0A">
            <w:pPr>
              <w:jc w:val="center"/>
              <w:rPr>
                <w:b/>
                <w:lang w:val="it-IT"/>
              </w:rPr>
            </w:pPr>
          </w:p>
        </w:tc>
        <w:tc>
          <w:tcPr>
            <w:tcW w:w="586" w:type="dxa"/>
            <w:shd w:val="clear" w:color="auto" w:fill="F2F2F2" w:themeFill="background1" w:themeFillShade="F2"/>
            <w:tcMar>
              <w:left w:w="85" w:type="dxa"/>
              <w:right w:w="85" w:type="dxa"/>
            </w:tcMar>
            <w:vAlign w:val="bottom"/>
          </w:tcPr>
          <w:p w:rsidR="001716CA" w:rsidRPr="008A0F36" w:rsidRDefault="001716CA" w:rsidP="000D7E0A">
            <w:pPr>
              <w:jc w:val="center"/>
              <w:rPr>
                <w:b/>
                <w:lang w:val="it-IT"/>
              </w:rPr>
            </w:pPr>
            <w:r w:rsidRPr="008A0F36">
              <w:rPr>
                <w:b/>
                <w:lang w:val="it-IT"/>
              </w:rPr>
              <w:t>SI</w:t>
            </w:r>
          </w:p>
        </w:tc>
        <w:tc>
          <w:tcPr>
            <w:tcW w:w="573" w:type="dxa"/>
            <w:shd w:val="clear" w:color="auto" w:fill="F2F2F2" w:themeFill="background1" w:themeFillShade="F2"/>
            <w:tcMar>
              <w:left w:w="108" w:type="dxa"/>
            </w:tcMar>
            <w:vAlign w:val="bottom"/>
          </w:tcPr>
          <w:p w:rsidR="001716CA" w:rsidRPr="008A0F36" w:rsidRDefault="001716CA" w:rsidP="000D7E0A">
            <w:pPr>
              <w:jc w:val="center"/>
              <w:rPr>
                <w:b/>
                <w:lang w:val="it-IT"/>
              </w:rPr>
            </w:pPr>
            <w:r w:rsidRPr="008A0F36">
              <w:rPr>
                <w:b/>
                <w:lang w:val="it-IT"/>
              </w:rPr>
              <w:t>NO</w:t>
            </w:r>
          </w:p>
        </w:tc>
        <w:tc>
          <w:tcPr>
            <w:tcW w:w="570" w:type="dxa"/>
            <w:shd w:val="clear" w:color="auto" w:fill="F2F2F2" w:themeFill="background1" w:themeFillShade="F2"/>
            <w:tcMar>
              <w:left w:w="108" w:type="dxa"/>
            </w:tcMar>
            <w:vAlign w:val="bottom"/>
          </w:tcPr>
          <w:p w:rsidR="001716CA" w:rsidRPr="008A0F36" w:rsidRDefault="001716CA" w:rsidP="000D7E0A">
            <w:pPr>
              <w:jc w:val="center"/>
              <w:rPr>
                <w:b/>
                <w:lang w:val="it-IT"/>
              </w:rPr>
            </w:pPr>
            <w:r w:rsidRPr="008A0F36">
              <w:rPr>
                <w:b/>
                <w:lang w:val="it-IT"/>
              </w:rPr>
              <w:t>N/A</w:t>
            </w:r>
          </w:p>
        </w:tc>
      </w:tr>
      <w:tr w:rsidR="001716CA" w:rsidRPr="00CC242B" w:rsidTr="000D7E0A">
        <w:trPr>
          <w:cantSplit/>
          <w:trHeight w:val="20"/>
        </w:trPr>
        <w:tc>
          <w:tcPr>
            <w:tcW w:w="680" w:type="dxa"/>
            <w:vAlign w:val="center"/>
          </w:tcPr>
          <w:p w:rsidR="001716CA" w:rsidRPr="008A0F36" w:rsidRDefault="001716CA" w:rsidP="000D7E0A">
            <w:pPr>
              <w:overflowPunct/>
              <w:autoSpaceDE/>
              <w:autoSpaceDN/>
              <w:adjustRightInd/>
              <w:spacing w:before="0" w:after="0" w:line="240" w:lineRule="auto"/>
              <w:jc w:val="left"/>
              <w:textAlignment w:val="auto"/>
              <w:rPr>
                <w:lang w:val="it-IT"/>
              </w:rPr>
            </w:pPr>
          </w:p>
        </w:tc>
        <w:tc>
          <w:tcPr>
            <w:tcW w:w="851" w:type="dxa"/>
            <w:tcMar>
              <w:left w:w="108" w:type="dxa"/>
              <w:right w:w="0" w:type="dxa"/>
            </w:tcMar>
            <w:vAlign w:val="center"/>
          </w:tcPr>
          <w:p w:rsidR="001716CA" w:rsidRPr="00321DBA" w:rsidRDefault="001716CA" w:rsidP="000D7E0A">
            <w:pPr>
              <w:pStyle w:val="PrincCont"/>
              <w:jc w:val="left"/>
              <w:rPr>
                <w:lang w:val="it-IT"/>
              </w:rPr>
            </w:pPr>
          </w:p>
        </w:tc>
        <w:tc>
          <w:tcPr>
            <w:tcW w:w="7060" w:type="dxa"/>
            <w:tcMar>
              <w:left w:w="108" w:type="dxa"/>
            </w:tcMar>
            <w:vAlign w:val="center"/>
          </w:tcPr>
          <w:p w:rsidR="001716CA" w:rsidRPr="00321DBA" w:rsidRDefault="001716CA" w:rsidP="000D7E0A">
            <w:pPr>
              <w:pStyle w:val="Titolo1"/>
              <w:keepNext w:val="0"/>
            </w:pPr>
            <w:r w:rsidRPr="00321DBA">
              <w:t>Operazioni, attività e passività in valuta estera</w:t>
            </w:r>
          </w:p>
        </w:tc>
        <w:tc>
          <w:tcPr>
            <w:tcW w:w="586" w:type="dxa"/>
            <w:tcMar>
              <w:left w:w="85" w:type="dxa"/>
              <w:right w:w="85" w:type="dxa"/>
            </w:tcMar>
            <w:vAlign w:val="center"/>
          </w:tcPr>
          <w:p w:rsidR="001716CA" w:rsidRPr="008A0F36" w:rsidRDefault="001716CA" w:rsidP="000D7E0A">
            <w:pPr>
              <w:jc w:val="left"/>
              <w:rPr>
                <w:lang w:val="it-IT"/>
              </w:rPr>
            </w:pPr>
          </w:p>
        </w:tc>
        <w:tc>
          <w:tcPr>
            <w:tcW w:w="573" w:type="dxa"/>
            <w:tcMar>
              <w:left w:w="108" w:type="dxa"/>
            </w:tcMar>
            <w:vAlign w:val="center"/>
          </w:tcPr>
          <w:p w:rsidR="001716CA" w:rsidRPr="008A0F36" w:rsidRDefault="001716CA" w:rsidP="000D7E0A">
            <w:pPr>
              <w:jc w:val="left"/>
              <w:rPr>
                <w:lang w:val="it-IT"/>
              </w:rPr>
            </w:pPr>
          </w:p>
        </w:tc>
        <w:tc>
          <w:tcPr>
            <w:tcW w:w="570" w:type="dxa"/>
            <w:tcMar>
              <w:left w:w="108" w:type="dxa"/>
            </w:tcMar>
            <w:vAlign w:val="center"/>
          </w:tcPr>
          <w:p w:rsidR="001716CA" w:rsidRPr="008A0F36" w:rsidRDefault="001716CA" w:rsidP="000D7E0A">
            <w:pPr>
              <w:jc w:val="left"/>
              <w:rPr>
                <w:lang w:val="it-IT"/>
              </w:rPr>
            </w:pPr>
          </w:p>
        </w:tc>
      </w:tr>
      <w:tr w:rsidR="001716CA" w:rsidRPr="00764A71" w:rsidTr="000D7E0A">
        <w:trPr>
          <w:cantSplit/>
          <w:trHeight w:val="20"/>
        </w:trPr>
        <w:tc>
          <w:tcPr>
            <w:tcW w:w="680" w:type="dxa"/>
            <w:vAlign w:val="center"/>
          </w:tcPr>
          <w:p w:rsidR="001716CA" w:rsidRPr="008A0F36" w:rsidRDefault="001716CA" w:rsidP="000D7E0A">
            <w:pPr>
              <w:overflowPunct/>
              <w:autoSpaceDE/>
              <w:autoSpaceDN/>
              <w:adjustRightInd/>
              <w:spacing w:before="0" w:after="0" w:line="240" w:lineRule="auto"/>
              <w:jc w:val="left"/>
              <w:textAlignment w:val="auto"/>
              <w:rPr>
                <w:lang w:val="it-IT"/>
              </w:rPr>
            </w:pPr>
          </w:p>
        </w:tc>
        <w:tc>
          <w:tcPr>
            <w:tcW w:w="851" w:type="dxa"/>
            <w:tcMar>
              <w:left w:w="108" w:type="dxa"/>
              <w:right w:w="0" w:type="dxa"/>
            </w:tcMar>
            <w:vAlign w:val="center"/>
          </w:tcPr>
          <w:p w:rsidR="001716CA" w:rsidRPr="00321DBA" w:rsidRDefault="001716CA" w:rsidP="000D7E0A">
            <w:pPr>
              <w:pStyle w:val="PrincCont"/>
              <w:jc w:val="left"/>
              <w:rPr>
                <w:lang w:val="it-IT"/>
              </w:rPr>
            </w:pPr>
          </w:p>
        </w:tc>
        <w:tc>
          <w:tcPr>
            <w:tcW w:w="7060" w:type="dxa"/>
            <w:tcMar>
              <w:left w:w="108" w:type="dxa"/>
            </w:tcMar>
            <w:vAlign w:val="center"/>
          </w:tcPr>
          <w:p w:rsidR="001716CA" w:rsidRPr="00321DBA" w:rsidRDefault="001716CA" w:rsidP="000D7E0A">
            <w:pPr>
              <w:pStyle w:val="Titolo2"/>
            </w:pPr>
            <w:r>
              <w:t>D</w:t>
            </w:r>
            <w:r w:rsidRPr="00764A71">
              <w:t>efinizioni</w:t>
            </w:r>
          </w:p>
        </w:tc>
        <w:tc>
          <w:tcPr>
            <w:tcW w:w="586" w:type="dxa"/>
            <w:tcMar>
              <w:left w:w="85" w:type="dxa"/>
              <w:right w:w="85" w:type="dxa"/>
            </w:tcMar>
            <w:vAlign w:val="center"/>
          </w:tcPr>
          <w:p w:rsidR="001716CA" w:rsidRPr="008A0F36" w:rsidRDefault="001716CA" w:rsidP="000D7E0A">
            <w:pPr>
              <w:jc w:val="left"/>
              <w:rPr>
                <w:lang w:val="it-IT"/>
              </w:rPr>
            </w:pPr>
          </w:p>
        </w:tc>
        <w:tc>
          <w:tcPr>
            <w:tcW w:w="573" w:type="dxa"/>
            <w:tcMar>
              <w:left w:w="108" w:type="dxa"/>
            </w:tcMar>
            <w:vAlign w:val="center"/>
          </w:tcPr>
          <w:p w:rsidR="001716CA" w:rsidRPr="008A0F36" w:rsidRDefault="001716CA" w:rsidP="000D7E0A">
            <w:pPr>
              <w:jc w:val="left"/>
              <w:rPr>
                <w:lang w:val="it-IT"/>
              </w:rPr>
            </w:pPr>
          </w:p>
        </w:tc>
        <w:tc>
          <w:tcPr>
            <w:tcW w:w="570" w:type="dxa"/>
            <w:tcMar>
              <w:left w:w="108" w:type="dxa"/>
            </w:tcMar>
            <w:vAlign w:val="center"/>
          </w:tcPr>
          <w:p w:rsidR="001716CA" w:rsidRPr="008A0F36" w:rsidRDefault="001716CA" w:rsidP="000D7E0A">
            <w:pPr>
              <w:jc w:val="left"/>
              <w:rPr>
                <w:lang w:val="it-IT"/>
              </w:rPr>
            </w:pPr>
          </w:p>
        </w:tc>
      </w:tr>
      <w:tr w:rsidR="001716CA" w:rsidRPr="00CC242B" w:rsidTr="000D7E0A">
        <w:trPr>
          <w:cantSplit/>
          <w:trHeight w:val="34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26.4</w:t>
            </w:r>
          </w:p>
        </w:tc>
        <w:tc>
          <w:tcPr>
            <w:tcW w:w="7060" w:type="dxa"/>
            <w:tcMar>
              <w:left w:w="108" w:type="dxa"/>
            </w:tcMar>
          </w:tcPr>
          <w:p w:rsidR="001716CA" w:rsidRPr="00321DBA" w:rsidRDefault="001716CA" w:rsidP="000D7E0A">
            <w:pPr>
              <w:pStyle w:val="Commentiriquadro"/>
              <w:rPr>
                <w:lang w:eastAsia="it-IT"/>
              </w:rPr>
            </w:pPr>
            <w:r w:rsidRPr="00321DBA">
              <w:rPr>
                <w:lang w:eastAsia="it-IT"/>
              </w:rPr>
              <w:t>Un’operazione in valuta estera è un’operazione effettuata dalla società che redige il bilancio, che è espressa in una valuta diversa dall’euro. Tra le operazioni in valuta estera vi possono essere: acquisto o vendita di beni o servizi i cui prezzi sono espressi in valuta estera; prestiti erogati o ricevuti in cui l’ammontare è espresso in valuta estera; acquisto di un bene strumentale in valuta estera. Un’operazione in valuta estera può determinare l’iscrizione in bilancio di attività o passività monetarie o non monetarie.</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CC242B" w:rsidTr="000D7E0A">
        <w:trPr>
          <w:cantSplit/>
          <w:trHeight w:val="34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pPr>
            <w:r w:rsidRPr="00321DBA">
              <w:t>Art. 26 c.2 CC</w:t>
            </w:r>
            <w:r>
              <w:t xml:space="preserve">  </w:t>
            </w:r>
            <w:r w:rsidRPr="00321DBA">
              <w:t>OIC 26.5</w:t>
            </w:r>
          </w:p>
          <w:p w:rsidR="001716CA" w:rsidRPr="00321DBA" w:rsidRDefault="001716CA" w:rsidP="000D7E0A">
            <w:pPr>
              <w:pStyle w:val="PrincCont"/>
              <w:jc w:val="left"/>
            </w:pPr>
          </w:p>
        </w:tc>
        <w:tc>
          <w:tcPr>
            <w:tcW w:w="7060" w:type="dxa"/>
            <w:tcMar>
              <w:left w:w="108" w:type="dxa"/>
            </w:tcMar>
          </w:tcPr>
          <w:p w:rsidR="001716CA" w:rsidRPr="00321DBA" w:rsidRDefault="001716CA" w:rsidP="000D7E0A">
            <w:pPr>
              <w:pStyle w:val="Commentiriquadro"/>
              <w:rPr>
                <w:lang w:eastAsia="it-IT"/>
              </w:rPr>
            </w:pPr>
            <w:r w:rsidRPr="00321DBA">
              <w:rPr>
                <w:lang w:eastAsia="it-IT"/>
              </w:rPr>
              <w:t>Il Codice Civile prescrive che per la definizione di “</w:t>
            </w:r>
            <w:r w:rsidRPr="00321DBA">
              <w:rPr>
                <w:i/>
                <w:lang w:eastAsia="it-IT"/>
              </w:rPr>
              <w:t>attività monetaria</w:t>
            </w:r>
            <w:r w:rsidRPr="00321DBA">
              <w:rPr>
                <w:lang w:eastAsia="it-IT"/>
              </w:rPr>
              <w:t>”e “</w:t>
            </w:r>
            <w:r w:rsidRPr="00321DBA">
              <w:rPr>
                <w:i/>
                <w:lang w:eastAsia="it-IT"/>
              </w:rPr>
              <w:t>passività monetaria</w:t>
            </w:r>
            <w:r w:rsidRPr="00321DBA">
              <w:rPr>
                <w:lang w:eastAsia="it-IT"/>
              </w:rPr>
              <w:t>” si fa riferimento ai principi contabili internazionali adottati dall’unione Europea. Lo IAS 21 “Effetti della variazione dei cambi delle valute estere” adottato dall’Unione Europea e in vigore al momento della pubblicazione dell’OIC26 fornisce la seguente definizione di elemeto monetario.</w:t>
            </w:r>
          </w:p>
        </w:tc>
        <w:tc>
          <w:tcPr>
            <w:tcW w:w="586" w:type="dxa"/>
            <w:tcMar>
              <w:left w:w="85" w:type="dxa"/>
              <w:right w:w="85" w:type="dxa"/>
            </w:tcMar>
            <w:vAlign w:val="center"/>
          </w:tcPr>
          <w:p w:rsidR="001716CA" w:rsidRPr="00BE4B7D" w:rsidRDefault="001716CA" w:rsidP="000D7E0A">
            <w:pPr>
              <w:jc w:val="center"/>
              <w:rPr>
                <w:lang w:val="it-IT"/>
              </w:rPr>
            </w:pPr>
          </w:p>
        </w:tc>
        <w:tc>
          <w:tcPr>
            <w:tcW w:w="573" w:type="dxa"/>
            <w:tcMar>
              <w:left w:w="108" w:type="dxa"/>
            </w:tcMar>
            <w:vAlign w:val="center"/>
          </w:tcPr>
          <w:p w:rsidR="001716CA" w:rsidRPr="00BE4B7D" w:rsidRDefault="001716CA" w:rsidP="000D7E0A">
            <w:pPr>
              <w:jc w:val="center"/>
              <w:rPr>
                <w:lang w:val="it-IT"/>
              </w:rPr>
            </w:pPr>
          </w:p>
        </w:tc>
        <w:tc>
          <w:tcPr>
            <w:tcW w:w="570" w:type="dxa"/>
            <w:tcMar>
              <w:left w:w="108" w:type="dxa"/>
            </w:tcMar>
            <w:vAlign w:val="center"/>
          </w:tcPr>
          <w:p w:rsidR="001716CA" w:rsidRPr="00BE4B7D" w:rsidRDefault="001716CA" w:rsidP="000D7E0A">
            <w:pPr>
              <w:jc w:val="center"/>
              <w:rPr>
                <w:lang w:val="it-IT"/>
              </w:rPr>
            </w:pPr>
          </w:p>
        </w:tc>
      </w:tr>
      <w:tr w:rsidR="001716CA" w:rsidRPr="00CC242B" w:rsidTr="000D7E0A">
        <w:trPr>
          <w:cantSplit/>
          <w:trHeight w:val="34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pPr>
            <w:r w:rsidRPr="00321DBA">
              <w:t>OIC 26.6</w:t>
            </w:r>
          </w:p>
          <w:p w:rsidR="001716CA" w:rsidRPr="00BC6C3D" w:rsidRDefault="001716CA" w:rsidP="000D7E0A">
            <w:pPr>
              <w:pStyle w:val="PrincCont"/>
              <w:jc w:val="left"/>
              <w:rPr>
                <w:lang w:val="it-IT"/>
              </w:rPr>
            </w:pPr>
          </w:p>
        </w:tc>
        <w:tc>
          <w:tcPr>
            <w:tcW w:w="7060" w:type="dxa"/>
            <w:tcMar>
              <w:left w:w="108" w:type="dxa"/>
            </w:tcMar>
          </w:tcPr>
          <w:p w:rsidR="001716CA" w:rsidRPr="00321DBA" w:rsidRDefault="001716CA" w:rsidP="000D7E0A">
            <w:pPr>
              <w:pStyle w:val="Commentiriquadro"/>
              <w:rPr>
                <w:lang w:eastAsia="it-IT"/>
              </w:rPr>
            </w:pPr>
            <w:r w:rsidRPr="00321DBA">
              <w:rPr>
                <w:lang w:eastAsia="it-IT"/>
              </w:rPr>
              <w:t>“</w:t>
            </w:r>
            <w:r w:rsidRPr="00321DBA">
              <w:rPr>
                <w:i/>
                <w:lang w:eastAsia="it-IT"/>
              </w:rPr>
              <w:t>Gli elementi monetari sono unità di valuta possedute e attività e passività che devono essere incassate o pagate in un numero di unità di valuta fisso o determinabile</w:t>
            </w:r>
            <w:r w:rsidRPr="00321DBA">
              <w:rPr>
                <w:lang w:eastAsia="it-IT"/>
              </w:rPr>
              <w:t xml:space="preserve">” (IAS 21.8). Pertanto per </w:t>
            </w:r>
            <w:r w:rsidRPr="00453C8A">
              <w:rPr>
                <w:i/>
                <w:lang w:eastAsia="it-IT"/>
              </w:rPr>
              <w:t>elementi monetari</w:t>
            </w:r>
            <w:r w:rsidRPr="00321DBA">
              <w:rPr>
                <w:lang w:eastAsia="it-IT"/>
              </w:rPr>
              <w:t xml:space="preserve"> si intendo le attività e le passività che comportano il diritto ad incassare o l’obbligo a pagare, a date future, importi di denaro in valuta determinati o determinabili. Sono elementi monetari: i crediti e i debiti, le disponibilità liquide, i rate attivi e passivi, i titoli di debito.</w:t>
            </w:r>
          </w:p>
        </w:tc>
        <w:tc>
          <w:tcPr>
            <w:tcW w:w="586" w:type="dxa"/>
            <w:tcMar>
              <w:left w:w="85" w:type="dxa"/>
              <w:right w:w="85" w:type="dxa"/>
            </w:tcMar>
            <w:vAlign w:val="center"/>
          </w:tcPr>
          <w:p w:rsidR="001716CA" w:rsidRPr="00BE4B7D" w:rsidRDefault="001716CA" w:rsidP="000D7E0A">
            <w:pPr>
              <w:jc w:val="center"/>
              <w:rPr>
                <w:lang w:val="it-IT"/>
              </w:rPr>
            </w:pPr>
          </w:p>
        </w:tc>
        <w:tc>
          <w:tcPr>
            <w:tcW w:w="573" w:type="dxa"/>
            <w:tcMar>
              <w:left w:w="108" w:type="dxa"/>
            </w:tcMar>
            <w:vAlign w:val="center"/>
          </w:tcPr>
          <w:p w:rsidR="001716CA" w:rsidRPr="00BE4B7D" w:rsidRDefault="001716CA" w:rsidP="000D7E0A">
            <w:pPr>
              <w:jc w:val="center"/>
              <w:rPr>
                <w:lang w:val="it-IT"/>
              </w:rPr>
            </w:pPr>
          </w:p>
        </w:tc>
        <w:tc>
          <w:tcPr>
            <w:tcW w:w="570" w:type="dxa"/>
            <w:tcMar>
              <w:left w:w="108" w:type="dxa"/>
            </w:tcMar>
            <w:vAlign w:val="center"/>
          </w:tcPr>
          <w:p w:rsidR="001716CA" w:rsidRPr="00BE4B7D" w:rsidRDefault="001716CA" w:rsidP="000D7E0A">
            <w:pPr>
              <w:jc w:val="center"/>
              <w:rPr>
                <w:lang w:val="it-IT"/>
              </w:rPr>
            </w:pPr>
          </w:p>
        </w:tc>
      </w:tr>
      <w:tr w:rsidR="001716CA" w:rsidRPr="00CC242B" w:rsidTr="000D7E0A">
        <w:trPr>
          <w:cantSplit/>
          <w:trHeight w:val="34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t>OIC 26.7</w:t>
            </w:r>
          </w:p>
        </w:tc>
        <w:tc>
          <w:tcPr>
            <w:tcW w:w="7060" w:type="dxa"/>
            <w:tcMar>
              <w:left w:w="108" w:type="dxa"/>
            </w:tcMar>
          </w:tcPr>
          <w:p w:rsidR="001716CA" w:rsidRPr="00321DBA" w:rsidRDefault="001716CA" w:rsidP="000D7E0A">
            <w:pPr>
              <w:pStyle w:val="Commentiriquadro"/>
              <w:rPr>
                <w:lang w:eastAsia="it-IT"/>
              </w:rPr>
            </w:pPr>
            <w:r w:rsidRPr="00321DBA">
              <w:rPr>
                <w:lang w:eastAsia="it-IT"/>
              </w:rPr>
              <w:t xml:space="preserve">Per </w:t>
            </w:r>
            <w:r w:rsidRPr="00453C8A">
              <w:rPr>
                <w:i/>
                <w:lang w:eastAsia="it-IT"/>
              </w:rPr>
              <w:t xml:space="preserve">elementi non monetari </w:t>
            </w:r>
            <w:r w:rsidRPr="00321DBA">
              <w:rPr>
                <w:lang w:eastAsia="it-IT"/>
              </w:rPr>
              <w:t>si intendono le attività e le passività che non conmportano il diritto ad incassare o l’obbligo di pagare importi di denaro in valuta determinati o determinabili. Sono elementi non monetari: le immobilizzazioni materiale e immateriali, le partecipazioni o altri titoli che conferiscono il diritto a partecipare al capitale di rischio dell’emittente, le rimanenze, gli anticipi per l’acquisto o la vendita di beni e servizi, i risconti attivi e passivi.</w:t>
            </w:r>
          </w:p>
        </w:tc>
        <w:tc>
          <w:tcPr>
            <w:tcW w:w="586" w:type="dxa"/>
            <w:tcMar>
              <w:left w:w="85" w:type="dxa"/>
              <w:right w:w="85" w:type="dxa"/>
            </w:tcMar>
            <w:vAlign w:val="center"/>
          </w:tcPr>
          <w:p w:rsidR="001716CA" w:rsidRPr="00BE4B7D" w:rsidRDefault="001716CA" w:rsidP="000D7E0A">
            <w:pPr>
              <w:jc w:val="center"/>
              <w:rPr>
                <w:lang w:val="it-IT"/>
              </w:rPr>
            </w:pPr>
          </w:p>
        </w:tc>
        <w:tc>
          <w:tcPr>
            <w:tcW w:w="573" w:type="dxa"/>
            <w:tcMar>
              <w:left w:w="108" w:type="dxa"/>
            </w:tcMar>
            <w:vAlign w:val="center"/>
          </w:tcPr>
          <w:p w:rsidR="001716CA" w:rsidRPr="00BE4B7D" w:rsidRDefault="001716CA" w:rsidP="000D7E0A">
            <w:pPr>
              <w:jc w:val="center"/>
              <w:rPr>
                <w:lang w:val="it-IT"/>
              </w:rPr>
            </w:pPr>
          </w:p>
        </w:tc>
        <w:tc>
          <w:tcPr>
            <w:tcW w:w="570" w:type="dxa"/>
            <w:tcMar>
              <w:left w:w="108" w:type="dxa"/>
            </w:tcMar>
            <w:vAlign w:val="center"/>
          </w:tcPr>
          <w:p w:rsidR="001716CA" w:rsidRPr="00BE4B7D" w:rsidRDefault="001716CA" w:rsidP="000D7E0A">
            <w:pPr>
              <w:jc w:val="center"/>
              <w:rPr>
                <w:lang w:val="it-IT"/>
              </w:rPr>
            </w:pPr>
          </w:p>
        </w:tc>
      </w:tr>
      <w:tr w:rsidR="001716CA" w:rsidRPr="00CC242B" w:rsidTr="000D7E0A">
        <w:trPr>
          <w:cantSplit/>
          <w:trHeight w:val="34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Pr>
                <w:lang w:val="it-IT"/>
              </w:rPr>
              <w:t>OIC 26.8</w:t>
            </w:r>
          </w:p>
        </w:tc>
        <w:tc>
          <w:tcPr>
            <w:tcW w:w="7060" w:type="dxa"/>
            <w:tcMar>
              <w:left w:w="108" w:type="dxa"/>
            </w:tcMar>
          </w:tcPr>
          <w:p w:rsidR="001716CA" w:rsidRPr="00321DBA" w:rsidRDefault="001716CA" w:rsidP="000D7E0A">
            <w:pPr>
              <w:pStyle w:val="Commentiriquadro"/>
              <w:rPr>
                <w:lang w:eastAsia="it-IT"/>
              </w:rPr>
            </w:pPr>
            <w:r>
              <w:t>La moneta di conto è la valuta in cui è redatto il bilancio che, ai sensi dell’articolo 2423, comma 6, codice civile è l’euro. Per valuta estera si intende dunque una qualsiasi valuta diversa dall’euro.</w:t>
            </w:r>
          </w:p>
        </w:tc>
        <w:tc>
          <w:tcPr>
            <w:tcW w:w="586" w:type="dxa"/>
            <w:tcMar>
              <w:left w:w="85" w:type="dxa"/>
              <w:right w:w="85" w:type="dxa"/>
            </w:tcMar>
            <w:vAlign w:val="center"/>
          </w:tcPr>
          <w:p w:rsidR="001716CA" w:rsidRPr="00BE4B7D" w:rsidRDefault="001716CA" w:rsidP="000D7E0A">
            <w:pPr>
              <w:jc w:val="center"/>
              <w:rPr>
                <w:lang w:val="it-IT"/>
              </w:rPr>
            </w:pPr>
          </w:p>
        </w:tc>
        <w:tc>
          <w:tcPr>
            <w:tcW w:w="573" w:type="dxa"/>
            <w:tcMar>
              <w:left w:w="108" w:type="dxa"/>
            </w:tcMar>
            <w:vAlign w:val="center"/>
          </w:tcPr>
          <w:p w:rsidR="001716CA" w:rsidRPr="00BE4B7D" w:rsidRDefault="001716CA" w:rsidP="000D7E0A">
            <w:pPr>
              <w:jc w:val="center"/>
              <w:rPr>
                <w:lang w:val="it-IT"/>
              </w:rPr>
            </w:pPr>
          </w:p>
        </w:tc>
        <w:tc>
          <w:tcPr>
            <w:tcW w:w="570" w:type="dxa"/>
            <w:tcMar>
              <w:left w:w="108" w:type="dxa"/>
            </w:tcMar>
            <w:vAlign w:val="center"/>
          </w:tcPr>
          <w:p w:rsidR="001716CA" w:rsidRPr="00BE4B7D" w:rsidRDefault="001716CA" w:rsidP="000D7E0A">
            <w:pPr>
              <w:jc w:val="center"/>
              <w:rPr>
                <w:lang w:val="it-IT"/>
              </w:rPr>
            </w:pPr>
          </w:p>
        </w:tc>
      </w:tr>
      <w:tr w:rsidR="001716CA" w:rsidRPr="00CC242B" w:rsidTr="000D7E0A">
        <w:trPr>
          <w:cantSplit/>
          <w:trHeight w:val="34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Pr>
                <w:lang w:val="it-IT"/>
              </w:rPr>
              <w:t>OIC 26.9</w:t>
            </w:r>
          </w:p>
        </w:tc>
        <w:tc>
          <w:tcPr>
            <w:tcW w:w="7060" w:type="dxa"/>
            <w:tcMar>
              <w:left w:w="108" w:type="dxa"/>
            </w:tcMar>
          </w:tcPr>
          <w:p w:rsidR="001716CA" w:rsidRPr="00321DBA" w:rsidRDefault="001716CA" w:rsidP="000D7E0A">
            <w:pPr>
              <w:pStyle w:val="Commentiriquadro"/>
              <w:rPr>
                <w:lang w:eastAsia="it-IT"/>
              </w:rPr>
            </w:pPr>
            <w:r>
              <w:t xml:space="preserve">Il tasso di cambio è il rapporto tra l’euro e una valuta estera. Il tasso di cambio a pronti indica il rapporto tra l’euro e una valuta estera per le operazioni spot, vale a dire per le operazioni prontamente liquidabili in tempo reale o, di norma, entro la giornata lavorativa successiva. </w:t>
            </w:r>
          </w:p>
        </w:tc>
        <w:tc>
          <w:tcPr>
            <w:tcW w:w="586" w:type="dxa"/>
            <w:tcMar>
              <w:left w:w="85" w:type="dxa"/>
              <w:right w:w="85" w:type="dxa"/>
            </w:tcMar>
            <w:vAlign w:val="center"/>
          </w:tcPr>
          <w:p w:rsidR="001716CA" w:rsidRPr="00BE4B7D" w:rsidRDefault="001716CA" w:rsidP="000D7E0A">
            <w:pPr>
              <w:jc w:val="center"/>
              <w:rPr>
                <w:lang w:val="it-IT"/>
              </w:rPr>
            </w:pPr>
          </w:p>
        </w:tc>
        <w:tc>
          <w:tcPr>
            <w:tcW w:w="573" w:type="dxa"/>
            <w:tcMar>
              <w:left w:w="108" w:type="dxa"/>
            </w:tcMar>
            <w:vAlign w:val="center"/>
          </w:tcPr>
          <w:p w:rsidR="001716CA" w:rsidRPr="00BE4B7D" w:rsidRDefault="001716CA" w:rsidP="000D7E0A">
            <w:pPr>
              <w:jc w:val="center"/>
              <w:rPr>
                <w:lang w:val="it-IT"/>
              </w:rPr>
            </w:pPr>
          </w:p>
        </w:tc>
        <w:tc>
          <w:tcPr>
            <w:tcW w:w="570" w:type="dxa"/>
            <w:tcMar>
              <w:left w:w="108" w:type="dxa"/>
            </w:tcMar>
            <w:vAlign w:val="center"/>
          </w:tcPr>
          <w:p w:rsidR="001716CA" w:rsidRPr="00BE4B7D" w:rsidRDefault="001716CA" w:rsidP="000D7E0A">
            <w:pPr>
              <w:jc w:val="center"/>
              <w:rPr>
                <w:lang w:val="it-IT"/>
              </w:rPr>
            </w:pPr>
          </w:p>
        </w:tc>
      </w:tr>
      <w:tr w:rsidR="001716CA" w:rsidRPr="00CC242B" w:rsidTr="000D7E0A">
        <w:trPr>
          <w:cantSplit/>
          <w:trHeight w:val="34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Pr>
                <w:lang w:val="it-IT"/>
              </w:rPr>
              <w:t>OIC 26.10</w:t>
            </w:r>
          </w:p>
        </w:tc>
        <w:tc>
          <w:tcPr>
            <w:tcW w:w="7060" w:type="dxa"/>
            <w:tcMar>
              <w:left w:w="108" w:type="dxa"/>
            </w:tcMar>
          </w:tcPr>
          <w:p w:rsidR="001716CA" w:rsidRPr="00321DBA" w:rsidRDefault="001716CA" w:rsidP="000D7E0A">
            <w:pPr>
              <w:pStyle w:val="Commentiriquadro"/>
              <w:rPr>
                <w:lang w:eastAsia="it-IT"/>
              </w:rPr>
            </w:pPr>
            <w:r>
              <w:t>La differenza di cambio (utile o perdita su cambio) è la differenza che deriva dalla conversione in euro di un determinato numero di unità di una valuta estera a differenti tassi di cambio alle date di conversione.</w:t>
            </w:r>
          </w:p>
        </w:tc>
        <w:tc>
          <w:tcPr>
            <w:tcW w:w="586" w:type="dxa"/>
            <w:tcMar>
              <w:left w:w="85" w:type="dxa"/>
              <w:right w:w="85" w:type="dxa"/>
            </w:tcMar>
            <w:vAlign w:val="center"/>
          </w:tcPr>
          <w:p w:rsidR="001716CA" w:rsidRPr="00BE4B7D" w:rsidRDefault="001716CA" w:rsidP="000D7E0A">
            <w:pPr>
              <w:jc w:val="center"/>
              <w:rPr>
                <w:lang w:val="it-IT"/>
              </w:rPr>
            </w:pPr>
          </w:p>
        </w:tc>
        <w:tc>
          <w:tcPr>
            <w:tcW w:w="573" w:type="dxa"/>
            <w:tcMar>
              <w:left w:w="108" w:type="dxa"/>
            </w:tcMar>
            <w:vAlign w:val="center"/>
          </w:tcPr>
          <w:p w:rsidR="001716CA" w:rsidRPr="00BE4B7D" w:rsidRDefault="001716CA" w:rsidP="000D7E0A">
            <w:pPr>
              <w:jc w:val="center"/>
              <w:rPr>
                <w:lang w:val="it-IT"/>
              </w:rPr>
            </w:pPr>
          </w:p>
        </w:tc>
        <w:tc>
          <w:tcPr>
            <w:tcW w:w="570" w:type="dxa"/>
            <w:tcMar>
              <w:left w:w="108" w:type="dxa"/>
            </w:tcMar>
            <w:vAlign w:val="center"/>
          </w:tcPr>
          <w:p w:rsidR="001716CA" w:rsidRPr="00BE4B7D" w:rsidRDefault="001716CA" w:rsidP="000D7E0A">
            <w:pPr>
              <w:jc w:val="center"/>
              <w:rPr>
                <w:lang w:val="it-IT"/>
              </w:rPr>
            </w:pPr>
          </w:p>
        </w:tc>
      </w:tr>
      <w:tr w:rsidR="001716CA" w:rsidRPr="00CC242B" w:rsidTr="000D7E0A">
        <w:trPr>
          <w:cantSplit/>
          <w:trHeight w:val="34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Pr>
                <w:lang w:val="it-IT"/>
              </w:rPr>
              <w:t>OIC 26.11</w:t>
            </w:r>
          </w:p>
        </w:tc>
        <w:tc>
          <w:tcPr>
            <w:tcW w:w="7060" w:type="dxa"/>
            <w:tcMar>
              <w:left w:w="108" w:type="dxa"/>
            </w:tcMar>
          </w:tcPr>
          <w:p w:rsidR="001716CA" w:rsidRPr="00321DBA" w:rsidRDefault="001716CA" w:rsidP="000D7E0A">
            <w:pPr>
              <w:pStyle w:val="Commentiriquadro"/>
              <w:rPr>
                <w:lang w:eastAsia="it-IT"/>
              </w:rPr>
            </w:pPr>
            <w:r>
              <w:t>Le stabili organizzazioni all’estero sono strutture che tengono la propria contabilità in valuta diversa dall’euro (ad esempio, divisioni, filiali o succursali) la cui attività è integrata con quella della società che redige il bilancio.</w:t>
            </w:r>
          </w:p>
        </w:tc>
        <w:tc>
          <w:tcPr>
            <w:tcW w:w="586" w:type="dxa"/>
            <w:tcMar>
              <w:left w:w="85" w:type="dxa"/>
              <w:right w:w="85" w:type="dxa"/>
            </w:tcMar>
            <w:vAlign w:val="center"/>
          </w:tcPr>
          <w:p w:rsidR="001716CA" w:rsidRPr="00BE4B7D" w:rsidRDefault="001716CA" w:rsidP="000D7E0A">
            <w:pPr>
              <w:jc w:val="center"/>
              <w:rPr>
                <w:lang w:val="it-IT"/>
              </w:rPr>
            </w:pPr>
          </w:p>
        </w:tc>
        <w:tc>
          <w:tcPr>
            <w:tcW w:w="573" w:type="dxa"/>
            <w:tcMar>
              <w:left w:w="108" w:type="dxa"/>
            </w:tcMar>
            <w:vAlign w:val="center"/>
          </w:tcPr>
          <w:p w:rsidR="001716CA" w:rsidRPr="00BE4B7D" w:rsidRDefault="001716CA" w:rsidP="000D7E0A">
            <w:pPr>
              <w:jc w:val="center"/>
              <w:rPr>
                <w:lang w:val="it-IT"/>
              </w:rPr>
            </w:pPr>
          </w:p>
        </w:tc>
        <w:tc>
          <w:tcPr>
            <w:tcW w:w="570" w:type="dxa"/>
            <w:tcMar>
              <w:left w:w="108" w:type="dxa"/>
            </w:tcMar>
            <w:vAlign w:val="center"/>
          </w:tcPr>
          <w:p w:rsidR="001716CA" w:rsidRPr="00BE4B7D" w:rsidRDefault="001716CA" w:rsidP="000D7E0A">
            <w:pPr>
              <w:jc w:val="center"/>
              <w:rPr>
                <w:lang w:val="it-IT"/>
              </w:rPr>
            </w:pPr>
          </w:p>
        </w:tc>
      </w:tr>
      <w:tr w:rsidR="001716CA" w:rsidRPr="00CC242B" w:rsidTr="000D7E0A">
        <w:trPr>
          <w:cantSplit/>
          <w:trHeight w:val="34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Pr>
                <w:lang w:val="it-IT"/>
              </w:rPr>
              <w:t>OIC 26.12</w:t>
            </w:r>
          </w:p>
        </w:tc>
        <w:tc>
          <w:tcPr>
            <w:tcW w:w="7060" w:type="dxa"/>
            <w:tcMar>
              <w:left w:w="108" w:type="dxa"/>
            </w:tcMar>
          </w:tcPr>
          <w:p w:rsidR="001716CA" w:rsidRPr="00321DBA" w:rsidRDefault="001716CA" w:rsidP="000D7E0A">
            <w:pPr>
              <w:pStyle w:val="Commentiriquadro"/>
              <w:rPr>
                <w:lang w:eastAsia="it-IT"/>
              </w:rPr>
            </w:pPr>
            <w:r>
              <w:t>Il bilancio in forma ordinaria è il bilancio redatto secondo le disposizioni del codice civile dalle società che non redigono il bilancio in forma abbreviata ai sensi dell’art. 2435-bis c.c. e che non redigono il bilancio ai sensi dell’art. 2435-ter c.c. (bilancio delle micro-imprese).</w:t>
            </w:r>
          </w:p>
        </w:tc>
        <w:tc>
          <w:tcPr>
            <w:tcW w:w="586" w:type="dxa"/>
            <w:tcMar>
              <w:left w:w="85" w:type="dxa"/>
              <w:right w:w="85" w:type="dxa"/>
            </w:tcMar>
            <w:vAlign w:val="center"/>
          </w:tcPr>
          <w:p w:rsidR="001716CA" w:rsidRPr="00BE4B7D" w:rsidRDefault="001716CA" w:rsidP="000D7E0A">
            <w:pPr>
              <w:jc w:val="center"/>
              <w:rPr>
                <w:lang w:val="it-IT"/>
              </w:rPr>
            </w:pPr>
          </w:p>
        </w:tc>
        <w:tc>
          <w:tcPr>
            <w:tcW w:w="573" w:type="dxa"/>
            <w:tcMar>
              <w:left w:w="108" w:type="dxa"/>
            </w:tcMar>
            <w:vAlign w:val="center"/>
          </w:tcPr>
          <w:p w:rsidR="001716CA" w:rsidRPr="00BE4B7D" w:rsidRDefault="001716CA" w:rsidP="000D7E0A">
            <w:pPr>
              <w:jc w:val="center"/>
              <w:rPr>
                <w:lang w:val="it-IT"/>
              </w:rPr>
            </w:pPr>
          </w:p>
        </w:tc>
        <w:tc>
          <w:tcPr>
            <w:tcW w:w="570" w:type="dxa"/>
            <w:tcMar>
              <w:left w:w="108" w:type="dxa"/>
            </w:tcMar>
            <w:vAlign w:val="center"/>
          </w:tcPr>
          <w:p w:rsidR="001716CA" w:rsidRPr="00BE4B7D" w:rsidRDefault="001716CA" w:rsidP="000D7E0A">
            <w:pPr>
              <w:jc w:val="center"/>
              <w:rPr>
                <w:lang w:val="it-IT"/>
              </w:rPr>
            </w:pPr>
          </w:p>
        </w:tc>
      </w:tr>
      <w:tr w:rsidR="001716CA" w:rsidRPr="00CC242B" w:rsidTr="000D7E0A">
        <w:trPr>
          <w:cantSplit/>
          <w:trHeight w:val="34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vAlign w:val="center"/>
          </w:tcPr>
          <w:p w:rsidR="001716CA" w:rsidRPr="00321DBA" w:rsidRDefault="001716CA" w:rsidP="000D7E0A">
            <w:pPr>
              <w:pStyle w:val="Titolo2"/>
              <w:rPr>
                <w:lang w:val="it-IT"/>
              </w:rPr>
            </w:pPr>
            <w:r w:rsidRPr="00321DBA">
              <w:rPr>
                <w:lang w:val="it-IT"/>
              </w:rPr>
              <w:t>Classificazione e contenuto delle voci</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CC242B" w:rsidTr="000D7E0A">
        <w:trPr>
          <w:cantSplit/>
          <w:trHeight w:val="20"/>
        </w:trPr>
        <w:tc>
          <w:tcPr>
            <w:tcW w:w="680" w:type="dxa"/>
          </w:tcPr>
          <w:p w:rsidR="001716CA" w:rsidRPr="007A41C5" w:rsidRDefault="001716CA" w:rsidP="000D7E0A">
            <w:pPr>
              <w:jc w:val="center"/>
              <w:rPr>
                <w:b/>
                <w:lang w:val="it-IT"/>
              </w:rPr>
            </w:pPr>
            <w:r w:rsidRPr="007A41C5">
              <w:rPr>
                <w:b/>
                <w:lang w:val="it-IT"/>
              </w:rPr>
              <w:t>1)</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Art. 2425 CC</w:t>
            </w:r>
            <w:r>
              <w:rPr>
                <w:lang w:val="it-IT"/>
              </w:rPr>
              <w:t xml:space="preserve"> </w:t>
            </w:r>
            <w:r w:rsidRPr="00321DBA">
              <w:rPr>
                <w:lang w:val="it-IT"/>
              </w:rPr>
              <w:t>OIC 26.14</w:t>
            </w:r>
            <w:r>
              <w:rPr>
                <w:lang w:val="it-IT"/>
              </w:rPr>
              <w:t xml:space="preserve">  </w:t>
            </w:r>
            <w:r w:rsidRPr="00321DBA">
              <w:rPr>
                <w:lang w:val="it-IT"/>
              </w:rPr>
              <w:t>OIC 26.15</w:t>
            </w:r>
          </w:p>
        </w:tc>
        <w:tc>
          <w:tcPr>
            <w:tcW w:w="7060" w:type="dxa"/>
            <w:tcMar>
              <w:left w:w="108" w:type="dxa"/>
            </w:tcMar>
          </w:tcPr>
          <w:p w:rsidR="001716CA" w:rsidRPr="00321DBA" w:rsidRDefault="001716CA" w:rsidP="000D7E0A">
            <w:pPr>
              <w:overflowPunct/>
              <w:autoSpaceDE/>
              <w:autoSpaceDN/>
              <w:adjustRightInd/>
              <w:spacing w:before="120" w:after="120" w:line="230" w:lineRule="exact"/>
              <w:textAlignment w:val="auto"/>
              <w:rPr>
                <w:lang w:val="it-IT"/>
              </w:rPr>
            </w:pPr>
            <w:r w:rsidRPr="00321DBA">
              <w:rPr>
                <w:rFonts w:cs="Arial"/>
                <w:lang w:val="it-IT"/>
              </w:rPr>
              <w:t>Nella voce C17-</w:t>
            </w:r>
            <w:r w:rsidRPr="00321DBA">
              <w:rPr>
                <w:rFonts w:cs="Arial"/>
                <w:i/>
                <w:lang w:val="it-IT"/>
              </w:rPr>
              <w:t>bis) “utili e perdite su cambi”</w:t>
            </w:r>
            <w:r w:rsidRPr="00321DBA">
              <w:rPr>
                <w:rFonts w:cs="Arial"/>
                <w:lang w:val="it-IT"/>
              </w:rPr>
              <w:t xml:space="preserve"> sono rilevati:</w:t>
            </w:r>
          </w:p>
        </w:tc>
        <w:tc>
          <w:tcPr>
            <w:tcW w:w="586" w:type="dxa"/>
            <w:tcMar>
              <w:left w:w="85" w:type="dxa"/>
              <w:right w:w="85" w:type="dxa"/>
            </w:tcMar>
            <w:vAlign w:val="center"/>
          </w:tcPr>
          <w:p w:rsidR="001716CA" w:rsidRPr="00A32A16" w:rsidRDefault="001716CA" w:rsidP="000D7E0A">
            <w:pPr>
              <w:jc w:val="center"/>
              <w:rPr>
                <w:lang w:val="it-IT"/>
              </w:rPr>
            </w:pPr>
          </w:p>
        </w:tc>
        <w:tc>
          <w:tcPr>
            <w:tcW w:w="573" w:type="dxa"/>
            <w:tcMar>
              <w:left w:w="108" w:type="dxa"/>
            </w:tcMar>
            <w:vAlign w:val="center"/>
          </w:tcPr>
          <w:p w:rsidR="001716CA" w:rsidRPr="00A32A16" w:rsidRDefault="001716CA" w:rsidP="000D7E0A">
            <w:pPr>
              <w:jc w:val="center"/>
              <w:rPr>
                <w:lang w:val="it-IT"/>
              </w:rPr>
            </w:pPr>
          </w:p>
        </w:tc>
        <w:tc>
          <w:tcPr>
            <w:tcW w:w="570" w:type="dxa"/>
            <w:tcMar>
              <w:left w:w="108" w:type="dxa"/>
            </w:tcMar>
            <w:vAlign w:val="center"/>
          </w:tcPr>
          <w:p w:rsidR="001716CA" w:rsidRPr="00A32A16" w:rsidRDefault="001716CA" w:rsidP="000D7E0A">
            <w:pPr>
              <w:jc w:val="center"/>
              <w:rPr>
                <w:lang w:val="it-IT"/>
              </w:rPr>
            </w:pPr>
          </w:p>
        </w:tc>
      </w:tr>
      <w:tr w:rsidR="001716CA" w:rsidRPr="00EB7502"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RDefault="001716CA" w:rsidP="00D908E1">
            <w:pPr>
              <w:pStyle w:val="rientrotrattinook"/>
              <w:tabs>
                <w:tab w:val="clear" w:pos="704"/>
              </w:tabs>
              <w:ind w:left="460" w:hanging="284"/>
            </w:pPr>
            <w:r w:rsidRPr="00321DBA">
              <w:t>gli utili e le perdite su cambi realizzati, derivanti dalla conversione di attività e passività in valuta regolate (cioè incassate o pagate) nell’esercizio, quale, ad esempio l’incasso di un credito?</w:t>
            </w:r>
          </w:p>
        </w:tc>
        <w:tc>
          <w:tcPr>
            <w:tcW w:w="586" w:type="dxa"/>
            <w:tcMar>
              <w:left w:w="85" w:type="dxa"/>
              <w:right w:w="85" w:type="dxa"/>
            </w:tcMar>
            <w:vAlign w:val="center"/>
          </w:tcPr>
          <w:p w:rsidR="001716CA" w:rsidRPr="00EB7502" w:rsidRDefault="001716CA" w:rsidP="000D7E0A">
            <w:pPr>
              <w:jc w:val="center"/>
              <w:rPr>
                <w:lang w:val="it-IT"/>
              </w:rPr>
            </w:pPr>
            <w:r>
              <w:fldChar w:fldCharType="begin">
                <w:ffData>
                  <w:name w:val="Check4"/>
                  <w:enabled/>
                  <w:calcOnExit w:val="0"/>
                  <w:checkBox>
                    <w:sizeAuto/>
                    <w:default w:val="0"/>
                  </w:checkBox>
                </w:ffData>
              </w:fldChar>
            </w:r>
            <w:r w:rsidRPr="00507160">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EB7502" w:rsidRDefault="001716CA" w:rsidP="000D7E0A">
            <w:pPr>
              <w:jc w:val="center"/>
              <w:rPr>
                <w:lang w:val="it-IT"/>
              </w:rPr>
            </w:pPr>
            <w:r>
              <w:fldChar w:fldCharType="begin">
                <w:ffData>
                  <w:name w:val="Check4"/>
                  <w:enabled/>
                  <w:calcOnExit w:val="0"/>
                  <w:checkBox>
                    <w:sizeAuto/>
                    <w:default w:val="0"/>
                  </w:checkBox>
                </w:ffData>
              </w:fldChar>
            </w:r>
            <w:r w:rsidRPr="00507160">
              <w:rPr>
                <w:lang w:val="it-IT"/>
              </w:rPr>
              <w:instrText xml:space="preserve"> FORMCHECKBOX </w:instrText>
            </w:r>
            <w:r w:rsidR="00CA1681">
              <w:fldChar w:fldCharType="separate"/>
            </w:r>
            <w:r>
              <w:fldChar w:fldCharType="end"/>
            </w:r>
          </w:p>
        </w:tc>
        <w:tc>
          <w:tcPr>
            <w:tcW w:w="570" w:type="dxa"/>
            <w:tcMar>
              <w:left w:w="108" w:type="dxa"/>
            </w:tcMar>
            <w:vAlign w:val="center"/>
          </w:tcPr>
          <w:p w:rsidR="001716CA" w:rsidRPr="00EB7502" w:rsidRDefault="001716CA" w:rsidP="000D7E0A">
            <w:pPr>
              <w:jc w:val="center"/>
              <w:rPr>
                <w:lang w:val="it-IT"/>
              </w:rPr>
            </w:pPr>
            <w:r>
              <w:fldChar w:fldCharType="begin">
                <w:ffData>
                  <w:name w:val="Check4"/>
                  <w:enabled/>
                  <w:calcOnExit w:val="0"/>
                  <w:checkBox>
                    <w:sizeAuto/>
                    <w:default w:val="0"/>
                  </w:checkBox>
                </w:ffData>
              </w:fldChar>
            </w:r>
            <w:r w:rsidRPr="00507160">
              <w:rPr>
                <w:lang w:val="it-IT"/>
              </w:rPr>
              <w:instrText xml:space="preserve"> FORMCHECKBOX </w:instrText>
            </w:r>
            <w:r w:rsidR="00CA1681">
              <w:fldChar w:fldCharType="separate"/>
            </w:r>
            <w:r>
              <w:fldChar w:fldCharType="end"/>
            </w:r>
          </w:p>
        </w:tc>
      </w:tr>
      <w:tr w:rsidR="001716CA" w:rsidRPr="00EB7502"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RDefault="001716CA" w:rsidP="00D908E1">
            <w:pPr>
              <w:pStyle w:val="rientrotrattinook"/>
              <w:tabs>
                <w:tab w:val="clear" w:pos="704"/>
              </w:tabs>
              <w:ind w:left="460" w:hanging="284"/>
            </w:pPr>
            <w:r w:rsidRPr="00321DBA">
              <w:t>gli utili e le perdite su cambi non realizzati, derivanti dalla conversione di attività e passività in valuta non ancora regolate alla data di chiusura dell’esercizio?</w:t>
            </w:r>
          </w:p>
        </w:tc>
        <w:tc>
          <w:tcPr>
            <w:tcW w:w="586" w:type="dxa"/>
            <w:tcMar>
              <w:left w:w="85" w:type="dxa"/>
              <w:right w:w="85" w:type="dxa"/>
            </w:tcMar>
            <w:vAlign w:val="center"/>
          </w:tcPr>
          <w:p w:rsidR="001716CA" w:rsidRPr="00EB7502" w:rsidRDefault="001716CA" w:rsidP="000D7E0A">
            <w:pPr>
              <w:jc w:val="center"/>
              <w:rPr>
                <w:lang w:val="it-IT"/>
              </w:rPr>
            </w:pPr>
            <w:r>
              <w:fldChar w:fldCharType="begin">
                <w:ffData>
                  <w:name w:val="Check4"/>
                  <w:enabled/>
                  <w:calcOnExit w:val="0"/>
                  <w:checkBox>
                    <w:sizeAuto/>
                    <w:default w:val="0"/>
                  </w:checkBox>
                </w:ffData>
              </w:fldChar>
            </w:r>
            <w:r w:rsidRPr="00507160">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EB7502" w:rsidRDefault="001716CA" w:rsidP="000D7E0A">
            <w:pPr>
              <w:jc w:val="center"/>
              <w:rPr>
                <w:lang w:val="it-IT"/>
              </w:rPr>
            </w:pPr>
            <w:r>
              <w:fldChar w:fldCharType="begin">
                <w:ffData>
                  <w:name w:val="Check4"/>
                  <w:enabled/>
                  <w:calcOnExit w:val="0"/>
                  <w:checkBox>
                    <w:sizeAuto/>
                    <w:default w:val="0"/>
                  </w:checkBox>
                </w:ffData>
              </w:fldChar>
            </w:r>
            <w:r w:rsidRPr="00507160">
              <w:rPr>
                <w:lang w:val="it-IT"/>
              </w:rPr>
              <w:instrText xml:space="preserve"> FORMCHECKBOX </w:instrText>
            </w:r>
            <w:r w:rsidR="00CA1681">
              <w:fldChar w:fldCharType="separate"/>
            </w:r>
            <w:r>
              <w:fldChar w:fldCharType="end"/>
            </w:r>
          </w:p>
        </w:tc>
        <w:tc>
          <w:tcPr>
            <w:tcW w:w="570" w:type="dxa"/>
            <w:tcMar>
              <w:left w:w="108" w:type="dxa"/>
            </w:tcMar>
            <w:vAlign w:val="center"/>
          </w:tcPr>
          <w:p w:rsidR="001716CA" w:rsidRPr="00EB7502" w:rsidRDefault="001716CA" w:rsidP="000D7E0A">
            <w:pPr>
              <w:jc w:val="center"/>
              <w:rPr>
                <w:lang w:val="it-IT"/>
              </w:rPr>
            </w:pPr>
            <w:r>
              <w:fldChar w:fldCharType="begin">
                <w:ffData>
                  <w:name w:val="Check4"/>
                  <w:enabled/>
                  <w:calcOnExit w:val="0"/>
                  <w:checkBox>
                    <w:sizeAuto/>
                    <w:default w:val="0"/>
                  </w:checkBox>
                </w:ffData>
              </w:fldChar>
            </w:r>
            <w:r w:rsidRPr="00507160">
              <w:rPr>
                <w:lang w:val="it-IT"/>
              </w:rPr>
              <w:instrText xml:space="preserve"> FORMCHECKBOX </w:instrText>
            </w:r>
            <w:r w:rsidR="00CA1681">
              <w:fldChar w:fldCharType="separate"/>
            </w:r>
            <w:r>
              <w:fldChar w:fldCharType="end"/>
            </w:r>
          </w:p>
        </w:tc>
      </w:tr>
      <w:tr w:rsidR="001716CA" w:rsidRPr="00993132" w:rsidTr="000D7E0A">
        <w:trPr>
          <w:cantSplit/>
          <w:trHeight w:val="20"/>
        </w:trPr>
        <w:tc>
          <w:tcPr>
            <w:tcW w:w="680" w:type="dxa"/>
          </w:tcPr>
          <w:p w:rsidR="001716CA" w:rsidRPr="007A41C5" w:rsidRDefault="001716CA" w:rsidP="000D7E0A">
            <w:pPr>
              <w:jc w:val="center"/>
              <w:rPr>
                <w:b/>
                <w:lang w:val="it-IT"/>
              </w:rPr>
            </w:pPr>
            <w:r w:rsidRPr="007A41C5">
              <w:rPr>
                <w:b/>
                <w:lang w:val="it-IT"/>
              </w:rPr>
              <w:t>2)</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Art. 2426 CC</w:t>
            </w:r>
            <w:r>
              <w:rPr>
                <w:lang w:val="it-IT"/>
              </w:rPr>
              <w:t xml:space="preserve"> </w:t>
            </w:r>
            <w:r w:rsidRPr="00321DBA">
              <w:rPr>
                <w:lang w:val="it-IT"/>
              </w:rPr>
              <w:t>OIC 26.17</w:t>
            </w:r>
          </w:p>
        </w:tc>
        <w:tc>
          <w:tcPr>
            <w:tcW w:w="7060" w:type="dxa"/>
            <w:tcMar>
              <w:left w:w="108" w:type="dxa"/>
            </w:tcMar>
          </w:tcPr>
          <w:p w:rsidR="001716CA" w:rsidRPr="00321DBA" w:rsidRDefault="001716CA" w:rsidP="000D7E0A">
            <w:pPr>
              <w:spacing w:line="230" w:lineRule="exact"/>
              <w:rPr>
                <w:lang w:val="it-IT"/>
              </w:rPr>
            </w:pPr>
            <w:r w:rsidRPr="00321DBA">
              <w:rPr>
                <w:lang w:val="it-IT"/>
              </w:rPr>
              <w:t xml:space="preserve">Gli utili netti non realizzati su cambi sono iscritti nella voce “Riserva utili su cambi” delle Altre riserve del patrimonio netto in sede di destinazione dell’utile dell’esercizio? </w:t>
            </w:r>
          </w:p>
        </w:tc>
        <w:tc>
          <w:tcPr>
            <w:tcW w:w="586" w:type="dxa"/>
            <w:tcMar>
              <w:left w:w="85" w:type="dxa"/>
              <w:right w:w="85"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993132">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993132">
              <w:rPr>
                <w:lang w:val="it-IT"/>
              </w:rPr>
              <w:instrText xml:space="preserve"> FORMCHECKBOX </w:instrText>
            </w:r>
            <w:r w:rsidR="00CA1681">
              <w:fldChar w:fldCharType="separate"/>
            </w:r>
            <w:r>
              <w:fldChar w:fldCharType="end"/>
            </w:r>
          </w:p>
        </w:tc>
        <w:tc>
          <w:tcPr>
            <w:tcW w:w="570"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993132">
              <w:rPr>
                <w:lang w:val="it-IT"/>
              </w:rPr>
              <w:instrText xml:space="preserve"> FORMCHECKBOX </w:instrText>
            </w:r>
            <w:r w:rsidR="00CA1681">
              <w:fldChar w:fldCharType="separate"/>
            </w:r>
            <w:r>
              <w:fldChar w:fldCharType="end"/>
            </w:r>
          </w:p>
        </w:tc>
      </w:tr>
      <w:tr w:rsidR="001716CA" w:rsidRPr="00764A71" w:rsidTr="000D7E0A">
        <w:trPr>
          <w:cantSplit/>
          <w:trHeight w:val="20"/>
        </w:trPr>
        <w:tc>
          <w:tcPr>
            <w:tcW w:w="680" w:type="dxa"/>
          </w:tcPr>
          <w:p w:rsidR="001716CA" w:rsidRPr="007A41C5" w:rsidRDefault="001716CA" w:rsidP="000D7E0A">
            <w:pPr>
              <w:jc w:val="center"/>
              <w:rPr>
                <w:b/>
                <w:highlight w:val="magenta"/>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vAlign w:val="center"/>
          </w:tcPr>
          <w:p w:rsidR="001716CA" w:rsidRPr="00321DBA" w:rsidRDefault="001716CA" w:rsidP="000D7E0A">
            <w:pPr>
              <w:pStyle w:val="Titolo3"/>
              <w:jc w:val="left"/>
              <w:rPr>
                <w:lang w:val="it-IT"/>
              </w:rPr>
            </w:pPr>
            <w:r>
              <w:rPr>
                <w:lang w:val="it-IT"/>
              </w:rPr>
              <w:t>Bilancio in forma abbreviata</w:t>
            </w:r>
          </w:p>
        </w:tc>
        <w:tc>
          <w:tcPr>
            <w:tcW w:w="586" w:type="dxa"/>
            <w:tcMar>
              <w:left w:w="85" w:type="dxa"/>
              <w:right w:w="85" w:type="dxa"/>
            </w:tcMar>
            <w:vAlign w:val="center"/>
          </w:tcPr>
          <w:p w:rsidR="001716CA" w:rsidRPr="00E63D67" w:rsidRDefault="001716CA" w:rsidP="000D7E0A">
            <w:pPr>
              <w:jc w:val="center"/>
              <w:rPr>
                <w:lang w:val="it-IT"/>
              </w:rPr>
            </w:pPr>
          </w:p>
        </w:tc>
        <w:tc>
          <w:tcPr>
            <w:tcW w:w="573" w:type="dxa"/>
            <w:tcMar>
              <w:left w:w="108" w:type="dxa"/>
            </w:tcMar>
            <w:vAlign w:val="center"/>
          </w:tcPr>
          <w:p w:rsidR="001716CA" w:rsidRPr="00E63D67" w:rsidRDefault="001716CA" w:rsidP="000D7E0A">
            <w:pPr>
              <w:jc w:val="center"/>
              <w:rPr>
                <w:lang w:val="it-IT"/>
              </w:rPr>
            </w:pPr>
          </w:p>
        </w:tc>
        <w:tc>
          <w:tcPr>
            <w:tcW w:w="570" w:type="dxa"/>
            <w:tcMar>
              <w:left w:w="108" w:type="dxa"/>
            </w:tcMar>
            <w:vAlign w:val="center"/>
          </w:tcPr>
          <w:p w:rsidR="001716CA" w:rsidRPr="00E63D67" w:rsidRDefault="001716CA" w:rsidP="000D7E0A">
            <w:pPr>
              <w:jc w:val="center"/>
              <w:rPr>
                <w:lang w:val="it-IT"/>
              </w:rPr>
            </w:pPr>
          </w:p>
        </w:tc>
      </w:tr>
      <w:tr w:rsidR="001716CA" w:rsidRPr="00993132" w:rsidTr="000D7E0A">
        <w:trPr>
          <w:cantSplit/>
          <w:trHeight w:val="20"/>
        </w:trPr>
        <w:tc>
          <w:tcPr>
            <w:tcW w:w="680" w:type="dxa"/>
          </w:tcPr>
          <w:p w:rsidR="001716CA" w:rsidRPr="007A41C5" w:rsidRDefault="001716CA" w:rsidP="000D7E0A">
            <w:pPr>
              <w:jc w:val="center"/>
              <w:rPr>
                <w:b/>
                <w:lang w:val="it-IT"/>
              </w:rPr>
            </w:pPr>
            <w:r w:rsidRPr="007A41C5">
              <w:rPr>
                <w:b/>
                <w:lang w:val="it-IT"/>
              </w:rPr>
              <w:t>3)</w:t>
            </w:r>
          </w:p>
        </w:tc>
        <w:tc>
          <w:tcPr>
            <w:tcW w:w="851" w:type="dxa"/>
            <w:tcMar>
              <w:left w:w="108" w:type="dxa"/>
              <w:right w:w="0" w:type="dxa"/>
            </w:tcMar>
          </w:tcPr>
          <w:p w:rsidR="001716CA" w:rsidRPr="001716CA" w:rsidRDefault="001716CA" w:rsidP="000D7E0A">
            <w:pPr>
              <w:pStyle w:val="PrincCont"/>
              <w:jc w:val="left"/>
            </w:pPr>
            <w:r w:rsidRPr="00BC6C3D">
              <w:t>Art. 2435-bis</w:t>
            </w:r>
            <w:r>
              <w:t xml:space="preserve"> CC              </w:t>
            </w:r>
            <w:r w:rsidRPr="00BC6C3D">
              <w:t>Art. 2435-ter</w:t>
            </w:r>
            <w:r>
              <w:t xml:space="preserve"> CC             </w:t>
            </w:r>
            <w:r w:rsidRPr="00BC6C3D">
              <w:t>OIC 26.18</w:t>
            </w:r>
            <w:r>
              <w:t xml:space="preserve">  </w:t>
            </w:r>
            <w:r w:rsidRPr="001716CA">
              <w:t>OIC 26.19</w:t>
            </w:r>
          </w:p>
        </w:tc>
        <w:tc>
          <w:tcPr>
            <w:tcW w:w="7060" w:type="dxa"/>
            <w:tcMar>
              <w:left w:w="108" w:type="dxa"/>
            </w:tcMar>
          </w:tcPr>
          <w:p w:rsidR="001716CA" w:rsidRPr="00321DBA" w:rsidRDefault="001716CA" w:rsidP="000D7E0A">
            <w:pPr>
              <w:spacing w:line="230" w:lineRule="exact"/>
              <w:rPr>
                <w:lang w:val="it-IT"/>
              </w:rPr>
            </w:pPr>
            <w:r w:rsidRPr="00321DBA">
              <w:rPr>
                <w:lang w:val="it-IT"/>
              </w:rPr>
              <w:t xml:space="preserve">Le società che redigono il blancio in forma abbreviata </w:t>
            </w:r>
            <w:r>
              <w:rPr>
                <w:lang w:val="it-IT"/>
              </w:rPr>
              <w:t xml:space="preserve">e le micro-imprese </w:t>
            </w:r>
            <w:r w:rsidRPr="00321DBA">
              <w:rPr>
                <w:lang w:val="it-IT"/>
              </w:rPr>
              <w:t>presentano, nel conto economico, la voce C17-</w:t>
            </w:r>
            <w:r w:rsidRPr="00321DBA">
              <w:rPr>
                <w:i/>
                <w:lang w:val="it-IT"/>
              </w:rPr>
              <w:t>bis</w:t>
            </w:r>
            <w:r w:rsidRPr="00321DBA">
              <w:rPr>
                <w:lang w:val="it-IT"/>
              </w:rPr>
              <w:t>) “</w:t>
            </w:r>
            <w:r w:rsidRPr="00321DBA">
              <w:rPr>
                <w:i/>
                <w:lang w:val="it-IT"/>
              </w:rPr>
              <w:t>utili e perdite su cambi</w:t>
            </w:r>
            <w:r>
              <w:rPr>
                <w:i/>
                <w:lang w:val="it-IT"/>
              </w:rPr>
              <w:t>”</w:t>
            </w:r>
            <w:r w:rsidRPr="00321DBA">
              <w:rPr>
                <w:lang w:val="it-IT"/>
              </w:rPr>
              <w:t>?</w:t>
            </w:r>
          </w:p>
        </w:tc>
        <w:tc>
          <w:tcPr>
            <w:tcW w:w="586" w:type="dxa"/>
            <w:tcMar>
              <w:left w:w="85" w:type="dxa"/>
              <w:right w:w="85" w:type="dxa"/>
            </w:tcMar>
            <w:vAlign w:val="center"/>
          </w:tcPr>
          <w:p w:rsidR="001716CA" w:rsidRPr="005C68E3" w:rsidRDefault="001716CA" w:rsidP="000D7E0A">
            <w:pPr>
              <w:jc w:val="center"/>
              <w:rPr>
                <w:lang w:val="it-IT"/>
              </w:rPr>
            </w:pPr>
            <w:r>
              <w:fldChar w:fldCharType="begin">
                <w:ffData>
                  <w:name w:val="Check4"/>
                  <w:enabled/>
                  <w:calcOnExit w:val="0"/>
                  <w:checkBox>
                    <w:sizeAuto/>
                    <w:default w:val="0"/>
                  </w:checkBox>
                </w:ffData>
              </w:fldChar>
            </w:r>
            <w:r w:rsidRPr="00993132">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5C68E3" w:rsidRDefault="001716CA" w:rsidP="000D7E0A">
            <w:pPr>
              <w:jc w:val="center"/>
              <w:rPr>
                <w:lang w:val="it-IT"/>
              </w:rPr>
            </w:pPr>
            <w:r>
              <w:fldChar w:fldCharType="begin">
                <w:ffData>
                  <w:name w:val="Check4"/>
                  <w:enabled/>
                  <w:calcOnExit w:val="0"/>
                  <w:checkBox>
                    <w:sizeAuto/>
                    <w:default w:val="0"/>
                  </w:checkBox>
                </w:ffData>
              </w:fldChar>
            </w:r>
            <w:r w:rsidRPr="00993132">
              <w:rPr>
                <w:lang w:val="it-IT"/>
              </w:rPr>
              <w:instrText xml:space="preserve"> FORMCHECKBOX </w:instrText>
            </w:r>
            <w:r w:rsidR="00CA1681">
              <w:fldChar w:fldCharType="separate"/>
            </w:r>
            <w:r>
              <w:fldChar w:fldCharType="end"/>
            </w:r>
          </w:p>
        </w:tc>
        <w:tc>
          <w:tcPr>
            <w:tcW w:w="570" w:type="dxa"/>
            <w:tcMar>
              <w:left w:w="108" w:type="dxa"/>
            </w:tcMar>
            <w:vAlign w:val="center"/>
          </w:tcPr>
          <w:p w:rsidR="001716CA" w:rsidRPr="005C68E3" w:rsidRDefault="001716CA" w:rsidP="000D7E0A">
            <w:pPr>
              <w:jc w:val="center"/>
              <w:rPr>
                <w:lang w:val="it-IT"/>
              </w:rPr>
            </w:pPr>
            <w:r>
              <w:fldChar w:fldCharType="begin">
                <w:ffData>
                  <w:name w:val="Check4"/>
                  <w:enabled/>
                  <w:calcOnExit w:val="0"/>
                  <w:checkBox>
                    <w:sizeAuto/>
                    <w:default w:val="0"/>
                  </w:checkBox>
                </w:ffData>
              </w:fldChar>
            </w:r>
            <w:r w:rsidRPr="00993132">
              <w:rPr>
                <w:lang w:val="it-IT"/>
              </w:rPr>
              <w:instrText xml:space="preserve"> FORMCHECKBOX </w:instrText>
            </w:r>
            <w:r w:rsidR="00CA1681">
              <w:fldChar w:fldCharType="separate"/>
            </w:r>
            <w:r>
              <w:fldChar w:fldCharType="end"/>
            </w:r>
          </w:p>
        </w:tc>
      </w:tr>
      <w:tr w:rsidR="001716CA" w:rsidRPr="00993132"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RDefault="001716CA" w:rsidP="000D7E0A">
            <w:pPr>
              <w:pStyle w:val="Titolo2"/>
              <w:rPr>
                <w:lang w:val="it-IT"/>
              </w:rPr>
            </w:pPr>
            <w:r w:rsidRPr="00321DBA">
              <w:rPr>
                <w:lang w:val="it-IT"/>
              </w:rPr>
              <w:t>Rilevazione iniziale</w:t>
            </w:r>
          </w:p>
        </w:tc>
        <w:tc>
          <w:tcPr>
            <w:tcW w:w="586" w:type="dxa"/>
            <w:tcMar>
              <w:left w:w="85" w:type="dxa"/>
              <w:right w:w="85" w:type="dxa"/>
            </w:tcMar>
            <w:vAlign w:val="center"/>
          </w:tcPr>
          <w:p w:rsidR="001716CA" w:rsidRPr="00A32A16" w:rsidRDefault="001716CA" w:rsidP="000D7E0A">
            <w:pPr>
              <w:jc w:val="center"/>
              <w:rPr>
                <w:lang w:val="it-IT"/>
              </w:rPr>
            </w:pPr>
          </w:p>
        </w:tc>
        <w:tc>
          <w:tcPr>
            <w:tcW w:w="573" w:type="dxa"/>
            <w:tcMar>
              <w:left w:w="108" w:type="dxa"/>
            </w:tcMar>
            <w:vAlign w:val="center"/>
          </w:tcPr>
          <w:p w:rsidR="001716CA" w:rsidRPr="00A32A16" w:rsidRDefault="001716CA" w:rsidP="000D7E0A">
            <w:pPr>
              <w:jc w:val="center"/>
              <w:rPr>
                <w:lang w:val="it-IT"/>
              </w:rPr>
            </w:pPr>
          </w:p>
        </w:tc>
        <w:tc>
          <w:tcPr>
            <w:tcW w:w="570" w:type="dxa"/>
            <w:tcMar>
              <w:left w:w="108" w:type="dxa"/>
            </w:tcMar>
            <w:vAlign w:val="center"/>
          </w:tcPr>
          <w:p w:rsidR="001716CA" w:rsidRPr="00A32A16" w:rsidRDefault="001716CA" w:rsidP="000D7E0A">
            <w:pPr>
              <w:jc w:val="center"/>
              <w:rPr>
                <w:lang w:val="it-IT"/>
              </w:rPr>
            </w:pPr>
          </w:p>
        </w:tc>
      </w:tr>
      <w:tr w:rsidR="001716CA" w:rsidRPr="00931CD2" w:rsidTr="000D7E0A">
        <w:trPr>
          <w:cantSplit/>
          <w:trHeight w:val="20"/>
        </w:trPr>
        <w:tc>
          <w:tcPr>
            <w:tcW w:w="680" w:type="dxa"/>
          </w:tcPr>
          <w:p w:rsidR="001716CA" w:rsidRPr="007A41C5" w:rsidRDefault="001716CA" w:rsidP="000D7E0A">
            <w:pPr>
              <w:jc w:val="center"/>
              <w:rPr>
                <w:b/>
                <w:lang w:val="it-IT"/>
              </w:rPr>
            </w:pPr>
            <w:r w:rsidRPr="007A41C5">
              <w:rPr>
                <w:b/>
                <w:lang w:val="it-IT"/>
              </w:rPr>
              <w:t>4)</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Art. 2425-bis CC</w:t>
            </w:r>
            <w:r>
              <w:rPr>
                <w:lang w:val="it-IT"/>
              </w:rPr>
              <w:t xml:space="preserve">             </w:t>
            </w:r>
            <w:r w:rsidRPr="00321DBA">
              <w:rPr>
                <w:lang w:val="it-IT"/>
              </w:rPr>
              <w:t>OIC 26.20</w:t>
            </w:r>
          </w:p>
        </w:tc>
        <w:tc>
          <w:tcPr>
            <w:tcW w:w="7060" w:type="dxa"/>
            <w:tcMar>
              <w:left w:w="108" w:type="dxa"/>
            </w:tcMar>
          </w:tcPr>
          <w:p w:rsidR="001716CA" w:rsidRPr="00321DBA" w:rsidRDefault="001716CA" w:rsidP="000D7E0A">
            <w:pPr>
              <w:spacing w:line="230" w:lineRule="exact"/>
              <w:rPr>
                <w:lang w:val="it-IT"/>
              </w:rPr>
            </w:pPr>
            <w:r w:rsidRPr="00321DBA">
              <w:rPr>
                <w:lang w:val="it-IT"/>
              </w:rPr>
              <w:t>I ricavi e i proventi, i costi e gli oneri relativi ad operazioni in valuta sono rilevati al cambio corrente alla data nella quale la relativa operazione è compiuta, individuato come il tasso di cambio a pronti alla data dell’operazione?</w:t>
            </w:r>
          </w:p>
        </w:tc>
        <w:tc>
          <w:tcPr>
            <w:tcW w:w="586" w:type="dxa"/>
            <w:tcMar>
              <w:left w:w="85" w:type="dxa"/>
              <w:right w:w="85"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1716CA" w:rsidRPr="00931CD2" w:rsidTr="000D7E0A">
        <w:trPr>
          <w:cantSplit/>
          <w:trHeight w:val="20"/>
        </w:trPr>
        <w:tc>
          <w:tcPr>
            <w:tcW w:w="680" w:type="dxa"/>
          </w:tcPr>
          <w:p w:rsidR="001716CA" w:rsidRPr="007A41C5" w:rsidRDefault="001716CA" w:rsidP="000D7E0A">
            <w:pPr>
              <w:jc w:val="center"/>
              <w:rPr>
                <w:b/>
                <w:lang w:val="it-IT"/>
              </w:rPr>
            </w:pPr>
            <w:r w:rsidRPr="007A41C5">
              <w:rPr>
                <w:b/>
                <w:lang w:val="it-IT"/>
              </w:rPr>
              <w:t>5)</w:t>
            </w:r>
          </w:p>
        </w:tc>
        <w:tc>
          <w:tcPr>
            <w:tcW w:w="851" w:type="dxa"/>
            <w:tcMar>
              <w:left w:w="108" w:type="dxa"/>
              <w:right w:w="0" w:type="dxa"/>
            </w:tcMar>
          </w:tcPr>
          <w:p w:rsidR="001716CA" w:rsidRPr="00D745F7" w:rsidRDefault="001716CA" w:rsidP="000D7E0A">
            <w:pPr>
              <w:pStyle w:val="PrincCont"/>
              <w:jc w:val="left"/>
              <w:rPr>
                <w:lang w:val="it-IT"/>
              </w:rPr>
            </w:pPr>
            <w:r w:rsidRPr="00321DBA">
              <w:rPr>
                <w:lang w:val="it-IT"/>
              </w:rPr>
              <w:t>OIC 26.21</w:t>
            </w:r>
          </w:p>
        </w:tc>
        <w:tc>
          <w:tcPr>
            <w:tcW w:w="7060" w:type="dxa"/>
            <w:tcMar>
              <w:left w:w="108" w:type="dxa"/>
            </w:tcMar>
          </w:tcPr>
          <w:p w:rsidR="001716CA" w:rsidRPr="00321DBA" w:rsidRDefault="001716CA" w:rsidP="000D7E0A">
            <w:pPr>
              <w:spacing w:line="230" w:lineRule="exact"/>
              <w:rPr>
                <w:lang w:val="it-IT"/>
              </w:rPr>
            </w:pPr>
            <w:r w:rsidRPr="00321DBA">
              <w:rPr>
                <w:lang w:val="it-IT"/>
              </w:rPr>
              <w:t>Le attività e passività derivanti da un’operazione in valuta estera sono rilevate inizialmente in euro, applicando all’importo in valuta estera il tasso di cambio a pronti tra l’euro e la valuta estera in vigore alla data dell’operazione?</w:t>
            </w:r>
          </w:p>
        </w:tc>
        <w:tc>
          <w:tcPr>
            <w:tcW w:w="586" w:type="dxa"/>
            <w:tcMar>
              <w:left w:w="85" w:type="dxa"/>
              <w:right w:w="85"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1716CA" w:rsidRPr="00CC242B"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D745F7" w:rsidRDefault="001716CA" w:rsidP="000D7E0A">
            <w:pPr>
              <w:pStyle w:val="PrincCont"/>
              <w:jc w:val="left"/>
              <w:rPr>
                <w:lang w:val="it-IT"/>
              </w:rPr>
            </w:pPr>
            <w:r w:rsidRPr="00321DBA">
              <w:rPr>
                <w:lang w:val="it-IT"/>
              </w:rPr>
              <w:t>OIC 26.22</w:t>
            </w:r>
          </w:p>
        </w:tc>
        <w:tc>
          <w:tcPr>
            <w:tcW w:w="7060" w:type="dxa"/>
            <w:tcMar>
              <w:left w:w="108" w:type="dxa"/>
            </w:tcMar>
          </w:tcPr>
          <w:p w:rsidR="001716CA" w:rsidRPr="00321DBA" w:rsidRDefault="001716CA" w:rsidP="000D7E0A">
            <w:pPr>
              <w:pStyle w:val="Commentiriquadro"/>
              <w:rPr>
                <w:lang w:eastAsia="it-IT"/>
              </w:rPr>
            </w:pPr>
            <w:r w:rsidRPr="00321DBA">
              <w:rPr>
                <w:lang w:eastAsia="it-IT"/>
              </w:rPr>
              <w:t>La data dell’operazione rappresenta il momento in cui l’operazione si qualifica per la rilevazione iniziale, secondo quanto previsto dai singoli principi contabili OIC in base al principio di competenza (ad esempio, un debito finanziario si rileva inizialmente quando sorge l'obbligazione della società verso la controparte.</w:t>
            </w:r>
          </w:p>
        </w:tc>
        <w:tc>
          <w:tcPr>
            <w:tcW w:w="586" w:type="dxa"/>
            <w:tcMar>
              <w:left w:w="85" w:type="dxa"/>
              <w:right w:w="85" w:type="dxa"/>
            </w:tcMar>
            <w:vAlign w:val="center"/>
          </w:tcPr>
          <w:p w:rsidR="001716CA" w:rsidRPr="00DE38DC" w:rsidRDefault="001716CA" w:rsidP="000D7E0A">
            <w:pPr>
              <w:jc w:val="center"/>
              <w:rPr>
                <w:lang w:val="it-IT"/>
              </w:rPr>
            </w:pPr>
          </w:p>
        </w:tc>
        <w:tc>
          <w:tcPr>
            <w:tcW w:w="573" w:type="dxa"/>
            <w:tcMar>
              <w:left w:w="108" w:type="dxa"/>
            </w:tcMar>
            <w:vAlign w:val="center"/>
          </w:tcPr>
          <w:p w:rsidR="001716CA" w:rsidRPr="00DE38DC" w:rsidRDefault="001716CA" w:rsidP="000D7E0A">
            <w:pPr>
              <w:jc w:val="center"/>
              <w:rPr>
                <w:lang w:val="it-IT"/>
              </w:rPr>
            </w:pPr>
          </w:p>
        </w:tc>
        <w:tc>
          <w:tcPr>
            <w:tcW w:w="570" w:type="dxa"/>
            <w:tcMar>
              <w:left w:w="108" w:type="dxa"/>
            </w:tcMar>
            <w:vAlign w:val="center"/>
          </w:tcPr>
          <w:p w:rsidR="001716CA" w:rsidRPr="00DE38DC" w:rsidRDefault="001716CA" w:rsidP="000D7E0A">
            <w:pPr>
              <w:jc w:val="center"/>
              <w:rPr>
                <w:lang w:val="it-IT"/>
              </w:rPr>
            </w:pPr>
          </w:p>
        </w:tc>
      </w:tr>
      <w:tr w:rsidR="001716CA" w:rsidRPr="00F0679B"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RDefault="001716CA" w:rsidP="000D7E0A">
            <w:pPr>
              <w:pStyle w:val="Titolo2"/>
              <w:rPr>
                <w:lang w:val="it-IT"/>
              </w:rPr>
            </w:pPr>
            <w:r w:rsidRPr="00321DBA">
              <w:rPr>
                <w:lang w:val="it-IT"/>
              </w:rPr>
              <w:t>Valutazion</w:t>
            </w:r>
            <w:r>
              <w:rPr>
                <w:lang w:val="it-IT"/>
              </w:rPr>
              <w:t xml:space="preserve">e </w:t>
            </w:r>
            <w:r w:rsidRPr="00321DBA">
              <w:rPr>
                <w:lang w:val="it-IT"/>
              </w:rPr>
              <w:t>e rilevazioni successive</w:t>
            </w:r>
          </w:p>
        </w:tc>
        <w:tc>
          <w:tcPr>
            <w:tcW w:w="586" w:type="dxa"/>
            <w:tcMar>
              <w:left w:w="85" w:type="dxa"/>
              <w:right w:w="85" w:type="dxa"/>
            </w:tcMar>
            <w:vAlign w:val="center"/>
          </w:tcPr>
          <w:p w:rsidR="001716CA" w:rsidRPr="00A32A16" w:rsidRDefault="001716CA" w:rsidP="000D7E0A">
            <w:pPr>
              <w:jc w:val="center"/>
              <w:rPr>
                <w:lang w:val="it-IT"/>
              </w:rPr>
            </w:pPr>
          </w:p>
        </w:tc>
        <w:tc>
          <w:tcPr>
            <w:tcW w:w="573" w:type="dxa"/>
            <w:tcMar>
              <w:left w:w="108" w:type="dxa"/>
            </w:tcMar>
            <w:vAlign w:val="center"/>
          </w:tcPr>
          <w:p w:rsidR="001716CA" w:rsidRPr="00A32A16" w:rsidRDefault="001716CA" w:rsidP="000D7E0A">
            <w:pPr>
              <w:jc w:val="center"/>
              <w:rPr>
                <w:lang w:val="it-IT"/>
              </w:rPr>
            </w:pPr>
          </w:p>
        </w:tc>
        <w:tc>
          <w:tcPr>
            <w:tcW w:w="570" w:type="dxa"/>
            <w:tcMar>
              <w:left w:w="108" w:type="dxa"/>
            </w:tcMar>
            <w:vAlign w:val="center"/>
          </w:tcPr>
          <w:p w:rsidR="001716CA" w:rsidRPr="00A32A16" w:rsidRDefault="001716CA" w:rsidP="000D7E0A">
            <w:pPr>
              <w:jc w:val="center"/>
              <w:rPr>
                <w:lang w:val="it-IT"/>
              </w:rPr>
            </w:pPr>
          </w:p>
        </w:tc>
      </w:tr>
      <w:tr w:rsidR="001716CA" w:rsidRPr="00CC242B"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jc w:val="left"/>
            </w:pPr>
          </w:p>
        </w:tc>
        <w:tc>
          <w:tcPr>
            <w:tcW w:w="7060" w:type="dxa"/>
            <w:tcMar>
              <w:left w:w="108" w:type="dxa"/>
            </w:tcMar>
          </w:tcPr>
          <w:p w:rsidR="001716CA" w:rsidRPr="00321DBA" w:rsidRDefault="001716CA" w:rsidP="000D7E0A">
            <w:pPr>
              <w:pStyle w:val="Titolo3"/>
              <w:rPr>
                <w:lang w:val="it-IT"/>
              </w:rPr>
            </w:pPr>
            <w:r w:rsidRPr="00321DBA">
              <w:rPr>
                <w:lang w:val="it-IT"/>
              </w:rPr>
              <w:t>Conversione delle poste monetarie in valuta estera</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DC1F77" w:rsidRDefault="001716CA" w:rsidP="000D7E0A">
            <w:pPr>
              <w:jc w:val="center"/>
              <w:rPr>
                <w:lang w:val="it-IT"/>
              </w:rPr>
            </w:pPr>
          </w:p>
        </w:tc>
        <w:tc>
          <w:tcPr>
            <w:tcW w:w="570" w:type="dxa"/>
            <w:tcMar>
              <w:left w:w="108" w:type="dxa"/>
            </w:tcMar>
            <w:vAlign w:val="center"/>
          </w:tcPr>
          <w:p w:rsidR="001716CA" w:rsidRPr="00DC1F77" w:rsidRDefault="001716CA" w:rsidP="000D7E0A">
            <w:pPr>
              <w:jc w:val="center"/>
              <w:rPr>
                <w:lang w:val="it-IT"/>
              </w:rPr>
            </w:pPr>
          </w:p>
        </w:tc>
      </w:tr>
      <w:tr w:rsidR="001716CA" w:rsidRPr="007A1E5D" w:rsidTr="000D7E0A">
        <w:trPr>
          <w:cantSplit/>
          <w:trHeight w:val="20"/>
        </w:trPr>
        <w:tc>
          <w:tcPr>
            <w:tcW w:w="680" w:type="dxa"/>
          </w:tcPr>
          <w:p w:rsidR="001716CA" w:rsidRPr="007A41C5" w:rsidRDefault="001716CA" w:rsidP="000D7E0A">
            <w:pPr>
              <w:jc w:val="center"/>
              <w:rPr>
                <w:b/>
                <w:lang w:val="it-IT"/>
              </w:rPr>
            </w:pPr>
            <w:r w:rsidRPr="007A41C5">
              <w:rPr>
                <w:b/>
                <w:lang w:val="it-IT"/>
              </w:rPr>
              <w:t>6)</w:t>
            </w:r>
          </w:p>
        </w:tc>
        <w:tc>
          <w:tcPr>
            <w:tcW w:w="851" w:type="dxa"/>
            <w:tcMar>
              <w:left w:w="108" w:type="dxa"/>
              <w:right w:w="0" w:type="dxa"/>
            </w:tcMar>
          </w:tcPr>
          <w:p w:rsidR="001716CA" w:rsidRPr="00321DBA" w:rsidRDefault="001716CA" w:rsidP="000D7E0A">
            <w:pPr>
              <w:spacing w:before="40" w:line="240" w:lineRule="auto"/>
              <w:jc w:val="left"/>
              <w:rPr>
                <w:lang w:val="it-IT"/>
              </w:rPr>
            </w:pPr>
            <w:r w:rsidRPr="00321DBA">
              <w:rPr>
                <w:sz w:val="13"/>
                <w:szCs w:val="13"/>
                <w:lang w:val="it-IT"/>
              </w:rPr>
              <w:t>OIC 26.26</w:t>
            </w:r>
            <w:r>
              <w:rPr>
                <w:sz w:val="13"/>
                <w:szCs w:val="13"/>
                <w:lang w:val="it-IT"/>
              </w:rPr>
              <w:t xml:space="preserve">   </w:t>
            </w:r>
            <w:r w:rsidRPr="00321DBA">
              <w:rPr>
                <w:sz w:val="13"/>
                <w:szCs w:val="13"/>
                <w:lang w:val="it-IT"/>
              </w:rPr>
              <w:t>OIC</w:t>
            </w:r>
            <w:r>
              <w:rPr>
                <w:sz w:val="13"/>
                <w:szCs w:val="13"/>
                <w:lang w:val="it-IT"/>
              </w:rPr>
              <w:t xml:space="preserve"> </w:t>
            </w:r>
            <w:r w:rsidRPr="00321DBA">
              <w:rPr>
                <w:sz w:val="13"/>
                <w:szCs w:val="13"/>
                <w:lang w:val="it-IT"/>
              </w:rPr>
              <w:t>26.27</w:t>
            </w:r>
          </w:p>
        </w:tc>
        <w:tc>
          <w:tcPr>
            <w:tcW w:w="7060" w:type="dxa"/>
            <w:tcMar>
              <w:left w:w="108" w:type="dxa"/>
            </w:tcMar>
          </w:tcPr>
          <w:p w:rsidR="001716CA" w:rsidRPr="00321DBA" w:rsidRDefault="001716CA" w:rsidP="000D7E0A">
            <w:pPr>
              <w:spacing w:line="230" w:lineRule="exact"/>
              <w:rPr>
                <w:lang w:val="it-IT"/>
              </w:rPr>
            </w:pPr>
            <w:r w:rsidRPr="00321DBA">
              <w:rPr>
                <w:lang w:val="it-IT"/>
              </w:rPr>
              <w:t>Le poste monetarie in valuta sono convertite in bilancio al tasso di cambio a pronti alla data di chiusura dell’esercizio e i relativi utili e perdite su cambi, che emergono in caso di variazioni intervenute tra il tasso a pronti al momento della rilevazione iniziale dell’operazione (o all’inizio dell’esercizio, se rilevata in esercizi precedenti) e quello alla fine dell’esercizio, sono imputati al conto economico dell’esercizio?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7)</w:t>
            </w:r>
          </w:p>
        </w:tc>
        <w:tc>
          <w:tcPr>
            <w:tcW w:w="851" w:type="dxa"/>
            <w:tcMar>
              <w:left w:w="108" w:type="dxa"/>
              <w:right w:w="0" w:type="dxa"/>
            </w:tcMar>
          </w:tcPr>
          <w:p w:rsidR="001716CA" w:rsidRPr="00321DBA" w:rsidRDefault="001716CA" w:rsidP="000D7E0A">
            <w:pPr>
              <w:spacing w:before="40" w:line="240" w:lineRule="auto"/>
              <w:jc w:val="left"/>
              <w:rPr>
                <w:lang w:val="it-IT"/>
              </w:rPr>
            </w:pPr>
            <w:r w:rsidRPr="00321DBA">
              <w:rPr>
                <w:sz w:val="13"/>
                <w:szCs w:val="13"/>
                <w:lang w:val="it-IT"/>
              </w:rPr>
              <w:t xml:space="preserve">OIC 26.28 </w:t>
            </w:r>
            <w:r>
              <w:rPr>
                <w:sz w:val="13"/>
                <w:szCs w:val="13"/>
                <w:lang w:val="it-IT"/>
              </w:rPr>
              <w:t xml:space="preserve">  </w:t>
            </w:r>
            <w:r w:rsidRPr="00321DBA">
              <w:rPr>
                <w:sz w:val="13"/>
                <w:szCs w:val="13"/>
                <w:lang w:val="it-IT"/>
              </w:rPr>
              <w:t>OIC 26.29</w:t>
            </w:r>
          </w:p>
        </w:tc>
        <w:tc>
          <w:tcPr>
            <w:tcW w:w="7060" w:type="dxa"/>
            <w:tcMar>
              <w:left w:w="108" w:type="dxa"/>
            </w:tcMar>
          </w:tcPr>
          <w:p w:rsidR="001716CA" w:rsidRPr="00321DBA" w:rsidRDefault="001716CA" w:rsidP="000D7E0A">
            <w:pPr>
              <w:spacing w:line="230" w:lineRule="exact"/>
              <w:rPr>
                <w:vertAlign w:val="superscript"/>
                <w:lang w:val="it-IT"/>
              </w:rPr>
            </w:pPr>
            <w:r w:rsidRPr="00321DBA">
              <w:rPr>
                <w:lang w:val="it-IT"/>
              </w:rPr>
              <w:t>In sede di redazione del bilancio è stata rispettata la procedura in base alla quale si applica prima l’ordinario criterio valutativo della posta in valuta e poi si effettua la conversione in euro del risultato ottenuto, imputando le diverse componenti nelle pertinenti voci di conto economico?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1716CA" w:rsidRPr="00CC242B"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spacing w:before="40" w:line="240" w:lineRule="auto"/>
              <w:jc w:val="left"/>
              <w:rPr>
                <w:sz w:val="13"/>
                <w:szCs w:val="13"/>
              </w:rPr>
            </w:pPr>
            <w:r w:rsidRPr="00321DBA">
              <w:rPr>
                <w:sz w:val="13"/>
                <w:szCs w:val="13"/>
                <w:lang w:val="it-IT"/>
              </w:rPr>
              <w:t>OIC 26.28</w:t>
            </w:r>
          </w:p>
        </w:tc>
        <w:tc>
          <w:tcPr>
            <w:tcW w:w="7060" w:type="dxa"/>
            <w:tcMar>
              <w:left w:w="108" w:type="dxa"/>
            </w:tcMar>
          </w:tcPr>
          <w:p w:rsidR="001716CA" w:rsidRPr="00321DBA" w:rsidRDefault="001716CA" w:rsidP="000D7E0A">
            <w:pPr>
              <w:pStyle w:val="Commentiriquadro"/>
              <w:rPr>
                <w:lang w:eastAsia="it-IT"/>
              </w:rPr>
            </w:pPr>
            <w:r w:rsidRPr="00321DBA">
              <w:t xml:space="preserve">Ciò significa, ad esempio, che ai crediti espressi in valuta estera si applica prima il criterio </w:t>
            </w:r>
            <w:r>
              <w:t xml:space="preserve">valutativo espresso dall’OIC 15 “Crediti” </w:t>
            </w:r>
            <w:r w:rsidRPr="00321DBA">
              <w:t>e poi il relativo risultato determinato in valuta è convertito al cambio di fine esercizio</w:t>
            </w:r>
          </w:p>
        </w:tc>
        <w:tc>
          <w:tcPr>
            <w:tcW w:w="586" w:type="dxa"/>
            <w:tcMar>
              <w:left w:w="85" w:type="dxa"/>
              <w:right w:w="85" w:type="dxa"/>
            </w:tcMar>
            <w:vAlign w:val="center"/>
          </w:tcPr>
          <w:p w:rsidR="001716CA" w:rsidRPr="00DE38DC" w:rsidRDefault="001716CA" w:rsidP="000D7E0A">
            <w:pPr>
              <w:jc w:val="center"/>
              <w:rPr>
                <w:lang w:val="it-IT"/>
              </w:rPr>
            </w:pPr>
          </w:p>
        </w:tc>
        <w:tc>
          <w:tcPr>
            <w:tcW w:w="573" w:type="dxa"/>
            <w:tcMar>
              <w:left w:w="108" w:type="dxa"/>
            </w:tcMar>
            <w:vAlign w:val="center"/>
          </w:tcPr>
          <w:p w:rsidR="001716CA" w:rsidRPr="00DE38DC" w:rsidRDefault="001716CA" w:rsidP="000D7E0A">
            <w:pPr>
              <w:jc w:val="center"/>
              <w:rPr>
                <w:lang w:val="it-IT"/>
              </w:rPr>
            </w:pPr>
          </w:p>
        </w:tc>
        <w:tc>
          <w:tcPr>
            <w:tcW w:w="570" w:type="dxa"/>
            <w:tcMar>
              <w:left w:w="108" w:type="dxa"/>
            </w:tcMar>
            <w:vAlign w:val="center"/>
          </w:tcPr>
          <w:p w:rsidR="001716CA" w:rsidRPr="00DE38DC" w:rsidRDefault="001716CA" w:rsidP="000D7E0A">
            <w:pPr>
              <w:jc w:val="center"/>
              <w:rPr>
                <w:lang w:val="it-IT"/>
              </w:rPr>
            </w:pPr>
          </w:p>
        </w:tc>
      </w:tr>
      <w:tr w:rsidR="001716CA" w:rsidRPr="00CC242B"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jc w:val="left"/>
              <w:rPr>
                <w:lang w:val="it-IT"/>
              </w:rPr>
            </w:pPr>
          </w:p>
        </w:tc>
        <w:tc>
          <w:tcPr>
            <w:tcW w:w="7060" w:type="dxa"/>
            <w:tcMar>
              <w:left w:w="108" w:type="dxa"/>
            </w:tcMar>
          </w:tcPr>
          <w:p w:rsidR="001716CA" w:rsidRPr="00321DBA" w:rsidRDefault="001716CA" w:rsidP="000D7E0A">
            <w:pPr>
              <w:pStyle w:val="Titolo3"/>
              <w:rPr>
                <w:lang w:val="it-IT"/>
              </w:rPr>
            </w:pPr>
            <w:r w:rsidRPr="00321DBA">
              <w:rPr>
                <w:lang w:val="it-IT"/>
              </w:rPr>
              <w:t>Conversione delle poste non monetarie in valuta estera</w:t>
            </w:r>
          </w:p>
        </w:tc>
        <w:tc>
          <w:tcPr>
            <w:tcW w:w="586" w:type="dxa"/>
            <w:tcMar>
              <w:left w:w="85" w:type="dxa"/>
              <w:right w:w="85" w:type="dxa"/>
            </w:tcMar>
            <w:vAlign w:val="center"/>
          </w:tcPr>
          <w:p w:rsidR="001716CA" w:rsidRPr="00793CE4" w:rsidRDefault="001716CA" w:rsidP="000D7E0A">
            <w:pPr>
              <w:jc w:val="center"/>
              <w:rPr>
                <w:lang w:val="it-IT"/>
              </w:rPr>
            </w:pPr>
          </w:p>
        </w:tc>
        <w:tc>
          <w:tcPr>
            <w:tcW w:w="573" w:type="dxa"/>
            <w:tcMar>
              <w:left w:w="108" w:type="dxa"/>
            </w:tcMar>
            <w:vAlign w:val="center"/>
          </w:tcPr>
          <w:p w:rsidR="001716CA" w:rsidRPr="00793CE4" w:rsidRDefault="001716CA" w:rsidP="000D7E0A">
            <w:pPr>
              <w:jc w:val="center"/>
              <w:rPr>
                <w:lang w:val="it-IT"/>
              </w:rPr>
            </w:pPr>
          </w:p>
        </w:tc>
        <w:tc>
          <w:tcPr>
            <w:tcW w:w="570" w:type="dxa"/>
            <w:tcMar>
              <w:left w:w="108" w:type="dxa"/>
            </w:tcMar>
            <w:vAlign w:val="center"/>
          </w:tcPr>
          <w:p w:rsidR="001716CA" w:rsidRPr="00793CE4" w:rsidRDefault="001716CA" w:rsidP="000D7E0A">
            <w:pPr>
              <w:jc w:val="center"/>
              <w:rPr>
                <w:lang w:val="it-IT"/>
              </w:rPr>
            </w:pP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8)</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26.30</w:t>
            </w:r>
          </w:p>
        </w:tc>
        <w:tc>
          <w:tcPr>
            <w:tcW w:w="7060" w:type="dxa"/>
            <w:tcMar>
              <w:left w:w="108" w:type="dxa"/>
            </w:tcMar>
          </w:tcPr>
          <w:p w:rsidR="001716CA" w:rsidRPr="00321DBA" w:rsidRDefault="001716CA" w:rsidP="000D7E0A">
            <w:pPr>
              <w:spacing w:line="230" w:lineRule="exact"/>
              <w:rPr>
                <w:lang w:val="it-IT"/>
              </w:rPr>
            </w:pPr>
            <w:r w:rsidRPr="00321DBA">
              <w:rPr>
                <w:lang w:val="it-IT"/>
              </w:rPr>
              <w:t>Le attività e le passività in valuta aventi natura non monetaria sono iscritte nello stato patrimoniale al tasso di cambio al momento del loro acquisto, e cioè al loro costo di iscrizione iniziale, senza che le differenze cambio positive o negative diano luogo ad una autonoma e separata rilevazione?</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1716CA" w:rsidRPr="00CC242B"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26.31</w:t>
            </w:r>
          </w:p>
        </w:tc>
        <w:tc>
          <w:tcPr>
            <w:tcW w:w="7060" w:type="dxa"/>
            <w:tcMar>
              <w:left w:w="108" w:type="dxa"/>
            </w:tcMar>
          </w:tcPr>
          <w:p w:rsidR="001716CA" w:rsidRPr="00321DBA" w:rsidRDefault="001716CA" w:rsidP="000D7E0A">
            <w:pPr>
              <w:pStyle w:val="Commentiriquadro"/>
              <w:rPr>
                <w:lang w:eastAsia="it-IT"/>
              </w:rPr>
            </w:pPr>
            <w:r w:rsidRPr="00321DBA">
              <w:rPr>
                <w:lang w:eastAsia="it-IT"/>
              </w:rPr>
              <w:t>Per poter stabilire se il costo (eventualmente ridotto dagli ammortamenti nel caso delle immobilizzazioni materiali e immateriali) possa essere mantenuto in bilancio occorre confrontarlo, secondo i principi contabili di riferimento, con il valore recuperabile (per le immobilizzazioni) o con il valore di realizzazione desumibile dall’andamento del mercato (per le poste in valuta non monetarie iscritte nell’attivo circolante). In questo processo valutativo, gli effetti legati alla variazione del cambio sono uno degli elementi da considerare nella determinazione del valore iscrivibile in bilancio per le singole attività.</w:t>
            </w:r>
          </w:p>
        </w:tc>
        <w:tc>
          <w:tcPr>
            <w:tcW w:w="586" w:type="dxa"/>
            <w:tcMar>
              <w:left w:w="85" w:type="dxa"/>
              <w:right w:w="85" w:type="dxa"/>
            </w:tcMar>
            <w:vAlign w:val="center"/>
          </w:tcPr>
          <w:p w:rsidR="001716CA" w:rsidRPr="00793CE4" w:rsidRDefault="001716CA" w:rsidP="000D7E0A">
            <w:pPr>
              <w:jc w:val="center"/>
              <w:rPr>
                <w:lang w:val="it-IT"/>
              </w:rPr>
            </w:pPr>
          </w:p>
        </w:tc>
        <w:tc>
          <w:tcPr>
            <w:tcW w:w="573" w:type="dxa"/>
            <w:tcMar>
              <w:left w:w="108" w:type="dxa"/>
            </w:tcMar>
            <w:vAlign w:val="center"/>
          </w:tcPr>
          <w:p w:rsidR="001716CA" w:rsidRPr="00793CE4" w:rsidRDefault="001716CA" w:rsidP="000D7E0A">
            <w:pPr>
              <w:jc w:val="center"/>
              <w:rPr>
                <w:lang w:val="it-IT"/>
              </w:rPr>
            </w:pPr>
          </w:p>
        </w:tc>
        <w:tc>
          <w:tcPr>
            <w:tcW w:w="570" w:type="dxa"/>
            <w:tcMar>
              <w:left w:w="108" w:type="dxa"/>
            </w:tcMar>
            <w:vAlign w:val="center"/>
          </w:tcPr>
          <w:p w:rsidR="001716CA" w:rsidRPr="00793CE4" w:rsidRDefault="001716CA" w:rsidP="000D7E0A">
            <w:pPr>
              <w:jc w:val="center"/>
              <w:rPr>
                <w:lang w:val="it-IT"/>
              </w:rPr>
            </w:pPr>
          </w:p>
        </w:tc>
      </w:tr>
      <w:tr w:rsidR="001716CA" w:rsidRPr="00931CD2" w:rsidTr="000D7E0A">
        <w:trPr>
          <w:cantSplit/>
          <w:trHeight w:val="20"/>
        </w:trPr>
        <w:tc>
          <w:tcPr>
            <w:tcW w:w="680" w:type="dxa"/>
          </w:tcPr>
          <w:p w:rsidR="001716CA" w:rsidRPr="007A41C5" w:rsidRDefault="001716CA" w:rsidP="000D7E0A">
            <w:pPr>
              <w:jc w:val="center"/>
              <w:rPr>
                <w:b/>
                <w:lang w:val="it-IT"/>
              </w:rPr>
            </w:pPr>
            <w:r w:rsidRPr="007A41C5">
              <w:rPr>
                <w:b/>
                <w:lang w:val="it-IT"/>
              </w:rPr>
              <w:t>9)</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26.31</w:t>
            </w:r>
          </w:p>
        </w:tc>
        <w:tc>
          <w:tcPr>
            <w:tcW w:w="7060" w:type="dxa"/>
            <w:tcMar>
              <w:left w:w="108" w:type="dxa"/>
            </w:tcMar>
          </w:tcPr>
          <w:p w:rsidR="001716CA" w:rsidRPr="00321DBA" w:rsidRDefault="001716CA" w:rsidP="000D7E0A">
            <w:pPr>
              <w:spacing w:line="230" w:lineRule="exact"/>
              <w:rPr>
                <w:lang w:val="it-IT"/>
              </w:rPr>
            </w:pPr>
            <w:r w:rsidRPr="00321DBA">
              <w:rPr>
                <w:lang w:val="it-IT"/>
              </w:rPr>
              <w:t>In tale ambito, le eventuali differenze di cambio (positive o negative) hanno concorso alla determinazione del valore recuperabile?</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1716CA" w:rsidRPr="00F50B82" w:rsidTr="000D7E0A">
        <w:trPr>
          <w:cantSplit/>
          <w:trHeight w:val="20"/>
        </w:trPr>
        <w:tc>
          <w:tcPr>
            <w:tcW w:w="680" w:type="dxa"/>
          </w:tcPr>
          <w:p w:rsidR="001716CA" w:rsidRPr="007A41C5" w:rsidRDefault="001716CA" w:rsidP="000D7E0A">
            <w:pP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0A4063" w:rsidRDefault="001716CA" w:rsidP="000D7E0A">
            <w:pPr>
              <w:pStyle w:val="Titolo2"/>
            </w:pPr>
            <w:r w:rsidRPr="000A4063">
              <w:t>Casi particolari</w:t>
            </w:r>
          </w:p>
        </w:tc>
        <w:tc>
          <w:tcPr>
            <w:tcW w:w="586" w:type="dxa"/>
            <w:tcMar>
              <w:left w:w="85" w:type="dxa"/>
              <w:right w:w="85" w:type="dxa"/>
            </w:tcMar>
            <w:vAlign w:val="center"/>
          </w:tcPr>
          <w:p w:rsidR="001716CA" w:rsidRPr="00A32A16" w:rsidRDefault="001716CA" w:rsidP="000D7E0A">
            <w:pPr>
              <w:rPr>
                <w:lang w:val="it-IT"/>
              </w:rPr>
            </w:pPr>
          </w:p>
        </w:tc>
        <w:tc>
          <w:tcPr>
            <w:tcW w:w="573" w:type="dxa"/>
            <w:tcMar>
              <w:left w:w="108" w:type="dxa"/>
            </w:tcMar>
            <w:vAlign w:val="center"/>
          </w:tcPr>
          <w:p w:rsidR="001716CA" w:rsidRPr="00A32A16" w:rsidRDefault="001716CA" w:rsidP="000D7E0A">
            <w:pPr>
              <w:rPr>
                <w:lang w:val="it-IT"/>
              </w:rPr>
            </w:pPr>
          </w:p>
        </w:tc>
        <w:tc>
          <w:tcPr>
            <w:tcW w:w="570" w:type="dxa"/>
            <w:tcMar>
              <w:left w:w="108" w:type="dxa"/>
            </w:tcMar>
            <w:vAlign w:val="center"/>
          </w:tcPr>
          <w:p w:rsidR="001716CA" w:rsidRPr="00A32A16" w:rsidRDefault="001716CA" w:rsidP="000D7E0A">
            <w:pPr>
              <w:rPr>
                <w:lang w:val="it-IT"/>
              </w:rPr>
            </w:pPr>
          </w:p>
        </w:tc>
      </w:tr>
      <w:tr w:rsidR="001716CA" w:rsidRPr="00CC242B"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Del="00F57D5D" w:rsidRDefault="001716CA" w:rsidP="000D7E0A">
            <w:pPr>
              <w:pStyle w:val="Titolo3"/>
              <w:rPr>
                <w:lang w:val="it-IT"/>
              </w:rPr>
            </w:pPr>
            <w:r w:rsidRPr="00321DBA">
              <w:rPr>
                <w:lang w:val="it-IT"/>
              </w:rPr>
              <w:t>Partecipazioni valutate con il metodo del patrimonio netto i cui bilanci sono espressi in valuta estera</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DE38DC" w:rsidRDefault="001716CA" w:rsidP="000D7E0A">
            <w:pPr>
              <w:jc w:val="center"/>
              <w:rPr>
                <w:lang w:val="it-IT"/>
              </w:rPr>
            </w:pPr>
          </w:p>
        </w:tc>
        <w:tc>
          <w:tcPr>
            <w:tcW w:w="570" w:type="dxa"/>
            <w:tcMar>
              <w:left w:w="108" w:type="dxa"/>
            </w:tcMar>
            <w:vAlign w:val="center"/>
          </w:tcPr>
          <w:p w:rsidR="001716CA" w:rsidRPr="00DE38DC" w:rsidRDefault="001716CA" w:rsidP="000D7E0A">
            <w:pPr>
              <w:jc w:val="center"/>
              <w:rPr>
                <w:lang w:val="it-IT"/>
              </w:rPr>
            </w:pP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10)</w:t>
            </w:r>
          </w:p>
        </w:tc>
        <w:tc>
          <w:tcPr>
            <w:tcW w:w="851" w:type="dxa"/>
            <w:tcMar>
              <w:left w:w="108" w:type="dxa"/>
              <w:right w:w="0" w:type="dxa"/>
            </w:tcMar>
          </w:tcPr>
          <w:p w:rsidR="001716CA" w:rsidRPr="00D745F7" w:rsidRDefault="001716CA" w:rsidP="000D7E0A">
            <w:pPr>
              <w:pStyle w:val="PrincCont"/>
              <w:jc w:val="left"/>
              <w:rPr>
                <w:lang w:val="it-IT"/>
              </w:rPr>
            </w:pPr>
            <w:r w:rsidRPr="00321DBA">
              <w:rPr>
                <w:lang w:val="it-IT"/>
              </w:rPr>
              <w:t>OIC 26.32</w:t>
            </w:r>
          </w:p>
        </w:tc>
        <w:tc>
          <w:tcPr>
            <w:tcW w:w="7060" w:type="dxa"/>
            <w:tcMar>
              <w:left w:w="108" w:type="dxa"/>
            </w:tcMar>
          </w:tcPr>
          <w:p w:rsidR="001716CA" w:rsidRPr="00321DBA" w:rsidRDefault="001716CA" w:rsidP="000D7E0A">
            <w:pPr>
              <w:spacing w:line="230" w:lineRule="exact"/>
              <w:rPr>
                <w:lang w:val="it-IT"/>
              </w:rPr>
            </w:pPr>
            <w:r w:rsidRPr="00321DBA">
              <w:rPr>
                <w:lang w:val="it-IT"/>
              </w:rPr>
              <w:t>Con riferimento alle partecipazioni valutate con il metodo del patrimonio netto, nel caso in cui i bilanci delle partecipate siano espressi in valuta estera, si è proceduto alla traduzione degli stessi in euro secondo quanto pr</w:t>
            </w:r>
            <w:r>
              <w:rPr>
                <w:lang w:val="it-IT"/>
              </w:rPr>
              <w:t>evisto dal principio OIC 17 “B</w:t>
            </w:r>
            <w:r w:rsidRPr="00321DBA">
              <w:rPr>
                <w:lang w:val="it-IT"/>
              </w:rPr>
              <w:t>ilancio consolidato e il metodo del patrimonio netto”, e, successivamente, alla valutazione della partecipazione secondo la specifica disciplina contabile del metodo del patrimonio netto?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1716CA" w:rsidRPr="00CC242B"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Del="00F57D5D" w:rsidRDefault="001716CA" w:rsidP="000D7E0A">
            <w:pPr>
              <w:pStyle w:val="Titolo3"/>
              <w:rPr>
                <w:lang w:val="it-IT"/>
              </w:rPr>
            </w:pPr>
            <w:r w:rsidRPr="00321DBA">
              <w:rPr>
                <w:lang w:val="it-IT"/>
              </w:rPr>
              <w:t>Lavori in corso su ordinazione in valuta estera</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DE38DC" w:rsidRDefault="001716CA" w:rsidP="000D7E0A">
            <w:pPr>
              <w:jc w:val="center"/>
              <w:rPr>
                <w:lang w:val="it-IT"/>
              </w:rPr>
            </w:pPr>
          </w:p>
        </w:tc>
        <w:tc>
          <w:tcPr>
            <w:tcW w:w="570" w:type="dxa"/>
            <w:tcMar>
              <w:left w:w="108" w:type="dxa"/>
            </w:tcMar>
            <w:vAlign w:val="center"/>
          </w:tcPr>
          <w:p w:rsidR="001716CA" w:rsidRPr="00DE38DC" w:rsidRDefault="001716CA" w:rsidP="000D7E0A">
            <w:pPr>
              <w:jc w:val="center"/>
              <w:rPr>
                <w:lang w:val="it-IT"/>
              </w:rPr>
            </w:pPr>
          </w:p>
        </w:tc>
      </w:tr>
      <w:tr w:rsidR="001716CA" w:rsidRPr="00CC242B"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26.33</w:t>
            </w:r>
          </w:p>
        </w:tc>
        <w:tc>
          <w:tcPr>
            <w:tcW w:w="7060" w:type="dxa"/>
            <w:tcMar>
              <w:left w:w="108" w:type="dxa"/>
            </w:tcMar>
          </w:tcPr>
          <w:p w:rsidR="001716CA" w:rsidRPr="00321DBA" w:rsidRDefault="001716CA" w:rsidP="000D7E0A">
            <w:pPr>
              <w:pStyle w:val="Commentiriquadro"/>
              <w:rPr>
                <w:lang w:eastAsia="it-IT"/>
              </w:rPr>
            </w:pPr>
            <w:r w:rsidRPr="00321DBA">
              <w:rPr>
                <w:lang w:eastAsia="it-IT"/>
              </w:rPr>
              <w:t>Nei lavori in corso su ordinazione in valuta assumono rilevanza ai fini della conversione in valuta diverse tipologie di elementi patrimoniali. In particolare, oltre ai lavori in corso su ordinazione iscritti alla voce CI3 “lavori in corso su ordinazione” dell’attivo circolante, occorre considerare i crediti in valuta da iscrivere nell’attivo e gli anticipi e gli acconti in valuta da iscrivere invece nel passivo dello stato patrimoniale.</w:t>
            </w:r>
          </w:p>
        </w:tc>
        <w:tc>
          <w:tcPr>
            <w:tcW w:w="586" w:type="dxa"/>
            <w:tcMar>
              <w:left w:w="85" w:type="dxa"/>
              <w:right w:w="85" w:type="dxa"/>
            </w:tcMar>
            <w:vAlign w:val="center"/>
          </w:tcPr>
          <w:p w:rsidR="001716CA" w:rsidRPr="00793CE4" w:rsidRDefault="001716CA" w:rsidP="000D7E0A">
            <w:pPr>
              <w:jc w:val="center"/>
              <w:rPr>
                <w:lang w:val="it-IT"/>
              </w:rPr>
            </w:pPr>
          </w:p>
        </w:tc>
        <w:tc>
          <w:tcPr>
            <w:tcW w:w="573" w:type="dxa"/>
            <w:tcMar>
              <w:left w:w="108" w:type="dxa"/>
            </w:tcMar>
            <w:vAlign w:val="center"/>
          </w:tcPr>
          <w:p w:rsidR="001716CA" w:rsidRPr="00793CE4" w:rsidRDefault="001716CA" w:rsidP="000D7E0A">
            <w:pPr>
              <w:jc w:val="center"/>
              <w:rPr>
                <w:lang w:val="it-IT"/>
              </w:rPr>
            </w:pPr>
          </w:p>
        </w:tc>
        <w:tc>
          <w:tcPr>
            <w:tcW w:w="570" w:type="dxa"/>
            <w:tcMar>
              <w:left w:w="108" w:type="dxa"/>
            </w:tcMar>
            <w:vAlign w:val="center"/>
          </w:tcPr>
          <w:p w:rsidR="001716CA" w:rsidRPr="00793CE4" w:rsidRDefault="001716CA" w:rsidP="000D7E0A">
            <w:pPr>
              <w:jc w:val="center"/>
              <w:rPr>
                <w:lang w:val="it-IT"/>
              </w:rPr>
            </w:pP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11)</w:t>
            </w:r>
          </w:p>
        </w:tc>
        <w:tc>
          <w:tcPr>
            <w:tcW w:w="851" w:type="dxa"/>
            <w:tcMar>
              <w:left w:w="108" w:type="dxa"/>
              <w:right w:w="0" w:type="dxa"/>
            </w:tcMar>
          </w:tcPr>
          <w:p w:rsidR="001716CA" w:rsidRPr="00D745F7" w:rsidRDefault="001716CA" w:rsidP="000D7E0A">
            <w:pPr>
              <w:pStyle w:val="PrincCont"/>
              <w:jc w:val="left"/>
              <w:rPr>
                <w:lang w:val="it-IT"/>
              </w:rPr>
            </w:pPr>
            <w:r w:rsidRPr="00321DBA">
              <w:rPr>
                <w:lang w:val="it-IT"/>
              </w:rPr>
              <w:t>OIC 26.34</w:t>
            </w:r>
          </w:p>
        </w:tc>
        <w:tc>
          <w:tcPr>
            <w:tcW w:w="7060" w:type="dxa"/>
            <w:tcMar>
              <w:left w:w="108" w:type="dxa"/>
            </w:tcMar>
          </w:tcPr>
          <w:p w:rsidR="001716CA" w:rsidRPr="00321DBA" w:rsidRDefault="001716CA" w:rsidP="000D7E0A">
            <w:pPr>
              <w:spacing w:line="230" w:lineRule="exact"/>
              <w:rPr>
                <w:lang w:val="it-IT"/>
              </w:rPr>
            </w:pPr>
            <w:r w:rsidRPr="00321DBA">
              <w:rPr>
                <w:lang w:val="it-IT"/>
              </w:rPr>
              <w:t>I crediti in valuta, costituendo poste monetarie, sono convertiti in bilancio al tasso di cambio a pronti alla data di chiusura dell’esercizio?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12)</w:t>
            </w:r>
          </w:p>
        </w:tc>
        <w:tc>
          <w:tcPr>
            <w:tcW w:w="851" w:type="dxa"/>
            <w:tcMar>
              <w:left w:w="108" w:type="dxa"/>
              <w:right w:w="0" w:type="dxa"/>
            </w:tcMar>
          </w:tcPr>
          <w:p w:rsidR="001716CA" w:rsidRPr="00D745F7" w:rsidRDefault="001716CA" w:rsidP="000D7E0A">
            <w:pPr>
              <w:pStyle w:val="PrincCont"/>
              <w:jc w:val="left"/>
              <w:rPr>
                <w:lang w:val="it-IT"/>
              </w:rPr>
            </w:pPr>
            <w:r w:rsidRPr="00321DBA">
              <w:rPr>
                <w:lang w:val="it-IT"/>
              </w:rPr>
              <w:t>OIC 26.35</w:t>
            </w:r>
          </w:p>
        </w:tc>
        <w:tc>
          <w:tcPr>
            <w:tcW w:w="7060" w:type="dxa"/>
            <w:tcMar>
              <w:left w:w="108" w:type="dxa"/>
            </w:tcMar>
          </w:tcPr>
          <w:p w:rsidR="001716CA" w:rsidRPr="00321DBA" w:rsidRDefault="001716CA" w:rsidP="000D7E0A">
            <w:pPr>
              <w:spacing w:line="230" w:lineRule="exact"/>
              <w:rPr>
                <w:lang w:val="it-IT"/>
              </w:rPr>
            </w:pPr>
            <w:r w:rsidRPr="00321DBA">
              <w:rPr>
                <w:lang w:val="it-IT"/>
              </w:rPr>
              <w:t>Gli anticipi o acconti, poiché non rappresentano debiti monetari, bensì debiti a fronte di prestazioni da effettuare o effettuate ma ancora non fatturate a titolo definitivo (i quali non prevedono infatti un flusso monetario successivo), sono iscritti al cambio in vigore al momento dell'incasso ed a tale cambio storico sono mantenuti, senza quindi essere allineati ai cambi in vigore alla fine di ciascun esercizio?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1716CA" w:rsidRPr="00CC242B"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26.36</w:t>
            </w:r>
          </w:p>
        </w:tc>
        <w:tc>
          <w:tcPr>
            <w:tcW w:w="7060" w:type="dxa"/>
            <w:tcMar>
              <w:left w:w="108" w:type="dxa"/>
            </w:tcMar>
          </w:tcPr>
          <w:p w:rsidR="001716CA" w:rsidRPr="00321DBA" w:rsidRDefault="001716CA" w:rsidP="000D7E0A">
            <w:pPr>
              <w:pStyle w:val="Commentiriquadro"/>
              <w:rPr>
                <w:lang w:eastAsia="it-IT"/>
              </w:rPr>
            </w:pPr>
            <w:r>
              <w:rPr>
                <w:lang w:eastAsia="it-IT"/>
              </w:rPr>
              <w:t xml:space="preserve">Relativamente </w:t>
            </w:r>
            <w:r w:rsidRPr="00321DBA">
              <w:rPr>
                <w:lang w:eastAsia="it-IT"/>
              </w:rPr>
              <w:t>ai criteri di conversione da applicare all’attività per lavori in corso su ordinazione, occorre distinguere se si applica il criterio della percentuale di completamento oppure se si applica il criterio della commessa completata nella valutazione dei lavori in corso su ordinazione (si veda OIC23 “Lavori in corso su ordinazione”).</w:t>
            </w:r>
          </w:p>
        </w:tc>
        <w:tc>
          <w:tcPr>
            <w:tcW w:w="586" w:type="dxa"/>
            <w:tcMar>
              <w:left w:w="85" w:type="dxa"/>
              <w:right w:w="85" w:type="dxa"/>
            </w:tcMar>
            <w:vAlign w:val="center"/>
          </w:tcPr>
          <w:p w:rsidR="001716CA" w:rsidRPr="00793CE4" w:rsidRDefault="001716CA" w:rsidP="000D7E0A">
            <w:pPr>
              <w:jc w:val="center"/>
              <w:rPr>
                <w:lang w:val="it-IT"/>
              </w:rPr>
            </w:pPr>
          </w:p>
        </w:tc>
        <w:tc>
          <w:tcPr>
            <w:tcW w:w="573" w:type="dxa"/>
            <w:tcMar>
              <w:left w:w="108" w:type="dxa"/>
            </w:tcMar>
            <w:vAlign w:val="center"/>
          </w:tcPr>
          <w:p w:rsidR="001716CA" w:rsidRPr="00793CE4" w:rsidRDefault="001716CA" w:rsidP="000D7E0A">
            <w:pPr>
              <w:jc w:val="center"/>
              <w:rPr>
                <w:lang w:val="it-IT"/>
              </w:rPr>
            </w:pPr>
          </w:p>
        </w:tc>
        <w:tc>
          <w:tcPr>
            <w:tcW w:w="570" w:type="dxa"/>
            <w:tcMar>
              <w:left w:w="108" w:type="dxa"/>
            </w:tcMar>
            <w:vAlign w:val="center"/>
          </w:tcPr>
          <w:p w:rsidR="001716CA" w:rsidRPr="00793CE4" w:rsidRDefault="001716CA" w:rsidP="000D7E0A">
            <w:pPr>
              <w:jc w:val="center"/>
              <w:rPr>
                <w:lang w:val="it-IT"/>
              </w:rPr>
            </w:pP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13)</w:t>
            </w:r>
          </w:p>
        </w:tc>
        <w:tc>
          <w:tcPr>
            <w:tcW w:w="851" w:type="dxa"/>
            <w:tcMar>
              <w:left w:w="108" w:type="dxa"/>
              <w:right w:w="0" w:type="dxa"/>
            </w:tcMar>
          </w:tcPr>
          <w:p w:rsidR="001716CA" w:rsidRPr="00D745F7" w:rsidRDefault="001716CA" w:rsidP="000D7E0A">
            <w:pPr>
              <w:pStyle w:val="PrincCont"/>
              <w:jc w:val="left"/>
              <w:rPr>
                <w:lang w:val="it-IT"/>
              </w:rPr>
            </w:pPr>
            <w:r w:rsidRPr="00321DBA">
              <w:rPr>
                <w:lang w:val="it-IT"/>
              </w:rPr>
              <w:t>OIC 26.37</w:t>
            </w:r>
          </w:p>
        </w:tc>
        <w:tc>
          <w:tcPr>
            <w:tcW w:w="7060" w:type="dxa"/>
            <w:tcMar>
              <w:left w:w="108" w:type="dxa"/>
            </w:tcMar>
          </w:tcPr>
          <w:p w:rsidR="001716CA" w:rsidRPr="00321DBA" w:rsidRDefault="001716CA" w:rsidP="000D7E0A">
            <w:pPr>
              <w:spacing w:line="230" w:lineRule="exact"/>
              <w:rPr>
                <w:lang w:val="it-IT"/>
              </w:rPr>
            </w:pPr>
            <w:r w:rsidRPr="00321DBA">
              <w:rPr>
                <w:lang w:val="it-IT"/>
              </w:rPr>
              <w:t>Nel caso di adozione del criterio della commessa completata le rimanenze, per quando riguarda i costi in valuta, sono iscritte al loro cambio storico?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14)</w:t>
            </w:r>
          </w:p>
        </w:tc>
        <w:tc>
          <w:tcPr>
            <w:tcW w:w="851" w:type="dxa"/>
            <w:tcMar>
              <w:left w:w="108" w:type="dxa"/>
              <w:right w:w="0" w:type="dxa"/>
            </w:tcMar>
          </w:tcPr>
          <w:p w:rsidR="001716CA" w:rsidRPr="00D745F7" w:rsidRDefault="001716CA" w:rsidP="000D7E0A">
            <w:pPr>
              <w:pStyle w:val="PrincCont"/>
              <w:jc w:val="left"/>
              <w:rPr>
                <w:lang w:val="it-IT"/>
              </w:rPr>
            </w:pPr>
            <w:r w:rsidRPr="00321DBA">
              <w:rPr>
                <w:lang w:val="it-IT"/>
              </w:rPr>
              <w:t>OIC 26.38</w:t>
            </w:r>
          </w:p>
        </w:tc>
        <w:tc>
          <w:tcPr>
            <w:tcW w:w="7060" w:type="dxa"/>
            <w:tcMar>
              <w:left w:w="108" w:type="dxa"/>
            </w:tcMar>
          </w:tcPr>
          <w:p w:rsidR="001716CA" w:rsidRPr="00321DBA" w:rsidRDefault="001716CA" w:rsidP="000D7E0A">
            <w:pPr>
              <w:spacing w:line="230" w:lineRule="exact"/>
              <w:rPr>
                <w:lang w:val="it-IT"/>
              </w:rPr>
            </w:pPr>
            <w:r w:rsidRPr="00321DBA">
              <w:rPr>
                <w:lang w:val="it-IT"/>
              </w:rPr>
              <w:t>I lavori in corso valutati in base al criterio della percentuale di completamento iscritti nell’attivo sono convertiti al cambio corrente alla data di chiusura dell’esercizio?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1716CA" w:rsidRPr="00CC242B"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26.38</w:t>
            </w:r>
          </w:p>
        </w:tc>
        <w:tc>
          <w:tcPr>
            <w:tcW w:w="7060" w:type="dxa"/>
            <w:tcMar>
              <w:left w:w="108" w:type="dxa"/>
            </w:tcMar>
          </w:tcPr>
          <w:p w:rsidR="001716CA" w:rsidRPr="00321DBA" w:rsidRDefault="001716CA" w:rsidP="000D7E0A">
            <w:pPr>
              <w:pStyle w:val="Commentiriquadro"/>
              <w:rPr>
                <w:lang w:eastAsia="it-IT"/>
              </w:rPr>
            </w:pPr>
            <w:r w:rsidRPr="00321DBA">
              <w:rPr>
                <w:lang w:eastAsia="it-IT"/>
              </w:rPr>
              <w:t>In caso di adozione della percentuale di completamento la procedura di conversione dei lavori in corso su ordinazione in valuta è la seguente:</w:t>
            </w:r>
          </w:p>
          <w:p w:rsidR="001716CA" w:rsidRPr="00321DBA" w:rsidRDefault="001716CA" w:rsidP="000D7E0A">
            <w:pPr>
              <w:pStyle w:val="Commentiriquadro"/>
              <w:spacing w:before="0"/>
              <w:ind w:left="176" w:hanging="119"/>
              <w:rPr>
                <w:lang w:eastAsia="it-IT"/>
              </w:rPr>
            </w:pPr>
            <w:r w:rsidRPr="00321DBA">
              <w:rPr>
                <w:lang w:eastAsia="it-IT"/>
              </w:rPr>
              <w:t>-</w:t>
            </w:r>
            <w:r w:rsidRPr="00321DBA">
              <w:rPr>
                <w:lang w:eastAsia="it-IT"/>
              </w:rPr>
              <w:tab/>
              <w:t>determinazione del valore dei lavori eseguiti nella moneta contrattuale in funzione della percentuale di completamento</w:t>
            </w:r>
          </w:p>
          <w:p w:rsidR="001716CA" w:rsidRPr="00321DBA" w:rsidRDefault="001716CA" w:rsidP="000D7E0A">
            <w:pPr>
              <w:pStyle w:val="Commentiriquadro"/>
              <w:spacing w:before="0"/>
              <w:ind w:left="176" w:hanging="119"/>
              <w:rPr>
                <w:lang w:eastAsia="it-IT"/>
              </w:rPr>
            </w:pPr>
            <w:r w:rsidRPr="00321DBA">
              <w:rPr>
                <w:lang w:eastAsia="it-IT"/>
              </w:rPr>
              <w:t>-</w:t>
            </w:r>
            <w:r w:rsidRPr="00321DBA">
              <w:rPr>
                <w:lang w:eastAsia="it-IT"/>
              </w:rPr>
              <w:tab/>
              <w:t>detrazione dal valore delle opere eseguite (determinato nella moneta contrattuale, come sopra indicato) degli importi, espressi nella stessa moneta, già contabilizzati a ricavo e fatturati</w:t>
            </w:r>
          </w:p>
          <w:p w:rsidR="001716CA" w:rsidRPr="00321DBA" w:rsidRDefault="001716CA" w:rsidP="000D7E0A">
            <w:pPr>
              <w:pStyle w:val="Commentiriquadro"/>
              <w:spacing w:before="0"/>
              <w:ind w:left="176" w:hanging="119"/>
              <w:rPr>
                <w:lang w:eastAsia="it-IT"/>
              </w:rPr>
            </w:pPr>
            <w:r w:rsidRPr="00321DBA">
              <w:rPr>
                <w:lang w:eastAsia="it-IT"/>
              </w:rPr>
              <w:t>-</w:t>
            </w:r>
            <w:r w:rsidRPr="00321DBA">
              <w:rPr>
                <w:lang w:eastAsia="it-IT"/>
              </w:rPr>
              <w:tab/>
              <w:t>conversione della parte del valore delle opere eseguite residue costituenti le rimanenze, a fronte del quale vi siano anticipi e acconti iscritti nel passivo, al cambio in cui gli stessi sono stati contabilizzati</w:t>
            </w:r>
          </w:p>
          <w:p w:rsidR="001716CA" w:rsidRPr="00321DBA" w:rsidRDefault="001716CA" w:rsidP="000D7E0A">
            <w:pPr>
              <w:pStyle w:val="Commentiriquadro"/>
              <w:ind w:left="176" w:hanging="119"/>
              <w:rPr>
                <w:lang w:eastAsia="it-IT"/>
              </w:rPr>
            </w:pPr>
            <w:r w:rsidRPr="00321DBA">
              <w:rPr>
                <w:lang w:eastAsia="it-IT"/>
              </w:rPr>
              <w:t>-</w:t>
            </w:r>
            <w:r w:rsidRPr="00321DBA">
              <w:rPr>
                <w:lang w:eastAsia="it-IT"/>
              </w:rPr>
              <w:tab/>
              <w:t>conversione al cambio in vigore alla data di bilancio della parte residua del valore delle opere eseguite.</w:t>
            </w:r>
          </w:p>
        </w:tc>
        <w:tc>
          <w:tcPr>
            <w:tcW w:w="586" w:type="dxa"/>
            <w:tcMar>
              <w:left w:w="85" w:type="dxa"/>
              <w:right w:w="85" w:type="dxa"/>
            </w:tcMar>
            <w:vAlign w:val="center"/>
          </w:tcPr>
          <w:p w:rsidR="001716CA" w:rsidRPr="00793CE4" w:rsidRDefault="001716CA" w:rsidP="000D7E0A">
            <w:pPr>
              <w:jc w:val="center"/>
              <w:rPr>
                <w:lang w:val="it-IT"/>
              </w:rPr>
            </w:pPr>
          </w:p>
        </w:tc>
        <w:tc>
          <w:tcPr>
            <w:tcW w:w="573" w:type="dxa"/>
            <w:tcMar>
              <w:left w:w="108" w:type="dxa"/>
            </w:tcMar>
            <w:vAlign w:val="center"/>
          </w:tcPr>
          <w:p w:rsidR="001716CA" w:rsidRPr="00793CE4" w:rsidRDefault="001716CA" w:rsidP="000D7E0A">
            <w:pPr>
              <w:jc w:val="center"/>
              <w:rPr>
                <w:lang w:val="it-IT"/>
              </w:rPr>
            </w:pPr>
          </w:p>
        </w:tc>
        <w:tc>
          <w:tcPr>
            <w:tcW w:w="570" w:type="dxa"/>
            <w:tcMar>
              <w:left w:w="108" w:type="dxa"/>
            </w:tcMar>
            <w:vAlign w:val="center"/>
          </w:tcPr>
          <w:p w:rsidR="001716CA" w:rsidRPr="00793CE4" w:rsidRDefault="001716CA" w:rsidP="000D7E0A">
            <w:pPr>
              <w:jc w:val="center"/>
              <w:rPr>
                <w:lang w:val="it-IT"/>
              </w:rPr>
            </w:pP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15)</w:t>
            </w:r>
          </w:p>
        </w:tc>
        <w:tc>
          <w:tcPr>
            <w:tcW w:w="851" w:type="dxa"/>
            <w:tcMar>
              <w:left w:w="108" w:type="dxa"/>
              <w:right w:w="0" w:type="dxa"/>
            </w:tcMar>
          </w:tcPr>
          <w:p w:rsidR="001716CA" w:rsidRPr="00D745F7" w:rsidRDefault="001716CA" w:rsidP="000D7E0A">
            <w:pPr>
              <w:pStyle w:val="PrincCont"/>
              <w:jc w:val="left"/>
              <w:rPr>
                <w:lang w:val="it-IT"/>
              </w:rPr>
            </w:pPr>
            <w:r w:rsidRPr="00321DBA">
              <w:rPr>
                <w:lang w:val="it-IT"/>
              </w:rPr>
              <w:t>OIC 26.39</w:t>
            </w:r>
          </w:p>
        </w:tc>
        <w:tc>
          <w:tcPr>
            <w:tcW w:w="7060" w:type="dxa"/>
            <w:tcMar>
              <w:left w:w="108" w:type="dxa"/>
            </w:tcMar>
          </w:tcPr>
          <w:p w:rsidR="001716CA" w:rsidRPr="00321DBA" w:rsidRDefault="001716CA" w:rsidP="000D7E0A">
            <w:pPr>
              <w:spacing w:line="230" w:lineRule="exact"/>
              <w:rPr>
                <w:lang w:val="it-IT"/>
              </w:rPr>
            </w:pPr>
            <w:r w:rsidRPr="00321DBA">
              <w:rPr>
                <w:lang w:val="it-IT"/>
              </w:rPr>
              <w:t>Ai fini dell'aggiornamento dei preventivi su cui si basa la valutazione con il criterio della percentuale di completamento, i ricavi da fatturare ed i costi da sostenere in moneta estera sono determinati utilizzando il cambio in vigore alla data di bilancio?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1716CA" w:rsidRPr="00CC242B"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RDefault="001716CA" w:rsidP="000D7E0A">
            <w:pPr>
              <w:pStyle w:val="Titolo3"/>
              <w:rPr>
                <w:lang w:val="it-IT"/>
              </w:rPr>
            </w:pPr>
            <w:r w:rsidRPr="00321DBA">
              <w:rPr>
                <w:lang w:val="it-IT"/>
              </w:rPr>
              <w:t>Fondi per rischi ed oneri in valuta estera</w:t>
            </w:r>
          </w:p>
        </w:tc>
        <w:tc>
          <w:tcPr>
            <w:tcW w:w="586" w:type="dxa"/>
            <w:tcMar>
              <w:left w:w="85" w:type="dxa"/>
              <w:right w:w="85" w:type="dxa"/>
            </w:tcMar>
            <w:vAlign w:val="center"/>
          </w:tcPr>
          <w:p w:rsidR="001716CA" w:rsidRPr="00B94B6C" w:rsidRDefault="001716CA" w:rsidP="000D7E0A">
            <w:pPr>
              <w:jc w:val="center"/>
              <w:rPr>
                <w:lang w:val="it-IT"/>
              </w:rPr>
            </w:pPr>
          </w:p>
        </w:tc>
        <w:tc>
          <w:tcPr>
            <w:tcW w:w="573" w:type="dxa"/>
            <w:tcMar>
              <w:left w:w="108" w:type="dxa"/>
            </w:tcMar>
            <w:vAlign w:val="center"/>
          </w:tcPr>
          <w:p w:rsidR="001716CA" w:rsidRPr="00B94B6C" w:rsidRDefault="001716CA" w:rsidP="000D7E0A">
            <w:pPr>
              <w:jc w:val="center"/>
              <w:rPr>
                <w:lang w:val="it-IT"/>
              </w:rPr>
            </w:pPr>
          </w:p>
        </w:tc>
        <w:tc>
          <w:tcPr>
            <w:tcW w:w="570" w:type="dxa"/>
            <w:tcMar>
              <w:left w:w="108" w:type="dxa"/>
            </w:tcMar>
            <w:vAlign w:val="center"/>
          </w:tcPr>
          <w:p w:rsidR="001716CA" w:rsidRPr="00B94B6C" w:rsidRDefault="001716CA" w:rsidP="000D7E0A">
            <w:pPr>
              <w:jc w:val="center"/>
              <w:rPr>
                <w:lang w:val="it-IT"/>
              </w:rPr>
            </w:pP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16)</w:t>
            </w:r>
          </w:p>
        </w:tc>
        <w:tc>
          <w:tcPr>
            <w:tcW w:w="851" w:type="dxa"/>
            <w:tcMar>
              <w:left w:w="108" w:type="dxa"/>
              <w:right w:w="0" w:type="dxa"/>
            </w:tcMar>
          </w:tcPr>
          <w:p w:rsidR="001716CA" w:rsidRPr="00D745F7" w:rsidRDefault="001716CA" w:rsidP="000D7E0A">
            <w:pPr>
              <w:pStyle w:val="PrincCont"/>
              <w:jc w:val="left"/>
              <w:rPr>
                <w:lang w:val="it-IT"/>
              </w:rPr>
            </w:pPr>
            <w:r w:rsidRPr="00321DBA">
              <w:rPr>
                <w:lang w:val="it-IT"/>
              </w:rPr>
              <w:t>OIC 26.40</w:t>
            </w:r>
          </w:p>
        </w:tc>
        <w:tc>
          <w:tcPr>
            <w:tcW w:w="7060" w:type="dxa"/>
            <w:tcMar>
              <w:left w:w="108" w:type="dxa"/>
            </w:tcMar>
          </w:tcPr>
          <w:p w:rsidR="001716CA" w:rsidRPr="00321DBA" w:rsidRDefault="001716CA" w:rsidP="000D7E0A">
            <w:pPr>
              <w:spacing w:line="230" w:lineRule="exact"/>
              <w:rPr>
                <w:lang w:val="it-IT"/>
              </w:rPr>
            </w:pPr>
            <w:r w:rsidRPr="00321DBA">
              <w:rPr>
                <w:lang w:val="it-IT"/>
              </w:rPr>
              <w:t>L’importo stimato in valuta dei fondi rischi ed oneri connessi a passività in valuta è convertito al tasso di cambio a pronti alla data di chiusura dell’esercizio?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1716CA" w:rsidRPr="00BE4B7D"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RDefault="001716CA" w:rsidP="000D7E0A">
            <w:pPr>
              <w:pStyle w:val="Puntoelenco"/>
              <w:numPr>
                <w:ilvl w:val="0"/>
                <w:numId w:val="0"/>
              </w:numPr>
              <w:spacing w:line="240" w:lineRule="exact"/>
              <w:rPr>
                <w:sz w:val="22"/>
                <w:szCs w:val="22"/>
              </w:rPr>
            </w:pPr>
            <w:r w:rsidRPr="00321DBA">
              <w:rPr>
                <w:rFonts w:cs="Arial"/>
                <w:b/>
                <w:bCs/>
                <w:sz w:val="22"/>
                <w:szCs w:val="22"/>
              </w:rPr>
              <w:t>Tenuta della contabilità plurimonetaria</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17)</w:t>
            </w:r>
          </w:p>
        </w:tc>
        <w:tc>
          <w:tcPr>
            <w:tcW w:w="851" w:type="dxa"/>
            <w:tcMar>
              <w:left w:w="108" w:type="dxa"/>
              <w:right w:w="0" w:type="dxa"/>
            </w:tcMar>
          </w:tcPr>
          <w:p w:rsidR="001716CA" w:rsidRPr="00D745F7" w:rsidRDefault="001716CA" w:rsidP="000D7E0A">
            <w:pPr>
              <w:pStyle w:val="PrincCont"/>
              <w:jc w:val="left"/>
              <w:rPr>
                <w:lang w:val="it-IT"/>
              </w:rPr>
            </w:pPr>
            <w:r w:rsidRPr="00321DBA">
              <w:rPr>
                <w:lang w:val="it-IT"/>
              </w:rPr>
              <w:t>OIC 26.43</w:t>
            </w:r>
          </w:p>
        </w:tc>
        <w:tc>
          <w:tcPr>
            <w:tcW w:w="7060" w:type="dxa"/>
            <w:tcMar>
              <w:left w:w="108" w:type="dxa"/>
            </w:tcMar>
          </w:tcPr>
          <w:p w:rsidR="001716CA" w:rsidRPr="00321DBA" w:rsidRDefault="001716CA" w:rsidP="000D7E0A">
            <w:pPr>
              <w:spacing w:line="230" w:lineRule="exact"/>
              <w:rPr>
                <w:lang w:val="it-IT"/>
              </w:rPr>
            </w:pPr>
            <w:r w:rsidRPr="00321DBA">
              <w:rPr>
                <w:lang w:val="it-IT"/>
              </w:rPr>
              <w:t>Nel caso in cui la società mantiene parte della propria contabilità in valuta diversa dall’euro i saldi contabili sono tradotti utilizzando le procedure descritte nel Principio OIC 17 per la traduzione del bilancio di una controllata estera ai fini del consolidamento?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1716CA" w:rsidRPr="00CC242B"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26.42</w:t>
            </w:r>
          </w:p>
        </w:tc>
        <w:tc>
          <w:tcPr>
            <w:tcW w:w="7060" w:type="dxa"/>
            <w:tcMar>
              <w:left w:w="108" w:type="dxa"/>
            </w:tcMar>
          </w:tcPr>
          <w:p w:rsidR="001716CA" w:rsidRPr="00321DBA" w:rsidRDefault="001716CA" w:rsidP="000D7E0A">
            <w:pPr>
              <w:pStyle w:val="Commentiriquadro"/>
              <w:rPr>
                <w:lang w:eastAsia="it-IT"/>
              </w:rPr>
            </w:pPr>
            <w:r w:rsidRPr="00321DBA">
              <w:rPr>
                <w:lang w:eastAsia="it-IT"/>
              </w:rPr>
              <w:t>La normativa fiscale consente la tenuta della contabilità plurimonetaria nel caso in cui la società intrattiene in via continuativa scambi con Paesi che non adottano l’euro come moneta di conto, in ragione dell'oggetto della loro attività sia attraverso stabili organizzazioni all’estero, sia direttamente. La sistematicità dei rapporti intrattenuti induce queste società ad avvalersi di una vera e propria gestione in valuta, documentata con un'apposita contabilità sezionale. L'utilizzo di una specifica gestione implica che le operazioni compiute, qualunque ne sia la natura, siano rilevate direttamente in valuta.</w:t>
            </w:r>
          </w:p>
        </w:tc>
        <w:tc>
          <w:tcPr>
            <w:tcW w:w="586" w:type="dxa"/>
            <w:tcMar>
              <w:left w:w="85" w:type="dxa"/>
              <w:right w:w="85" w:type="dxa"/>
            </w:tcMar>
            <w:vAlign w:val="center"/>
          </w:tcPr>
          <w:p w:rsidR="001716CA" w:rsidRPr="00793CE4" w:rsidRDefault="001716CA" w:rsidP="000D7E0A">
            <w:pPr>
              <w:jc w:val="center"/>
              <w:rPr>
                <w:lang w:val="it-IT"/>
              </w:rPr>
            </w:pPr>
          </w:p>
        </w:tc>
        <w:tc>
          <w:tcPr>
            <w:tcW w:w="573" w:type="dxa"/>
            <w:tcMar>
              <w:left w:w="108" w:type="dxa"/>
            </w:tcMar>
            <w:vAlign w:val="center"/>
          </w:tcPr>
          <w:p w:rsidR="001716CA" w:rsidRPr="00793CE4" w:rsidRDefault="001716CA" w:rsidP="000D7E0A">
            <w:pPr>
              <w:jc w:val="center"/>
              <w:rPr>
                <w:lang w:val="it-IT"/>
              </w:rPr>
            </w:pPr>
          </w:p>
        </w:tc>
        <w:tc>
          <w:tcPr>
            <w:tcW w:w="570" w:type="dxa"/>
            <w:tcMar>
              <w:left w:w="108" w:type="dxa"/>
            </w:tcMar>
            <w:vAlign w:val="center"/>
          </w:tcPr>
          <w:p w:rsidR="001716CA" w:rsidRPr="00793CE4" w:rsidRDefault="001716CA" w:rsidP="000D7E0A">
            <w:pPr>
              <w:jc w:val="center"/>
              <w:rPr>
                <w:lang w:val="it-IT"/>
              </w:rPr>
            </w:pPr>
          </w:p>
        </w:tc>
      </w:tr>
      <w:tr w:rsidR="001716CA" w:rsidRPr="00CC242B"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RDefault="001716CA" w:rsidP="000D7E0A">
            <w:pPr>
              <w:pStyle w:val="Puntoelenco"/>
              <w:numPr>
                <w:ilvl w:val="0"/>
                <w:numId w:val="0"/>
              </w:numPr>
              <w:spacing w:line="240" w:lineRule="exact"/>
              <w:rPr>
                <w:sz w:val="22"/>
                <w:szCs w:val="22"/>
              </w:rPr>
            </w:pPr>
            <w:r w:rsidRPr="00321DBA">
              <w:rPr>
                <w:rFonts w:cs="Arial"/>
                <w:b/>
                <w:bCs/>
                <w:sz w:val="22"/>
                <w:szCs w:val="22"/>
              </w:rPr>
              <w:t>La riserva a fronte di utili su cambi</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18)</w:t>
            </w:r>
          </w:p>
        </w:tc>
        <w:tc>
          <w:tcPr>
            <w:tcW w:w="851" w:type="dxa"/>
            <w:tcMar>
              <w:left w:w="108" w:type="dxa"/>
              <w:right w:w="0" w:type="dxa"/>
            </w:tcMar>
          </w:tcPr>
          <w:p w:rsidR="001716CA" w:rsidRPr="001716CA" w:rsidRDefault="001716CA" w:rsidP="000D7E0A">
            <w:pPr>
              <w:pStyle w:val="PrincCont"/>
              <w:jc w:val="left"/>
            </w:pPr>
            <w:r w:rsidRPr="001716CA">
              <w:t>Art. 2426 CC n.8-bis       OIC 26.44  OIC 26.45</w:t>
            </w:r>
          </w:p>
        </w:tc>
        <w:tc>
          <w:tcPr>
            <w:tcW w:w="7060" w:type="dxa"/>
            <w:tcMar>
              <w:left w:w="108" w:type="dxa"/>
            </w:tcMar>
          </w:tcPr>
          <w:p w:rsidR="001716CA" w:rsidRPr="00321DBA" w:rsidRDefault="001716CA" w:rsidP="000D7E0A">
            <w:pPr>
              <w:spacing w:line="230" w:lineRule="exact"/>
              <w:rPr>
                <w:lang w:val="it-IT"/>
              </w:rPr>
            </w:pPr>
            <w:r w:rsidRPr="00321DBA">
              <w:rPr>
                <w:lang w:val="it-IT"/>
              </w:rPr>
              <w:t>L’eventuale utile netto derivante dalla conversione delle attività e passività monetarie in valuta al tasso di cambio a pronti alla data di chiusura dell’esercizio (saldo positivo tra utili e perdite non ancora realizzati) in sede di destinazione del risultato, è destinato a “</w:t>
            </w:r>
            <w:r w:rsidRPr="00321DBA">
              <w:rPr>
                <w:i/>
                <w:lang w:val="it-IT"/>
              </w:rPr>
              <w:t>Riserva utili su cambi</w:t>
            </w:r>
            <w:r w:rsidRPr="00321DBA">
              <w:rPr>
                <w:lang w:val="it-IT"/>
              </w:rPr>
              <w:t>” considerata non distribuibile sino al momento del successivo realizzo?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19)</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26.47</w:t>
            </w:r>
          </w:p>
          <w:p w:rsidR="001716CA" w:rsidRPr="00D745F7" w:rsidRDefault="001716CA" w:rsidP="000D7E0A">
            <w:pPr>
              <w:pStyle w:val="PrincCont"/>
              <w:jc w:val="left"/>
              <w:rPr>
                <w:lang w:val="it-IT"/>
              </w:rPr>
            </w:pPr>
          </w:p>
        </w:tc>
        <w:tc>
          <w:tcPr>
            <w:tcW w:w="7060" w:type="dxa"/>
            <w:tcMar>
              <w:left w:w="108" w:type="dxa"/>
            </w:tcMar>
          </w:tcPr>
          <w:p w:rsidR="001716CA" w:rsidRPr="00321DBA" w:rsidRDefault="001716CA" w:rsidP="000D7E0A">
            <w:pPr>
              <w:spacing w:line="230" w:lineRule="exact"/>
              <w:rPr>
                <w:lang w:val="it-IT"/>
              </w:rPr>
            </w:pPr>
            <w:r w:rsidRPr="00321DBA">
              <w:rPr>
                <w:lang w:val="it-IT"/>
              </w:rPr>
              <w:t>Qualora il risultato netto dell'esercizio sia inferiore all'utile netto non realizzato sulle poste in valuta, l'importo iscritto nella riserva non distribuibile è pari al risultato economico dell’esercizio?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1716CA" w:rsidRPr="00CC242B"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RDefault="001716CA" w:rsidP="000D7E0A">
            <w:pPr>
              <w:pStyle w:val="Puntoelenco"/>
              <w:numPr>
                <w:ilvl w:val="0"/>
                <w:numId w:val="0"/>
              </w:numPr>
              <w:spacing w:line="240" w:lineRule="exact"/>
              <w:rPr>
                <w:rFonts w:cs="Arial"/>
                <w:b/>
                <w:bCs/>
                <w:sz w:val="22"/>
                <w:szCs w:val="22"/>
              </w:rPr>
            </w:pPr>
            <w:r w:rsidRPr="00321DBA">
              <w:rPr>
                <w:rFonts w:cs="Arial"/>
                <w:b/>
                <w:bCs/>
                <w:sz w:val="22"/>
                <w:szCs w:val="22"/>
              </w:rPr>
              <w:t>Copertura del rischio di cambio di operazioni programmate altamente probabili o impegni irrevocabili attraverso strumenti finanziari non derivati</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CC242B"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26.48</w:t>
            </w:r>
          </w:p>
        </w:tc>
        <w:tc>
          <w:tcPr>
            <w:tcW w:w="7060" w:type="dxa"/>
            <w:tcMar>
              <w:left w:w="108" w:type="dxa"/>
            </w:tcMar>
          </w:tcPr>
          <w:p w:rsidR="001716CA" w:rsidRPr="00321DBA" w:rsidRDefault="001716CA" w:rsidP="000D7E0A">
            <w:pPr>
              <w:pStyle w:val="Commentiriquadro"/>
              <w:rPr>
                <w:lang w:eastAsia="it-IT"/>
              </w:rPr>
            </w:pPr>
            <w:r w:rsidRPr="00321DBA">
              <w:rPr>
                <w:lang w:eastAsia="it-IT"/>
              </w:rPr>
              <w:t>Le disponibilità liquide in valuta estera, oppure i crediti e i debiti in valuta estera, possono essere designati come strumenti di copertura del rischio di cambio, nella loro interezza o per una parte del loro vaore nominale (ad esempio un 20% o un 60% del valore nominale del credito), se tutte le seguenti condizioni sono soddisfatte:</w:t>
            </w:r>
          </w:p>
          <w:p w:rsidR="001716CA" w:rsidRPr="00321DBA" w:rsidRDefault="001716CA" w:rsidP="000D7E0A">
            <w:pPr>
              <w:pStyle w:val="Commentiriquadro"/>
              <w:ind w:left="176" w:hanging="119"/>
              <w:rPr>
                <w:lang w:eastAsia="it-IT"/>
              </w:rPr>
            </w:pPr>
            <w:r w:rsidRPr="00321DBA">
              <w:rPr>
                <w:lang w:eastAsia="it-IT"/>
              </w:rPr>
              <w:t xml:space="preserve">- </w:t>
            </w:r>
            <w:r>
              <w:rPr>
                <w:lang w:eastAsia="it-IT"/>
              </w:rPr>
              <w:tab/>
            </w:r>
            <w:r w:rsidRPr="00321DBA">
              <w:rPr>
                <w:lang w:eastAsia="it-IT"/>
              </w:rPr>
              <w:t>oggetto della copertura è una o più operazioni programmate altamente probabili o impegni irrevocabili denominati nella stessa valuta estera dello strumento di copertura così come definiti dal principio contabile OIC32 “Strumenti finanziari derviati”;</w:t>
            </w:r>
          </w:p>
          <w:p w:rsidR="001716CA" w:rsidRPr="00321DBA" w:rsidRDefault="001716CA" w:rsidP="000D7E0A">
            <w:pPr>
              <w:pStyle w:val="Commentiriquadro"/>
              <w:ind w:left="176" w:hanging="119"/>
              <w:rPr>
                <w:lang w:eastAsia="it-IT"/>
              </w:rPr>
            </w:pPr>
            <w:r w:rsidRPr="00321DBA">
              <w:rPr>
                <w:lang w:eastAsia="it-IT"/>
              </w:rPr>
              <w:t>- all’inizio delal relazione di copertura vi è una designazionei e una documentazione formale della relazione di copertura, degli obiettivi della società nella gestione del rischio di cambio e della strategia nell’effettuare la copertura. La documentazione deve includere l’individuazione dello strumento di copertura, dell’elemento coperto, della natura del rischio coperto (rischio di cambio) e dic ome la società valuterà se la relazione di copertura soddisfi i requisiti di efficacia della copertura;</w:t>
            </w:r>
          </w:p>
          <w:p w:rsidR="001716CA" w:rsidRPr="00321DBA" w:rsidRDefault="001716CA" w:rsidP="000D7E0A">
            <w:pPr>
              <w:pStyle w:val="Commentiriquadro"/>
              <w:ind w:left="176" w:hanging="119"/>
              <w:rPr>
                <w:rFonts w:cs="Arial"/>
                <w:b/>
                <w:bCs/>
                <w:sz w:val="22"/>
                <w:szCs w:val="22"/>
              </w:rPr>
            </w:pPr>
            <w:r w:rsidRPr="00321DBA">
              <w:rPr>
                <w:lang w:eastAsia="it-IT"/>
              </w:rPr>
              <w:t xml:space="preserve">- </w:t>
            </w:r>
            <w:r>
              <w:rPr>
                <w:lang w:eastAsia="it-IT"/>
              </w:rPr>
              <w:tab/>
            </w:r>
            <w:r w:rsidRPr="00321DBA">
              <w:rPr>
                <w:lang w:eastAsia="it-IT"/>
              </w:rPr>
              <w:t xml:space="preserve">la relazione di copertura si considera efficace verificando che gli elementi portanti (importo nominale, scadenza, variabile sottostante e data di regolamento dei flussi finanziari) corrispondano o siano strattamente allineati e il rischio di credito della controparte non sia tale da incidere significativamente sul valore dello strumento di copertura sia dell’elemento coperto </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262878" w:rsidTr="000D7E0A">
        <w:trPr>
          <w:cantSplit/>
          <w:trHeight w:val="20"/>
        </w:trPr>
        <w:tc>
          <w:tcPr>
            <w:tcW w:w="680" w:type="dxa"/>
          </w:tcPr>
          <w:p w:rsidR="001716CA" w:rsidRPr="007A41C5" w:rsidRDefault="001716CA" w:rsidP="000D7E0A">
            <w:pPr>
              <w:jc w:val="center"/>
              <w:rPr>
                <w:b/>
                <w:lang w:val="it-IT"/>
              </w:rPr>
            </w:pPr>
            <w:r w:rsidRPr="007A41C5">
              <w:rPr>
                <w:b/>
                <w:lang w:val="it-IT"/>
              </w:rPr>
              <w:t>20)</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26.49</w:t>
            </w:r>
          </w:p>
        </w:tc>
        <w:tc>
          <w:tcPr>
            <w:tcW w:w="7060" w:type="dxa"/>
            <w:tcMar>
              <w:left w:w="108" w:type="dxa"/>
            </w:tcMar>
          </w:tcPr>
          <w:p w:rsidR="001716CA" w:rsidRPr="00321DBA" w:rsidRDefault="001716CA" w:rsidP="000D7E0A">
            <w:pPr>
              <w:pStyle w:val="Puntoelenco"/>
              <w:numPr>
                <w:ilvl w:val="0"/>
                <w:numId w:val="0"/>
              </w:numPr>
              <w:spacing w:line="230" w:lineRule="exact"/>
            </w:pPr>
            <w:r w:rsidRPr="00321DBA">
              <w:t>Lo strumento di copertura è valutato al cambio spot a ogni data di chiusura del bilancio e la variazione dell’esercizio è imputata alla voce A VII “</w:t>
            </w:r>
            <w:r w:rsidRPr="00321DBA">
              <w:rPr>
                <w:i/>
              </w:rPr>
              <w:t>Riserva per operazioni di copertura dei flussi finanziari attesi</w:t>
            </w:r>
            <w:r w:rsidRPr="00321DBA">
              <w:t>”?</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FF19F7"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1716CA" w:rsidRPr="00FF19F7"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1716CA" w:rsidRPr="00262878" w:rsidTr="000D7E0A">
        <w:trPr>
          <w:cantSplit/>
          <w:trHeight w:val="20"/>
        </w:trPr>
        <w:tc>
          <w:tcPr>
            <w:tcW w:w="680" w:type="dxa"/>
          </w:tcPr>
          <w:p w:rsidR="001716CA" w:rsidRPr="007A41C5" w:rsidRDefault="001716CA" w:rsidP="000D7E0A">
            <w:pPr>
              <w:jc w:val="center"/>
              <w:rPr>
                <w:b/>
                <w:lang w:val="it-IT"/>
              </w:rPr>
            </w:pPr>
            <w:r w:rsidRPr="007A41C5">
              <w:rPr>
                <w:b/>
                <w:lang w:val="it-IT"/>
              </w:rPr>
              <w:t>21)</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26.50</w:t>
            </w:r>
          </w:p>
        </w:tc>
        <w:tc>
          <w:tcPr>
            <w:tcW w:w="7060" w:type="dxa"/>
            <w:tcMar>
              <w:left w:w="108" w:type="dxa"/>
            </w:tcMar>
          </w:tcPr>
          <w:p w:rsidR="001716CA" w:rsidRPr="00321DBA" w:rsidRDefault="001716CA" w:rsidP="000D7E0A">
            <w:pPr>
              <w:pStyle w:val="Puntoelenco"/>
              <w:numPr>
                <w:ilvl w:val="0"/>
                <w:numId w:val="0"/>
              </w:numPr>
              <w:spacing w:line="230" w:lineRule="exact"/>
            </w:pPr>
            <w:r w:rsidRPr="00321DBA">
              <w:t>Al termine della copertura, il saldo della “</w:t>
            </w:r>
            <w:r w:rsidRPr="00321DBA">
              <w:rPr>
                <w:i/>
              </w:rPr>
              <w:t>Riserva per operazioni di copertura dei flussi finanziari attesi</w:t>
            </w:r>
            <w:r w:rsidRPr="00321DBA">
              <w:t>” è imputata in contropartita alla voce di conto economico interessata dall’elemento coperto? Se l’operazione programmata o l’impegno irrevocabile comporta successivamente l’iscrizione in bilancio di un’attività o di una passività non monetaria, l’importo della riserva è portato a rettifica o integrazione del valore dell’attività (nei limiti del valore recuperabile) o della passività?</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FF19F7"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1716CA" w:rsidRPr="00FF19F7"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1716CA" w:rsidRPr="00CC242B"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26.51</w:t>
            </w:r>
          </w:p>
        </w:tc>
        <w:tc>
          <w:tcPr>
            <w:tcW w:w="7060" w:type="dxa"/>
            <w:tcMar>
              <w:left w:w="108" w:type="dxa"/>
            </w:tcMar>
          </w:tcPr>
          <w:p w:rsidR="001716CA" w:rsidRPr="00321DBA" w:rsidRDefault="001716CA" w:rsidP="000D7E0A">
            <w:pPr>
              <w:pStyle w:val="Commentiriquadro"/>
            </w:pPr>
            <w:r w:rsidRPr="00321DBA">
              <w:t xml:space="preserve">La società deve cessare </w:t>
            </w:r>
            <w:r w:rsidRPr="00907097">
              <w:t>prospetticamente</w:t>
            </w:r>
            <w:r w:rsidRPr="00321DBA">
              <w:rPr>
                <w:b/>
              </w:rPr>
              <w:t xml:space="preserve"> </w:t>
            </w:r>
            <w:r w:rsidRPr="00321DBA">
              <w:t>la contabilizzazione di copertura dei flussi finanziari se e soltanto se:</w:t>
            </w:r>
          </w:p>
          <w:p w:rsidR="001716CA" w:rsidRPr="00321DBA" w:rsidRDefault="001716CA" w:rsidP="000D7E0A">
            <w:pPr>
              <w:pStyle w:val="Commentiriquadro"/>
              <w:ind w:left="176" w:hanging="119"/>
            </w:pPr>
            <w:r w:rsidRPr="00321DBA">
              <w:t xml:space="preserve">- </w:t>
            </w:r>
            <w:r>
              <w:tab/>
            </w:r>
            <w:r w:rsidRPr="00321DBA">
              <w:t>lo strumento di copertura è ceduto;</w:t>
            </w:r>
          </w:p>
          <w:p w:rsidR="001716CA" w:rsidRPr="00321DBA" w:rsidRDefault="001716CA" w:rsidP="000D7E0A">
            <w:pPr>
              <w:pStyle w:val="Commentiriquadro"/>
              <w:ind w:left="176" w:hanging="119"/>
            </w:pPr>
            <w:r w:rsidRPr="00321DBA">
              <w:t xml:space="preserve">- </w:t>
            </w:r>
            <w:r>
              <w:tab/>
            </w:r>
            <w:r w:rsidRPr="00321DBA">
              <w:t>la copertura non soddisfa più i criteri per la contabilizzazione di copertura come specificato nel paragrafo 48;</w:t>
            </w:r>
          </w:p>
          <w:p w:rsidR="001716CA" w:rsidRPr="00321DBA" w:rsidRDefault="001716CA" w:rsidP="000D7E0A">
            <w:pPr>
              <w:pStyle w:val="Commentiriquadro"/>
              <w:ind w:left="176" w:hanging="119"/>
            </w:pPr>
            <w:r w:rsidRPr="00321DBA">
              <w:t xml:space="preserve">- </w:t>
            </w:r>
            <w:r>
              <w:tab/>
            </w:r>
            <w:r w:rsidRPr="00321DBA">
              <w:t>in una copertura di operazione programmata, l’operazione programmata non è più altamente probabile.</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262878" w:rsidTr="000D7E0A">
        <w:trPr>
          <w:cantSplit/>
          <w:trHeight w:val="20"/>
        </w:trPr>
        <w:tc>
          <w:tcPr>
            <w:tcW w:w="680" w:type="dxa"/>
          </w:tcPr>
          <w:p w:rsidR="001716CA" w:rsidRPr="007A41C5" w:rsidRDefault="001716CA" w:rsidP="000D7E0A">
            <w:pPr>
              <w:jc w:val="center"/>
              <w:rPr>
                <w:b/>
                <w:lang w:val="it-IT"/>
              </w:rPr>
            </w:pPr>
            <w:r w:rsidRPr="007A41C5">
              <w:rPr>
                <w:b/>
                <w:lang w:val="it-IT"/>
              </w:rPr>
              <w:t>22)</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26.52</w:t>
            </w:r>
          </w:p>
        </w:tc>
        <w:tc>
          <w:tcPr>
            <w:tcW w:w="7060" w:type="dxa"/>
            <w:tcMar>
              <w:left w:w="108" w:type="dxa"/>
            </w:tcMar>
          </w:tcPr>
          <w:p w:rsidR="001716CA" w:rsidRPr="00321DBA" w:rsidRDefault="001716CA" w:rsidP="000D7E0A">
            <w:pPr>
              <w:pStyle w:val="Puntoelenco"/>
              <w:numPr>
                <w:ilvl w:val="0"/>
                <w:numId w:val="0"/>
              </w:numPr>
              <w:spacing w:line="230" w:lineRule="exact"/>
            </w:pPr>
            <w:r w:rsidRPr="00321DBA">
              <w:t>Se cessa la contabilizzazione delle operazioni di copertura per la copertura dei flussi finanziari, l’importo accumulato nella “</w:t>
            </w:r>
            <w:r w:rsidRPr="00321DBA">
              <w:rPr>
                <w:i/>
              </w:rPr>
              <w:t>Riserva per operazioni di copertura dei flussi finanziari attesi</w:t>
            </w:r>
            <w:r w:rsidRPr="00321DBA">
              <w:t>” rimane nella riserva fino al verificars</w:t>
            </w:r>
            <w:r>
              <w:t>i dei flussi finanziari futuri se si prevede</w:t>
            </w:r>
            <w:r w:rsidRPr="00321DBA">
              <w:t xml:space="preserve"> che tali flussi si verificheranno?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FF19F7"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1716CA" w:rsidRPr="00FF19F7"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1716CA" w:rsidRPr="00262878" w:rsidTr="000D7E0A">
        <w:trPr>
          <w:cantSplit/>
          <w:trHeight w:val="20"/>
        </w:trPr>
        <w:tc>
          <w:tcPr>
            <w:tcW w:w="680" w:type="dxa"/>
          </w:tcPr>
          <w:p w:rsidR="001716CA" w:rsidRPr="007A41C5" w:rsidRDefault="001716CA" w:rsidP="000D7E0A">
            <w:pPr>
              <w:jc w:val="center"/>
              <w:rPr>
                <w:b/>
                <w:lang w:val="it-IT"/>
              </w:rPr>
            </w:pPr>
            <w:r w:rsidRPr="007A41C5">
              <w:rPr>
                <w:b/>
                <w:lang w:val="it-IT"/>
              </w:rPr>
              <w:t>23)</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26.52</w:t>
            </w:r>
          </w:p>
        </w:tc>
        <w:tc>
          <w:tcPr>
            <w:tcW w:w="7060" w:type="dxa"/>
            <w:tcMar>
              <w:left w:w="108" w:type="dxa"/>
            </w:tcMar>
          </w:tcPr>
          <w:p w:rsidR="001716CA" w:rsidRPr="00321DBA" w:rsidRDefault="001716CA" w:rsidP="000D7E0A">
            <w:pPr>
              <w:pStyle w:val="Puntoelenco"/>
              <w:numPr>
                <w:ilvl w:val="0"/>
                <w:numId w:val="0"/>
              </w:numPr>
              <w:spacing w:line="230" w:lineRule="exact"/>
            </w:pPr>
            <w:r>
              <w:t>L’importo accumulato n</w:t>
            </w:r>
            <w:r w:rsidRPr="00321DBA">
              <w:t xml:space="preserve">ella riserva è rilasciato a conto economico nella voce “Utili/perdite su cambi” se non si prevede che si verifichino più i flussi finanziari futuri o non si prevede più che </w:t>
            </w:r>
            <w:r>
              <w:t xml:space="preserve">gli stessi </w:t>
            </w:r>
            <w:r w:rsidRPr="00321DBA">
              <w:t>siano altamente probabili o non è probabile che la società realizzerà gli utili/perdite su cambi sospesi a riserva?</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FF19F7"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c>
          <w:tcPr>
            <w:tcW w:w="570" w:type="dxa"/>
            <w:tcMar>
              <w:left w:w="108" w:type="dxa"/>
            </w:tcMar>
            <w:vAlign w:val="center"/>
          </w:tcPr>
          <w:p w:rsidR="001716CA" w:rsidRPr="00FF19F7"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CA1681">
              <w:fldChar w:fldCharType="separate"/>
            </w:r>
            <w:r w:rsidRPr="007477DE">
              <w:fldChar w:fldCharType="end"/>
            </w:r>
          </w:p>
        </w:tc>
      </w:tr>
      <w:tr w:rsidR="001716CA" w:rsidRPr="00CC242B"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Art. 2435-ter CC</w:t>
            </w:r>
            <w:r>
              <w:rPr>
                <w:lang w:val="it-IT"/>
              </w:rPr>
              <w:t xml:space="preserve">             </w:t>
            </w:r>
            <w:r w:rsidRPr="00321DBA">
              <w:rPr>
                <w:lang w:val="it-IT"/>
              </w:rPr>
              <w:t>OIC 26.53</w:t>
            </w:r>
          </w:p>
        </w:tc>
        <w:tc>
          <w:tcPr>
            <w:tcW w:w="7060" w:type="dxa"/>
            <w:tcMar>
              <w:left w:w="108" w:type="dxa"/>
            </w:tcMar>
          </w:tcPr>
          <w:p w:rsidR="001716CA" w:rsidRPr="00321DBA" w:rsidRDefault="001716CA" w:rsidP="000D7E0A">
            <w:pPr>
              <w:pStyle w:val="Commentiriquadro"/>
            </w:pPr>
            <w:r w:rsidRPr="00321DBA">
              <w:t xml:space="preserve">I paragrafi 48-52 non sono applicabili alle società che redigono il bilancio </w:t>
            </w:r>
            <w:r>
              <w:t>in base alle disposizioni dell’a</w:t>
            </w:r>
            <w:r w:rsidRPr="00321DBA">
              <w:t>rt. 2435-ter del Codice Civile</w:t>
            </w:r>
            <w:r>
              <w:t xml:space="preserve"> (micro-imprese)</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4A6E10"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RDefault="001716CA" w:rsidP="000D7E0A">
            <w:pPr>
              <w:pStyle w:val="Puntoelenco"/>
              <w:numPr>
                <w:ilvl w:val="0"/>
                <w:numId w:val="0"/>
              </w:numPr>
              <w:spacing w:line="240" w:lineRule="exact"/>
              <w:rPr>
                <w:sz w:val="22"/>
                <w:szCs w:val="22"/>
              </w:rPr>
            </w:pPr>
            <w:r w:rsidRPr="00321DBA">
              <w:rPr>
                <w:rFonts w:cs="Arial"/>
                <w:b/>
                <w:bCs/>
                <w:sz w:val="22"/>
                <w:szCs w:val="22"/>
              </w:rPr>
              <w:t>Nota Integrativa</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CC242B"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1716CA" w:rsidRDefault="001716CA" w:rsidP="000D7E0A">
            <w:pPr>
              <w:pStyle w:val="Titolo3"/>
              <w:rPr>
                <w:lang w:val="it-IT"/>
              </w:rPr>
            </w:pPr>
            <w:r w:rsidRPr="001716CA">
              <w:rPr>
                <w:lang w:val="it-IT"/>
              </w:rPr>
              <w:t>Informazioni relative alle società che redigono il bilancio in forma ordinaria</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CC242B" w:rsidTr="000D7E0A">
        <w:trPr>
          <w:cantSplit/>
          <w:trHeight w:val="157"/>
        </w:trPr>
        <w:tc>
          <w:tcPr>
            <w:tcW w:w="680" w:type="dxa"/>
          </w:tcPr>
          <w:p w:rsidR="001716CA" w:rsidRPr="007A41C5" w:rsidRDefault="001716CA" w:rsidP="000D7E0A">
            <w:pPr>
              <w:jc w:val="center"/>
              <w:rPr>
                <w:b/>
                <w:lang w:val="it-IT"/>
              </w:rPr>
            </w:pPr>
            <w:r w:rsidRPr="007A41C5">
              <w:rPr>
                <w:b/>
                <w:lang w:val="it-IT"/>
              </w:rPr>
              <w:t>24)</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26.54</w:t>
            </w:r>
          </w:p>
        </w:tc>
        <w:tc>
          <w:tcPr>
            <w:tcW w:w="7060" w:type="dxa"/>
            <w:tcMar>
              <w:left w:w="108" w:type="dxa"/>
            </w:tcMar>
          </w:tcPr>
          <w:p w:rsidR="001716CA" w:rsidRPr="00321DBA" w:rsidRDefault="001716CA" w:rsidP="000D7E0A">
            <w:pPr>
              <w:spacing w:line="230" w:lineRule="exact"/>
              <w:rPr>
                <w:lang w:val="it-IT"/>
              </w:rPr>
            </w:pPr>
            <w:r w:rsidRPr="00321DBA">
              <w:rPr>
                <w:lang w:val="it-IT"/>
              </w:rPr>
              <w:t xml:space="preserve">Sono state indicate le seguenti informazioni nella </w:t>
            </w:r>
            <w:r>
              <w:rPr>
                <w:lang w:val="it-IT"/>
              </w:rPr>
              <w:t>Nota Integrativa</w:t>
            </w:r>
            <w:r w:rsidRPr="00321DBA">
              <w:rPr>
                <w:lang w:val="it-IT"/>
              </w:rPr>
              <w:t>:</w:t>
            </w:r>
          </w:p>
        </w:tc>
        <w:tc>
          <w:tcPr>
            <w:tcW w:w="586" w:type="dxa"/>
            <w:tcMar>
              <w:left w:w="85" w:type="dxa"/>
              <w:right w:w="85" w:type="dxa"/>
            </w:tcMar>
            <w:vAlign w:val="center"/>
          </w:tcPr>
          <w:p w:rsidR="001716CA" w:rsidRPr="00216D43" w:rsidRDefault="001716CA" w:rsidP="000D7E0A">
            <w:pPr>
              <w:jc w:val="center"/>
              <w:rPr>
                <w:lang w:val="it-IT"/>
              </w:rPr>
            </w:pPr>
          </w:p>
        </w:tc>
        <w:tc>
          <w:tcPr>
            <w:tcW w:w="573" w:type="dxa"/>
            <w:tcMar>
              <w:left w:w="108" w:type="dxa"/>
            </w:tcMar>
            <w:vAlign w:val="center"/>
          </w:tcPr>
          <w:p w:rsidR="001716CA" w:rsidRPr="00216D43" w:rsidRDefault="001716CA" w:rsidP="000D7E0A">
            <w:pPr>
              <w:jc w:val="center"/>
              <w:rPr>
                <w:lang w:val="it-IT"/>
              </w:rPr>
            </w:pPr>
          </w:p>
        </w:tc>
        <w:tc>
          <w:tcPr>
            <w:tcW w:w="570" w:type="dxa"/>
            <w:tcMar>
              <w:left w:w="108" w:type="dxa"/>
            </w:tcMar>
            <w:vAlign w:val="center"/>
          </w:tcPr>
          <w:p w:rsidR="001716CA" w:rsidRPr="00216D43" w:rsidRDefault="001716CA" w:rsidP="000D7E0A">
            <w:pPr>
              <w:jc w:val="center"/>
              <w:rPr>
                <w:lang w:val="it-IT"/>
              </w:rPr>
            </w:pPr>
          </w:p>
        </w:tc>
      </w:tr>
      <w:tr w:rsidR="001716CA" w:rsidRPr="00216D43"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Pr>
                <w:lang w:val="it-IT"/>
              </w:rPr>
              <w:t>Art. 2427, c.1, n.</w:t>
            </w:r>
            <w:r w:rsidRPr="00321DBA">
              <w:rPr>
                <w:lang w:val="it-IT"/>
              </w:rPr>
              <w:t>1, CC</w:t>
            </w:r>
          </w:p>
        </w:tc>
        <w:tc>
          <w:tcPr>
            <w:tcW w:w="7060" w:type="dxa"/>
            <w:tcMar>
              <w:left w:w="108" w:type="dxa"/>
            </w:tcMar>
          </w:tcPr>
          <w:p w:rsidR="001716CA" w:rsidRPr="00321DBA" w:rsidRDefault="001716CA" w:rsidP="00840B93">
            <w:pPr>
              <w:pStyle w:val="rientrotrattinook"/>
            </w:pPr>
            <w:r w:rsidRPr="00321DBA">
              <w:t>i criteri applicati nella conversione dei valori non espressi all'origine in euro</w:t>
            </w:r>
          </w:p>
        </w:tc>
        <w:tc>
          <w:tcPr>
            <w:tcW w:w="586" w:type="dxa"/>
            <w:tcMar>
              <w:left w:w="85" w:type="dxa"/>
              <w:right w:w="85"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1716CA" w:rsidRPr="00216D43"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Art.</w:t>
            </w:r>
            <w:r>
              <w:rPr>
                <w:lang w:val="it-IT"/>
              </w:rPr>
              <w:t xml:space="preserve"> 2427, c.1, n.</w:t>
            </w:r>
            <w:r w:rsidRPr="00321DBA">
              <w:rPr>
                <w:lang w:val="it-IT"/>
              </w:rPr>
              <w:t>4, CC</w:t>
            </w:r>
          </w:p>
        </w:tc>
        <w:tc>
          <w:tcPr>
            <w:tcW w:w="7060" w:type="dxa"/>
            <w:tcMar>
              <w:left w:w="108" w:type="dxa"/>
            </w:tcMar>
          </w:tcPr>
          <w:p w:rsidR="001716CA" w:rsidRPr="00321DBA" w:rsidRDefault="001716CA" w:rsidP="00840B93">
            <w:pPr>
              <w:pStyle w:val="rientrotrattinook"/>
              <w:rPr>
                <w:rFonts w:ascii="Times New Roman" w:hAnsi="Times New Roman"/>
                <w:sz w:val="22"/>
                <w:szCs w:val="22"/>
                <w:lang w:eastAsia="it-IT"/>
              </w:rPr>
            </w:pPr>
            <w:r w:rsidRPr="00321DBA">
              <w:t>le variazioni intervenute nella consistenza delle voci dell’attivo e del passivo, nonché, per le voci del patrimonio netto, la loro formazione e il loro utilizzo</w:t>
            </w:r>
          </w:p>
        </w:tc>
        <w:tc>
          <w:tcPr>
            <w:tcW w:w="586" w:type="dxa"/>
            <w:tcMar>
              <w:left w:w="85" w:type="dxa"/>
              <w:right w:w="85"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1716CA" w:rsidRPr="00A914F2"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pPr>
            <w:r>
              <w:t>Art. 2427, c.1, n.</w:t>
            </w:r>
            <w:r w:rsidRPr="00321DBA">
              <w:t>6-bis, CC</w:t>
            </w:r>
          </w:p>
        </w:tc>
        <w:tc>
          <w:tcPr>
            <w:tcW w:w="7060" w:type="dxa"/>
            <w:tcMar>
              <w:left w:w="108" w:type="dxa"/>
            </w:tcMar>
          </w:tcPr>
          <w:p w:rsidR="001716CA" w:rsidRPr="00321DBA" w:rsidRDefault="001716CA" w:rsidP="00840B93">
            <w:pPr>
              <w:pStyle w:val="rientrotrattinook"/>
              <w:rPr>
                <w:rFonts w:ascii="Times New Roman" w:hAnsi="Times New Roman"/>
                <w:sz w:val="22"/>
                <w:szCs w:val="22"/>
                <w:lang w:eastAsia="it-IT"/>
              </w:rPr>
            </w:pPr>
            <w:r w:rsidRPr="00321DBA">
              <w:t>gli eventuali effetti significativi delle variazioni nei cambi valutari verificatisi successivamente alla chiusura dell’esercizio</w:t>
            </w:r>
          </w:p>
        </w:tc>
        <w:tc>
          <w:tcPr>
            <w:tcW w:w="586" w:type="dxa"/>
            <w:tcMar>
              <w:left w:w="85" w:type="dxa"/>
              <w:right w:w="85"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1716CA" w:rsidRPr="00216D43"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pPr>
            <w:r>
              <w:t>Art. 2427, c.1, n.</w:t>
            </w:r>
            <w:r w:rsidRPr="00321DBA">
              <w:t>7-bis, CC</w:t>
            </w:r>
          </w:p>
        </w:tc>
        <w:tc>
          <w:tcPr>
            <w:tcW w:w="7060" w:type="dxa"/>
            <w:tcMar>
              <w:left w:w="108" w:type="dxa"/>
            </w:tcMar>
          </w:tcPr>
          <w:p w:rsidR="001716CA" w:rsidRPr="00321DBA" w:rsidRDefault="001716CA" w:rsidP="00840B93">
            <w:pPr>
              <w:pStyle w:val="rientrotrattinook"/>
            </w:pPr>
            <w:r w:rsidRPr="00321DBA">
              <w:t>l’indicazione dell’apposita riserva da utili netti su cambi tra le voci di patrimonio netto, con specificazione in appositi prospetti della loro origine, possibilità di utilizzazione e distribuibilità, nonché della loro avvenuta utilizzazione nei precedenti esercizi?</w:t>
            </w:r>
          </w:p>
        </w:tc>
        <w:tc>
          <w:tcPr>
            <w:tcW w:w="586" w:type="dxa"/>
            <w:tcMar>
              <w:left w:w="85" w:type="dxa"/>
              <w:right w:w="85"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1716CA" w:rsidRPr="00216D43" w:rsidTr="000D7E0A">
        <w:trPr>
          <w:cantSplit/>
          <w:trHeight w:val="20"/>
        </w:trPr>
        <w:tc>
          <w:tcPr>
            <w:tcW w:w="680" w:type="dxa"/>
          </w:tcPr>
          <w:p w:rsidR="001716CA" w:rsidRPr="007A41C5" w:rsidRDefault="001716CA" w:rsidP="000D7E0A">
            <w:pPr>
              <w:jc w:val="center"/>
              <w:rPr>
                <w:b/>
                <w:lang w:val="it-IT"/>
              </w:rPr>
            </w:pPr>
            <w:r w:rsidRPr="007A41C5">
              <w:rPr>
                <w:b/>
                <w:lang w:val="it-IT"/>
              </w:rPr>
              <w:t>25)</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26.54</w:t>
            </w:r>
          </w:p>
        </w:tc>
        <w:tc>
          <w:tcPr>
            <w:tcW w:w="7060" w:type="dxa"/>
            <w:tcMar>
              <w:left w:w="108" w:type="dxa"/>
            </w:tcMar>
          </w:tcPr>
          <w:p w:rsidR="001716CA" w:rsidRPr="00321DBA" w:rsidRDefault="001716CA" w:rsidP="000D7E0A">
            <w:pPr>
              <w:spacing w:line="230" w:lineRule="exact"/>
              <w:rPr>
                <w:rFonts w:ascii="Times New Roman" w:hAnsi="Times New Roman"/>
                <w:sz w:val="22"/>
                <w:szCs w:val="22"/>
                <w:lang w:val="it-IT" w:eastAsia="it-IT"/>
              </w:rPr>
            </w:pPr>
            <w:r w:rsidRPr="00321DBA">
              <w:rPr>
                <w:lang w:val="it-IT"/>
              </w:rPr>
              <w:t xml:space="preserve">Nel fornire le informazioni di cui al punto precedente, la </w:t>
            </w:r>
            <w:r>
              <w:rPr>
                <w:lang w:val="it-IT"/>
              </w:rPr>
              <w:t>Nota Integrativa</w:t>
            </w:r>
            <w:r w:rsidRPr="00321DBA">
              <w:rPr>
                <w:lang w:val="it-IT"/>
              </w:rPr>
              <w:t xml:space="preserve"> indica l’ammontare degli utili e delle perdite non realizzato su cambi, nonché la relativa articolazione per valuta di riferimento quando la conoscenza di tale informazione sia utile per valutare la situazione patrimoniale e finanziaria della società?</w:t>
            </w:r>
          </w:p>
        </w:tc>
        <w:tc>
          <w:tcPr>
            <w:tcW w:w="586" w:type="dxa"/>
            <w:tcMar>
              <w:left w:w="85" w:type="dxa"/>
              <w:right w:w="85"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1716CA" w:rsidRPr="00CC242B" w:rsidTr="000D7E0A">
        <w:trPr>
          <w:cantSplit/>
          <w:trHeight w:val="20"/>
        </w:trPr>
        <w:tc>
          <w:tcPr>
            <w:tcW w:w="680" w:type="dxa"/>
          </w:tcPr>
          <w:p w:rsidR="001716CA" w:rsidRPr="007A41C5" w:rsidRDefault="001716CA" w:rsidP="000D7E0A">
            <w:pPr>
              <w:jc w:val="center"/>
              <w:rPr>
                <w:b/>
                <w:lang w:val="it-IT"/>
              </w:rPr>
            </w:pPr>
          </w:p>
          <w:p w:rsidR="001716CA" w:rsidRPr="007A41C5" w:rsidRDefault="001716CA" w:rsidP="000D7E0A">
            <w:pPr>
              <w:jc w:val="center"/>
              <w:rPr>
                <w:b/>
                <w:lang w:val="it-IT"/>
              </w:rPr>
            </w:pPr>
          </w:p>
          <w:p w:rsidR="001716CA" w:rsidRPr="007A41C5" w:rsidRDefault="001716CA" w:rsidP="000D7E0A">
            <w:pPr>
              <w:jc w:val="center"/>
              <w:rPr>
                <w:b/>
                <w:lang w:val="it-IT"/>
              </w:rPr>
            </w:pPr>
          </w:p>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Art. 2423 CC</w:t>
            </w:r>
            <w:r>
              <w:rPr>
                <w:lang w:val="it-IT"/>
              </w:rPr>
              <w:t xml:space="preserve">, c.4             </w:t>
            </w:r>
            <w:r w:rsidRPr="00321DBA">
              <w:rPr>
                <w:lang w:val="it-IT"/>
              </w:rPr>
              <w:t>OIC 26.55</w:t>
            </w:r>
          </w:p>
        </w:tc>
        <w:tc>
          <w:tcPr>
            <w:tcW w:w="7060" w:type="dxa"/>
            <w:tcMar>
              <w:left w:w="108" w:type="dxa"/>
            </w:tcMar>
          </w:tcPr>
          <w:p w:rsidR="001716CA" w:rsidRPr="00321DBA" w:rsidRDefault="001716CA" w:rsidP="000D7E0A">
            <w:pPr>
              <w:pStyle w:val="Commentiriquadro"/>
            </w:pPr>
            <w:r w:rsidRPr="00321DBA">
              <w:t xml:space="preserve">Non occorre rispettare gli obblighi in tema di rilevazione, valutazione, presentazione e informativa quando la loro osservanza abbia effetti irrilevanti al fine di dare una rappresentazione veritiera e corretta. </w:t>
            </w:r>
            <w:r>
              <w:t>R</w:t>
            </w:r>
            <w:r w:rsidRPr="00321DBA">
              <w:t xml:space="preserve">imangono fermi gli obblighi in tema di regolare tenuta delle scritture contabili. Le società illustrano nella </w:t>
            </w:r>
            <w:r>
              <w:t>Nota Integrativa</w:t>
            </w:r>
            <w:r w:rsidRPr="00321DBA">
              <w:t xml:space="preserve"> i criteri con i quali hanno dato attuaz</w:t>
            </w:r>
            <w:r>
              <w:t>ione alla presente disposizione.</w:t>
            </w:r>
          </w:p>
        </w:tc>
        <w:tc>
          <w:tcPr>
            <w:tcW w:w="586" w:type="dxa"/>
            <w:tcMar>
              <w:left w:w="85" w:type="dxa"/>
              <w:right w:w="85" w:type="dxa"/>
            </w:tcMar>
            <w:vAlign w:val="center"/>
          </w:tcPr>
          <w:p w:rsidR="001716CA" w:rsidRPr="00732336" w:rsidRDefault="001716CA" w:rsidP="000D7E0A">
            <w:pPr>
              <w:jc w:val="center"/>
              <w:rPr>
                <w:lang w:val="it-IT"/>
              </w:rPr>
            </w:pPr>
          </w:p>
          <w:p w:rsidR="001716CA" w:rsidRPr="00732336" w:rsidRDefault="001716CA" w:rsidP="000D7E0A">
            <w:pPr>
              <w:jc w:val="center"/>
              <w:rPr>
                <w:lang w:val="it-IT"/>
              </w:rPr>
            </w:pPr>
          </w:p>
        </w:tc>
        <w:tc>
          <w:tcPr>
            <w:tcW w:w="573" w:type="dxa"/>
            <w:tcMar>
              <w:left w:w="108" w:type="dxa"/>
            </w:tcMar>
            <w:vAlign w:val="center"/>
          </w:tcPr>
          <w:p w:rsidR="001716CA" w:rsidRPr="001716CA" w:rsidRDefault="001716CA" w:rsidP="000D7E0A">
            <w:pPr>
              <w:jc w:val="center"/>
              <w:rPr>
                <w:lang w:val="it-IT"/>
              </w:rPr>
            </w:pPr>
          </w:p>
          <w:p w:rsidR="001716CA" w:rsidRPr="00732336" w:rsidRDefault="001716CA" w:rsidP="000D7E0A">
            <w:pPr>
              <w:rPr>
                <w:lang w:val="it-IT"/>
              </w:rPr>
            </w:pPr>
          </w:p>
        </w:tc>
        <w:tc>
          <w:tcPr>
            <w:tcW w:w="570" w:type="dxa"/>
            <w:tcMar>
              <w:left w:w="108" w:type="dxa"/>
            </w:tcMar>
            <w:vAlign w:val="center"/>
          </w:tcPr>
          <w:p w:rsidR="001716CA" w:rsidRPr="001716CA" w:rsidRDefault="001716CA" w:rsidP="000D7E0A">
            <w:pPr>
              <w:jc w:val="center"/>
              <w:rPr>
                <w:lang w:val="it-IT"/>
              </w:rPr>
            </w:pPr>
          </w:p>
          <w:p w:rsidR="001716CA" w:rsidRPr="00732336" w:rsidRDefault="001716CA" w:rsidP="000D7E0A">
            <w:pPr>
              <w:jc w:val="center"/>
              <w:rPr>
                <w:lang w:val="it-IT"/>
              </w:rPr>
            </w:pPr>
          </w:p>
        </w:tc>
      </w:tr>
      <w:tr w:rsidR="001716CA" w:rsidRPr="00732336" w:rsidTr="000D7E0A">
        <w:trPr>
          <w:cantSplit/>
          <w:trHeight w:val="20"/>
        </w:trPr>
        <w:tc>
          <w:tcPr>
            <w:tcW w:w="680" w:type="dxa"/>
          </w:tcPr>
          <w:p w:rsidR="001716CA" w:rsidRPr="007A41C5" w:rsidRDefault="001716CA" w:rsidP="000D7E0A">
            <w:pPr>
              <w:jc w:val="center"/>
              <w:rPr>
                <w:b/>
                <w:lang w:val="it-IT"/>
              </w:rPr>
            </w:pPr>
            <w:r>
              <w:rPr>
                <w:b/>
                <w:lang w:val="it-IT"/>
              </w:rPr>
              <w:t>26</w:t>
            </w:r>
            <w:r w:rsidRPr="007A41C5">
              <w:rPr>
                <w:b/>
                <w:lang w:val="it-IT"/>
              </w:rPr>
              <w:t>)</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26.56</w:t>
            </w:r>
          </w:p>
        </w:tc>
        <w:tc>
          <w:tcPr>
            <w:tcW w:w="7060" w:type="dxa"/>
            <w:tcMar>
              <w:left w:w="108" w:type="dxa"/>
            </w:tcMar>
          </w:tcPr>
          <w:p w:rsidR="001716CA" w:rsidRPr="00321DBA" w:rsidRDefault="001716CA" w:rsidP="000D7E0A">
            <w:pPr>
              <w:spacing w:line="230" w:lineRule="exact"/>
              <w:rPr>
                <w:lang w:val="it-IT"/>
              </w:rPr>
            </w:pPr>
            <w:r w:rsidRPr="00321DBA">
              <w:rPr>
                <w:lang w:val="it-IT"/>
              </w:rPr>
              <w:t>Sono state fornite le informazioni relative alla movimentazione della voce “Riserva per operazioni di copertura dei flussi finanziari attesi” dovute all’applicazione di quanto previsto ai paragrafi 48-52? A tale fine, tali informazioni possono state esposte secondo il modello previsto dall’OIC28 “Patrimonio netto”.</w:t>
            </w:r>
          </w:p>
        </w:tc>
        <w:tc>
          <w:tcPr>
            <w:tcW w:w="586" w:type="dxa"/>
            <w:tcMar>
              <w:left w:w="85" w:type="dxa"/>
              <w:right w:w="85"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1716CA" w:rsidRPr="00CC242B"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1716CA" w:rsidRDefault="001716CA" w:rsidP="000D7E0A">
            <w:pPr>
              <w:pStyle w:val="Titolo3"/>
              <w:rPr>
                <w:lang w:val="it-IT"/>
              </w:rPr>
            </w:pPr>
            <w:r w:rsidRPr="001716CA">
              <w:rPr>
                <w:lang w:val="it-IT"/>
              </w:rPr>
              <w:t>Informazioni relative alle società che redigono il bilancio in forma abbreviata</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732336" w:rsidTr="000D7E0A">
        <w:trPr>
          <w:cantSplit/>
          <w:trHeight w:val="20"/>
        </w:trPr>
        <w:tc>
          <w:tcPr>
            <w:tcW w:w="680" w:type="dxa"/>
          </w:tcPr>
          <w:p w:rsidR="001716CA" w:rsidRPr="007A41C5" w:rsidRDefault="001716CA" w:rsidP="000D7E0A">
            <w:pPr>
              <w:jc w:val="center"/>
              <w:rPr>
                <w:b/>
                <w:lang w:val="it-IT"/>
              </w:rPr>
            </w:pPr>
            <w:r>
              <w:rPr>
                <w:b/>
                <w:lang w:val="it-IT"/>
              </w:rPr>
              <w:t>27</w:t>
            </w:r>
            <w:r w:rsidRPr="007A41C5">
              <w:rPr>
                <w:b/>
                <w:lang w:val="it-IT"/>
              </w:rPr>
              <w:t>)</w:t>
            </w:r>
          </w:p>
        </w:tc>
        <w:tc>
          <w:tcPr>
            <w:tcW w:w="851" w:type="dxa"/>
            <w:tcMar>
              <w:left w:w="108" w:type="dxa"/>
              <w:right w:w="0" w:type="dxa"/>
            </w:tcMar>
          </w:tcPr>
          <w:p w:rsidR="001716CA" w:rsidRPr="001716CA" w:rsidRDefault="001716CA" w:rsidP="000D7E0A">
            <w:pPr>
              <w:pStyle w:val="PrincCont"/>
              <w:jc w:val="left"/>
            </w:pPr>
            <w:r w:rsidRPr="001716CA">
              <w:t>Art. 2435-bis CC              Art. 2435-ter CC             OIC 26.57</w:t>
            </w:r>
          </w:p>
        </w:tc>
        <w:tc>
          <w:tcPr>
            <w:tcW w:w="7060" w:type="dxa"/>
            <w:tcMar>
              <w:left w:w="108" w:type="dxa"/>
            </w:tcMar>
          </w:tcPr>
          <w:p w:rsidR="001716CA" w:rsidRPr="00321DBA" w:rsidRDefault="001716CA" w:rsidP="000D7E0A">
            <w:pPr>
              <w:spacing w:line="230" w:lineRule="exact"/>
              <w:rPr>
                <w:lang w:val="it-IT"/>
              </w:rPr>
            </w:pPr>
            <w:r w:rsidRPr="00321DBA">
              <w:rPr>
                <w:lang w:val="it-IT"/>
              </w:rPr>
              <w:t>Sono stati indicati i criteri applicati nella nella conversione dei valori non espressi all'origine in euro?</w:t>
            </w:r>
          </w:p>
        </w:tc>
        <w:tc>
          <w:tcPr>
            <w:tcW w:w="586" w:type="dxa"/>
            <w:tcMar>
              <w:left w:w="85" w:type="dxa"/>
              <w:right w:w="85"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1716CA" w:rsidRPr="00732336" w:rsidTr="000D7E0A">
        <w:trPr>
          <w:cantSplit/>
          <w:trHeight w:val="20"/>
        </w:trPr>
        <w:tc>
          <w:tcPr>
            <w:tcW w:w="680" w:type="dxa"/>
          </w:tcPr>
          <w:p w:rsidR="001716CA" w:rsidRPr="007A41C5" w:rsidRDefault="001716CA" w:rsidP="000D7E0A">
            <w:pPr>
              <w:jc w:val="center"/>
              <w:rPr>
                <w:b/>
                <w:lang w:val="it-IT"/>
              </w:rPr>
            </w:pPr>
            <w:r>
              <w:rPr>
                <w:b/>
                <w:lang w:val="it-IT"/>
              </w:rPr>
              <w:t>28</w:t>
            </w:r>
            <w:r w:rsidRPr="007A41C5">
              <w:rPr>
                <w:b/>
                <w:lang w:val="it-IT"/>
              </w:rPr>
              <w:t>)</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26.58</w:t>
            </w:r>
          </w:p>
        </w:tc>
        <w:tc>
          <w:tcPr>
            <w:tcW w:w="7060" w:type="dxa"/>
            <w:tcMar>
              <w:left w:w="108" w:type="dxa"/>
            </w:tcMar>
          </w:tcPr>
          <w:p w:rsidR="001716CA" w:rsidRPr="00321DBA" w:rsidRDefault="001716CA" w:rsidP="000D7E0A">
            <w:pPr>
              <w:spacing w:line="230" w:lineRule="exact"/>
              <w:rPr>
                <w:lang w:val="it-IT"/>
              </w:rPr>
            </w:pPr>
            <w:r w:rsidRPr="00321DBA">
              <w:rPr>
                <w:lang w:val="it-IT"/>
              </w:rPr>
              <w:t>Sono state fornite le informazioni relative alla movimentazione della voce “Riserva per operazioni di copertura dei flussi finanziari attesi” dovute all’applicazione di quanto previsto ai paragrafi 48-52? A tale fine, tali informazioni possono state esposte secondo il modello previsto dall’OIC28 “Patrimonio netto”.</w:t>
            </w:r>
          </w:p>
        </w:tc>
        <w:tc>
          <w:tcPr>
            <w:tcW w:w="586" w:type="dxa"/>
            <w:tcMar>
              <w:left w:w="85" w:type="dxa"/>
              <w:right w:w="85"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r w:rsidR="001716CA" w:rsidRPr="00CC242B" w:rsidTr="000D7E0A">
        <w:trPr>
          <w:cantSplit/>
          <w:trHeight w:val="20"/>
        </w:trPr>
        <w:tc>
          <w:tcPr>
            <w:tcW w:w="680" w:type="dxa"/>
          </w:tcPr>
          <w:p w:rsidR="001716CA" w:rsidRPr="007A41C5" w:rsidRDefault="001716CA" w:rsidP="000D7E0A">
            <w:pPr>
              <w:jc w:val="center"/>
              <w:rPr>
                <w:b/>
                <w:lang w:val="it-IT"/>
              </w:rPr>
            </w:pPr>
          </w:p>
          <w:p w:rsidR="001716CA" w:rsidRPr="007A41C5" w:rsidRDefault="001716CA" w:rsidP="000D7E0A">
            <w:pPr>
              <w:jc w:val="center"/>
              <w:rPr>
                <w:b/>
                <w:lang w:val="it-IT"/>
              </w:rPr>
            </w:pPr>
          </w:p>
          <w:p w:rsidR="001716CA" w:rsidRPr="007A41C5" w:rsidRDefault="001716CA" w:rsidP="000D7E0A">
            <w:pPr>
              <w:jc w:val="center"/>
              <w:rPr>
                <w:b/>
                <w:lang w:val="it-IT"/>
              </w:rPr>
            </w:pPr>
          </w:p>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Art. 2435-bis CC</w:t>
            </w:r>
            <w:r>
              <w:rPr>
                <w:lang w:val="it-IT"/>
              </w:rPr>
              <w:t xml:space="preserve">             </w:t>
            </w:r>
            <w:r w:rsidRPr="00321DBA">
              <w:rPr>
                <w:lang w:val="it-IT"/>
              </w:rPr>
              <w:t>OIC 26.57</w:t>
            </w:r>
          </w:p>
        </w:tc>
        <w:tc>
          <w:tcPr>
            <w:tcW w:w="7060" w:type="dxa"/>
            <w:tcMar>
              <w:left w:w="108" w:type="dxa"/>
            </w:tcMar>
          </w:tcPr>
          <w:p w:rsidR="001716CA" w:rsidRPr="00321DBA" w:rsidRDefault="001716CA" w:rsidP="000D7E0A">
            <w:pPr>
              <w:pStyle w:val="Commentiriquadro"/>
            </w:pPr>
            <w:r w:rsidRPr="00321DBA">
              <w:t>Non occorre rispettare gli obblighi in tema di rilevazione, valutazione, presentazione e informativa quando la loro osservanza abbia effetti irrilevanti al fine di dare una rapprese</w:t>
            </w:r>
            <w:r>
              <w:t>ntazione veritiera e corretta. R</w:t>
            </w:r>
            <w:r w:rsidRPr="00321DBA">
              <w:t xml:space="preserve">imangono fermi gli obblighi in tema di regolare tenuta delle scritture contabili. Le società illustrano nella </w:t>
            </w:r>
            <w:r>
              <w:t>Nota Integrativa</w:t>
            </w:r>
            <w:r w:rsidRPr="00321DBA">
              <w:t xml:space="preserve"> i criteri con i quali hanno dato attuazione alla presente disposizione.</w:t>
            </w:r>
          </w:p>
        </w:tc>
        <w:tc>
          <w:tcPr>
            <w:tcW w:w="586" w:type="dxa"/>
            <w:tcMar>
              <w:left w:w="85" w:type="dxa"/>
              <w:right w:w="85" w:type="dxa"/>
            </w:tcMar>
            <w:vAlign w:val="center"/>
          </w:tcPr>
          <w:p w:rsidR="001716CA" w:rsidRPr="00732336" w:rsidRDefault="001716CA" w:rsidP="000D7E0A">
            <w:pPr>
              <w:jc w:val="center"/>
              <w:rPr>
                <w:lang w:val="it-IT"/>
              </w:rPr>
            </w:pPr>
          </w:p>
          <w:p w:rsidR="001716CA" w:rsidRPr="00732336" w:rsidRDefault="001716CA" w:rsidP="000D7E0A">
            <w:pPr>
              <w:jc w:val="center"/>
              <w:rPr>
                <w:lang w:val="it-IT"/>
              </w:rPr>
            </w:pPr>
          </w:p>
          <w:p w:rsidR="001716CA" w:rsidRPr="00732336" w:rsidRDefault="001716CA" w:rsidP="000D7E0A">
            <w:pPr>
              <w:rPr>
                <w:lang w:val="it-IT"/>
              </w:rPr>
            </w:pPr>
          </w:p>
        </w:tc>
        <w:tc>
          <w:tcPr>
            <w:tcW w:w="573" w:type="dxa"/>
            <w:tcMar>
              <w:left w:w="108" w:type="dxa"/>
            </w:tcMar>
            <w:vAlign w:val="center"/>
          </w:tcPr>
          <w:p w:rsidR="001716CA" w:rsidRPr="006B3894" w:rsidRDefault="001716CA" w:rsidP="000D7E0A">
            <w:pPr>
              <w:jc w:val="center"/>
              <w:rPr>
                <w:lang w:val="it-IT"/>
              </w:rPr>
            </w:pPr>
          </w:p>
          <w:p w:rsidR="001716CA" w:rsidRPr="006B3894" w:rsidRDefault="001716CA" w:rsidP="000D7E0A">
            <w:pPr>
              <w:jc w:val="center"/>
              <w:rPr>
                <w:lang w:val="it-IT"/>
              </w:rPr>
            </w:pPr>
          </w:p>
          <w:p w:rsidR="001716CA" w:rsidRPr="00732336" w:rsidRDefault="001716CA" w:rsidP="000D7E0A">
            <w:pPr>
              <w:jc w:val="center"/>
              <w:rPr>
                <w:lang w:val="it-IT"/>
              </w:rPr>
            </w:pPr>
          </w:p>
        </w:tc>
        <w:tc>
          <w:tcPr>
            <w:tcW w:w="570" w:type="dxa"/>
            <w:tcMar>
              <w:left w:w="108" w:type="dxa"/>
            </w:tcMar>
            <w:vAlign w:val="center"/>
          </w:tcPr>
          <w:p w:rsidR="001716CA" w:rsidRPr="006B3894" w:rsidRDefault="001716CA" w:rsidP="000D7E0A">
            <w:pPr>
              <w:jc w:val="center"/>
              <w:rPr>
                <w:lang w:val="it-IT"/>
              </w:rPr>
            </w:pPr>
          </w:p>
          <w:p w:rsidR="001716CA" w:rsidRPr="006B3894" w:rsidRDefault="001716CA" w:rsidP="000D7E0A">
            <w:pPr>
              <w:jc w:val="center"/>
              <w:rPr>
                <w:lang w:val="it-IT"/>
              </w:rPr>
            </w:pPr>
          </w:p>
          <w:p w:rsidR="001716CA" w:rsidRPr="00732336" w:rsidRDefault="001716CA" w:rsidP="000D7E0A">
            <w:pPr>
              <w:jc w:val="center"/>
              <w:rPr>
                <w:lang w:val="it-IT"/>
              </w:rPr>
            </w:pPr>
          </w:p>
        </w:tc>
      </w:tr>
      <w:tr w:rsidR="001716CA" w:rsidRPr="004A6E10"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RDefault="001716CA" w:rsidP="000D7E0A">
            <w:pPr>
              <w:pStyle w:val="Titolo2"/>
            </w:pPr>
            <w:r w:rsidRPr="00321DBA">
              <w:t>Disposizioni di prima applicazione</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CC242B"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26.62</w:t>
            </w:r>
          </w:p>
        </w:tc>
        <w:tc>
          <w:tcPr>
            <w:tcW w:w="7060" w:type="dxa"/>
            <w:tcMar>
              <w:left w:w="108" w:type="dxa"/>
            </w:tcMar>
          </w:tcPr>
          <w:p w:rsidR="001716CA" w:rsidRPr="00907097" w:rsidRDefault="001716CA" w:rsidP="000D7E0A">
            <w:pPr>
              <w:pStyle w:val="Commentiriquadro"/>
            </w:pPr>
            <w:r w:rsidRPr="00907097">
              <w:t>Eventuali effetti derivanti dall’applicazione delle modifiche apportate alla precedente versione dell’OIC26 possono essere rilevati in bilancio prospetticamente ai sensi dell’OIC29. Le componenti delle voci riferite ad operazioni che non hanno ancora esaurito i loro effetti in bilancio possono continuare a essere contabilizzati in conformità al precedente principio.</w:t>
            </w:r>
          </w:p>
        </w:tc>
        <w:tc>
          <w:tcPr>
            <w:tcW w:w="586" w:type="dxa"/>
            <w:tcMar>
              <w:left w:w="85" w:type="dxa"/>
              <w:right w:w="85" w:type="dxa"/>
            </w:tcMar>
            <w:vAlign w:val="center"/>
          </w:tcPr>
          <w:p w:rsidR="001716CA" w:rsidRPr="00732336" w:rsidRDefault="001716CA" w:rsidP="000D7E0A">
            <w:pPr>
              <w:jc w:val="center"/>
              <w:rPr>
                <w:lang w:val="it-IT"/>
              </w:rPr>
            </w:pPr>
          </w:p>
        </w:tc>
        <w:tc>
          <w:tcPr>
            <w:tcW w:w="573" w:type="dxa"/>
            <w:tcMar>
              <w:left w:w="108" w:type="dxa"/>
            </w:tcMar>
            <w:vAlign w:val="center"/>
          </w:tcPr>
          <w:p w:rsidR="001716CA" w:rsidRPr="00732336" w:rsidRDefault="001716CA" w:rsidP="000D7E0A">
            <w:pPr>
              <w:jc w:val="center"/>
              <w:rPr>
                <w:lang w:val="it-IT"/>
              </w:rPr>
            </w:pPr>
          </w:p>
        </w:tc>
        <w:tc>
          <w:tcPr>
            <w:tcW w:w="570" w:type="dxa"/>
            <w:tcMar>
              <w:left w:w="108" w:type="dxa"/>
            </w:tcMar>
            <w:vAlign w:val="center"/>
          </w:tcPr>
          <w:p w:rsidR="001716CA" w:rsidRPr="00732336" w:rsidRDefault="001716CA" w:rsidP="000D7E0A">
            <w:pPr>
              <w:jc w:val="center"/>
              <w:rPr>
                <w:lang w:val="it-IT"/>
              </w:rPr>
            </w:pPr>
          </w:p>
        </w:tc>
      </w:tr>
      <w:tr w:rsidR="001716CA" w:rsidRPr="00732336" w:rsidTr="000D7E0A">
        <w:trPr>
          <w:cantSplit/>
          <w:trHeight w:val="20"/>
        </w:trPr>
        <w:tc>
          <w:tcPr>
            <w:tcW w:w="680" w:type="dxa"/>
          </w:tcPr>
          <w:p w:rsidR="001716CA" w:rsidRPr="007A41C5" w:rsidRDefault="001716CA" w:rsidP="000D7E0A">
            <w:pPr>
              <w:jc w:val="center"/>
              <w:rPr>
                <w:b/>
                <w:lang w:val="it-IT"/>
              </w:rPr>
            </w:pPr>
            <w:r>
              <w:rPr>
                <w:b/>
                <w:lang w:val="it-IT"/>
              </w:rPr>
              <w:t>29</w:t>
            </w:r>
            <w:r w:rsidRPr="007A41C5">
              <w:rPr>
                <w:b/>
                <w:lang w:val="it-IT"/>
              </w:rPr>
              <w:t>)</w:t>
            </w:r>
          </w:p>
        </w:tc>
        <w:tc>
          <w:tcPr>
            <w:tcW w:w="851" w:type="dxa"/>
            <w:tcMar>
              <w:left w:w="108" w:type="dxa"/>
              <w:right w:w="0" w:type="dxa"/>
            </w:tcMar>
          </w:tcPr>
          <w:p w:rsidR="001716CA" w:rsidRPr="00321DBA" w:rsidRDefault="001716CA" w:rsidP="000D7E0A">
            <w:pPr>
              <w:pStyle w:val="PrincCont"/>
              <w:jc w:val="left"/>
              <w:rPr>
                <w:lang w:val="it-IT"/>
              </w:rPr>
            </w:pPr>
            <w:r>
              <w:rPr>
                <w:lang w:val="it-IT"/>
              </w:rPr>
              <w:t>OIC 26.62</w:t>
            </w:r>
          </w:p>
        </w:tc>
        <w:tc>
          <w:tcPr>
            <w:tcW w:w="7060" w:type="dxa"/>
            <w:tcMar>
              <w:left w:w="108" w:type="dxa"/>
            </w:tcMar>
          </w:tcPr>
          <w:p w:rsidR="001716CA" w:rsidRPr="00907097" w:rsidRDefault="001716CA" w:rsidP="000D7E0A">
            <w:pPr>
              <w:spacing w:line="230" w:lineRule="exact"/>
              <w:rPr>
                <w:lang w:val="it-IT"/>
              </w:rPr>
            </w:pPr>
            <w:r w:rsidRPr="00907097">
              <w:rPr>
                <w:lang w:val="it-IT"/>
              </w:rPr>
              <w:t>Con riferimento alle operazioni di copertura attraverso crediti, debiti e disponibilità liquide in valuta la società ha applicato il principio OIC26 retrospetticamente</w:t>
            </w:r>
            <w:r w:rsidRPr="00907097">
              <w:rPr>
                <w:b/>
                <w:lang w:val="it-IT"/>
              </w:rPr>
              <w:t xml:space="preserve"> </w:t>
            </w:r>
            <w:r w:rsidRPr="00907097">
              <w:rPr>
                <w:lang w:val="it-IT"/>
              </w:rPr>
              <w:t>ai sensi dell’OIC29?</w:t>
            </w:r>
          </w:p>
        </w:tc>
        <w:tc>
          <w:tcPr>
            <w:tcW w:w="586" w:type="dxa"/>
            <w:tcMar>
              <w:left w:w="85" w:type="dxa"/>
              <w:right w:w="85"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CA1681">
              <w:fldChar w:fldCharType="separate"/>
            </w:r>
            <w:r>
              <w:fldChar w:fldCharType="end"/>
            </w:r>
          </w:p>
        </w:tc>
        <w:tc>
          <w:tcPr>
            <w:tcW w:w="573" w:type="dxa"/>
            <w:tcMar>
              <w:left w:w="108"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CA1681">
              <w:fldChar w:fldCharType="separate"/>
            </w:r>
            <w:r>
              <w:fldChar w:fldCharType="end"/>
            </w:r>
          </w:p>
        </w:tc>
        <w:tc>
          <w:tcPr>
            <w:tcW w:w="570" w:type="dxa"/>
            <w:tcMar>
              <w:left w:w="108"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CA1681">
              <w:fldChar w:fldCharType="separate"/>
            </w:r>
            <w:r>
              <w:fldChar w:fldCharType="end"/>
            </w:r>
          </w:p>
        </w:tc>
      </w:tr>
    </w:tbl>
    <w:p w:rsidR="001716CA" w:rsidRPr="00181FF6" w:rsidRDefault="001716CA" w:rsidP="001716CA">
      <w:pPr>
        <w:rPr>
          <w:lang w:val="it-IT"/>
        </w:rPr>
      </w:pPr>
    </w:p>
    <w:p w:rsidR="001716CA" w:rsidRDefault="001716CA" w:rsidP="00AD4AE2">
      <w:pPr>
        <w:rPr>
          <w:lang w:val="it-IT"/>
        </w:rPr>
        <w:sectPr w:rsidR="001716CA" w:rsidSect="008E5F3E">
          <w:headerReference w:type="default" r:id="rId53"/>
          <w:footerReference w:type="default" r:id="rId54"/>
          <w:pgSz w:w="11906" w:h="16838" w:code="9"/>
          <w:pgMar w:top="1134" w:right="851" w:bottom="851" w:left="851" w:header="709" w:footer="567" w:gutter="0"/>
          <w:cols w:space="708"/>
          <w:docGrid w:linePitch="360"/>
        </w:sectPr>
      </w:pPr>
    </w:p>
    <w:p w:rsidR="00C33C45" w:rsidRDefault="00C33C45" w:rsidP="00C33C45"/>
    <w:p w:rsidR="00C33C45" w:rsidRPr="002C1CAB" w:rsidRDefault="00C33C45" w:rsidP="00C33C45">
      <w:pPr>
        <w:tabs>
          <w:tab w:val="left" w:pos="1890"/>
        </w:tabs>
        <w:spacing w:line="260" w:lineRule="exact"/>
        <w:ind w:left="990" w:hanging="990"/>
        <w:jc w:val="left"/>
        <w:rPr>
          <w:b/>
          <w:color w:val="0070C0"/>
          <w:sz w:val="28"/>
        </w:rPr>
      </w:pPr>
      <w:r w:rsidRPr="002C1CAB">
        <w:rPr>
          <w:b/>
          <w:color w:val="0070C0"/>
          <w:sz w:val="28"/>
        </w:rPr>
        <w:t>Imposte sul reddito</w:t>
      </w:r>
    </w:p>
    <w:p w:rsidR="00C33C45" w:rsidRDefault="00C33C45" w:rsidP="00C33C45"/>
    <w:p w:rsidR="00C33C45" w:rsidRDefault="00C33C45" w:rsidP="00C33C45"/>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C33C45" w:rsidRPr="008A0F36" w:rsidTr="000D7E0A">
        <w:trPr>
          <w:cantSplit/>
          <w:trHeight w:val="20"/>
          <w:tblHeader/>
        </w:trPr>
        <w:tc>
          <w:tcPr>
            <w:tcW w:w="680" w:type="dxa"/>
            <w:shd w:val="clear" w:color="auto" w:fill="F2F2F2" w:themeFill="background1" w:themeFillShade="F2"/>
          </w:tcPr>
          <w:p w:rsidR="00C33C45" w:rsidRPr="008A0F36" w:rsidRDefault="00C33C45" w:rsidP="000D7E0A">
            <w:pPr>
              <w:jc w:val="center"/>
              <w:rPr>
                <w:lang w:val="it-IT"/>
              </w:rPr>
            </w:pPr>
          </w:p>
        </w:tc>
        <w:tc>
          <w:tcPr>
            <w:tcW w:w="851" w:type="dxa"/>
            <w:shd w:val="clear" w:color="auto" w:fill="F2F2F2" w:themeFill="background1" w:themeFillShade="F2"/>
            <w:tcMar>
              <w:left w:w="108" w:type="dxa"/>
              <w:right w:w="0" w:type="dxa"/>
            </w:tcMar>
          </w:tcPr>
          <w:p w:rsidR="00C33C45" w:rsidRPr="008A0F36" w:rsidRDefault="00C33C45" w:rsidP="000D7E0A">
            <w:pPr>
              <w:jc w:val="left"/>
              <w:rPr>
                <w:b/>
                <w:lang w:val="it-IT"/>
              </w:rPr>
            </w:pPr>
          </w:p>
        </w:tc>
        <w:tc>
          <w:tcPr>
            <w:tcW w:w="7060" w:type="dxa"/>
            <w:shd w:val="clear" w:color="auto" w:fill="F2F2F2" w:themeFill="background1" w:themeFillShade="F2"/>
            <w:tcMar>
              <w:left w:w="108" w:type="dxa"/>
            </w:tcMar>
          </w:tcPr>
          <w:p w:rsidR="00C33C45" w:rsidRPr="008A0F36" w:rsidRDefault="00C33C45" w:rsidP="000D7E0A">
            <w:pPr>
              <w:jc w:val="center"/>
              <w:rPr>
                <w:b/>
                <w:lang w:val="it-IT"/>
              </w:rPr>
            </w:pPr>
          </w:p>
        </w:tc>
        <w:tc>
          <w:tcPr>
            <w:tcW w:w="586" w:type="dxa"/>
            <w:shd w:val="clear" w:color="auto" w:fill="F2F2F2" w:themeFill="background1" w:themeFillShade="F2"/>
            <w:tcMar>
              <w:left w:w="85" w:type="dxa"/>
              <w:right w:w="85" w:type="dxa"/>
            </w:tcMar>
            <w:vAlign w:val="bottom"/>
          </w:tcPr>
          <w:p w:rsidR="00C33C45" w:rsidRPr="008A0F36" w:rsidRDefault="00C33C45" w:rsidP="000D7E0A">
            <w:pPr>
              <w:jc w:val="center"/>
              <w:rPr>
                <w:b/>
                <w:lang w:val="it-IT"/>
              </w:rPr>
            </w:pPr>
            <w:r w:rsidRPr="008A0F36">
              <w:rPr>
                <w:b/>
                <w:lang w:val="it-IT"/>
              </w:rPr>
              <w:t>SI</w:t>
            </w:r>
          </w:p>
        </w:tc>
        <w:tc>
          <w:tcPr>
            <w:tcW w:w="573" w:type="dxa"/>
            <w:shd w:val="clear" w:color="auto" w:fill="F2F2F2" w:themeFill="background1" w:themeFillShade="F2"/>
            <w:tcMar>
              <w:left w:w="108" w:type="dxa"/>
            </w:tcMar>
            <w:vAlign w:val="bottom"/>
          </w:tcPr>
          <w:p w:rsidR="00C33C45" w:rsidRPr="008A0F36" w:rsidRDefault="00C33C45" w:rsidP="000D7E0A">
            <w:pPr>
              <w:jc w:val="center"/>
              <w:rPr>
                <w:b/>
                <w:lang w:val="it-IT"/>
              </w:rPr>
            </w:pPr>
            <w:r w:rsidRPr="008A0F36">
              <w:rPr>
                <w:b/>
                <w:lang w:val="it-IT"/>
              </w:rPr>
              <w:t>NO</w:t>
            </w:r>
          </w:p>
        </w:tc>
        <w:tc>
          <w:tcPr>
            <w:tcW w:w="570" w:type="dxa"/>
            <w:shd w:val="clear" w:color="auto" w:fill="F2F2F2" w:themeFill="background1" w:themeFillShade="F2"/>
            <w:tcMar>
              <w:left w:w="108" w:type="dxa"/>
            </w:tcMar>
            <w:vAlign w:val="bottom"/>
          </w:tcPr>
          <w:p w:rsidR="00C33C45" w:rsidRPr="008A0F36" w:rsidRDefault="00C33C45" w:rsidP="000D7E0A">
            <w:pPr>
              <w:jc w:val="center"/>
              <w:rPr>
                <w:b/>
                <w:lang w:val="it-IT"/>
              </w:rPr>
            </w:pPr>
            <w:r w:rsidRPr="008A0F36">
              <w:rPr>
                <w:b/>
                <w:lang w:val="it-IT"/>
              </w:rPr>
              <w:t>N/A</w:t>
            </w:r>
          </w:p>
        </w:tc>
      </w:tr>
      <w:tr w:rsidR="00C33C45" w:rsidRPr="008A0F36" w:rsidTr="000D7E0A">
        <w:trPr>
          <w:cantSplit/>
          <w:trHeight w:val="20"/>
        </w:trPr>
        <w:tc>
          <w:tcPr>
            <w:tcW w:w="680" w:type="dxa"/>
            <w:vAlign w:val="center"/>
          </w:tcPr>
          <w:p w:rsidR="00C33C45" w:rsidRPr="008A0F36" w:rsidRDefault="00C33C45" w:rsidP="000D7E0A">
            <w:pPr>
              <w:overflowPunct/>
              <w:autoSpaceDE/>
              <w:autoSpaceDN/>
              <w:adjustRightInd/>
              <w:spacing w:before="0" w:after="0" w:line="240" w:lineRule="auto"/>
              <w:jc w:val="left"/>
              <w:textAlignment w:val="auto"/>
              <w:rPr>
                <w:lang w:val="it-IT"/>
              </w:rPr>
            </w:pPr>
          </w:p>
        </w:tc>
        <w:tc>
          <w:tcPr>
            <w:tcW w:w="851" w:type="dxa"/>
            <w:tcMar>
              <w:left w:w="108" w:type="dxa"/>
              <w:right w:w="0" w:type="dxa"/>
            </w:tcMar>
            <w:vAlign w:val="center"/>
          </w:tcPr>
          <w:p w:rsidR="00C33C45" w:rsidRPr="00EB5652" w:rsidRDefault="00C33C45" w:rsidP="000D7E0A">
            <w:pPr>
              <w:pStyle w:val="PrincCont"/>
              <w:jc w:val="left"/>
              <w:rPr>
                <w:highlight w:val="yellow"/>
                <w:lang w:val="it-IT"/>
              </w:rPr>
            </w:pPr>
          </w:p>
        </w:tc>
        <w:tc>
          <w:tcPr>
            <w:tcW w:w="7060" w:type="dxa"/>
            <w:tcMar>
              <w:left w:w="108" w:type="dxa"/>
            </w:tcMar>
            <w:vAlign w:val="center"/>
          </w:tcPr>
          <w:p w:rsidR="00C33C45" w:rsidRPr="008A0F36" w:rsidRDefault="00C33C45" w:rsidP="000D7E0A">
            <w:pPr>
              <w:pStyle w:val="Titolo1"/>
            </w:pPr>
            <w:r w:rsidRPr="004E64BB">
              <w:t>IMPOSTE SUL REDDITO</w:t>
            </w:r>
          </w:p>
        </w:tc>
        <w:tc>
          <w:tcPr>
            <w:tcW w:w="586" w:type="dxa"/>
            <w:tcMar>
              <w:left w:w="85" w:type="dxa"/>
              <w:right w:w="85" w:type="dxa"/>
            </w:tcMar>
            <w:vAlign w:val="center"/>
          </w:tcPr>
          <w:p w:rsidR="00C33C45" w:rsidRPr="008A0F36" w:rsidRDefault="00C33C45" w:rsidP="000D7E0A">
            <w:pPr>
              <w:jc w:val="left"/>
              <w:rPr>
                <w:lang w:val="it-IT"/>
              </w:rPr>
            </w:pPr>
          </w:p>
        </w:tc>
        <w:tc>
          <w:tcPr>
            <w:tcW w:w="573" w:type="dxa"/>
            <w:tcMar>
              <w:left w:w="108" w:type="dxa"/>
            </w:tcMar>
            <w:vAlign w:val="center"/>
          </w:tcPr>
          <w:p w:rsidR="00C33C45" w:rsidRPr="008A0F36" w:rsidRDefault="00C33C45" w:rsidP="000D7E0A">
            <w:pPr>
              <w:jc w:val="left"/>
              <w:rPr>
                <w:lang w:val="it-IT"/>
              </w:rPr>
            </w:pPr>
          </w:p>
        </w:tc>
        <w:tc>
          <w:tcPr>
            <w:tcW w:w="570" w:type="dxa"/>
            <w:tcMar>
              <w:left w:w="108" w:type="dxa"/>
            </w:tcMar>
            <w:vAlign w:val="center"/>
          </w:tcPr>
          <w:p w:rsidR="00C33C45" w:rsidRPr="008A0F36" w:rsidRDefault="00C33C45" w:rsidP="000D7E0A">
            <w:pPr>
              <w:jc w:val="left"/>
              <w:rPr>
                <w:lang w:val="it-IT"/>
              </w:rPr>
            </w:pPr>
          </w:p>
        </w:tc>
      </w:tr>
      <w:tr w:rsidR="00C33C45" w:rsidRPr="00D4120E" w:rsidTr="000D7E0A">
        <w:trPr>
          <w:cantSplit/>
          <w:trHeight w:val="20"/>
        </w:trPr>
        <w:tc>
          <w:tcPr>
            <w:tcW w:w="680" w:type="dxa"/>
            <w:vAlign w:val="center"/>
          </w:tcPr>
          <w:p w:rsidR="00C33C45" w:rsidRPr="00D4120E" w:rsidRDefault="00C33C45" w:rsidP="000D7E0A">
            <w:pPr>
              <w:rPr>
                <w:b/>
                <w:sz w:val="22"/>
                <w:szCs w:val="22"/>
                <w:lang w:val="it-IT"/>
              </w:rPr>
            </w:pPr>
          </w:p>
        </w:tc>
        <w:tc>
          <w:tcPr>
            <w:tcW w:w="851" w:type="dxa"/>
            <w:tcMar>
              <w:left w:w="108" w:type="dxa"/>
              <w:right w:w="0" w:type="dxa"/>
            </w:tcMar>
            <w:vAlign w:val="center"/>
          </w:tcPr>
          <w:p w:rsidR="00C33C45" w:rsidRPr="00D4120E" w:rsidRDefault="00C33C45" w:rsidP="000D7E0A">
            <w:pPr>
              <w:rPr>
                <w:b/>
                <w:sz w:val="22"/>
                <w:szCs w:val="22"/>
                <w:highlight w:val="yellow"/>
                <w:lang w:val="it-IT"/>
              </w:rPr>
            </w:pPr>
          </w:p>
        </w:tc>
        <w:tc>
          <w:tcPr>
            <w:tcW w:w="7060" w:type="dxa"/>
            <w:tcMar>
              <w:left w:w="108" w:type="dxa"/>
            </w:tcMar>
            <w:vAlign w:val="center"/>
          </w:tcPr>
          <w:p w:rsidR="00C33C45" w:rsidRPr="00D4120E" w:rsidRDefault="00C33C45" w:rsidP="000D7E0A">
            <w:pPr>
              <w:rPr>
                <w:b/>
                <w:sz w:val="22"/>
                <w:szCs w:val="22"/>
              </w:rPr>
            </w:pPr>
            <w:r>
              <w:rPr>
                <w:b/>
                <w:sz w:val="22"/>
                <w:szCs w:val="22"/>
              </w:rPr>
              <w:t>Definizioni</w:t>
            </w:r>
          </w:p>
        </w:tc>
        <w:tc>
          <w:tcPr>
            <w:tcW w:w="586" w:type="dxa"/>
            <w:tcMar>
              <w:left w:w="85" w:type="dxa"/>
              <w:right w:w="85" w:type="dxa"/>
            </w:tcMar>
            <w:vAlign w:val="center"/>
          </w:tcPr>
          <w:p w:rsidR="00C33C45" w:rsidRPr="00D4120E" w:rsidRDefault="00C33C45" w:rsidP="000D7E0A">
            <w:pPr>
              <w:rPr>
                <w:b/>
                <w:sz w:val="22"/>
                <w:szCs w:val="22"/>
                <w:lang w:val="it-IT"/>
              </w:rPr>
            </w:pPr>
          </w:p>
        </w:tc>
        <w:tc>
          <w:tcPr>
            <w:tcW w:w="573" w:type="dxa"/>
            <w:tcMar>
              <w:left w:w="108" w:type="dxa"/>
            </w:tcMar>
            <w:vAlign w:val="center"/>
          </w:tcPr>
          <w:p w:rsidR="00C33C45" w:rsidRPr="00D4120E" w:rsidRDefault="00C33C45" w:rsidP="000D7E0A">
            <w:pPr>
              <w:rPr>
                <w:b/>
                <w:sz w:val="22"/>
                <w:szCs w:val="22"/>
                <w:lang w:val="it-IT"/>
              </w:rPr>
            </w:pPr>
          </w:p>
        </w:tc>
        <w:tc>
          <w:tcPr>
            <w:tcW w:w="570" w:type="dxa"/>
            <w:tcMar>
              <w:left w:w="108" w:type="dxa"/>
            </w:tcMar>
            <w:vAlign w:val="center"/>
          </w:tcPr>
          <w:p w:rsidR="00C33C45" w:rsidRPr="00D4120E" w:rsidRDefault="00C33C45" w:rsidP="000D7E0A">
            <w:pPr>
              <w:rPr>
                <w:b/>
                <w:sz w:val="22"/>
                <w:szCs w:val="22"/>
                <w:lang w:val="it-IT"/>
              </w:rPr>
            </w:pPr>
          </w:p>
        </w:tc>
      </w:tr>
      <w:tr w:rsidR="00C33C45" w:rsidRPr="00CC242B"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Default="00C33C45" w:rsidP="000D7E0A">
            <w:pPr>
              <w:pStyle w:val="PrincCont"/>
              <w:contextualSpacing/>
              <w:jc w:val="left"/>
              <w:rPr>
                <w:lang w:val="it-IT"/>
              </w:rPr>
            </w:pPr>
            <w:r>
              <w:rPr>
                <w:lang w:val="it-IT"/>
              </w:rPr>
              <w:t>OIC 25.4</w:t>
            </w:r>
          </w:p>
          <w:p w:rsidR="00C33C45" w:rsidRPr="001867ED" w:rsidRDefault="00C33C45" w:rsidP="000D7E0A">
            <w:pPr>
              <w:pStyle w:val="PrincCont"/>
              <w:contextualSpacing/>
              <w:jc w:val="left"/>
              <w:rPr>
                <w:highlight w:val="yellow"/>
                <w:lang w:val="it-IT"/>
              </w:rPr>
            </w:pPr>
          </w:p>
        </w:tc>
        <w:tc>
          <w:tcPr>
            <w:tcW w:w="7060" w:type="dxa"/>
            <w:tcMar>
              <w:left w:w="108" w:type="dxa"/>
            </w:tcMar>
          </w:tcPr>
          <w:p w:rsidR="00C33C45" w:rsidRPr="00634BE4" w:rsidRDefault="00C33C45" w:rsidP="000D7E0A">
            <w:pPr>
              <w:pStyle w:val="Commentiriquadro"/>
              <w:contextualSpacing/>
              <w:rPr>
                <w:lang w:eastAsia="it-IT"/>
              </w:rPr>
            </w:pPr>
            <w:r>
              <w:rPr>
                <w:lang w:eastAsia="it-IT"/>
              </w:rPr>
              <w:t xml:space="preserve">Il </w:t>
            </w:r>
            <w:r w:rsidRPr="00AC0548">
              <w:rPr>
                <w:i/>
                <w:lang w:eastAsia="it-IT"/>
              </w:rPr>
              <w:t>reddito imponibile</w:t>
            </w:r>
            <w:r>
              <w:rPr>
                <w:lang w:eastAsia="it-IT"/>
              </w:rPr>
              <w:t xml:space="preserve"> è l’utile di un esercizio, determinato secondo quanto previsto dalla legislazione fiscale, su cui sono calcolate le imposte correnti (dovute).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E23E5C" w:rsidRDefault="00C33C45" w:rsidP="000D7E0A">
            <w:pPr>
              <w:pStyle w:val="PrincCont"/>
              <w:contextualSpacing/>
              <w:jc w:val="left"/>
              <w:rPr>
                <w:lang w:val="en-GB"/>
              </w:rPr>
            </w:pPr>
            <w:r>
              <w:rPr>
                <w:lang w:val="en-GB"/>
              </w:rPr>
              <w:t>OIC 25.5</w:t>
            </w:r>
          </w:p>
          <w:p w:rsidR="00C33C45" w:rsidRPr="00291C7B" w:rsidRDefault="00C33C45" w:rsidP="000D7E0A">
            <w:pPr>
              <w:pStyle w:val="PrincCont"/>
              <w:contextualSpacing/>
              <w:jc w:val="left"/>
              <w:rPr>
                <w:lang w:val="en-GB"/>
              </w:rPr>
            </w:pPr>
          </w:p>
        </w:tc>
        <w:tc>
          <w:tcPr>
            <w:tcW w:w="7060" w:type="dxa"/>
            <w:tcMar>
              <w:left w:w="108" w:type="dxa"/>
            </w:tcMar>
          </w:tcPr>
          <w:p w:rsidR="00C33C45" w:rsidRPr="00634BE4" w:rsidRDefault="00C33C45" w:rsidP="000D7E0A">
            <w:pPr>
              <w:pStyle w:val="Commentiriquadro"/>
              <w:contextualSpacing/>
              <w:rPr>
                <w:lang w:eastAsia="it-IT"/>
              </w:rPr>
            </w:pPr>
            <w:r>
              <w:rPr>
                <w:lang w:eastAsia="it-IT"/>
              </w:rPr>
              <w:t xml:space="preserve">Il </w:t>
            </w:r>
            <w:r w:rsidRPr="00AC0548">
              <w:rPr>
                <w:i/>
                <w:lang w:eastAsia="it-IT"/>
              </w:rPr>
              <w:t>risultato civilistico</w:t>
            </w:r>
            <w:r>
              <w:rPr>
                <w:lang w:eastAsia="it-IT"/>
              </w:rPr>
              <w:t xml:space="preserve"> è il “</w:t>
            </w:r>
            <w:r w:rsidRPr="00AC0548">
              <w:rPr>
                <w:i/>
                <w:lang w:eastAsia="it-IT"/>
              </w:rPr>
              <w:t>Risultato prima delle imposte</w:t>
            </w:r>
            <w:r>
              <w:rPr>
                <w:lang w:eastAsia="it-IT"/>
              </w:rPr>
              <w:t>” indicato nello schema di conto economico previsto dall’articolo 2425 del codice civile.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634BE4" w:rsidRDefault="00C33C45" w:rsidP="000D7E0A">
            <w:pPr>
              <w:pStyle w:val="PrincCont"/>
              <w:contextualSpacing/>
              <w:jc w:val="left"/>
              <w:rPr>
                <w:lang w:val="it-IT"/>
              </w:rPr>
            </w:pPr>
            <w:r>
              <w:rPr>
                <w:lang w:val="it-IT"/>
              </w:rPr>
              <w:t>OIC 25.6</w:t>
            </w:r>
          </w:p>
        </w:tc>
        <w:tc>
          <w:tcPr>
            <w:tcW w:w="7060" w:type="dxa"/>
            <w:tcMar>
              <w:left w:w="108" w:type="dxa"/>
            </w:tcMar>
          </w:tcPr>
          <w:p w:rsidR="00C33C45" w:rsidRPr="00634BE4" w:rsidRDefault="00C33C45" w:rsidP="000D7E0A">
            <w:pPr>
              <w:pStyle w:val="Commentiriquadro"/>
              <w:contextualSpacing/>
              <w:rPr>
                <w:lang w:eastAsia="it-IT"/>
              </w:rPr>
            </w:pPr>
            <w:r>
              <w:rPr>
                <w:lang w:eastAsia="it-IT"/>
              </w:rPr>
              <w:t xml:space="preserve">Le </w:t>
            </w:r>
            <w:r w:rsidRPr="008457D9">
              <w:rPr>
                <w:i/>
                <w:lang w:eastAsia="it-IT"/>
              </w:rPr>
              <w:t>imposte correnti</w:t>
            </w:r>
            <w:r>
              <w:rPr>
                <w:lang w:eastAsia="it-IT"/>
              </w:rPr>
              <w:t xml:space="preserve"> rappresentano le imposte sul reddito dovute riferibili al reddito imponibile di un esercizio. L’ammontare delle imposte correnti (o dovute) non coincide generalmente con l’ammontare delle imposte di competenza dell’esercizio, in quanto, per effetto delle diversità tra le norme civilistiche e fiscali, i valori attribuiti ad un’attività o passività secondo criteri civilistici possono differire dai valori riconosciuti a tali elementi ai fini fiscali.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Default="00C33C45" w:rsidP="000D7E0A">
            <w:pPr>
              <w:pStyle w:val="PrincCont"/>
              <w:contextualSpacing/>
              <w:jc w:val="left"/>
              <w:rPr>
                <w:lang w:val="it-IT"/>
              </w:rPr>
            </w:pPr>
            <w:r w:rsidRPr="00634BE4">
              <w:rPr>
                <w:lang w:val="it-IT"/>
              </w:rPr>
              <w:t>OIC 25.</w:t>
            </w:r>
            <w:r>
              <w:rPr>
                <w:lang w:val="it-IT"/>
              </w:rPr>
              <w:t>7</w:t>
            </w:r>
          </w:p>
          <w:p w:rsidR="00C33C45" w:rsidRPr="00E23E5C" w:rsidRDefault="00C33C45" w:rsidP="000D7E0A">
            <w:pPr>
              <w:pStyle w:val="PrincCont"/>
              <w:contextualSpacing/>
              <w:jc w:val="left"/>
              <w:rPr>
                <w:lang w:val="it-IT"/>
              </w:rPr>
            </w:pPr>
          </w:p>
        </w:tc>
        <w:tc>
          <w:tcPr>
            <w:tcW w:w="7060" w:type="dxa"/>
            <w:tcMar>
              <w:left w:w="108" w:type="dxa"/>
            </w:tcMar>
          </w:tcPr>
          <w:p w:rsidR="00C33C45" w:rsidRDefault="00C33C45" w:rsidP="000D7E0A">
            <w:pPr>
              <w:pStyle w:val="Commentiriquadro"/>
              <w:contextualSpacing/>
              <w:rPr>
                <w:lang w:eastAsia="it-IT"/>
              </w:rPr>
            </w:pPr>
            <w:r>
              <w:rPr>
                <w:lang w:eastAsia="it-IT"/>
              </w:rPr>
              <w:t>L’</w:t>
            </w:r>
            <w:r w:rsidRPr="008457D9">
              <w:rPr>
                <w:i/>
                <w:lang w:eastAsia="it-IT"/>
              </w:rPr>
              <w:t xml:space="preserve">aliquota media effettiva </w:t>
            </w:r>
            <w:r>
              <w:rPr>
                <w:lang w:eastAsia="it-IT"/>
              </w:rPr>
              <w:t>rappresenta l’incidenza dell’onere fiscale corrente sul risultato civilistico.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E23E5C" w:rsidRDefault="00C33C45" w:rsidP="000D7E0A">
            <w:pPr>
              <w:pStyle w:val="PrincCont"/>
              <w:contextualSpacing/>
              <w:jc w:val="left"/>
              <w:rPr>
                <w:lang w:val="it-IT"/>
              </w:rPr>
            </w:pPr>
            <w:r w:rsidRPr="00634BE4">
              <w:rPr>
                <w:lang w:val="it-IT"/>
              </w:rPr>
              <w:t>OIC 25.</w:t>
            </w:r>
            <w:r>
              <w:rPr>
                <w:lang w:val="it-IT"/>
              </w:rPr>
              <w:t>8</w:t>
            </w:r>
          </w:p>
        </w:tc>
        <w:tc>
          <w:tcPr>
            <w:tcW w:w="7060" w:type="dxa"/>
            <w:tcMar>
              <w:left w:w="108" w:type="dxa"/>
            </w:tcMar>
          </w:tcPr>
          <w:p w:rsidR="00C33C45" w:rsidRDefault="00C33C45" w:rsidP="000D7E0A">
            <w:pPr>
              <w:pStyle w:val="Commentiriquadro"/>
              <w:contextualSpacing/>
              <w:rPr>
                <w:lang w:eastAsia="it-IT"/>
              </w:rPr>
            </w:pPr>
            <w:r>
              <w:rPr>
                <w:lang w:eastAsia="it-IT"/>
              </w:rPr>
              <w:t>Una differenza permanente rappresenta, ad una certa data, una differenza tra il reddito imponibile e il risultato civilistico che non è destinata ad annullarsi negli esercizi successivi. Si tratta, ad esempio, di componenti negativi o positivi di reddito parzialmente o totalmente indeducibili o esenti ai fini fiscali.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AC0548"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E23E5C" w:rsidRDefault="00C33C45" w:rsidP="000D7E0A">
            <w:pPr>
              <w:pStyle w:val="PrincCont"/>
              <w:contextualSpacing/>
              <w:jc w:val="left"/>
              <w:rPr>
                <w:lang w:val="it-IT"/>
              </w:rPr>
            </w:pPr>
            <w:r w:rsidRPr="00634BE4">
              <w:rPr>
                <w:lang w:val="it-IT"/>
              </w:rPr>
              <w:t>OIC 25.</w:t>
            </w:r>
            <w:r>
              <w:rPr>
                <w:lang w:val="it-IT"/>
              </w:rPr>
              <w:t>8</w:t>
            </w:r>
          </w:p>
        </w:tc>
        <w:tc>
          <w:tcPr>
            <w:tcW w:w="7060" w:type="dxa"/>
            <w:tcMar>
              <w:left w:w="108" w:type="dxa"/>
            </w:tcMar>
          </w:tcPr>
          <w:p w:rsidR="00C33C45" w:rsidRDefault="00C33C45" w:rsidP="000D7E0A">
            <w:pPr>
              <w:pStyle w:val="Commentiriquadro"/>
              <w:contextualSpacing/>
              <w:rPr>
                <w:lang w:eastAsia="it-IT"/>
              </w:rPr>
            </w:pPr>
            <w:r>
              <w:rPr>
                <w:lang w:eastAsia="it-IT"/>
              </w:rPr>
              <w:t>L’</w:t>
            </w:r>
            <w:r w:rsidRPr="008457D9">
              <w:rPr>
                <w:i/>
                <w:lang w:eastAsia="it-IT"/>
              </w:rPr>
              <w:t xml:space="preserve">onere fiscale </w:t>
            </w:r>
            <w:r>
              <w:rPr>
                <w:lang w:eastAsia="it-IT"/>
              </w:rPr>
              <w:t>per una società rappresenta l’ammontare complessivo delle imposte sul reddito di competenza dell’esercizio, costituito dalle imposte correnti e dalle imposte differite e anticipate. L’onere fiscale comprende, dunque, l’onere fiscale corrente e differito.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E23E5C" w:rsidRDefault="00C33C45" w:rsidP="000D7E0A">
            <w:pPr>
              <w:pStyle w:val="PrincCont"/>
              <w:contextualSpacing/>
              <w:jc w:val="left"/>
              <w:rPr>
                <w:lang w:val="it-IT"/>
              </w:rPr>
            </w:pPr>
            <w:r w:rsidRPr="00634BE4">
              <w:rPr>
                <w:lang w:val="it-IT"/>
              </w:rPr>
              <w:t>OIC 25.</w:t>
            </w:r>
            <w:r>
              <w:rPr>
                <w:lang w:val="it-IT"/>
              </w:rPr>
              <w:t>9</w:t>
            </w:r>
          </w:p>
        </w:tc>
        <w:tc>
          <w:tcPr>
            <w:tcW w:w="7060" w:type="dxa"/>
            <w:tcMar>
              <w:left w:w="108" w:type="dxa"/>
            </w:tcMar>
          </w:tcPr>
          <w:p w:rsidR="00C33C45" w:rsidRDefault="00C33C45" w:rsidP="000D7E0A">
            <w:pPr>
              <w:pStyle w:val="Commentiriquadro"/>
              <w:contextualSpacing/>
              <w:rPr>
                <w:lang w:eastAsia="it-IT"/>
              </w:rPr>
            </w:pPr>
            <w:r>
              <w:rPr>
                <w:lang w:eastAsia="it-IT"/>
              </w:rPr>
              <w:t>L’</w:t>
            </w:r>
            <w:r w:rsidRPr="008457D9">
              <w:rPr>
                <w:i/>
                <w:lang w:eastAsia="it-IT"/>
              </w:rPr>
              <w:t xml:space="preserve">onere fiscale teorico </w:t>
            </w:r>
            <w:r>
              <w:rPr>
                <w:lang w:eastAsia="it-IT"/>
              </w:rPr>
              <w:t>rappresenta il prodotto tra il risultato civilistico per l’aliquota fiscale applicabile (o aliquota ordinaria).</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E23E5C" w:rsidRDefault="00C33C45" w:rsidP="000D7E0A">
            <w:pPr>
              <w:pStyle w:val="PrincCont"/>
              <w:contextualSpacing/>
              <w:jc w:val="left"/>
              <w:rPr>
                <w:lang w:val="it-IT"/>
              </w:rPr>
            </w:pPr>
            <w:r>
              <w:rPr>
                <w:lang w:val="it-IT"/>
              </w:rPr>
              <w:t>OIC 25.10</w:t>
            </w:r>
          </w:p>
        </w:tc>
        <w:tc>
          <w:tcPr>
            <w:tcW w:w="7060" w:type="dxa"/>
            <w:tcMar>
              <w:left w:w="108" w:type="dxa"/>
            </w:tcMar>
          </w:tcPr>
          <w:p w:rsidR="00C33C45" w:rsidRDefault="00C33C45" w:rsidP="000D7E0A">
            <w:pPr>
              <w:pStyle w:val="Commentiriquadro"/>
              <w:contextualSpacing/>
              <w:rPr>
                <w:lang w:eastAsia="it-IT"/>
              </w:rPr>
            </w:pPr>
            <w:r>
              <w:rPr>
                <w:lang w:eastAsia="it-IT"/>
              </w:rPr>
              <w:t xml:space="preserve">Le </w:t>
            </w:r>
            <w:r w:rsidRPr="008457D9">
              <w:rPr>
                <w:i/>
                <w:lang w:eastAsia="it-IT"/>
              </w:rPr>
              <w:t>passività per imposte differite</w:t>
            </w:r>
            <w:r>
              <w:rPr>
                <w:lang w:eastAsia="it-IT"/>
              </w:rPr>
              <w:t xml:space="preserve"> rappresentano gli ammontari delle imposte sul reddito dovute negli esercizi futuri riferibili alle differenze temporanee imponibili.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E23E5C" w:rsidRDefault="00C33C45" w:rsidP="000D7E0A">
            <w:pPr>
              <w:pStyle w:val="PrincCont"/>
              <w:contextualSpacing/>
              <w:jc w:val="left"/>
              <w:rPr>
                <w:lang w:val="it-IT"/>
              </w:rPr>
            </w:pPr>
            <w:r w:rsidRPr="00634BE4">
              <w:rPr>
                <w:lang w:val="it-IT"/>
              </w:rPr>
              <w:t>OIC 25.</w:t>
            </w:r>
            <w:r>
              <w:rPr>
                <w:lang w:val="it-IT"/>
              </w:rPr>
              <w:t>11</w:t>
            </w:r>
          </w:p>
        </w:tc>
        <w:tc>
          <w:tcPr>
            <w:tcW w:w="7060" w:type="dxa"/>
            <w:tcMar>
              <w:left w:w="108" w:type="dxa"/>
            </w:tcMar>
          </w:tcPr>
          <w:p w:rsidR="00C33C45" w:rsidRDefault="00C33C45" w:rsidP="000D7E0A">
            <w:pPr>
              <w:pStyle w:val="Commentiriquadro"/>
              <w:contextualSpacing/>
              <w:rPr>
                <w:lang w:eastAsia="it-IT"/>
              </w:rPr>
            </w:pPr>
            <w:r>
              <w:rPr>
                <w:lang w:eastAsia="it-IT"/>
              </w:rPr>
              <w:t xml:space="preserve">Le </w:t>
            </w:r>
            <w:r w:rsidRPr="008457D9">
              <w:rPr>
                <w:i/>
                <w:lang w:eastAsia="it-IT"/>
              </w:rPr>
              <w:t>attività per imposte anticipate</w:t>
            </w:r>
            <w:r>
              <w:rPr>
                <w:lang w:eastAsia="it-IT"/>
              </w:rPr>
              <w:t xml:space="preserve"> rappresentano gli ammontari delle imposte sul reddito recuperabili negli esercizi futuri riferibili alle differenze temporanee deducibili o al riporto a nuovo di perdite fiscali.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E23E5C" w:rsidRDefault="00C33C45" w:rsidP="000D7E0A">
            <w:pPr>
              <w:pStyle w:val="PrincCont"/>
              <w:contextualSpacing/>
              <w:jc w:val="left"/>
              <w:rPr>
                <w:lang w:val="it-IT"/>
              </w:rPr>
            </w:pPr>
            <w:r w:rsidRPr="00634BE4">
              <w:rPr>
                <w:lang w:val="it-IT"/>
              </w:rPr>
              <w:t>OIC 25.</w:t>
            </w:r>
            <w:r>
              <w:rPr>
                <w:lang w:val="it-IT"/>
              </w:rPr>
              <w:t>12</w:t>
            </w:r>
          </w:p>
        </w:tc>
        <w:tc>
          <w:tcPr>
            <w:tcW w:w="7060" w:type="dxa"/>
            <w:tcMar>
              <w:left w:w="108" w:type="dxa"/>
            </w:tcMar>
          </w:tcPr>
          <w:p w:rsidR="00C33C45" w:rsidRDefault="00C33C45" w:rsidP="000D7E0A">
            <w:pPr>
              <w:pStyle w:val="Commentiriquadro"/>
              <w:contextualSpacing/>
              <w:rPr>
                <w:lang w:eastAsia="it-IT"/>
              </w:rPr>
            </w:pPr>
            <w:r w:rsidRPr="008457D9">
              <w:rPr>
                <w:lang w:eastAsia="it-IT"/>
              </w:rPr>
              <w:t xml:space="preserve">Per </w:t>
            </w:r>
            <w:r w:rsidRPr="008457D9">
              <w:rPr>
                <w:i/>
                <w:lang w:eastAsia="it-IT"/>
              </w:rPr>
              <w:t>operazione straordinaria</w:t>
            </w:r>
            <w:r w:rsidRPr="008457D9">
              <w:rPr>
                <w:lang w:eastAsia="it-IT"/>
              </w:rPr>
              <w:t xml:space="preserve"> si intende un’operazione che comporta il trasferimento di patrimoni</w:t>
            </w:r>
            <w:r>
              <w:rPr>
                <w:lang w:eastAsia="it-IT"/>
              </w:rPr>
              <w:t xml:space="preserve"> di aziende, rami di azienda o società, quali le operazioni di cessione e di conferimento di aziende o rami d’azienda e le operazioni di fusione e scissione di società.</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E23E5C" w:rsidRDefault="00C33C45" w:rsidP="000D7E0A">
            <w:pPr>
              <w:pStyle w:val="PrincCont"/>
              <w:contextualSpacing/>
              <w:jc w:val="left"/>
              <w:rPr>
                <w:lang w:val="it-IT"/>
              </w:rPr>
            </w:pPr>
            <w:r w:rsidRPr="00634BE4">
              <w:rPr>
                <w:lang w:val="it-IT"/>
              </w:rPr>
              <w:t>OIC 25.</w:t>
            </w:r>
            <w:r>
              <w:rPr>
                <w:lang w:val="it-IT"/>
              </w:rPr>
              <w:t>13</w:t>
            </w:r>
          </w:p>
        </w:tc>
        <w:tc>
          <w:tcPr>
            <w:tcW w:w="7060" w:type="dxa"/>
            <w:tcMar>
              <w:left w:w="108" w:type="dxa"/>
            </w:tcMar>
          </w:tcPr>
          <w:p w:rsidR="00C33C45" w:rsidRDefault="00C33C45" w:rsidP="000D7E0A">
            <w:pPr>
              <w:pStyle w:val="Commentiriquadro"/>
              <w:contextualSpacing/>
              <w:rPr>
                <w:lang w:eastAsia="it-IT"/>
              </w:rPr>
            </w:pPr>
            <w:r>
              <w:rPr>
                <w:lang w:eastAsia="it-IT"/>
              </w:rPr>
              <w:t>Una differenza temporanea rappresenta, ad una certa data, la differenza tra il valore di una attività o una passività determinato con criteri di valutazione civilistici ed il loro valore riconosciuto ai fini fiscali, destinate ad annullarsi negli esercizi successivi.</w:t>
            </w:r>
          </w:p>
          <w:p w:rsidR="00C33C45" w:rsidRDefault="00C33C45" w:rsidP="000D7E0A">
            <w:pPr>
              <w:pStyle w:val="Commentiriquadro"/>
              <w:contextualSpacing/>
              <w:rPr>
                <w:lang w:eastAsia="it-IT"/>
              </w:rPr>
            </w:pPr>
            <w:r>
              <w:rPr>
                <w:lang w:eastAsia="it-IT"/>
              </w:rPr>
              <w:t>Le differenze temporanee possono sorgere a seguito di:</w:t>
            </w:r>
          </w:p>
          <w:p w:rsidR="00C33C45" w:rsidRPr="000F2913" w:rsidRDefault="00C33C45" w:rsidP="000D7E0A">
            <w:pPr>
              <w:pStyle w:val="Commentiriquadro"/>
              <w:ind w:left="176" w:hanging="119"/>
              <w:contextualSpacing/>
              <w:rPr>
                <w:lang w:eastAsia="it-IT"/>
              </w:rPr>
            </w:pPr>
            <w:r w:rsidRPr="000F2913">
              <w:rPr>
                <w:lang w:eastAsia="it-IT"/>
              </w:rPr>
              <w:t xml:space="preserve">- </w:t>
            </w:r>
            <w:r w:rsidRPr="000F2913">
              <w:rPr>
                <w:lang w:eastAsia="it-IT"/>
              </w:rPr>
              <w:tab/>
              <w:t>operazioni che hanno effetto sul conto economico</w:t>
            </w:r>
            <w:r>
              <w:rPr>
                <w:lang w:eastAsia="it-IT"/>
              </w:rPr>
              <w:t>.</w:t>
            </w:r>
          </w:p>
          <w:p w:rsidR="00C33C45" w:rsidRPr="000F2913" w:rsidRDefault="00C33C45" w:rsidP="000D7E0A">
            <w:pPr>
              <w:pStyle w:val="Commentiriquadro"/>
              <w:spacing w:line="220" w:lineRule="exact"/>
              <w:ind w:left="176" w:hanging="119"/>
              <w:contextualSpacing/>
              <w:rPr>
                <w:lang w:eastAsia="it-IT"/>
              </w:rPr>
            </w:pPr>
            <w:r w:rsidRPr="000F2913">
              <w:rPr>
                <w:lang w:eastAsia="it-IT"/>
              </w:rPr>
              <w:tab/>
              <w:t>Si tratta di componenti negativi (o positivi) di reddito parzialmente o totalmente indeducibili (o imponibili) ai fini fiscali. Secondo l’attuale normativa fiscale, tali differenze derivano dalle differenze tra il risultato civilistico e il reddito imponibile, che hanno origine in un esercizio e si annullano in uno o più esercizi successivi; si tratta, dunque, di ricavi e costi (o di parte di essi) che concorrono a formare il reddito imponibile in un esercizio diverso da quello nel quale concorrono a formare il risultato civilistico. Alcuni componenti di reddito, in tutto o in parte indeducibili o imponibili, producono differenze temporanee, pur non determinando la rilevazione di un’attività o passività nello stato patrimoniale;</w:t>
            </w:r>
          </w:p>
          <w:p w:rsidR="00C33C45" w:rsidRPr="000F2913" w:rsidRDefault="00C33C45" w:rsidP="004E27C2">
            <w:pPr>
              <w:pStyle w:val="Commentiriquadro"/>
              <w:numPr>
                <w:ilvl w:val="0"/>
                <w:numId w:val="80"/>
              </w:numPr>
              <w:ind w:left="176" w:hanging="119"/>
              <w:contextualSpacing/>
              <w:rPr>
                <w:lang w:eastAsia="it-IT"/>
              </w:rPr>
            </w:pPr>
            <w:r w:rsidRPr="000F2913">
              <w:rPr>
                <w:lang w:eastAsia="it-IT"/>
              </w:rPr>
              <w:t>operazioni che non ha</w:t>
            </w:r>
            <w:r>
              <w:rPr>
                <w:lang w:eastAsia="it-IT"/>
              </w:rPr>
              <w:t>nno effetto sul conto economico.</w:t>
            </w:r>
          </w:p>
          <w:p w:rsidR="00C33C45" w:rsidRDefault="00C33C45" w:rsidP="000D7E0A">
            <w:pPr>
              <w:pStyle w:val="Commentiriquadro"/>
              <w:ind w:left="176" w:hanging="119"/>
              <w:contextualSpacing/>
              <w:rPr>
                <w:lang w:eastAsia="it-IT"/>
              </w:rPr>
            </w:pPr>
            <w:r w:rsidRPr="000F2913">
              <w:rPr>
                <w:lang w:eastAsia="it-IT"/>
              </w:rPr>
              <w:tab/>
              <w:t>Si tratta, ad esempio, di operazioni straordinarie (fusioni, scissioni o conferimenti), correzioni di errori commessi in esercizi precedenti, cambiamenti di principi contabili, rivalutazione di attività iscritte nello stato patrimoniale a seguito di specifiche leggi o riserve in sospensione di imposta.</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E23E5C" w:rsidRDefault="00C33C45" w:rsidP="000D7E0A">
            <w:pPr>
              <w:pStyle w:val="PrincCont"/>
              <w:contextualSpacing/>
              <w:jc w:val="left"/>
              <w:rPr>
                <w:lang w:val="it-IT"/>
              </w:rPr>
            </w:pPr>
            <w:r w:rsidRPr="00634BE4">
              <w:rPr>
                <w:lang w:val="it-IT"/>
              </w:rPr>
              <w:t>OIC 25.</w:t>
            </w:r>
            <w:r>
              <w:rPr>
                <w:lang w:val="it-IT"/>
              </w:rPr>
              <w:t>14</w:t>
            </w:r>
          </w:p>
        </w:tc>
        <w:tc>
          <w:tcPr>
            <w:tcW w:w="7060" w:type="dxa"/>
            <w:tcMar>
              <w:left w:w="108" w:type="dxa"/>
            </w:tcMar>
          </w:tcPr>
          <w:p w:rsidR="00C33C45" w:rsidRDefault="00C33C45" w:rsidP="000D7E0A">
            <w:pPr>
              <w:pStyle w:val="Commentiriquadro"/>
              <w:contextualSpacing/>
              <w:rPr>
                <w:lang w:eastAsia="it-IT"/>
              </w:rPr>
            </w:pPr>
            <w:r>
              <w:rPr>
                <w:lang w:eastAsia="it-IT"/>
              </w:rPr>
              <w:t>Le differenze temporanee si distinguono in:</w:t>
            </w:r>
          </w:p>
          <w:p w:rsidR="00C33C45" w:rsidRDefault="00C33C45" w:rsidP="000D7E0A">
            <w:pPr>
              <w:pStyle w:val="Commentiriquadro"/>
              <w:ind w:left="176" w:hanging="119"/>
              <w:contextualSpacing/>
              <w:rPr>
                <w:lang w:eastAsia="it-IT"/>
              </w:rPr>
            </w:pPr>
            <w:r>
              <w:rPr>
                <w:lang w:eastAsia="it-IT"/>
              </w:rPr>
              <w:t xml:space="preserve">- </w:t>
            </w:r>
            <w:r>
              <w:rPr>
                <w:lang w:eastAsia="it-IT"/>
              </w:rPr>
              <w:tab/>
              <w:t>differenze temporanee imponibili negli esercizi successivi, ossia differenze temporanee che, nella determinazione del reddito imponibile (perdita fiscale) di esercizi successivi, si tradurranno in importi imponibili quando il valore contabile dell’attività o della passività sarà estinto o realizzato, in tutto o in parte. Le differenze temporanee imponibili generano imposte differite, ossia imposte che pur essendo di competenza dell’esercizio sono dovute in esercizi futuri. Infatti, le imposte dovute nell’esercizio risultano inferiori alle imposte di competenza rilevate in bilancio e, dunque, la società iscrive una passività per imposte differite, per le imposte che saranno pagate negli esercizi successivi.</w:t>
            </w:r>
          </w:p>
          <w:p w:rsidR="00C33C45" w:rsidRDefault="00C33C45" w:rsidP="000D7E0A">
            <w:pPr>
              <w:pStyle w:val="Commentiriquadro"/>
              <w:ind w:left="176" w:hanging="119"/>
              <w:contextualSpacing/>
              <w:rPr>
                <w:lang w:eastAsia="it-IT"/>
              </w:rPr>
            </w:pPr>
            <w:r>
              <w:rPr>
                <w:lang w:eastAsia="it-IT"/>
              </w:rPr>
              <w:tab/>
              <w:t>Alcuni esempi di differenze temporanee imponibili sono:</w:t>
            </w:r>
          </w:p>
          <w:p w:rsidR="00C33C45" w:rsidRDefault="00C33C45" w:rsidP="000D7E0A">
            <w:pPr>
              <w:pStyle w:val="Commentiriquadro"/>
              <w:tabs>
                <w:tab w:val="left" w:pos="353"/>
              </w:tabs>
              <w:ind w:left="176" w:hanging="119"/>
              <w:contextualSpacing/>
              <w:rPr>
                <w:lang w:eastAsia="it-IT"/>
              </w:rPr>
            </w:pPr>
            <w:r>
              <w:rPr>
                <w:lang w:eastAsia="it-IT"/>
              </w:rPr>
              <w:tab/>
              <w:t xml:space="preserve">. </w:t>
            </w:r>
            <w:r>
              <w:rPr>
                <w:lang w:eastAsia="it-IT"/>
              </w:rPr>
              <w:tab/>
              <w:t xml:space="preserve">in caso di operazioni che hanno effetto sul conto economico, componenti positivi di reddito tassabili in esercizi </w:t>
            </w:r>
            <w:r>
              <w:rPr>
                <w:lang w:eastAsia="it-IT"/>
              </w:rPr>
              <w:tab/>
              <w:t xml:space="preserve">successivi a quello in cui vengono imputati al conto economico o da componenti negativi di reddito deducibili </w:t>
            </w:r>
            <w:r>
              <w:rPr>
                <w:lang w:eastAsia="it-IT"/>
              </w:rPr>
              <w:tab/>
              <w:t>fiscalmente in esercizi precedenti a quello in cui verranno imputati al conto economico;</w:t>
            </w:r>
          </w:p>
          <w:p w:rsidR="00C33C45" w:rsidRDefault="00C33C45" w:rsidP="000D7E0A">
            <w:pPr>
              <w:pStyle w:val="Commentiriquadro"/>
              <w:tabs>
                <w:tab w:val="left" w:pos="318"/>
              </w:tabs>
              <w:ind w:left="176" w:hanging="119"/>
              <w:contextualSpacing/>
              <w:rPr>
                <w:lang w:eastAsia="it-IT"/>
              </w:rPr>
            </w:pPr>
            <w:r>
              <w:rPr>
                <w:lang w:eastAsia="it-IT"/>
              </w:rPr>
              <w:tab/>
              <w:t>.</w:t>
            </w:r>
            <w:r>
              <w:rPr>
                <w:lang w:eastAsia="it-IT"/>
              </w:rPr>
              <w:tab/>
              <w:t xml:space="preserve">in caso di operazioni che non hanno effetto sul conto economico, la rivalutazione di attività senza il </w:t>
            </w:r>
            <w:r>
              <w:rPr>
                <w:lang w:eastAsia="it-IT"/>
              </w:rPr>
              <w:tab/>
              <w:t>riconoscimento ai fini fiscali del maggior valore iscritto;</w:t>
            </w:r>
          </w:p>
          <w:p w:rsidR="00C33C45" w:rsidRDefault="00C33C45" w:rsidP="000D7E0A">
            <w:pPr>
              <w:pStyle w:val="Commentiriquadro"/>
              <w:ind w:left="176" w:hanging="119"/>
              <w:contextualSpacing/>
              <w:rPr>
                <w:lang w:eastAsia="it-IT"/>
              </w:rPr>
            </w:pPr>
            <w:r>
              <w:rPr>
                <w:lang w:eastAsia="it-IT"/>
              </w:rPr>
              <w:t xml:space="preserve">- </w:t>
            </w:r>
            <w:r>
              <w:rPr>
                <w:lang w:eastAsia="it-IT"/>
              </w:rPr>
              <w:tab/>
              <w:t>differenze temporanee deducibili negli esercizi successivi, ossia differenze temporanee che, nella determinazione del reddito imponibile (perdita fiscale) di esercizi successivi, si tradurranno in importi deducibili quando il valore contabile dell’attività o della passività sarà estinto o realizzato, in tutto o in parte.</w:t>
            </w:r>
            <w:r>
              <w:t xml:space="preserve"> </w:t>
            </w:r>
            <w:r>
              <w:rPr>
                <w:lang w:eastAsia="it-IT"/>
              </w:rPr>
              <w:t>Le differenze temporanee deducibili generano imposte anticipate, ossia imposte dovute nell’esercizio in corso superiori alle imposte di competenza rilevate in bilancio. La società iscrive, pertanto, un’attività per imposte anticipate per le minori imposte che saranno pagate negli esercizi successivi.</w:t>
            </w:r>
          </w:p>
          <w:p w:rsidR="00C33C45" w:rsidRDefault="00C33C45" w:rsidP="000D7E0A">
            <w:pPr>
              <w:pStyle w:val="Commentiriquadro"/>
              <w:ind w:left="176" w:hanging="119"/>
              <w:contextualSpacing/>
              <w:rPr>
                <w:lang w:eastAsia="it-IT"/>
              </w:rPr>
            </w:pPr>
            <w:r>
              <w:rPr>
                <w:lang w:eastAsia="it-IT"/>
              </w:rPr>
              <w:tab/>
              <w:t>Le differenze temporanee deducibili possono derivare, ad esempio, da componenti negativi di reddito deducibili ai fini fiscali in esercizi successivi a quello in cui vengono imputati al conto economico civilistico (ad esempio, costi la cui deducibilità fiscale è posticipata rispetto alla loro rilevazione contabile) o componenti positivi di reddito tassabili in esercizi precedenti a quelli in cui vengono imputati al conto economico civilistico (ad esempio, proventi la cui imponibilità è anticipata rispetto alla loro rilevazione contabile).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E23E5C" w:rsidRDefault="00C33C45" w:rsidP="000D7E0A">
            <w:pPr>
              <w:pStyle w:val="PrincCont"/>
              <w:contextualSpacing/>
              <w:jc w:val="left"/>
              <w:rPr>
                <w:lang w:val="it-IT"/>
              </w:rPr>
            </w:pPr>
            <w:r w:rsidRPr="00634BE4">
              <w:rPr>
                <w:lang w:val="it-IT"/>
              </w:rPr>
              <w:t>OIC 25.</w:t>
            </w:r>
            <w:r>
              <w:rPr>
                <w:lang w:val="it-IT"/>
              </w:rPr>
              <w:t>15</w:t>
            </w:r>
          </w:p>
        </w:tc>
        <w:tc>
          <w:tcPr>
            <w:tcW w:w="7060" w:type="dxa"/>
            <w:tcMar>
              <w:left w:w="108" w:type="dxa"/>
            </w:tcMar>
          </w:tcPr>
          <w:p w:rsidR="00C33C45" w:rsidRDefault="00C33C45" w:rsidP="000D7E0A">
            <w:pPr>
              <w:pStyle w:val="Commentiriquadro"/>
              <w:contextualSpacing/>
              <w:rPr>
                <w:lang w:eastAsia="it-IT"/>
              </w:rPr>
            </w:pPr>
            <w:r>
              <w:rPr>
                <w:lang w:eastAsia="it-IT"/>
              </w:rPr>
              <w:t xml:space="preserve">Una </w:t>
            </w:r>
            <w:r w:rsidRPr="008457D9">
              <w:rPr>
                <w:i/>
                <w:lang w:eastAsia="it-IT"/>
              </w:rPr>
              <w:t>differenza permanente</w:t>
            </w:r>
            <w:r>
              <w:rPr>
                <w:lang w:eastAsia="it-IT"/>
              </w:rPr>
              <w:t xml:space="preserve"> rappresenta, ad una certa data, una differenza tra il reddito imponibile e il risultato civilistico che non è destinata ad annullarsi negli esercizi successivi. Si tratta, ad esempio, di componenti negativi o positivi di reddito parzialmente o totalmente indeducibili o esenti ai fini fiscali.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E23E5C" w:rsidRDefault="00C33C45" w:rsidP="000D7E0A">
            <w:pPr>
              <w:pStyle w:val="PrincCont"/>
              <w:contextualSpacing/>
              <w:jc w:val="left"/>
              <w:rPr>
                <w:lang w:val="it-IT"/>
              </w:rPr>
            </w:pPr>
            <w:r w:rsidRPr="00634BE4">
              <w:rPr>
                <w:lang w:val="it-IT"/>
              </w:rPr>
              <w:t>OIC 25.</w:t>
            </w:r>
            <w:r>
              <w:rPr>
                <w:lang w:val="it-IT"/>
              </w:rPr>
              <w:t>16</w:t>
            </w:r>
          </w:p>
        </w:tc>
        <w:tc>
          <w:tcPr>
            <w:tcW w:w="7060" w:type="dxa"/>
            <w:tcMar>
              <w:left w:w="108" w:type="dxa"/>
            </w:tcMar>
          </w:tcPr>
          <w:p w:rsidR="00C33C45" w:rsidRDefault="00C33C45" w:rsidP="000D7E0A">
            <w:pPr>
              <w:pStyle w:val="Commentiriquadro"/>
              <w:contextualSpacing/>
              <w:rPr>
                <w:lang w:eastAsia="it-IT"/>
              </w:rPr>
            </w:pPr>
            <w:r>
              <w:rPr>
                <w:lang w:eastAsia="it-IT"/>
              </w:rPr>
              <w:t xml:space="preserve">Nel presente principio si utilizzano i termini </w:t>
            </w:r>
            <w:r w:rsidRPr="008457D9">
              <w:rPr>
                <w:i/>
                <w:lang w:eastAsia="it-IT"/>
              </w:rPr>
              <w:t>imposte differite e imposte anticipate</w:t>
            </w:r>
            <w:r>
              <w:rPr>
                <w:lang w:eastAsia="it-IT"/>
              </w:rPr>
              <w:t xml:space="preserve"> (previsti dal codice civile) come sinonimi di imposte differite passive e imposte differite attive. Con il termine fiscalità differita si intendono sia le imposte differite che le imposte anticipate.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p>
        </w:tc>
        <w:tc>
          <w:tcPr>
            <w:tcW w:w="7060" w:type="dxa"/>
            <w:tcMar>
              <w:left w:w="108" w:type="dxa"/>
            </w:tcMar>
            <w:vAlign w:val="center"/>
          </w:tcPr>
          <w:p w:rsidR="00C33C45" w:rsidRPr="00654D0B" w:rsidRDefault="00C33C45" w:rsidP="000D7E0A">
            <w:pPr>
              <w:pStyle w:val="Titolo2"/>
              <w:rPr>
                <w:lang w:val="it-IT"/>
              </w:rPr>
            </w:pPr>
            <w:r w:rsidRPr="00654D0B">
              <w:rPr>
                <w:lang w:val="it-IT"/>
              </w:rPr>
              <w:t>Classificazione e contenuto delle voci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25.17</w:t>
            </w:r>
          </w:p>
        </w:tc>
        <w:tc>
          <w:tcPr>
            <w:tcW w:w="7060" w:type="dxa"/>
            <w:tcMar>
              <w:left w:w="108" w:type="dxa"/>
            </w:tcMar>
          </w:tcPr>
          <w:p w:rsidR="00C33C45" w:rsidRDefault="00C33C45" w:rsidP="000D7E0A">
            <w:pPr>
              <w:pStyle w:val="Commentiriquadro"/>
              <w:contextualSpacing/>
            </w:pPr>
            <w:r>
              <w:t>L’articolo 2424 del codice civile prevede che, nello stato patrimoniale, le attività correlate alle imposte correnti e alle imposte anticipate siano rilevate rispettivamente nelle seguenti voci:</w:t>
            </w:r>
          </w:p>
          <w:p w:rsidR="00C33C45" w:rsidRDefault="00C33C45" w:rsidP="000D7E0A">
            <w:pPr>
              <w:pStyle w:val="Commentiriquadro"/>
              <w:ind w:left="176" w:hanging="119"/>
              <w:contextualSpacing/>
            </w:pPr>
            <w:r>
              <w:t xml:space="preserve">- </w:t>
            </w:r>
            <w:r>
              <w:tab/>
              <w:t>CII5-</w:t>
            </w:r>
            <w:r w:rsidRPr="00622BBE">
              <w:rPr>
                <w:i/>
              </w:rPr>
              <w:t>bis “crediti tributari</w:t>
            </w:r>
            <w:r>
              <w:t>”;</w:t>
            </w:r>
          </w:p>
          <w:p w:rsidR="00C33C45" w:rsidRPr="001867ED" w:rsidRDefault="00C33C45" w:rsidP="000D7E0A">
            <w:pPr>
              <w:pStyle w:val="Commentiriquadro"/>
              <w:ind w:left="176" w:hanging="119"/>
              <w:contextualSpacing/>
              <w:rPr>
                <w:highlight w:val="yellow"/>
              </w:rPr>
            </w:pPr>
            <w:r>
              <w:t xml:space="preserve">- </w:t>
            </w:r>
            <w:r>
              <w:tab/>
              <w:t>CII5-</w:t>
            </w:r>
            <w:r w:rsidRPr="00622BBE">
              <w:rPr>
                <w:i/>
              </w:rPr>
              <w:t>ter “imposte anticipate</w:t>
            </w:r>
            <w:r>
              <w:t>”.</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87495" w:rsidTr="000D7E0A">
        <w:trPr>
          <w:cantSplit/>
          <w:trHeight w:val="20"/>
        </w:trPr>
        <w:tc>
          <w:tcPr>
            <w:tcW w:w="680" w:type="dxa"/>
          </w:tcPr>
          <w:p w:rsidR="00C33C45" w:rsidRPr="009648DF" w:rsidRDefault="00C33C45" w:rsidP="000D7E0A">
            <w:pPr>
              <w:jc w:val="center"/>
              <w:rPr>
                <w:b/>
                <w:lang w:val="it-IT"/>
              </w:rPr>
            </w:pPr>
            <w:r w:rsidRPr="009648DF">
              <w:rPr>
                <w:b/>
                <w:lang w:val="it-IT"/>
              </w:rPr>
              <w:t>1)</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25.18  OIC 25.29</w:t>
            </w:r>
          </w:p>
        </w:tc>
        <w:tc>
          <w:tcPr>
            <w:tcW w:w="7060" w:type="dxa"/>
            <w:tcMar>
              <w:left w:w="108" w:type="dxa"/>
            </w:tcMar>
          </w:tcPr>
          <w:p w:rsidR="00C33C45" w:rsidRPr="00500A1C" w:rsidRDefault="00C33C45" w:rsidP="000D7E0A">
            <w:pPr>
              <w:spacing w:line="230" w:lineRule="exact"/>
              <w:rPr>
                <w:lang w:val="it-IT"/>
              </w:rPr>
            </w:pPr>
            <w:r w:rsidRPr="00622BBE">
              <w:rPr>
                <w:lang w:val="it-IT"/>
              </w:rPr>
              <w:t>La voce CII 5-</w:t>
            </w:r>
            <w:r w:rsidRPr="00622BBE">
              <w:rPr>
                <w:i/>
                <w:lang w:val="it-IT"/>
              </w:rPr>
              <w:t>bis “crediti tributari”</w:t>
            </w:r>
            <w:r w:rsidRPr="00622BBE">
              <w:rPr>
                <w:lang w:val="it-IT"/>
              </w:rPr>
              <w:t xml:space="preserve"> accoglie gli ammontari certi e determinati per i quali la</w:t>
            </w:r>
            <w:r>
              <w:rPr>
                <w:lang w:val="it-IT"/>
              </w:rPr>
              <w:t xml:space="preserve"> </w:t>
            </w:r>
            <w:r w:rsidRPr="00622BBE">
              <w:rPr>
                <w:lang w:val="it-IT"/>
              </w:rPr>
              <w:t>società ha un diritto al realizzo tramite rimborso o compensazione, quali ad esempio: i crediti per</w:t>
            </w:r>
            <w:r>
              <w:rPr>
                <w:lang w:val="it-IT"/>
              </w:rPr>
              <w:t xml:space="preserve"> </w:t>
            </w:r>
            <w:r w:rsidRPr="00622BBE">
              <w:rPr>
                <w:lang w:val="it-IT"/>
              </w:rPr>
              <w:t>eccedenze d’imposte correnti per i quali è stato richiesto il rimborso; l’IVA a credito da portare a</w:t>
            </w:r>
            <w:r>
              <w:rPr>
                <w:lang w:val="it-IT"/>
              </w:rPr>
              <w:t xml:space="preserve"> </w:t>
            </w:r>
            <w:r w:rsidRPr="00622BBE">
              <w:rPr>
                <w:lang w:val="it-IT"/>
              </w:rPr>
              <w:t>nuovo; le ritenute a titolo di acconto subite all’atto della riscossione di determinati proventi; gli</w:t>
            </w:r>
            <w:r>
              <w:rPr>
                <w:lang w:val="it-IT"/>
              </w:rPr>
              <w:t xml:space="preserve"> </w:t>
            </w:r>
            <w:r w:rsidRPr="00622BBE">
              <w:rPr>
                <w:lang w:val="it-IT"/>
              </w:rPr>
              <w:t>acconti eccedenti il debito tributario per impost</w:t>
            </w:r>
            <w:r>
              <w:rPr>
                <w:lang w:val="it-IT"/>
              </w:rPr>
              <w:t>e correnti?</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387495" w:rsidTr="000D7E0A">
        <w:trPr>
          <w:cantSplit/>
          <w:trHeight w:val="20"/>
        </w:trPr>
        <w:tc>
          <w:tcPr>
            <w:tcW w:w="680" w:type="dxa"/>
          </w:tcPr>
          <w:p w:rsidR="00C33C45" w:rsidRPr="009648DF" w:rsidRDefault="00C33C45" w:rsidP="000D7E0A">
            <w:pPr>
              <w:jc w:val="center"/>
              <w:rPr>
                <w:b/>
                <w:lang w:val="it-IT"/>
              </w:rPr>
            </w:pPr>
            <w:r w:rsidRPr="009648DF">
              <w:rPr>
                <w:b/>
                <w:lang w:val="it-IT"/>
              </w:rPr>
              <w:t>2)</w:t>
            </w:r>
          </w:p>
        </w:tc>
        <w:tc>
          <w:tcPr>
            <w:tcW w:w="851" w:type="dxa"/>
            <w:tcMar>
              <w:left w:w="108" w:type="dxa"/>
              <w:right w:w="0" w:type="dxa"/>
            </w:tcMar>
          </w:tcPr>
          <w:p w:rsidR="00C33C45" w:rsidRDefault="00C33C45" w:rsidP="000D7E0A">
            <w:pPr>
              <w:pStyle w:val="PrincCont"/>
              <w:jc w:val="left"/>
              <w:rPr>
                <w:lang w:val="it-IT"/>
              </w:rPr>
            </w:pPr>
            <w:r>
              <w:rPr>
                <w:lang w:val="it-IT"/>
              </w:rPr>
              <w:t>OIC 25.19</w:t>
            </w:r>
          </w:p>
        </w:tc>
        <w:tc>
          <w:tcPr>
            <w:tcW w:w="7060" w:type="dxa"/>
            <w:tcMar>
              <w:left w:w="108" w:type="dxa"/>
            </w:tcMar>
          </w:tcPr>
          <w:p w:rsidR="00C33C45" w:rsidRPr="00500A1C" w:rsidRDefault="00C33C45" w:rsidP="000D7E0A">
            <w:pPr>
              <w:spacing w:line="230" w:lineRule="exact"/>
              <w:rPr>
                <w:lang w:val="it-IT"/>
              </w:rPr>
            </w:pPr>
            <w:r w:rsidRPr="00622BBE">
              <w:rPr>
                <w:lang w:val="it-IT"/>
              </w:rPr>
              <w:t>La voce CII5-</w:t>
            </w:r>
            <w:r w:rsidRPr="00622BBE">
              <w:rPr>
                <w:i/>
                <w:lang w:val="it-IT"/>
              </w:rPr>
              <w:t>ter “imposte anticipate”</w:t>
            </w:r>
            <w:r w:rsidRPr="00622BBE">
              <w:rPr>
                <w:lang w:val="it-IT"/>
              </w:rPr>
              <w:t xml:space="preserve"> accoglie le attività per le imposte anticipate determinate in</w:t>
            </w:r>
            <w:r>
              <w:rPr>
                <w:lang w:val="it-IT"/>
              </w:rPr>
              <w:t xml:space="preserve"> </w:t>
            </w:r>
            <w:r w:rsidRPr="00622BBE">
              <w:rPr>
                <w:lang w:val="it-IT"/>
              </w:rPr>
              <w:t>base alle differenze temporanee deducibili negli esercizi successivi o al riporto a nuovo delle</w:t>
            </w:r>
            <w:r>
              <w:rPr>
                <w:lang w:val="it-IT"/>
              </w:rPr>
              <w:t xml:space="preserve"> </w:t>
            </w:r>
            <w:r w:rsidRPr="00622BBE">
              <w:rPr>
                <w:lang w:val="it-IT"/>
              </w:rPr>
              <w:t>perdite fiscali</w:t>
            </w:r>
            <w:r>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CF5D4E" w:rsidTr="000D7E0A">
        <w:trPr>
          <w:cantSplit/>
          <w:trHeight w:val="20"/>
        </w:trPr>
        <w:tc>
          <w:tcPr>
            <w:tcW w:w="680" w:type="dxa"/>
          </w:tcPr>
          <w:p w:rsidR="00C33C45" w:rsidRPr="009648DF"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25.20</w:t>
            </w:r>
          </w:p>
        </w:tc>
        <w:tc>
          <w:tcPr>
            <w:tcW w:w="7060" w:type="dxa"/>
            <w:tcMar>
              <w:left w:w="108" w:type="dxa"/>
            </w:tcMar>
          </w:tcPr>
          <w:p w:rsidR="00C33C45" w:rsidRDefault="00C33C45" w:rsidP="000D7E0A">
            <w:pPr>
              <w:pStyle w:val="Commentiriquadro"/>
              <w:contextualSpacing/>
            </w:pPr>
            <w:r>
              <w:t>L’articolo 2424 del codice civile prevede che, nello stato patrimoniale, le passività relative alla fiscalità differita e corrente siano rilevate rispettivamente nelle seguenti voci:</w:t>
            </w:r>
          </w:p>
          <w:p w:rsidR="00C33C45" w:rsidRDefault="00C33C45" w:rsidP="000D7E0A">
            <w:pPr>
              <w:pStyle w:val="Commentiriquadro"/>
              <w:contextualSpacing/>
            </w:pPr>
            <w:r>
              <w:t xml:space="preserve">- B2 fondi </w:t>
            </w:r>
            <w:r w:rsidRPr="00622BBE">
              <w:rPr>
                <w:i/>
              </w:rPr>
              <w:t>“per imposte, anche differite”</w:t>
            </w:r>
            <w:r>
              <w:t>;</w:t>
            </w:r>
          </w:p>
          <w:p w:rsidR="00C33C45" w:rsidRPr="001867ED" w:rsidRDefault="00C33C45" w:rsidP="000D7E0A">
            <w:pPr>
              <w:pStyle w:val="Commentiriquadro"/>
              <w:contextualSpacing/>
              <w:rPr>
                <w:highlight w:val="yellow"/>
              </w:rPr>
            </w:pPr>
            <w:r>
              <w:t xml:space="preserve">- D12 </w:t>
            </w:r>
            <w:r w:rsidRPr="00622BBE">
              <w:rPr>
                <w:i/>
              </w:rPr>
              <w:t>“debiti tributari”.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Pr="009648DF" w:rsidRDefault="00C33C45" w:rsidP="000D7E0A">
            <w:pPr>
              <w:jc w:val="center"/>
              <w:rPr>
                <w:b/>
                <w:lang w:val="it-IT"/>
              </w:rPr>
            </w:pPr>
            <w:r w:rsidRPr="009648DF">
              <w:rPr>
                <w:b/>
                <w:lang w:val="it-IT"/>
              </w:rPr>
              <w:t>3)</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25.21</w:t>
            </w:r>
          </w:p>
        </w:tc>
        <w:tc>
          <w:tcPr>
            <w:tcW w:w="7060" w:type="dxa"/>
            <w:tcMar>
              <w:left w:w="108" w:type="dxa"/>
            </w:tcMar>
          </w:tcPr>
          <w:p w:rsidR="00C33C45" w:rsidRPr="008D1755" w:rsidRDefault="00C33C45" w:rsidP="000D7E0A">
            <w:pPr>
              <w:spacing w:line="230" w:lineRule="exact"/>
              <w:rPr>
                <w:lang w:val="it-IT"/>
              </w:rPr>
            </w:pPr>
            <w:r w:rsidRPr="00622BBE">
              <w:rPr>
                <w:lang w:val="it-IT"/>
              </w:rPr>
              <w:t xml:space="preserve">La voce B2 fondi </w:t>
            </w:r>
            <w:r w:rsidRPr="00622BBE">
              <w:rPr>
                <w:i/>
                <w:lang w:val="it-IT"/>
              </w:rPr>
              <w:t xml:space="preserve">“per imposte, anche differite” </w:t>
            </w:r>
            <w:r w:rsidRPr="00622BBE">
              <w:rPr>
                <w:lang w:val="it-IT"/>
              </w:rPr>
              <w:t>accoglie:</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387495" w:rsidTr="000D7E0A">
        <w:trPr>
          <w:cantSplit/>
          <w:trHeight w:val="20"/>
        </w:trPr>
        <w:tc>
          <w:tcPr>
            <w:tcW w:w="680" w:type="dxa"/>
          </w:tcPr>
          <w:p w:rsidR="00C33C45" w:rsidRPr="009648DF" w:rsidRDefault="00C33C45" w:rsidP="000D7E0A">
            <w:pPr>
              <w:jc w:val="center"/>
              <w:rPr>
                <w:b/>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8D1755" w:rsidRDefault="00C33C45" w:rsidP="00D908E1">
            <w:pPr>
              <w:pStyle w:val="rientrotrattinook"/>
              <w:tabs>
                <w:tab w:val="clear" w:pos="704"/>
                <w:tab w:val="num" w:pos="460"/>
              </w:tabs>
              <w:ind w:left="460" w:hanging="284"/>
            </w:pPr>
            <w:r w:rsidRPr="00622BBE">
              <w:t>le passività per imposte probabili, aventi ammontare o data di sopravvenienza indeterminata, derivanti, ad esempio, da accertamenti non definitivi o contenziosi in corso e altre fattispecie similari;</w:t>
            </w:r>
          </w:p>
        </w:tc>
        <w:tc>
          <w:tcPr>
            <w:tcW w:w="586" w:type="dxa"/>
            <w:tcMar>
              <w:left w:w="85" w:type="dxa"/>
              <w:right w:w="85"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387495" w:rsidTr="000D7E0A">
        <w:trPr>
          <w:cantSplit/>
          <w:trHeight w:val="20"/>
        </w:trPr>
        <w:tc>
          <w:tcPr>
            <w:tcW w:w="680" w:type="dxa"/>
          </w:tcPr>
          <w:p w:rsidR="00C33C45" w:rsidRPr="009648DF" w:rsidRDefault="00C33C45" w:rsidP="000D7E0A">
            <w:pPr>
              <w:jc w:val="center"/>
              <w:rPr>
                <w:b/>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622BBE" w:rsidRDefault="00C33C45" w:rsidP="00D908E1">
            <w:pPr>
              <w:pStyle w:val="Puntoelenco"/>
              <w:tabs>
                <w:tab w:val="clear" w:pos="704"/>
                <w:tab w:val="num" w:pos="460"/>
              </w:tabs>
              <w:spacing w:line="230" w:lineRule="exact"/>
              <w:ind w:left="460" w:hanging="284"/>
            </w:pPr>
            <w:r w:rsidRPr="00622BBE">
              <w:t>le passività per imposte differite determinate in base alle differenze temporanee imponibili?</w:t>
            </w:r>
          </w:p>
        </w:tc>
        <w:tc>
          <w:tcPr>
            <w:tcW w:w="586" w:type="dxa"/>
            <w:tcMar>
              <w:left w:w="85" w:type="dxa"/>
              <w:right w:w="85"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387495" w:rsidTr="000D7E0A">
        <w:trPr>
          <w:cantSplit/>
          <w:trHeight w:val="20"/>
        </w:trPr>
        <w:tc>
          <w:tcPr>
            <w:tcW w:w="680" w:type="dxa"/>
          </w:tcPr>
          <w:p w:rsidR="00C33C45" w:rsidRPr="009648DF" w:rsidRDefault="00C33C45" w:rsidP="000D7E0A">
            <w:pPr>
              <w:jc w:val="center"/>
              <w:rPr>
                <w:b/>
                <w:lang w:val="it-IT"/>
              </w:rPr>
            </w:pPr>
            <w:r w:rsidRPr="009648DF">
              <w:rPr>
                <w:b/>
                <w:lang w:val="it-IT"/>
              </w:rPr>
              <w:t>4)</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25.22</w:t>
            </w:r>
          </w:p>
        </w:tc>
        <w:tc>
          <w:tcPr>
            <w:tcW w:w="7060" w:type="dxa"/>
            <w:tcMar>
              <w:left w:w="108" w:type="dxa"/>
            </w:tcMar>
          </w:tcPr>
          <w:p w:rsidR="00C33C45" w:rsidRPr="001867ED" w:rsidRDefault="00C33C45" w:rsidP="000D7E0A">
            <w:pPr>
              <w:spacing w:line="230" w:lineRule="exact"/>
              <w:rPr>
                <w:highlight w:val="yellow"/>
                <w:lang w:val="it-IT"/>
              </w:rPr>
            </w:pPr>
            <w:r w:rsidRPr="00622BBE">
              <w:rPr>
                <w:lang w:val="it-IT"/>
              </w:rPr>
              <w:t xml:space="preserve">La contropartita al conto economico degli accantonamenti al fondo per imposte è rappresentata dalla voce 20 </w:t>
            </w:r>
            <w:r w:rsidRPr="00622BBE">
              <w:rPr>
                <w:i/>
                <w:lang w:val="it-IT"/>
              </w:rPr>
              <w:t>“imposte sul reddito dell’esercizio correnti, differite e anticipate”</w:t>
            </w:r>
            <w:r>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387495" w:rsidTr="000D7E0A">
        <w:trPr>
          <w:cantSplit/>
          <w:trHeight w:val="20"/>
        </w:trPr>
        <w:tc>
          <w:tcPr>
            <w:tcW w:w="680" w:type="dxa"/>
          </w:tcPr>
          <w:p w:rsidR="00C33C45" w:rsidRPr="009648DF" w:rsidRDefault="00C33C45" w:rsidP="000D7E0A">
            <w:pPr>
              <w:jc w:val="center"/>
              <w:rPr>
                <w:b/>
                <w:lang w:val="it-IT"/>
              </w:rPr>
            </w:pPr>
            <w:r w:rsidRPr="009648DF">
              <w:rPr>
                <w:b/>
                <w:lang w:val="it-IT"/>
              </w:rPr>
              <w:t>5)</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25.23  OIC 25.29</w:t>
            </w:r>
          </w:p>
        </w:tc>
        <w:tc>
          <w:tcPr>
            <w:tcW w:w="7060" w:type="dxa"/>
            <w:tcMar>
              <w:left w:w="108" w:type="dxa"/>
            </w:tcMar>
          </w:tcPr>
          <w:p w:rsidR="00C33C45" w:rsidRPr="001867ED" w:rsidRDefault="00C33C45" w:rsidP="000D7E0A">
            <w:pPr>
              <w:spacing w:line="230" w:lineRule="exact"/>
              <w:rPr>
                <w:highlight w:val="yellow"/>
                <w:lang w:val="it-IT"/>
              </w:rPr>
            </w:pPr>
            <w:r w:rsidRPr="00622BBE">
              <w:rPr>
                <w:lang w:val="it-IT"/>
              </w:rPr>
              <w:t xml:space="preserve">La voce D12 </w:t>
            </w:r>
            <w:r w:rsidRPr="00622BBE">
              <w:rPr>
                <w:i/>
                <w:lang w:val="it-IT"/>
              </w:rPr>
              <w:t>“debiti tributari”</w:t>
            </w:r>
            <w:r w:rsidRPr="00622BBE">
              <w:rPr>
                <w:lang w:val="it-IT"/>
              </w:rPr>
              <w:t xml:space="preserve"> accoglie le passività per imposte certe e determinate, quali i debiti</w:t>
            </w:r>
            <w:r>
              <w:rPr>
                <w:lang w:val="it-IT"/>
              </w:rPr>
              <w:t xml:space="preserve"> </w:t>
            </w:r>
            <w:r w:rsidRPr="00622BBE">
              <w:rPr>
                <w:lang w:val="it-IT"/>
              </w:rPr>
              <w:t>per imposte correnti dell’esercizio in corso e di quelli precedenti (IRES, IRAP ed eventuali</w:t>
            </w:r>
            <w:r>
              <w:rPr>
                <w:lang w:val="it-IT"/>
              </w:rPr>
              <w:t xml:space="preserve"> </w:t>
            </w:r>
            <w:r w:rsidRPr="00622BBE">
              <w:rPr>
                <w:lang w:val="it-IT"/>
              </w:rPr>
              <w:t>imposte sostitutive delle stesse) dovute in base a dichiarazioni dei redditi, per accertamenti</w:t>
            </w:r>
            <w:r>
              <w:rPr>
                <w:lang w:val="it-IT"/>
              </w:rPr>
              <w:t xml:space="preserve"> </w:t>
            </w:r>
            <w:r w:rsidRPr="00622BBE">
              <w:rPr>
                <w:lang w:val="it-IT"/>
              </w:rPr>
              <w:t>definitivi o contenziosi chiusi, nonché i tributi di qualsiasi tipo iscritti a ruolo. La voce accoglie,</w:t>
            </w:r>
            <w:r>
              <w:rPr>
                <w:lang w:val="it-IT"/>
              </w:rPr>
              <w:t xml:space="preserve"> </w:t>
            </w:r>
            <w:r w:rsidRPr="00622BBE">
              <w:rPr>
                <w:lang w:val="it-IT"/>
              </w:rPr>
              <w:t>altresì, le ritenute operate come sostituto d’imposta e no</w:t>
            </w:r>
            <w:r>
              <w:rPr>
                <w:lang w:val="it-IT"/>
              </w:rPr>
              <w:t>n versate alla data di bilancio?</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387495" w:rsidTr="000D7E0A">
        <w:trPr>
          <w:cantSplit/>
          <w:trHeight w:val="20"/>
        </w:trPr>
        <w:tc>
          <w:tcPr>
            <w:tcW w:w="680" w:type="dxa"/>
          </w:tcPr>
          <w:p w:rsidR="00C33C45" w:rsidRPr="009648DF" w:rsidRDefault="00C33C45" w:rsidP="000D7E0A">
            <w:pPr>
              <w:jc w:val="center"/>
              <w:rPr>
                <w:b/>
                <w:lang w:val="it-IT"/>
              </w:rPr>
            </w:pPr>
            <w:r w:rsidRPr="009648DF">
              <w:rPr>
                <w:b/>
                <w:lang w:val="it-IT"/>
              </w:rPr>
              <w:t>6)</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25.24</w:t>
            </w:r>
          </w:p>
        </w:tc>
        <w:tc>
          <w:tcPr>
            <w:tcW w:w="7060" w:type="dxa"/>
            <w:tcMar>
              <w:left w:w="108" w:type="dxa"/>
            </w:tcMar>
          </w:tcPr>
          <w:p w:rsidR="00C33C45" w:rsidRPr="001867ED" w:rsidRDefault="00C33C45" w:rsidP="000D7E0A">
            <w:pPr>
              <w:spacing w:line="230" w:lineRule="exact"/>
              <w:rPr>
                <w:highlight w:val="yellow"/>
                <w:lang w:val="it-IT"/>
              </w:rPr>
            </w:pPr>
            <w:r w:rsidRPr="00622BBE">
              <w:rPr>
                <w:lang w:val="it-IT"/>
              </w:rPr>
              <w:t>I debiti tributari sono iscritti al netto di acconti, di ritenute d’acconto subite e crediti d’imposta, se</w:t>
            </w:r>
            <w:r>
              <w:rPr>
                <w:lang w:val="it-IT"/>
              </w:rPr>
              <w:t xml:space="preserve"> </w:t>
            </w:r>
            <w:r w:rsidRPr="00622BBE">
              <w:rPr>
                <w:lang w:val="it-IT"/>
              </w:rPr>
              <w:t>compensabili in base a quanto stabilito dal paragrafo 33</w:t>
            </w:r>
            <w:r>
              <w:rPr>
                <w:lang w:val="it-IT"/>
              </w:rPr>
              <w:t xml:space="preserve"> del Principio</w:t>
            </w:r>
            <w:r w:rsidRPr="00622BBE">
              <w:rPr>
                <w:lang w:val="it-IT"/>
              </w:rPr>
              <w:t>, tranne nel caso in cui ne sia richiesto il</w:t>
            </w:r>
            <w:r>
              <w:rPr>
                <w:lang w:val="it-IT"/>
              </w:rPr>
              <w:t xml:space="preserve"> </w:t>
            </w:r>
            <w:r w:rsidRPr="00622BBE">
              <w:rPr>
                <w:lang w:val="it-IT"/>
              </w:rPr>
              <w:t>rimborso</w:t>
            </w:r>
            <w:r>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387495" w:rsidTr="000D7E0A">
        <w:trPr>
          <w:cantSplit/>
          <w:trHeight w:val="20"/>
        </w:trPr>
        <w:tc>
          <w:tcPr>
            <w:tcW w:w="680" w:type="dxa"/>
          </w:tcPr>
          <w:p w:rsidR="00C33C45" w:rsidRPr="009648DF" w:rsidRDefault="00C33C45" w:rsidP="000D7E0A">
            <w:pPr>
              <w:jc w:val="center"/>
              <w:rPr>
                <w:b/>
                <w:lang w:val="it-IT"/>
              </w:rPr>
            </w:pPr>
            <w:r w:rsidRPr="009648DF">
              <w:rPr>
                <w:b/>
                <w:lang w:val="it-IT"/>
              </w:rPr>
              <w:t>7)</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25.25</w:t>
            </w:r>
          </w:p>
        </w:tc>
        <w:tc>
          <w:tcPr>
            <w:tcW w:w="7060" w:type="dxa"/>
            <w:tcMar>
              <w:left w:w="108" w:type="dxa"/>
            </w:tcMar>
          </w:tcPr>
          <w:p w:rsidR="00C33C45" w:rsidRPr="001867ED" w:rsidRDefault="00C33C45" w:rsidP="000D7E0A">
            <w:pPr>
              <w:spacing w:line="230" w:lineRule="exact"/>
              <w:rPr>
                <w:highlight w:val="yellow"/>
                <w:lang w:val="it-IT"/>
              </w:rPr>
            </w:pPr>
            <w:r>
              <w:rPr>
                <w:lang w:val="it-IT"/>
              </w:rPr>
              <w:t>L</w:t>
            </w:r>
            <w:r w:rsidRPr="004D401E">
              <w:rPr>
                <w:lang w:val="it-IT"/>
              </w:rPr>
              <w:t>’ammontare dei crediti e dei debiti tributari esigibili oltre l’esercizio successivo è in</w:t>
            </w:r>
            <w:r>
              <w:rPr>
                <w:lang w:val="it-IT"/>
              </w:rPr>
              <w:t xml:space="preserve">dicato </w:t>
            </w:r>
            <w:r w:rsidRPr="004D401E">
              <w:rPr>
                <w:lang w:val="it-IT"/>
              </w:rPr>
              <w:t>separatamente</w:t>
            </w:r>
            <w:r>
              <w:rPr>
                <w:lang w:val="it-IT"/>
              </w:rPr>
              <w:t xml:space="preserve"> nello stato patrimoniale?</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CC242B" w:rsidTr="000D7E0A">
        <w:trPr>
          <w:cantSplit/>
          <w:trHeight w:val="20"/>
        </w:trPr>
        <w:tc>
          <w:tcPr>
            <w:tcW w:w="680" w:type="dxa"/>
          </w:tcPr>
          <w:p w:rsidR="00C33C45" w:rsidRPr="009648DF"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25.25</w:t>
            </w:r>
          </w:p>
        </w:tc>
        <w:tc>
          <w:tcPr>
            <w:tcW w:w="7060" w:type="dxa"/>
            <w:tcMar>
              <w:left w:w="108" w:type="dxa"/>
            </w:tcMar>
          </w:tcPr>
          <w:p w:rsidR="00C33C45" w:rsidRPr="001867ED" w:rsidRDefault="00C33C45" w:rsidP="000D7E0A">
            <w:pPr>
              <w:pStyle w:val="Commentiriquadro"/>
              <w:contextualSpacing/>
              <w:rPr>
                <w:highlight w:val="yellow"/>
              </w:rPr>
            </w:pPr>
            <w:r>
              <w:t>I crediti e i debiti tributari sono esigibili oltre l’esercizio successivo se il realizzo dei crediti (tramite rimborso o compensazione) o il pagamento dei debiti avviene oltre i dodici mesi successivi alla data di bilancio. Ai fini dell’individuazione della scadenza dei crediti e debiti tributari si rinvia alla disciplina generale prevista nel paragrafo 22 dell’OIC 15 “</w:t>
            </w:r>
            <w:r w:rsidRPr="00130B8A">
              <w:rPr>
                <w:i/>
              </w:rPr>
              <w:t>Crediti</w:t>
            </w:r>
            <w:r>
              <w:t>” e nei paragrafi 23-24 dell’OIC 19 “</w:t>
            </w:r>
            <w:r w:rsidRPr="00130B8A">
              <w:rPr>
                <w:i/>
              </w:rPr>
              <w:t>Debiti</w:t>
            </w:r>
            <w:r>
              <w:t>”.</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Pr="009648DF"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25.26</w:t>
            </w:r>
          </w:p>
        </w:tc>
        <w:tc>
          <w:tcPr>
            <w:tcW w:w="7060" w:type="dxa"/>
            <w:tcMar>
              <w:left w:w="108" w:type="dxa"/>
            </w:tcMar>
          </w:tcPr>
          <w:p w:rsidR="00C33C45" w:rsidRPr="001867ED" w:rsidRDefault="00C33C45" w:rsidP="000D7E0A">
            <w:pPr>
              <w:pStyle w:val="Commentiriquadro"/>
              <w:contextualSpacing/>
              <w:rPr>
                <w:highlight w:val="yellow"/>
              </w:rPr>
            </w:pPr>
            <w:r>
              <w:t>L’articolo 2425 del codice civile prevede che le imposte correnti, anticipate e differite siano classificate nel conto economico nella voce 20) “</w:t>
            </w:r>
            <w:r w:rsidRPr="00130B8A">
              <w:rPr>
                <w:i/>
              </w:rPr>
              <w:t>imposte sul reddito dell’esercizio, correnti, differite e anticipate</w:t>
            </w:r>
            <w:r>
              <w:t>”.</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Pr="009648DF" w:rsidRDefault="00C33C45" w:rsidP="000D7E0A">
            <w:pPr>
              <w:jc w:val="center"/>
              <w:rPr>
                <w:b/>
                <w:lang w:val="it-IT"/>
              </w:rPr>
            </w:pPr>
            <w:r w:rsidRPr="009648DF">
              <w:rPr>
                <w:b/>
                <w:lang w:val="it-IT"/>
              </w:rPr>
              <w:t>8)</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25.27</w:t>
            </w:r>
          </w:p>
        </w:tc>
        <w:tc>
          <w:tcPr>
            <w:tcW w:w="7060" w:type="dxa"/>
            <w:tcMar>
              <w:left w:w="108" w:type="dxa"/>
            </w:tcMar>
          </w:tcPr>
          <w:p w:rsidR="00C33C45" w:rsidRPr="001867ED" w:rsidRDefault="00C33C45" w:rsidP="000D7E0A">
            <w:pPr>
              <w:spacing w:line="230" w:lineRule="exact"/>
              <w:rPr>
                <w:highlight w:val="yellow"/>
                <w:lang w:val="it-IT"/>
              </w:rPr>
            </w:pPr>
            <w:r>
              <w:rPr>
                <w:lang w:val="it-IT"/>
              </w:rPr>
              <w:t>L</w:t>
            </w:r>
            <w:r w:rsidRPr="00723BC2">
              <w:rPr>
                <w:lang w:val="it-IT"/>
              </w:rPr>
              <w:t xml:space="preserve">a voce 20, le imposte sul reddito dell’esercizio </w:t>
            </w:r>
            <w:r>
              <w:rPr>
                <w:lang w:val="it-IT"/>
              </w:rPr>
              <w:t>include le seguenti</w:t>
            </w:r>
            <w:r w:rsidRPr="00723BC2">
              <w:rPr>
                <w:lang w:val="it-IT"/>
              </w:rPr>
              <w:t xml:space="preserve"> quattro voci distinte</w:t>
            </w:r>
            <w:r>
              <w:rPr>
                <w:lang w:val="it-IT"/>
              </w:rPr>
              <w:t>:</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387495"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6B767C" w:rsidRDefault="00C33C45" w:rsidP="000D7E0A">
            <w:pPr>
              <w:pStyle w:val="PrincCont"/>
              <w:jc w:val="left"/>
              <w:rPr>
                <w:lang w:val="it-IT"/>
              </w:rPr>
            </w:pPr>
          </w:p>
        </w:tc>
        <w:tc>
          <w:tcPr>
            <w:tcW w:w="7060" w:type="dxa"/>
            <w:tcMar>
              <w:left w:w="108" w:type="dxa"/>
            </w:tcMar>
          </w:tcPr>
          <w:p w:rsidR="00C33C45" w:rsidRPr="006B767C" w:rsidRDefault="00C33C45" w:rsidP="00840B93">
            <w:pPr>
              <w:pStyle w:val="rientrotrattinook"/>
            </w:pPr>
            <w:r w:rsidRPr="00723BC2">
              <w:t xml:space="preserve">imposte correnti </w:t>
            </w:r>
          </w:p>
        </w:tc>
        <w:tc>
          <w:tcPr>
            <w:tcW w:w="586" w:type="dxa"/>
            <w:tcMar>
              <w:left w:w="85" w:type="dxa"/>
              <w:right w:w="85" w:type="dxa"/>
            </w:tcMar>
            <w:vAlign w:val="center"/>
          </w:tcPr>
          <w:p w:rsidR="00C33C45" w:rsidRPr="006B767C"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CA1681">
              <w:fldChar w:fldCharType="separate"/>
            </w:r>
            <w:r w:rsidRPr="006B767C">
              <w:fldChar w:fldCharType="end"/>
            </w:r>
          </w:p>
        </w:tc>
        <w:tc>
          <w:tcPr>
            <w:tcW w:w="573" w:type="dxa"/>
            <w:tcMar>
              <w:left w:w="108" w:type="dxa"/>
            </w:tcMar>
            <w:vAlign w:val="center"/>
          </w:tcPr>
          <w:p w:rsidR="00C33C45" w:rsidRPr="006B767C"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CA1681">
              <w:fldChar w:fldCharType="separate"/>
            </w:r>
            <w:r w:rsidRPr="006B767C">
              <w:fldChar w:fldCharType="end"/>
            </w:r>
          </w:p>
        </w:tc>
        <w:tc>
          <w:tcPr>
            <w:tcW w:w="570" w:type="dxa"/>
            <w:tcMar>
              <w:left w:w="108" w:type="dxa"/>
            </w:tcMar>
            <w:vAlign w:val="center"/>
          </w:tcPr>
          <w:p w:rsidR="00C33C45" w:rsidRPr="00A32A16"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CA1681">
              <w:fldChar w:fldCharType="separate"/>
            </w:r>
            <w:r w:rsidRPr="006B767C">
              <w:fldChar w:fldCharType="end"/>
            </w:r>
          </w:p>
        </w:tc>
      </w:tr>
      <w:tr w:rsidR="00C33C45" w:rsidRPr="00387495"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6B767C" w:rsidRDefault="00C33C45" w:rsidP="000D7E0A">
            <w:pPr>
              <w:pStyle w:val="PrincCont"/>
              <w:jc w:val="left"/>
              <w:rPr>
                <w:lang w:val="it-IT"/>
              </w:rPr>
            </w:pPr>
          </w:p>
        </w:tc>
        <w:tc>
          <w:tcPr>
            <w:tcW w:w="7060" w:type="dxa"/>
            <w:tcMar>
              <w:left w:w="108" w:type="dxa"/>
            </w:tcMar>
          </w:tcPr>
          <w:p w:rsidR="00C33C45" w:rsidRPr="006B767C" w:rsidRDefault="00C33C45" w:rsidP="00840B93">
            <w:pPr>
              <w:pStyle w:val="rientrotrattinook"/>
            </w:pPr>
            <w:r w:rsidRPr="00723BC2">
              <w:t>imposte relative a esercizi precedenti</w:t>
            </w:r>
          </w:p>
        </w:tc>
        <w:tc>
          <w:tcPr>
            <w:tcW w:w="586" w:type="dxa"/>
            <w:tcMar>
              <w:left w:w="85" w:type="dxa"/>
              <w:right w:w="85" w:type="dxa"/>
            </w:tcMar>
            <w:vAlign w:val="center"/>
          </w:tcPr>
          <w:p w:rsidR="00C33C45" w:rsidRPr="006B767C"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CA1681">
              <w:fldChar w:fldCharType="separate"/>
            </w:r>
            <w:r w:rsidRPr="006B767C">
              <w:fldChar w:fldCharType="end"/>
            </w:r>
          </w:p>
        </w:tc>
        <w:tc>
          <w:tcPr>
            <w:tcW w:w="573" w:type="dxa"/>
            <w:tcMar>
              <w:left w:w="108" w:type="dxa"/>
            </w:tcMar>
            <w:vAlign w:val="center"/>
          </w:tcPr>
          <w:p w:rsidR="00C33C45" w:rsidRPr="006B767C"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CA1681">
              <w:fldChar w:fldCharType="separate"/>
            </w:r>
            <w:r w:rsidRPr="006B767C">
              <w:fldChar w:fldCharType="end"/>
            </w:r>
          </w:p>
        </w:tc>
        <w:tc>
          <w:tcPr>
            <w:tcW w:w="570" w:type="dxa"/>
            <w:tcMar>
              <w:left w:w="108" w:type="dxa"/>
            </w:tcMar>
            <w:vAlign w:val="center"/>
          </w:tcPr>
          <w:p w:rsidR="00C33C45" w:rsidRPr="00A32A16"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CA1681">
              <w:fldChar w:fldCharType="separate"/>
            </w:r>
            <w:r w:rsidRPr="006B767C">
              <w:fldChar w:fldCharType="end"/>
            </w:r>
          </w:p>
        </w:tc>
      </w:tr>
      <w:tr w:rsidR="00C33C45" w:rsidRPr="00387495"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6B767C" w:rsidRDefault="00C33C45" w:rsidP="000D7E0A">
            <w:pPr>
              <w:pStyle w:val="PrincCont"/>
              <w:jc w:val="left"/>
              <w:rPr>
                <w:lang w:val="it-IT"/>
              </w:rPr>
            </w:pPr>
          </w:p>
        </w:tc>
        <w:tc>
          <w:tcPr>
            <w:tcW w:w="7060" w:type="dxa"/>
            <w:tcMar>
              <w:left w:w="108" w:type="dxa"/>
            </w:tcMar>
          </w:tcPr>
          <w:p w:rsidR="00C33C45" w:rsidRPr="006B767C" w:rsidRDefault="00C33C45" w:rsidP="00840B93">
            <w:pPr>
              <w:pStyle w:val="rientrotrattinook"/>
            </w:pPr>
            <w:r>
              <w:t>imposte differite e anticipate</w:t>
            </w:r>
          </w:p>
        </w:tc>
        <w:tc>
          <w:tcPr>
            <w:tcW w:w="586" w:type="dxa"/>
            <w:tcMar>
              <w:left w:w="85" w:type="dxa"/>
              <w:right w:w="85" w:type="dxa"/>
            </w:tcMar>
            <w:vAlign w:val="center"/>
          </w:tcPr>
          <w:p w:rsidR="00C33C45" w:rsidRPr="006B767C"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CA1681">
              <w:fldChar w:fldCharType="separate"/>
            </w:r>
            <w:r w:rsidRPr="006B767C">
              <w:fldChar w:fldCharType="end"/>
            </w:r>
          </w:p>
        </w:tc>
        <w:tc>
          <w:tcPr>
            <w:tcW w:w="573" w:type="dxa"/>
            <w:tcMar>
              <w:left w:w="108" w:type="dxa"/>
            </w:tcMar>
            <w:vAlign w:val="center"/>
          </w:tcPr>
          <w:p w:rsidR="00C33C45" w:rsidRPr="006B767C"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CA1681">
              <w:fldChar w:fldCharType="separate"/>
            </w:r>
            <w:r w:rsidRPr="006B767C">
              <w:fldChar w:fldCharType="end"/>
            </w:r>
          </w:p>
        </w:tc>
        <w:tc>
          <w:tcPr>
            <w:tcW w:w="570" w:type="dxa"/>
            <w:tcMar>
              <w:left w:w="108" w:type="dxa"/>
            </w:tcMar>
            <w:vAlign w:val="center"/>
          </w:tcPr>
          <w:p w:rsidR="00C33C45" w:rsidRPr="00A32A16"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CA1681">
              <w:fldChar w:fldCharType="separate"/>
            </w:r>
            <w:r w:rsidRPr="006B767C">
              <w:fldChar w:fldCharType="end"/>
            </w:r>
          </w:p>
        </w:tc>
      </w:tr>
      <w:tr w:rsidR="00C33C45" w:rsidRPr="00387495"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6B767C" w:rsidRDefault="00C33C45" w:rsidP="000D7E0A">
            <w:pPr>
              <w:pStyle w:val="PrincCont"/>
              <w:jc w:val="left"/>
              <w:rPr>
                <w:lang w:val="it-IT"/>
              </w:rPr>
            </w:pPr>
          </w:p>
        </w:tc>
        <w:tc>
          <w:tcPr>
            <w:tcW w:w="7060" w:type="dxa"/>
            <w:tcMar>
              <w:left w:w="108" w:type="dxa"/>
            </w:tcMar>
          </w:tcPr>
          <w:p w:rsidR="00C33C45" w:rsidRPr="006B767C" w:rsidRDefault="00C33C45" w:rsidP="00840B93">
            <w:pPr>
              <w:pStyle w:val="rientrotrattinook"/>
            </w:pPr>
            <w:r>
              <w:t>p</w:t>
            </w:r>
            <w:r w:rsidRPr="00723BC2">
              <w:t>roventi da consolidato fiscale</w:t>
            </w:r>
            <w:r>
              <w:t>?</w:t>
            </w:r>
          </w:p>
        </w:tc>
        <w:tc>
          <w:tcPr>
            <w:tcW w:w="586" w:type="dxa"/>
            <w:tcMar>
              <w:left w:w="85" w:type="dxa"/>
              <w:right w:w="85" w:type="dxa"/>
            </w:tcMar>
            <w:vAlign w:val="center"/>
          </w:tcPr>
          <w:p w:rsidR="00C33C45" w:rsidRPr="006B767C"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CA1681">
              <w:fldChar w:fldCharType="separate"/>
            </w:r>
            <w:r w:rsidRPr="006B767C">
              <w:fldChar w:fldCharType="end"/>
            </w:r>
          </w:p>
        </w:tc>
        <w:tc>
          <w:tcPr>
            <w:tcW w:w="573" w:type="dxa"/>
            <w:tcMar>
              <w:left w:w="108" w:type="dxa"/>
            </w:tcMar>
            <w:vAlign w:val="center"/>
          </w:tcPr>
          <w:p w:rsidR="00C33C45" w:rsidRPr="006B767C"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CA1681">
              <w:fldChar w:fldCharType="separate"/>
            </w:r>
            <w:r w:rsidRPr="006B767C">
              <w:fldChar w:fldCharType="end"/>
            </w:r>
          </w:p>
        </w:tc>
        <w:tc>
          <w:tcPr>
            <w:tcW w:w="570" w:type="dxa"/>
            <w:tcMar>
              <w:left w:w="108" w:type="dxa"/>
            </w:tcMar>
            <w:vAlign w:val="center"/>
          </w:tcPr>
          <w:p w:rsidR="00C33C45" w:rsidRPr="00A32A16"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CA1681">
              <w:fldChar w:fldCharType="separate"/>
            </w:r>
            <w:r w:rsidRPr="006B767C">
              <w:fldChar w:fldCharType="end"/>
            </w:r>
          </w:p>
        </w:tc>
      </w:tr>
      <w:tr w:rsidR="00C33C45" w:rsidRPr="00CC242B"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25.27</w:t>
            </w:r>
          </w:p>
        </w:tc>
        <w:tc>
          <w:tcPr>
            <w:tcW w:w="7060" w:type="dxa"/>
            <w:tcMar>
              <w:left w:w="108" w:type="dxa"/>
            </w:tcMar>
          </w:tcPr>
          <w:p w:rsidR="00C33C45" w:rsidRPr="001867ED" w:rsidRDefault="00C33C45" w:rsidP="000D7E0A">
            <w:pPr>
              <w:pStyle w:val="Commentiriquadro"/>
              <w:contextualSpacing/>
              <w:rPr>
                <w:highlight w:val="yellow"/>
              </w:rPr>
            </w:pPr>
            <w:r>
              <w:t xml:space="preserve">La voce </w:t>
            </w:r>
            <w:r w:rsidRPr="0088232C">
              <w:rPr>
                <w:i/>
              </w:rPr>
              <w:t>imposte correnti</w:t>
            </w:r>
            <w:r>
              <w:t xml:space="preserve"> accoglie le imposte dovute sul reddito imponibile dell’esercizio. La voce comprende anche le eventuali sanzioni pecuniarie e gli interessi maturati attinenti ad eventi dell’esercizio (ad esempio, ritardato versamento degli acconti ed altre irregolarità).</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25.27</w:t>
            </w:r>
          </w:p>
        </w:tc>
        <w:tc>
          <w:tcPr>
            <w:tcW w:w="7060" w:type="dxa"/>
            <w:tcMar>
              <w:left w:w="108" w:type="dxa"/>
            </w:tcMar>
          </w:tcPr>
          <w:p w:rsidR="00C33C45" w:rsidRPr="001867ED" w:rsidRDefault="00C33C45" w:rsidP="000D7E0A">
            <w:pPr>
              <w:pStyle w:val="Commentiriquadro"/>
              <w:contextualSpacing/>
              <w:rPr>
                <w:highlight w:val="yellow"/>
              </w:rPr>
            </w:pPr>
            <w:r>
              <w:t xml:space="preserve">La voce </w:t>
            </w:r>
            <w:r w:rsidRPr="0088232C">
              <w:rPr>
                <w:i/>
              </w:rPr>
              <w:t>imposte relative ad esercizi precedenti</w:t>
            </w:r>
            <w:r>
              <w:t>, comprende i relativi oneri accessori (interessi e sanzioni) che possono derivare, ad esempio, da iscrizioni a ruolo, avvisi di liquidazione, avvisi di pagamento, avvisi di accertamento e di rettifica ed altre situazioni di contenzioso con l’Amministrazione Finanziaria. La loro contropartita patrimoniale può essere costituita dalla voce B2 fondi “per imposte, anche differite” o dalla voce D12 “debiti tributari”, a seconda delle caratteristiche della passività (cfr. OIC 19 “Debiti”). La voce comprende altresì la differenza positiva (o negativa) tra l’ammontare dovuto a seguito della definizione di un contenzioso o di un accertamento rispetto al valore del fondo accantonato in esercizi precedenti.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25.27</w:t>
            </w:r>
          </w:p>
        </w:tc>
        <w:tc>
          <w:tcPr>
            <w:tcW w:w="7060" w:type="dxa"/>
            <w:tcMar>
              <w:left w:w="108" w:type="dxa"/>
            </w:tcMar>
          </w:tcPr>
          <w:p w:rsidR="00C33C45" w:rsidRDefault="00C33C45" w:rsidP="000D7E0A">
            <w:pPr>
              <w:pStyle w:val="Commentiriquadro"/>
              <w:contextualSpacing/>
            </w:pPr>
            <w:r>
              <w:t xml:space="preserve">La voce </w:t>
            </w:r>
            <w:r w:rsidRPr="0088232C">
              <w:rPr>
                <w:i/>
              </w:rPr>
              <w:t>imposte differite e anticipate</w:t>
            </w:r>
            <w:r>
              <w:t xml:space="preserve"> accoglie:</w:t>
            </w:r>
          </w:p>
          <w:p w:rsidR="00C33C45" w:rsidRDefault="00C33C45" w:rsidP="000D7E0A">
            <w:pPr>
              <w:pStyle w:val="Commentiriquadro"/>
              <w:ind w:left="176" w:hanging="119"/>
              <w:contextualSpacing/>
            </w:pPr>
            <w:r>
              <w:t>i) con segno positivo l’accantonamento al fondo per imposte differite e l’utilizzo delle attività per imposte anticipate; e</w:t>
            </w:r>
          </w:p>
          <w:p w:rsidR="00C33C45" w:rsidRDefault="00C33C45" w:rsidP="000D7E0A">
            <w:pPr>
              <w:pStyle w:val="Commentiriquadro"/>
              <w:ind w:left="176" w:hanging="119"/>
              <w:contextualSpacing/>
            </w:pPr>
            <w:r>
              <w:t>ii) con segno negativo, le imposte anticipate e l’utilizzo del fondo imposte differite; esse concorrono con tale segno ad identificare nella voce 20, l’importo complessivo delle imposte sul reddito di competenza dell’esercizio.</w:t>
            </w:r>
          </w:p>
          <w:p w:rsidR="00C33C45" w:rsidRPr="001867ED" w:rsidRDefault="00C33C45" w:rsidP="000D7E0A">
            <w:pPr>
              <w:pStyle w:val="Commentiriquadro"/>
              <w:contextualSpacing/>
              <w:rPr>
                <w:highlight w:val="yellow"/>
              </w:rPr>
            </w:pPr>
            <w:r>
              <w:t>La voce accoglie sia le imposte differite e anticipate dell’esercizio sia quelle provenienti da esercizi precedenti. Più in generale, tutte le variazioni delle attività per imposte anticipate e delle passività per imposte differite sono iscritte nel conto economico nella voce 20 “</w:t>
            </w:r>
            <w:r w:rsidRPr="0088232C">
              <w:rPr>
                <w:i/>
              </w:rPr>
              <w:t>imposte sul reddito dell’esercizio, correnti, differite e anticipate</w:t>
            </w:r>
            <w:r>
              <w:t>”.</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25.27</w:t>
            </w:r>
          </w:p>
        </w:tc>
        <w:tc>
          <w:tcPr>
            <w:tcW w:w="7060" w:type="dxa"/>
            <w:tcMar>
              <w:left w:w="108" w:type="dxa"/>
            </w:tcMar>
          </w:tcPr>
          <w:p w:rsidR="00C33C45" w:rsidRPr="001867ED" w:rsidRDefault="00C33C45" w:rsidP="000D7E0A">
            <w:pPr>
              <w:pStyle w:val="Commentiriquadro"/>
              <w:contextualSpacing/>
              <w:rPr>
                <w:highlight w:val="yellow"/>
              </w:rPr>
            </w:pPr>
            <w:r>
              <w:t xml:space="preserve">La voce </w:t>
            </w:r>
            <w:r w:rsidRPr="0088232C">
              <w:rPr>
                <w:i/>
              </w:rPr>
              <w:t>proventi da consolidato fiscale</w:t>
            </w:r>
            <w:r>
              <w:t xml:space="preserve"> accoglie il compenso riconosciuto dalla consolidante alla consolidata, nell’ambito del consolidato fiscale, per il trasferimento alla consolidante delle perdite fiscali generate dalla stessa consolidata.</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F5D4E" w:rsidTr="000D7E0A">
        <w:trPr>
          <w:cantSplit/>
          <w:trHeight w:val="20"/>
        </w:trPr>
        <w:tc>
          <w:tcPr>
            <w:tcW w:w="680" w:type="dxa"/>
          </w:tcPr>
          <w:p w:rsidR="00C33C45" w:rsidRPr="009648DF" w:rsidRDefault="00C33C45" w:rsidP="000D7E0A">
            <w:pPr>
              <w:jc w:val="center"/>
              <w:rPr>
                <w:b/>
                <w:lang w:val="it-IT"/>
              </w:rPr>
            </w:pPr>
            <w:r w:rsidRPr="009648DF">
              <w:rPr>
                <w:b/>
                <w:lang w:val="it-IT"/>
              </w:rPr>
              <w:t>9)</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25.28</w:t>
            </w:r>
          </w:p>
        </w:tc>
        <w:tc>
          <w:tcPr>
            <w:tcW w:w="7060" w:type="dxa"/>
            <w:tcMar>
              <w:left w:w="108" w:type="dxa"/>
            </w:tcMar>
          </w:tcPr>
          <w:p w:rsidR="00C33C45" w:rsidRPr="001867ED" w:rsidRDefault="00C33C45" w:rsidP="000D7E0A">
            <w:pPr>
              <w:spacing w:line="230" w:lineRule="exact"/>
              <w:rPr>
                <w:highlight w:val="yellow"/>
                <w:lang w:val="it-IT"/>
              </w:rPr>
            </w:pPr>
            <w:r w:rsidRPr="00A61235">
              <w:rPr>
                <w:lang w:val="it-IT"/>
              </w:rPr>
              <w:t>Le imposte anticipate e differite sono rilevate rispettivamente come proventi o oneri del conto</w:t>
            </w:r>
            <w:r>
              <w:rPr>
                <w:lang w:val="it-IT"/>
              </w:rPr>
              <w:t xml:space="preserve"> </w:t>
            </w:r>
            <w:r w:rsidRPr="00A61235">
              <w:rPr>
                <w:lang w:val="it-IT"/>
              </w:rPr>
              <w:t>economico (voce 20), salvo che l’imposta derivi da un’operazione o un fatto rilevato direttamente</w:t>
            </w:r>
            <w:r>
              <w:rPr>
                <w:lang w:val="it-IT"/>
              </w:rPr>
              <w:t xml:space="preserve"> </w:t>
            </w:r>
            <w:r w:rsidRPr="00A61235">
              <w:rPr>
                <w:lang w:val="it-IT"/>
              </w:rPr>
              <w:t>al patrimonio netto o da un’operazione straordinaria</w:t>
            </w:r>
            <w:r>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2124F4" w:rsidTr="000D7E0A">
        <w:trPr>
          <w:cantSplit/>
          <w:trHeight w:val="20"/>
        </w:trPr>
        <w:tc>
          <w:tcPr>
            <w:tcW w:w="680" w:type="dxa"/>
          </w:tcPr>
          <w:p w:rsidR="00C33C45" w:rsidRPr="009648DF" w:rsidRDefault="00C33C45" w:rsidP="000D7E0A">
            <w:pPr>
              <w:jc w:val="center"/>
              <w:rPr>
                <w:b/>
                <w:lang w:val="it-IT"/>
              </w:rPr>
            </w:pPr>
          </w:p>
        </w:tc>
        <w:tc>
          <w:tcPr>
            <w:tcW w:w="851" w:type="dxa"/>
            <w:tcMar>
              <w:left w:w="108" w:type="dxa"/>
              <w:right w:w="0" w:type="dxa"/>
            </w:tcMar>
          </w:tcPr>
          <w:p w:rsidR="00C33C45" w:rsidRPr="009B05A5" w:rsidRDefault="00C33C45" w:rsidP="000D7E0A">
            <w:pPr>
              <w:pStyle w:val="PrincCont"/>
              <w:jc w:val="left"/>
              <w:rPr>
                <w:lang w:val="it-IT"/>
              </w:rPr>
            </w:pPr>
          </w:p>
        </w:tc>
        <w:tc>
          <w:tcPr>
            <w:tcW w:w="7060" w:type="dxa"/>
            <w:tcMar>
              <w:left w:w="108" w:type="dxa"/>
            </w:tcMar>
          </w:tcPr>
          <w:p w:rsidR="00C33C45" w:rsidRPr="00A61235" w:rsidRDefault="00C33C45" w:rsidP="000D7E0A">
            <w:pPr>
              <w:spacing w:line="240" w:lineRule="exact"/>
              <w:rPr>
                <w:b/>
                <w:i/>
                <w:lang w:val="it-IT"/>
              </w:rPr>
            </w:pPr>
            <w:r>
              <w:rPr>
                <w:b/>
                <w:i/>
                <w:lang w:val="it-IT"/>
              </w:rPr>
              <w:t>Bilancio in forma abbreviata</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CC242B" w:rsidTr="000D7E0A">
        <w:trPr>
          <w:cantSplit/>
          <w:trHeight w:val="20"/>
        </w:trPr>
        <w:tc>
          <w:tcPr>
            <w:tcW w:w="680" w:type="dxa"/>
          </w:tcPr>
          <w:p w:rsidR="00C33C45" w:rsidRPr="009648DF"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25.30</w:t>
            </w:r>
          </w:p>
        </w:tc>
        <w:tc>
          <w:tcPr>
            <w:tcW w:w="7060" w:type="dxa"/>
            <w:tcMar>
              <w:left w:w="108" w:type="dxa"/>
            </w:tcMar>
          </w:tcPr>
          <w:p w:rsidR="00C33C45" w:rsidRPr="001867ED" w:rsidRDefault="00C33C45" w:rsidP="000D7E0A">
            <w:pPr>
              <w:pStyle w:val="Commentiriquadro"/>
              <w:contextualSpacing/>
              <w:rPr>
                <w:highlight w:val="yellow"/>
              </w:rPr>
            </w:pPr>
            <w:r>
              <w:t>Ai sensi dell’articolo 2435-bis del codice civile, nel bilancio in forma abbreviata “lo stato patrimoniale comprende solo le voci contrassegnate nell’art. 2424 con lettere maiuscole e con numeri romani”. Pertanto, in detto bilancio, le voci CII 5-bis “crediti tributari” e CII 5-ter “imposte anticipate” sono esposte nell’attivo dello stato patrimoniale sotto la voce CII “Crediti”; la voce B2 fondo “per imposte, anche differite” è esposta nel passivo dello stato patrimoniale sotto la voce B “Fondi per rischi e oneri” e la voce D12 “debiti tributari” è esposta nel passivo dello stato patrimoniale sotto la voce D “Debiti”.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Pr="009648DF"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25.31</w:t>
            </w:r>
          </w:p>
        </w:tc>
        <w:tc>
          <w:tcPr>
            <w:tcW w:w="7060" w:type="dxa"/>
            <w:tcMar>
              <w:left w:w="108" w:type="dxa"/>
            </w:tcMar>
          </w:tcPr>
          <w:p w:rsidR="00C33C45" w:rsidRPr="001867ED" w:rsidRDefault="00C33C45" w:rsidP="000D7E0A">
            <w:pPr>
              <w:pStyle w:val="Commentiriquadro"/>
              <w:contextualSpacing/>
              <w:rPr>
                <w:highlight w:val="yellow"/>
              </w:rPr>
            </w:pPr>
            <w:r>
              <w:t>Nel conto economico del bilancio in forma abbreviata sono indicate le imposte secondo lo schema previsto per il bilancio in forma ordinaria.</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Pr="009648DF" w:rsidRDefault="00C33C45" w:rsidP="000D7E0A">
            <w:pPr>
              <w:jc w:val="center"/>
              <w:rPr>
                <w:b/>
                <w:lang w:val="it-IT"/>
              </w:rPr>
            </w:pPr>
          </w:p>
        </w:tc>
        <w:tc>
          <w:tcPr>
            <w:tcW w:w="851" w:type="dxa"/>
            <w:tcMar>
              <w:left w:w="108" w:type="dxa"/>
              <w:right w:w="0" w:type="dxa"/>
            </w:tcMar>
          </w:tcPr>
          <w:p w:rsidR="00C33C45" w:rsidRPr="009B05A5" w:rsidRDefault="00C33C45" w:rsidP="000D7E0A">
            <w:pPr>
              <w:pStyle w:val="PrincCont"/>
              <w:jc w:val="left"/>
              <w:rPr>
                <w:lang w:val="it-IT"/>
              </w:rPr>
            </w:pPr>
          </w:p>
        </w:tc>
        <w:tc>
          <w:tcPr>
            <w:tcW w:w="7060" w:type="dxa"/>
            <w:tcMar>
              <w:left w:w="108" w:type="dxa"/>
            </w:tcMar>
          </w:tcPr>
          <w:p w:rsidR="00C33C45" w:rsidRPr="00A61235" w:rsidRDefault="00C33C45" w:rsidP="000D7E0A">
            <w:pPr>
              <w:spacing w:line="240" w:lineRule="exact"/>
              <w:rPr>
                <w:b/>
                <w:i/>
                <w:lang w:val="it-IT"/>
              </w:rPr>
            </w:pPr>
            <w:r w:rsidRPr="00A61235">
              <w:rPr>
                <w:b/>
                <w:i/>
                <w:lang w:val="it-IT"/>
              </w:rPr>
              <w:t>Compensazione di attività e passività tributarie</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CC242B" w:rsidTr="000D7E0A">
        <w:trPr>
          <w:cantSplit/>
          <w:trHeight w:val="20"/>
        </w:trPr>
        <w:tc>
          <w:tcPr>
            <w:tcW w:w="680" w:type="dxa"/>
          </w:tcPr>
          <w:p w:rsidR="00C33C45" w:rsidRPr="009648DF"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25.33</w:t>
            </w:r>
          </w:p>
        </w:tc>
        <w:tc>
          <w:tcPr>
            <w:tcW w:w="7060" w:type="dxa"/>
            <w:tcMar>
              <w:left w:w="108" w:type="dxa"/>
            </w:tcMar>
          </w:tcPr>
          <w:p w:rsidR="00C33C45" w:rsidRPr="001867ED" w:rsidRDefault="00C33C45" w:rsidP="000D7E0A">
            <w:pPr>
              <w:pStyle w:val="Commentiriquadro"/>
              <w:contextualSpacing/>
              <w:rPr>
                <w:highlight w:val="yellow"/>
              </w:rPr>
            </w:pPr>
            <w:r>
              <w:t>In molti casi, la legislazione fiscale permette alla società di compensare i debiti e crediti tributari e, di conseguenza, regolare l’operazione mediante un unico pagamento.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87495" w:rsidTr="000D7E0A">
        <w:trPr>
          <w:cantSplit/>
          <w:trHeight w:val="20"/>
        </w:trPr>
        <w:tc>
          <w:tcPr>
            <w:tcW w:w="680" w:type="dxa"/>
          </w:tcPr>
          <w:p w:rsidR="00C33C45" w:rsidRPr="009648DF" w:rsidRDefault="00C33C45" w:rsidP="000D7E0A">
            <w:pPr>
              <w:jc w:val="center"/>
              <w:rPr>
                <w:b/>
                <w:lang w:val="it-IT"/>
              </w:rPr>
            </w:pPr>
            <w:r w:rsidRPr="009648DF">
              <w:rPr>
                <w:b/>
                <w:lang w:val="it-IT"/>
              </w:rPr>
              <w:t>10)</w:t>
            </w:r>
          </w:p>
        </w:tc>
        <w:tc>
          <w:tcPr>
            <w:tcW w:w="851" w:type="dxa"/>
            <w:tcMar>
              <w:left w:w="108" w:type="dxa"/>
              <w:right w:w="0" w:type="dxa"/>
            </w:tcMar>
          </w:tcPr>
          <w:p w:rsidR="00C33C45" w:rsidRDefault="00C33C45" w:rsidP="000D7E0A">
            <w:pPr>
              <w:pStyle w:val="PrincCont"/>
              <w:jc w:val="left"/>
              <w:rPr>
                <w:lang w:val="it-IT"/>
              </w:rPr>
            </w:pPr>
            <w:r>
              <w:rPr>
                <w:lang w:val="it-IT"/>
              </w:rPr>
              <w:t>OIC 25.33</w:t>
            </w:r>
          </w:p>
        </w:tc>
        <w:tc>
          <w:tcPr>
            <w:tcW w:w="7060" w:type="dxa"/>
            <w:tcMar>
              <w:left w:w="108" w:type="dxa"/>
            </w:tcMar>
          </w:tcPr>
          <w:p w:rsidR="00C33C45" w:rsidRPr="009648DF" w:rsidRDefault="00C33C45" w:rsidP="000D7E0A">
            <w:pPr>
              <w:spacing w:line="240" w:lineRule="exact"/>
              <w:rPr>
                <w:lang w:val="it-IT"/>
              </w:rPr>
            </w:pPr>
            <w:r w:rsidRPr="009648DF">
              <w:rPr>
                <w:lang w:val="it-IT"/>
              </w:rPr>
              <w:t>Ai fini della classificazione in bilancio, la società effettua la compensazione dei crediti e debiti tributari solo se:</w:t>
            </w:r>
          </w:p>
          <w:p w:rsidR="00C33C45" w:rsidRPr="009648DF" w:rsidRDefault="00C33C45" w:rsidP="004E27C2">
            <w:pPr>
              <w:pStyle w:val="Paragrafoelenco"/>
              <w:numPr>
                <w:ilvl w:val="0"/>
                <w:numId w:val="79"/>
              </w:numPr>
              <w:spacing w:line="240" w:lineRule="exact"/>
              <w:ind w:left="318" w:hanging="273"/>
              <w:rPr>
                <w:lang w:val="it-IT"/>
              </w:rPr>
            </w:pPr>
            <w:r w:rsidRPr="009648DF">
              <w:rPr>
                <w:lang w:val="it-IT"/>
              </w:rPr>
              <w:t xml:space="preserve">ha un diritto legale a compensare gli importi rilevati in base alla legislazione fiscale; e </w:t>
            </w:r>
          </w:p>
          <w:p w:rsidR="00C33C45" w:rsidRPr="009648DF" w:rsidRDefault="00C33C45" w:rsidP="004E27C2">
            <w:pPr>
              <w:pStyle w:val="Paragrafoelenco"/>
              <w:numPr>
                <w:ilvl w:val="0"/>
                <w:numId w:val="79"/>
              </w:numPr>
              <w:spacing w:line="240" w:lineRule="exact"/>
              <w:ind w:left="318" w:hanging="273"/>
              <w:rPr>
                <w:lang w:val="it-IT"/>
              </w:rPr>
            </w:pPr>
            <w:r w:rsidRPr="009648DF">
              <w:rPr>
                <w:lang w:val="it-IT"/>
              </w:rPr>
              <w:t>intende regolare i debiti e i crediti tributari su base netta mediante un unico pagamento?</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CC242B"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25.34</w:t>
            </w:r>
          </w:p>
        </w:tc>
        <w:tc>
          <w:tcPr>
            <w:tcW w:w="7060" w:type="dxa"/>
            <w:tcMar>
              <w:left w:w="108" w:type="dxa"/>
            </w:tcMar>
          </w:tcPr>
          <w:p w:rsidR="00C33C45" w:rsidRPr="001867ED" w:rsidRDefault="00C33C45" w:rsidP="000D7E0A">
            <w:pPr>
              <w:pStyle w:val="Commentiriquadro"/>
              <w:contextualSpacing/>
              <w:rPr>
                <w:highlight w:val="yellow"/>
              </w:rPr>
            </w:pPr>
            <w:r>
              <w:t>Salvo quanto indicato al paragrafo 56, non è consentito portare le attività per imposte anticipate/passività per imposte differite a riduzione del valore degli elementi dell’attivo e del passivo cui sono correlate, poiché in contrasto con la clausola generale della chiarezza e con il divieto di compensazione delle partite (cfr. articoli 2423, comma 2, e 2423-ter, comma 6, codice civile).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F5D4E"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p>
        </w:tc>
        <w:tc>
          <w:tcPr>
            <w:tcW w:w="7060" w:type="dxa"/>
            <w:tcMar>
              <w:left w:w="108" w:type="dxa"/>
            </w:tcMar>
            <w:vAlign w:val="center"/>
          </w:tcPr>
          <w:p w:rsidR="00C33C45" w:rsidRPr="00654D0B" w:rsidRDefault="00C33C45" w:rsidP="000D7E0A">
            <w:pPr>
              <w:pStyle w:val="Titolo2"/>
              <w:rPr>
                <w:lang w:val="it-IT"/>
              </w:rPr>
            </w:pPr>
            <w:r>
              <w:rPr>
                <w:lang w:val="it-IT"/>
              </w:rPr>
              <w:t>Rilevazione della fiscalità corrente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F5D4E" w:rsidTr="000D7E0A">
        <w:trPr>
          <w:cantSplit/>
          <w:trHeight w:val="20"/>
        </w:trPr>
        <w:tc>
          <w:tcPr>
            <w:tcW w:w="680" w:type="dxa"/>
          </w:tcPr>
          <w:p w:rsidR="00C33C45" w:rsidRPr="00353788" w:rsidRDefault="00C33C45" w:rsidP="000D7E0A">
            <w:pPr>
              <w:jc w:val="center"/>
              <w:rPr>
                <w:b/>
                <w:lang w:val="it-IT"/>
              </w:rPr>
            </w:pPr>
            <w:r w:rsidRPr="00353788">
              <w:rPr>
                <w:b/>
                <w:lang w:val="it-IT"/>
              </w:rPr>
              <w:t>11)</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25.35</w:t>
            </w:r>
          </w:p>
        </w:tc>
        <w:tc>
          <w:tcPr>
            <w:tcW w:w="7060" w:type="dxa"/>
            <w:tcMar>
              <w:left w:w="108" w:type="dxa"/>
            </w:tcMar>
          </w:tcPr>
          <w:p w:rsidR="00C33C45" w:rsidRPr="001867ED" w:rsidRDefault="00C33C45" w:rsidP="000D7E0A">
            <w:pPr>
              <w:spacing w:line="230" w:lineRule="exact"/>
              <w:rPr>
                <w:highlight w:val="yellow"/>
                <w:lang w:val="it-IT"/>
              </w:rPr>
            </w:pPr>
            <w:r w:rsidRPr="00A61235">
              <w:rPr>
                <w:lang w:val="it-IT"/>
              </w:rPr>
              <w:t>Il costo derivante delle imposte correnti (o dovute) è calcolato in base al reddito</w:t>
            </w:r>
            <w:r>
              <w:rPr>
                <w:lang w:val="it-IT"/>
              </w:rPr>
              <w:t xml:space="preserve"> </w:t>
            </w:r>
            <w:r w:rsidRPr="00A61235">
              <w:rPr>
                <w:lang w:val="it-IT"/>
              </w:rPr>
              <w:t>imponibile e alle aliquote d’imposta vigenti alla data di bilancio</w:t>
            </w:r>
            <w:r>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387495" w:rsidTr="000D7E0A">
        <w:trPr>
          <w:cantSplit/>
          <w:trHeight w:val="20"/>
        </w:trPr>
        <w:tc>
          <w:tcPr>
            <w:tcW w:w="680" w:type="dxa"/>
          </w:tcPr>
          <w:p w:rsidR="00C33C45" w:rsidRPr="00353788" w:rsidRDefault="00C33C45" w:rsidP="000D7E0A">
            <w:pPr>
              <w:jc w:val="center"/>
              <w:rPr>
                <w:b/>
                <w:lang w:val="it-IT"/>
              </w:rPr>
            </w:pPr>
            <w:r w:rsidRPr="00353788">
              <w:rPr>
                <w:b/>
                <w:lang w:val="it-IT"/>
              </w:rPr>
              <w:t>12)</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25.36</w:t>
            </w:r>
          </w:p>
        </w:tc>
        <w:tc>
          <w:tcPr>
            <w:tcW w:w="7060" w:type="dxa"/>
            <w:tcMar>
              <w:left w:w="108" w:type="dxa"/>
            </w:tcMar>
          </w:tcPr>
          <w:p w:rsidR="00C33C45" w:rsidRPr="00A61235" w:rsidRDefault="00C33C45" w:rsidP="000D7E0A">
            <w:pPr>
              <w:spacing w:line="230" w:lineRule="exact"/>
              <w:rPr>
                <w:lang w:val="it-IT"/>
              </w:rPr>
            </w:pPr>
            <w:r w:rsidRPr="00A61235">
              <w:rPr>
                <w:lang w:val="it-IT"/>
              </w:rPr>
              <w:t>I crediti e debiti tributari sono esposti in bilancio secondo quanto previsto dall’OIC 15 e dall’OIC</w:t>
            </w:r>
            <w:r>
              <w:rPr>
                <w:lang w:val="it-IT"/>
              </w:rPr>
              <w:t xml:space="preserve"> 19?</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CC242B" w:rsidTr="000D7E0A">
        <w:trPr>
          <w:cantSplit/>
          <w:trHeight w:val="20"/>
        </w:trPr>
        <w:tc>
          <w:tcPr>
            <w:tcW w:w="680" w:type="dxa"/>
          </w:tcPr>
          <w:p w:rsidR="00C33C45" w:rsidRPr="00353788"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25.36</w:t>
            </w:r>
          </w:p>
        </w:tc>
        <w:tc>
          <w:tcPr>
            <w:tcW w:w="7060" w:type="dxa"/>
            <w:tcMar>
              <w:left w:w="108" w:type="dxa"/>
            </w:tcMar>
          </w:tcPr>
          <w:p w:rsidR="00C33C45" w:rsidRPr="001867ED" w:rsidRDefault="00C33C45" w:rsidP="000D7E0A">
            <w:pPr>
              <w:pStyle w:val="Commentiriquadro"/>
              <w:contextualSpacing/>
              <w:rPr>
                <w:highlight w:val="yellow"/>
              </w:rPr>
            </w:pPr>
            <w:r>
              <w:t>Per i crediti e i debiti derivanti da imposte sul reddito inferiori a 12 mesi non si applica il costo ammortizzato.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87495" w:rsidTr="000D7E0A">
        <w:trPr>
          <w:cantSplit/>
          <w:trHeight w:val="20"/>
        </w:trPr>
        <w:tc>
          <w:tcPr>
            <w:tcW w:w="680" w:type="dxa"/>
          </w:tcPr>
          <w:p w:rsidR="00C33C45" w:rsidRPr="00353788" w:rsidRDefault="00C33C45" w:rsidP="000D7E0A">
            <w:pPr>
              <w:jc w:val="center"/>
              <w:rPr>
                <w:b/>
                <w:lang w:val="it-IT"/>
              </w:rPr>
            </w:pPr>
            <w:r w:rsidRPr="00353788">
              <w:rPr>
                <w:b/>
                <w:lang w:val="it-IT"/>
              </w:rPr>
              <w:t>13)</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25.37</w:t>
            </w:r>
          </w:p>
        </w:tc>
        <w:tc>
          <w:tcPr>
            <w:tcW w:w="7060" w:type="dxa"/>
            <w:tcMar>
              <w:left w:w="108" w:type="dxa"/>
            </w:tcMar>
          </w:tcPr>
          <w:p w:rsidR="00C33C45" w:rsidRPr="001867ED" w:rsidRDefault="00C33C45" w:rsidP="000D7E0A">
            <w:pPr>
              <w:spacing w:line="230" w:lineRule="exact"/>
              <w:rPr>
                <w:highlight w:val="yellow"/>
                <w:lang w:val="it-IT"/>
              </w:rPr>
            </w:pPr>
            <w:r w:rsidRPr="00A61235">
              <w:rPr>
                <w:lang w:val="it-IT"/>
              </w:rPr>
              <w:t>Nell’esercizio di definizione del contenzioso o dell’accertamento, se l’ammontare accantonato nel</w:t>
            </w:r>
            <w:r>
              <w:rPr>
                <w:lang w:val="it-IT"/>
              </w:rPr>
              <w:t xml:space="preserve"> </w:t>
            </w:r>
            <w:r w:rsidRPr="00A61235">
              <w:rPr>
                <w:lang w:val="it-IT"/>
              </w:rPr>
              <w:t>fondo imposte in esercizi precedenti risulta eccedente (carente) rispetto all’ammontare dovuto, la</w:t>
            </w:r>
            <w:r>
              <w:rPr>
                <w:lang w:val="it-IT"/>
              </w:rPr>
              <w:t xml:space="preserve"> </w:t>
            </w:r>
            <w:r w:rsidRPr="00A61235">
              <w:rPr>
                <w:lang w:val="it-IT"/>
              </w:rPr>
              <w:t>differenza positiva (negativa) è imputata a conto economico nella</w:t>
            </w:r>
            <w:r>
              <w:rPr>
                <w:lang w:val="it-IT"/>
              </w:rPr>
              <w:t xml:space="preserve"> voce 20?</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CC242B" w:rsidTr="000D7E0A">
        <w:trPr>
          <w:cantSplit/>
          <w:trHeight w:val="340"/>
        </w:trPr>
        <w:tc>
          <w:tcPr>
            <w:tcW w:w="680" w:type="dxa"/>
          </w:tcPr>
          <w:p w:rsidR="00C33C45" w:rsidRPr="00353788" w:rsidRDefault="00C33C45" w:rsidP="000D7E0A">
            <w:pPr>
              <w:jc w:val="center"/>
              <w:rPr>
                <w:b/>
                <w:lang w:val="it-IT"/>
              </w:rPr>
            </w:pPr>
          </w:p>
        </w:tc>
        <w:tc>
          <w:tcPr>
            <w:tcW w:w="851" w:type="dxa"/>
            <w:tcMar>
              <w:left w:w="108" w:type="dxa"/>
              <w:right w:w="0" w:type="dxa"/>
            </w:tcMar>
          </w:tcPr>
          <w:p w:rsidR="00C33C45" w:rsidRPr="00A63BEC" w:rsidRDefault="00C33C45" w:rsidP="000D7E0A">
            <w:pPr>
              <w:pStyle w:val="PrincCont"/>
              <w:jc w:val="left"/>
              <w:rPr>
                <w:lang w:val="it-IT"/>
              </w:rPr>
            </w:pPr>
          </w:p>
        </w:tc>
        <w:tc>
          <w:tcPr>
            <w:tcW w:w="7060" w:type="dxa"/>
            <w:tcMar>
              <w:left w:w="108" w:type="dxa"/>
            </w:tcMar>
            <w:vAlign w:val="center"/>
          </w:tcPr>
          <w:p w:rsidR="00C33C45" w:rsidRPr="00A63BEC" w:rsidRDefault="00C33C45" w:rsidP="000D7E0A">
            <w:pPr>
              <w:pStyle w:val="Titolo2"/>
              <w:jc w:val="both"/>
              <w:rPr>
                <w:lang w:val="it-IT"/>
              </w:rPr>
            </w:pPr>
            <w:r w:rsidRPr="00A63BEC">
              <w:rPr>
                <w:lang w:val="it-IT"/>
              </w:rPr>
              <w:t>Rilevazione della fiscalità differita su operazioni che hanno effetto sul conto economico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Pr="00353788"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25.38</w:t>
            </w:r>
          </w:p>
        </w:tc>
        <w:tc>
          <w:tcPr>
            <w:tcW w:w="7060" w:type="dxa"/>
            <w:tcMar>
              <w:left w:w="108" w:type="dxa"/>
            </w:tcMar>
          </w:tcPr>
          <w:p w:rsidR="00C33C45" w:rsidRPr="001867ED" w:rsidRDefault="00C33C45" w:rsidP="000D7E0A">
            <w:pPr>
              <w:pStyle w:val="Commentiriquadro"/>
              <w:contextualSpacing/>
              <w:rPr>
                <w:highlight w:val="yellow"/>
              </w:rPr>
            </w:pPr>
            <w:r>
              <w:t>Le imposte anticipate e differite (e le correlate attività e passività) sono rilevate nel conto economico (e nello stato patrimoniale) nell’esercizio in cui emergono le differenze temporanee. Il calcolo delle attività e passività differite tiene conto delle specificità delle diverse normative fiscali in materia di imponibilità e deducibilità.</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Pr="00353788"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25.39</w:t>
            </w:r>
          </w:p>
        </w:tc>
        <w:tc>
          <w:tcPr>
            <w:tcW w:w="7060" w:type="dxa"/>
            <w:tcMar>
              <w:left w:w="108" w:type="dxa"/>
            </w:tcMar>
          </w:tcPr>
          <w:p w:rsidR="00C33C45" w:rsidRPr="001867ED" w:rsidRDefault="00C33C45" w:rsidP="000D7E0A">
            <w:pPr>
              <w:pStyle w:val="Commentiriquadro"/>
              <w:contextualSpacing/>
              <w:rPr>
                <w:highlight w:val="yellow"/>
              </w:rPr>
            </w:pPr>
            <w:r>
              <w:t>Le attività per imposte anticipate e la passività per imposte differite non sono rilevate in bilancio in presenza di una differenza permanente.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Pr="00353788"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25.40</w:t>
            </w:r>
          </w:p>
        </w:tc>
        <w:tc>
          <w:tcPr>
            <w:tcW w:w="7060" w:type="dxa"/>
            <w:tcMar>
              <w:left w:w="108" w:type="dxa"/>
            </w:tcMar>
          </w:tcPr>
          <w:p w:rsidR="00C33C45" w:rsidRDefault="00C33C45" w:rsidP="000D7E0A">
            <w:pPr>
              <w:pStyle w:val="Commentiriquadro"/>
              <w:ind w:left="176" w:hanging="119"/>
              <w:contextualSpacing/>
            </w:pPr>
            <w:r>
              <w:t>La determinazione delle imposte differite si articola nelle seguenti fasi:</w:t>
            </w:r>
          </w:p>
          <w:p w:rsidR="00C33C45" w:rsidRDefault="00C33C45" w:rsidP="000D7E0A">
            <w:pPr>
              <w:pStyle w:val="Commentiriquadro"/>
              <w:ind w:left="176" w:hanging="119"/>
              <w:contextualSpacing/>
            </w:pPr>
            <w:r>
              <w:t xml:space="preserve">- </w:t>
            </w:r>
            <w:r>
              <w:tab/>
              <w:t>l’individuazione delle differenze temporanee alla fine dell’esercizio;</w:t>
            </w:r>
          </w:p>
          <w:p w:rsidR="00C33C45" w:rsidRDefault="00C33C45" w:rsidP="000D7E0A">
            <w:pPr>
              <w:pStyle w:val="Commentiriquadro"/>
              <w:ind w:left="176" w:hanging="119"/>
              <w:contextualSpacing/>
            </w:pPr>
            <w:r>
              <w:t xml:space="preserve">- </w:t>
            </w:r>
            <w:r>
              <w:tab/>
              <w:t>la determinazione delle perdite fiscali riportabili a nuovo;</w:t>
            </w:r>
          </w:p>
          <w:p w:rsidR="00C33C45" w:rsidRDefault="00C33C45" w:rsidP="000D7E0A">
            <w:pPr>
              <w:pStyle w:val="Commentiriquadro"/>
              <w:ind w:left="176" w:hanging="119"/>
              <w:contextualSpacing/>
            </w:pPr>
            <w:r>
              <w:t xml:space="preserve">- </w:t>
            </w:r>
            <w:r>
              <w:tab/>
              <w:t>l’analisi dei tempi di rientro (o annullamento) delle differenze temporanee da cui traggono origine le attività per imposte anticipate e le passività per imposte differite;</w:t>
            </w:r>
          </w:p>
          <w:p w:rsidR="00C33C45" w:rsidRDefault="00C33C45" w:rsidP="000D7E0A">
            <w:pPr>
              <w:pStyle w:val="Commentiriquadro"/>
              <w:ind w:left="176" w:hanging="119"/>
              <w:contextualSpacing/>
            </w:pPr>
            <w:r>
              <w:t xml:space="preserve">- </w:t>
            </w:r>
            <w:r>
              <w:tab/>
              <w:t>il calcolo della fiscalità differita alla data del bilancio;</w:t>
            </w:r>
          </w:p>
          <w:p w:rsidR="00C33C45" w:rsidRPr="001867ED" w:rsidRDefault="00C33C45" w:rsidP="000D7E0A">
            <w:pPr>
              <w:pStyle w:val="Commentiriquadro"/>
              <w:ind w:left="176" w:hanging="119"/>
              <w:contextualSpacing/>
              <w:rPr>
                <w:highlight w:val="yellow"/>
              </w:rPr>
            </w:pPr>
            <w:r>
              <w:t>-</w:t>
            </w:r>
            <w:r>
              <w:tab/>
              <w:t>l’analisi e valutazione delle attività per imposte anticipate e passività per imposte differite iscritte in bilancio.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FF0782" w:rsidTr="000D7E0A">
        <w:trPr>
          <w:cantSplit/>
          <w:trHeight w:val="20"/>
        </w:trPr>
        <w:tc>
          <w:tcPr>
            <w:tcW w:w="680" w:type="dxa"/>
          </w:tcPr>
          <w:p w:rsidR="00C33C45" w:rsidRPr="00353788" w:rsidRDefault="00C33C45" w:rsidP="000D7E0A">
            <w:pPr>
              <w:jc w:val="center"/>
              <w:rPr>
                <w:b/>
                <w:lang w:val="it-IT"/>
              </w:rPr>
            </w:pPr>
            <w:r w:rsidRPr="00353788">
              <w:rPr>
                <w:b/>
                <w:lang w:val="it-IT"/>
              </w:rPr>
              <w:t>14)</w:t>
            </w:r>
          </w:p>
        </w:tc>
        <w:tc>
          <w:tcPr>
            <w:tcW w:w="851" w:type="dxa"/>
            <w:tcMar>
              <w:left w:w="108" w:type="dxa"/>
              <w:right w:w="0" w:type="dxa"/>
            </w:tcMar>
          </w:tcPr>
          <w:p w:rsidR="00C33C45" w:rsidRDefault="00C33C45" w:rsidP="000D7E0A">
            <w:pPr>
              <w:pStyle w:val="PrincCont"/>
              <w:jc w:val="left"/>
              <w:rPr>
                <w:lang w:val="it-IT"/>
              </w:rPr>
            </w:pPr>
            <w:r>
              <w:rPr>
                <w:lang w:val="it-IT"/>
              </w:rPr>
              <w:t>OIC 25.41</w:t>
            </w:r>
          </w:p>
        </w:tc>
        <w:tc>
          <w:tcPr>
            <w:tcW w:w="7060" w:type="dxa"/>
            <w:tcMar>
              <w:left w:w="108" w:type="dxa"/>
            </w:tcMar>
          </w:tcPr>
          <w:p w:rsidR="00C33C45" w:rsidRDefault="00C33C45" w:rsidP="000D7E0A">
            <w:pPr>
              <w:spacing w:line="230" w:lineRule="exact"/>
              <w:rPr>
                <w:lang w:val="it-IT"/>
              </w:rPr>
            </w:pPr>
            <w:r w:rsidRPr="00E912AE">
              <w:rPr>
                <w:lang w:val="it-IT"/>
              </w:rPr>
              <w:t>Le attività per imposte anticipate sono rilevate, nel rispetto del principio della prudenza, solo</w:t>
            </w:r>
            <w:r>
              <w:rPr>
                <w:lang w:val="it-IT"/>
              </w:rPr>
              <w:t xml:space="preserve"> </w:t>
            </w:r>
            <w:r w:rsidRPr="00E912AE">
              <w:rPr>
                <w:lang w:val="it-IT"/>
              </w:rPr>
              <w:t>quando vi è la ragionevole ce</w:t>
            </w:r>
            <w:r>
              <w:rPr>
                <w:lang w:val="it-IT"/>
              </w:rPr>
              <w:t>rtezza del loro futuro recupero?</w:t>
            </w:r>
          </w:p>
        </w:tc>
        <w:tc>
          <w:tcPr>
            <w:tcW w:w="586" w:type="dxa"/>
            <w:tcMar>
              <w:left w:w="85" w:type="dxa"/>
              <w:right w:w="85"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CC242B"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25.41</w:t>
            </w:r>
          </w:p>
        </w:tc>
        <w:tc>
          <w:tcPr>
            <w:tcW w:w="7060" w:type="dxa"/>
            <w:tcMar>
              <w:left w:w="108" w:type="dxa"/>
            </w:tcMar>
          </w:tcPr>
          <w:p w:rsidR="00C33C45" w:rsidRDefault="00C33C45" w:rsidP="000D7E0A">
            <w:pPr>
              <w:pStyle w:val="Commentiriquadro"/>
              <w:ind w:left="176" w:hanging="119"/>
              <w:contextualSpacing/>
            </w:pPr>
            <w:r>
              <w:t>La ragionevole certezza è comprovata quando:</w:t>
            </w:r>
          </w:p>
          <w:p w:rsidR="00C33C45" w:rsidRDefault="00C33C45" w:rsidP="000D7E0A">
            <w:pPr>
              <w:pStyle w:val="Commentiriquadro"/>
              <w:ind w:left="176" w:hanging="119"/>
              <w:contextualSpacing/>
            </w:pPr>
            <w:r>
              <w:t xml:space="preserve">- </w:t>
            </w:r>
            <w:r>
              <w:tab/>
              <w:t>esiste una proiezione dei risultati fiscali della società (pianificazione fiscale) per un periodo di tempo ragionevole, da cui si evince l’esistenza, negli esercizi in cui si annulleranno le differenze temporanee deducibili, di redditi imponibili non inferiori all’ammontare delle differenze che si annulleranno; e/o</w:t>
            </w:r>
          </w:p>
          <w:p w:rsidR="00C33C45" w:rsidRPr="001867ED" w:rsidRDefault="00C33C45" w:rsidP="000D7E0A">
            <w:pPr>
              <w:pStyle w:val="Commentiriquadro"/>
              <w:ind w:left="176" w:hanging="119"/>
              <w:contextualSpacing/>
              <w:rPr>
                <w:highlight w:val="yellow"/>
              </w:rPr>
            </w:pPr>
            <w:r>
              <w:t xml:space="preserve">- </w:t>
            </w:r>
            <w:r>
              <w:tab/>
              <w:t>negli esercizi in cui si prevede l’annullamento della differenza temporanea deducibile, vi sono sufficienti differenze temporanee imponibili di cui si prevede l’annullamento.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25.42</w:t>
            </w:r>
          </w:p>
        </w:tc>
        <w:tc>
          <w:tcPr>
            <w:tcW w:w="7060" w:type="dxa"/>
            <w:tcMar>
              <w:left w:w="108" w:type="dxa"/>
            </w:tcMar>
          </w:tcPr>
          <w:p w:rsidR="00C33C45" w:rsidRDefault="00C33C45" w:rsidP="000D7E0A">
            <w:pPr>
              <w:pStyle w:val="Commentiriquadro"/>
              <w:contextualSpacing/>
            </w:pPr>
            <w:r>
              <w:t>In regime di consolidato fiscale, ai fini della rilevazione della fiscalità differita nel bilancio delle società aderenti al consolidato, occorre distinguere le imposte anticipate/differite che emergono:</w:t>
            </w:r>
          </w:p>
          <w:p w:rsidR="00C33C45" w:rsidRDefault="00C33C45" w:rsidP="000D7E0A">
            <w:pPr>
              <w:pStyle w:val="Commentiriquadro"/>
              <w:ind w:left="176" w:hanging="119"/>
              <w:contextualSpacing/>
            </w:pPr>
            <w:r>
              <w:t xml:space="preserve">- </w:t>
            </w:r>
            <w:r>
              <w:tab/>
              <w:t>da operazioni che si manifestano nel periodo di vigenza del consolidato fiscale;</w:t>
            </w:r>
          </w:p>
          <w:p w:rsidR="00C33C45" w:rsidRPr="001867ED" w:rsidRDefault="00C33C45" w:rsidP="000D7E0A">
            <w:pPr>
              <w:pStyle w:val="Commentiriquadro"/>
              <w:ind w:left="176" w:hanging="119"/>
              <w:contextualSpacing/>
              <w:rPr>
                <w:highlight w:val="yellow"/>
              </w:rPr>
            </w:pPr>
            <w:r>
              <w:t xml:space="preserve">- </w:t>
            </w:r>
            <w:r>
              <w:tab/>
              <w:t>da operazioni che si manifestano in momenti diversi dal periodo di vigenza del consolidato fiscale (ad esempio, operazioni che avvengono prima dell’adesione al regime o successivamente all’interruzione anticipata del consolidato fiscale).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037CA6" w:rsidTr="000D7E0A">
        <w:trPr>
          <w:cantSplit/>
          <w:trHeight w:val="20"/>
        </w:trPr>
        <w:tc>
          <w:tcPr>
            <w:tcW w:w="680" w:type="dxa"/>
          </w:tcPr>
          <w:p w:rsidR="00C33C45" w:rsidRPr="00353788" w:rsidRDefault="00C33C45" w:rsidP="000D7E0A">
            <w:pPr>
              <w:jc w:val="center"/>
              <w:rPr>
                <w:b/>
                <w:lang w:val="it-IT"/>
              </w:rPr>
            </w:pPr>
            <w:r w:rsidRPr="00353788">
              <w:rPr>
                <w:b/>
                <w:lang w:val="it-IT"/>
              </w:rPr>
              <w:t>15)</w:t>
            </w:r>
          </w:p>
        </w:tc>
        <w:tc>
          <w:tcPr>
            <w:tcW w:w="851" w:type="dxa"/>
            <w:tcMar>
              <w:left w:w="108" w:type="dxa"/>
              <w:right w:w="0" w:type="dxa"/>
            </w:tcMar>
          </w:tcPr>
          <w:p w:rsidR="00C33C45" w:rsidRDefault="00C33C45" w:rsidP="000D7E0A">
            <w:pPr>
              <w:pStyle w:val="PrincCont"/>
              <w:jc w:val="left"/>
              <w:rPr>
                <w:lang w:val="it-IT"/>
              </w:rPr>
            </w:pPr>
            <w:r>
              <w:rPr>
                <w:lang w:val="it-IT"/>
              </w:rPr>
              <w:t>OIC 25.42</w:t>
            </w:r>
          </w:p>
        </w:tc>
        <w:tc>
          <w:tcPr>
            <w:tcW w:w="7060" w:type="dxa"/>
            <w:tcMar>
              <w:left w:w="108" w:type="dxa"/>
            </w:tcMar>
          </w:tcPr>
          <w:p w:rsidR="00C33C45" w:rsidRDefault="00C33C45" w:rsidP="000D7E0A">
            <w:pPr>
              <w:spacing w:line="230" w:lineRule="exact"/>
              <w:rPr>
                <w:lang w:val="it-IT"/>
              </w:rPr>
            </w:pPr>
            <w:r w:rsidRPr="00252752">
              <w:rPr>
                <w:lang w:val="it-IT"/>
              </w:rPr>
              <w:t>Nel periodo di vigenza del consolidato fiscale, il rispetto delle condizioni per la rilevazione delle imposte anticipate e differite è</w:t>
            </w:r>
            <w:r>
              <w:rPr>
                <w:lang w:val="it-IT"/>
              </w:rPr>
              <w:t xml:space="preserve"> </w:t>
            </w:r>
            <w:r w:rsidRPr="00252752">
              <w:rPr>
                <w:lang w:val="it-IT"/>
              </w:rPr>
              <w:t>valutato con riferimento alle previsioni di redditi imponibili futuri delle società aderenti al</w:t>
            </w:r>
            <w:r>
              <w:rPr>
                <w:lang w:val="it-IT"/>
              </w:rPr>
              <w:t xml:space="preserve"> consolidato fiscale?</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037CA6">
              <w:rPr>
                <w:lang w:val="it-IT"/>
              </w:rP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037CA6">
              <w:rPr>
                <w:lang w:val="it-IT"/>
              </w:rP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037CA6">
              <w:rPr>
                <w:lang w:val="it-IT"/>
              </w:rPr>
              <w:instrText xml:space="preserve"> FORMCHECKBOX </w:instrText>
            </w:r>
            <w:r w:rsidR="00CA1681">
              <w:fldChar w:fldCharType="separate"/>
            </w:r>
            <w:r>
              <w:fldChar w:fldCharType="end"/>
            </w:r>
          </w:p>
        </w:tc>
      </w:tr>
      <w:tr w:rsidR="00C33C45" w:rsidRPr="00037CA6" w:rsidTr="000D7E0A">
        <w:trPr>
          <w:cantSplit/>
          <w:trHeight w:val="20"/>
        </w:trPr>
        <w:tc>
          <w:tcPr>
            <w:tcW w:w="680" w:type="dxa"/>
          </w:tcPr>
          <w:p w:rsidR="00C33C45" w:rsidRPr="00353788" w:rsidRDefault="00C33C45" w:rsidP="000D7E0A">
            <w:pPr>
              <w:jc w:val="center"/>
              <w:rPr>
                <w:b/>
                <w:lang w:val="it-IT"/>
              </w:rPr>
            </w:pPr>
            <w:r w:rsidRPr="00353788">
              <w:rPr>
                <w:b/>
                <w:lang w:val="it-IT"/>
              </w:rPr>
              <w:t>16)</w:t>
            </w:r>
          </w:p>
        </w:tc>
        <w:tc>
          <w:tcPr>
            <w:tcW w:w="851" w:type="dxa"/>
            <w:tcMar>
              <w:left w:w="108" w:type="dxa"/>
              <w:right w:w="0" w:type="dxa"/>
            </w:tcMar>
          </w:tcPr>
          <w:p w:rsidR="00C33C45" w:rsidRDefault="00C33C45" w:rsidP="000D7E0A">
            <w:pPr>
              <w:pStyle w:val="PrincCont"/>
              <w:jc w:val="left"/>
              <w:rPr>
                <w:lang w:val="it-IT"/>
              </w:rPr>
            </w:pPr>
            <w:r>
              <w:rPr>
                <w:lang w:val="it-IT"/>
              </w:rPr>
              <w:t>OIC 25.42</w:t>
            </w:r>
          </w:p>
        </w:tc>
        <w:tc>
          <w:tcPr>
            <w:tcW w:w="7060" w:type="dxa"/>
            <w:tcMar>
              <w:left w:w="108" w:type="dxa"/>
            </w:tcMar>
          </w:tcPr>
          <w:p w:rsidR="00C33C45" w:rsidRDefault="00C33C45" w:rsidP="000D7E0A">
            <w:pPr>
              <w:spacing w:line="230" w:lineRule="exact"/>
              <w:rPr>
                <w:lang w:val="it-IT"/>
              </w:rPr>
            </w:pPr>
            <w:r>
              <w:rPr>
                <w:lang w:val="it-IT"/>
              </w:rPr>
              <w:t xml:space="preserve">Per le </w:t>
            </w:r>
            <w:r w:rsidRPr="00252752">
              <w:rPr>
                <w:lang w:val="it-IT"/>
              </w:rPr>
              <w:t>operazioni che si manifestano in momenti diversi dal periodo di vigenza del consolidato fiscale, invece, la valutazione è effettuata con riferimento alla</w:t>
            </w:r>
            <w:r>
              <w:rPr>
                <w:lang w:val="it-IT"/>
              </w:rPr>
              <w:t xml:space="preserve"> </w:t>
            </w:r>
            <w:r w:rsidRPr="00252752">
              <w:rPr>
                <w:lang w:val="it-IT"/>
              </w:rPr>
              <w:t>situazione singola della società</w:t>
            </w:r>
            <w:r>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037CA6">
              <w:rPr>
                <w:lang w:val="it-IT"/>
              </w:rP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037CA6">
              <w:rPr>
                <w:lang w:val="it-IT"/>
              </w:rP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037CA6">
              <w:rPr>
                <w:lang w:val="it-IT"/>
              </w:rPr>
              <w:instrText xml:space="preserve"> FORMCHECKBOX </w:instrText>
            </w:r>
            <w:r w:rsidR="00CA1681">
              <w:fldChar w:fldCharType="separate"/>
            </w:r>
            <w:r>
              <w:fldChar w:fldCharType="end"/>
            </w:r>
          </w:p>
        </w:tc>
      </w:tr>
      <w:tr w:rsidR="00C33C45" w:rsidRPr="00BD07F7" w:rsidTr="000D7E0A">
        <w:trPr>
          <w:cantSplit/>
          <w:trHeight w:val="20"/>
        </w:trPr>
        <w:tc>
          <w:tcPr>
            <w:tcW w:w="680" w:type="dxa"/>
          </w:tcPr>
          <w:p w:rsidR="00C33C45" w:rsidRPr="00353788" w:rsidRDefault="00C33C45" w:rsidP="000D7E0A">
            <w:pPr>
              <w:jc w:val="center"/>
              <w:rPr>
                <w:b/>
                <w:lang w:val="it-IT"/>
              </w:rPr>
            </w:pPr>
            <w:r w:rsidRPr="00353788">
              <w:rPr>
                <w:b/>
                <w:lang w:val="it-IT"/>
              </w:rPr>
              <w:t>17)</w:t>
            </w:r>
          </w:p>
        </w:tc>
        <w:tc>
          <w:tcPr>
            <w:tcW w:w="851" w:type="dxa"/>
            <w:tcMar>
              <w:left w:w="108" w:type="dxa"/>
              <w:right w:w="0" w:type="dxa"/>
            </w:tcMar>
          </w:tcPr>
          <w:p w:rsidR="00C33C45" w:rsidRDefault="00C33C45" w:rsidP="000D7E0A">
            <w:pPr>
              <w:pStyle w:val="PrincCont"/>
              <w:spacing w:before="0" w:after="0"/>
              <w:jc w:val="left"/>
              <w:rPr>
                <w:lang w:val="it-IT"/>
              </w:rPr>
            </w:pPr>
            <w:r>
              <w:rPr>
                <w:lang w:val="it-IT"/>
              </w:rPr>
              <w:t>OIC 25.43</w:t>
            </w:r>
          </w:p>
        </w:tc>
        <w:tc>
          <w:tcPr>
            <w:tcW w:w="7060" w:type="dxa"/>
            <w:tcMar>
              <w:left w:w="108" w:type="dxa"/>
            </w:tcMar>
          </w:tcPr>
          <w:p w:rsidR="00C33C45" w:rsidRPr="00186E2B" w:rsidRDefault="00C33C45" w:rsidP="000D7E0A">
            <w:pPr>
              <w:spacing w:line="230" w:lineRule="exact"/>
              <w:rPr>
                <w:lang w:val="it-IT" w:eastAsia="it-IT"/>
              </w:rPr>
            </w:pPr>
            <w:r w:rsidRPr="00252752">
              <w:rPr>
                <w:lang w:val="it-IT"/>
              </w:rPr>
              <w:t>Le imposte anticipate/differite sono calcolate sull’ammontare cumulativo di tutte le differenze</w:t>
            </w:r>
            <w:r>
              <w:rPr>
                <w:lang w:val="it-IT"/>
              </w:rPr>
              <w:t xml:space="preserve"> </w:t>
            </w:r>
            <w:r w:rsidRPr="00252752">
              <w:rPr>
                <w:lang w:val="it-IT"/>
              </w:rPr>
              <w:t>temporanee dell’esercizio, applicando le aliquote fiscali in vigore nell’esercizio nel quale le</w:t>
            </w:r>
            <w:r>
              <w:rPr>
                <w:lang w:val="it-IT"/>
              </w:rPr>
              <w:t xml:space="preserve"> </w:t>
            </w:r>
            <w:r w:rsidRPr="00252752">
              <w:rPr>
                <w:lang w:val="it-IT"/>
              </w:rPr>
              <w:t>differenze temporanee si riverseranno, previste dalla normativa fiscale vigente alla data di</w:t>
            </w:r>
            <w:r>
              <w:rPr>
                <w:lang w:val="it-IT"/>
              </w:rPr>
              <w:t xml:space="preserve"> riferimento del bilancio</w:t>
            </w:r>
            <w:r w:rsidRPr="0019392C">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00104F" w:rsidTr="000D7E0A">
        <w:trPr>
          <w:cantSplit/>
          <w:trHeight w:val="20"/>
        </w:trPr>
        <w:tc>
          <w:tcPr>
            <w:tcW w:w="680" w:type="dxa"/>
          </w:tcPr>
          <w:p w:rsidR="00C33C45" w:rsidRPr="00353788" w:rsidRDefault="00C33C45" w:rsidP="000D7E0A">
            <w:pPr>
              <w:jc w:val="center"/>
              <w:rPr>
                <w:b/>
                <w:lang w:val="it-IT"/>
              </w:rPr>
            </w:pPr>
            <w:r w:rsidRPr="00353788">
              <w:rPr>
                <w:b/>
                <w:lang w:val="it-IT"/>
              </w:rPr>
              <w:t>18)</w:t>
            </w:r>
          </w:p>
        </w:tc>
        <w:tc>
          <w:tcPr>
            <w:tcW w:w="851" w:type="dxa"/>
            <w:tcMar>
              <w:left w:w="108" w:type="dxa"/>
              <w:right w:w="0" w:type="dxa"/>
            </w:tcMar>
          </w:tcPr>
          <w:p w:rsidR="00C33C45" w:rsidRDefault="00C33C45" w:rsidP="000D7E0A">
            <w:pPr>
              <w:pStyle w:val="PrincCont"/>
              <w:jc w:val="left"/>
              <w:rPr>
                <w:lang w:val="it-IT"/>
              </w:rPr>
            </w:pPr>
            <w:r>
              <w:rPr>
                <w:lang w:val="it-IT"/>
              </w:rPr>
              <w:t>OIC 25.43</w:t>
            </w:r>
          </w:p>
        </w:tc>
        <w:tc>
          <w:tcPr>
            <w:tcW w:w="7060" w:type="dxa"/>
            <w:tcMar>
              <w:left w:w="108" w:type="dxa"/>
            </w:tcMar>
          </w:tcPr>
          <w:p w:rsidR="00C33C45" w:rsidRPr="00186E2B" w:rsidRDefault="00C33C45" w:rsidP="000D7E0A">
            <w:pPr>
              <w:spacing w:line="230" w:lineRule="exact"/>
              <w:rPr>
                <w:lang w:val="it-IT" w:eastAsia="it-IT"/>
              </w:rPr>
            </w:pPr>
            <w:r w:rsidRPr="00252752">
              <w:rPr>
                <w:lang w:val="it-IT" w:eastAsia="it-IT"/>
              </w:rPr>
              <w:t>Qualora la normativa fiscale non stabilisca le aliquote fiscali in vigore</w:t>
            </w:r>
            <w:r>
              <w:rPr>
                <w:lang w:val="it-IT" w:eastAsia="it-IT"/>
              </w:rPr>
              <w:t xml:space="preserve"> </w:t>
            </w:r>
            <w:r w:rsidRPr="00252752">
              <w:rPr>
                <w:lang w:val="it-IT" w:eastAsia="it-IT"/>
              </w:rPr>
              <w:t>nell’esercizio nel quale le differenze temporanee si riverseranno, la società calcola le</w:t>
            </w:r>
            <w:r>
              <w:rPr>
                <w:lang w:val="it-IT" w:eastAsia="it-IT"/>
              </w:rPr>
              <w:t xml:space="preserve"> imposte </w:t>
            </w:r>
            <w:r w:rsidRPr="00252752">
              <w:rPr>
                <w:lang w:val="it-IT" w:eastAsia="it-IT"/>
              </w:rPr>
              <w:t>differite sulla base delle aliquote in vigore alla d</w:t>
            </w:r>
            <w:r>
              <w:rPr>
                <w:lang w:val="it-IT" w:eastAsia="it-IT"/>
              </w:rPr>
              <w:t>ata di riferimento del bilancio?</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FF0782" w:rsidTr="000D7E0A">
        <w:trPr>
          <w:cantSplit/>
          <w:trHeight w:val="20"/>
        </w:trPr>
        <w:tc>
          <w:tcPr>
            <w:tcW w:w="680" w:type="dxa"/>
          </w:tcPr>
          <w:p w:rsidR="00C33C45" w:rsidRPr="00353788" w:rsidRDefault="00C33C45" w:rsidP="000D7E0A">
            <w:pPr>
              <w:jc w:val="center"/>
              <w:rPr>
                <w:b/>
                <w:lang w:val="it-IT"/>
              </w:rPr>
            </w:pPr>
            <w:r w:rsidRPr="00353788">
              <w:rPr>
                <w:b/>
                <w:lang w:val="it-IT"/>
              </w:rPr>
              <w:t>19)</w:t>
            </w:r>
          </w:p>
        </w:tc>
        <w:tc>
          <w:tcPr>
            <w:tcW w:w="851" w:type="dxa"/>
            <w:tcMar>
              <w:left w:w="108" w:type="dxa"/>
              <w:right w:w="0" w:type="dxa"/>
            </w:tcMar>
          </w:tcPr>
          <w:p w:rsidR="00C33C45" w:rsidRDefault="00C33C45" w:rsidP="000D7E0A">
            <w:pPr>
              <w:pStyle w:val="PrincCont"/>
              <w:jc w:val="left"/>
              <w:rPr>
                <w:lang w:val="it-IT"/>
              </w:rPr>
            </w:pPr>
            <w:r>
              <w:rPr>
                <w:lang w:val="it-IT"/>
              </w:rPr>
              <w:t>OIC 25.44</w:t>
            </w:r>
          </w:p>
        </w:tc>
        <w:tc>
          <w:tcPr>
            <w:tcW w:w="7060" w:type="dxa"/>
            <w:tcMar>
              <w:left w:w="108" w:type="dxa"/>
            </w:tcMar>
          </w:tcPr>
          <w:p w:rsidR="00C33C45" w:rsidRPr="00252752" w:rsidRDefault="00C33C45" w:rsidP="000D7E0A">
            <w:pPr>
              <w:spacing w:line="230" w:lineRule="exact"/>
              <w:rPr>
                <w:lang w:val="it-IT" w:eastAsia="it-IT"/>
              </w:rPr>
            </w:pPr>
            <w:r w:rsidRPr="00252752">
              <w:rPr>
                <w:lang w:val="it-IT" w:eastAsia="it-IT"/>
              </w:rPr>
              <w:t>Gli adeguamenti (variazioni in aumento o in diminuzione) del fondo imposte differite (voce B2</w:t>
            </w:r>
            <w:r>
              <w:rPr>
                <w:lang w:val="it-IT" w:eastAsia="it-IT"/>
              </w:rPr>
              <w:t xml:space="preserve"> </w:t>
            </w:r>
            <w:r w:rsidRPr="00252752">
              <w:rPr>
                <w:lang w:val="it-IT" w:eastAsia="it-IT"/>
              </w:rPr>
              <w:t>del passivo) e dell’attività per imposte anticipate (voce CII5-ter dell’attivo) sono rilevati al conto</w:t>
            </w:r>
          </w:p>
          <w:p w:rsidR="00C33C45" w:rsidRDefault="00C33C45" w:rsidP="000D7E0A">
            <w:pPr>
              <w:spacing w:line="230" w:lineRule="exact"/>
              <w:rPr>
                <w:lang w:val="it-IT" w:eastAsia="it-IT"/>
              </w:rPr>
            </w:pPr>
            <w:r w:rsidRPr="00252752">
              <w:rPr>
                <w:lang w:val="it-IT" w:eastAsia="it-IT"/>
              </w:rPr>
              <w:t>economico nella voce 20 “imposte sul reddito dell’esercizio, correnti, differite e anticipate”</w:t>
            </w:r>
            <w:r>
              <w:rPr>
                <w:lang w:val="it-IT" w:eastAsia="it-IT"/>
              </w:rPr>
              <w:t>?</w:t>
            </w:r>
          </w:p>
        </w:tc>
        <w:tc>
          <w:tcPr>
            <w:tcW w:w="586" w:type="dxa"/>
            <w:tcMar>
              <w:left w:w="85" w:type="dxa"/>
              <w:right w:w="85"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864634" w:rsidTr="000D7E0A">
        <w:trPr>
          <w:cantSplit/>
          <w:trHeight w:val="20"/>
        </w:trPr>
        <w:tc>
          <w:tcPr>
            <w:tcW w:w="680" w:type="dxa"/>
          </w:tcPr>
          <w:p w:rsidR="00C33C45" w:rsidRPr="00353788" w:rsidRDefault="00C33C45" w:rsidP="000D7E0A">
            <w:pPr>
              <w:jc w:val="center"/>
              <w:rPr>
                <w:b/>
                <w:lang w:val="it-IT"/>
              </w:rPr>
            </w:pPr>
            <w:r w:rsidRPr="00353788">
              <w:rPr>
                <w:b/>
                <w:lang w:val="it-IT"/>
              </w:rPr>
              <w:t>20)</w:t>
            </w:r>
          </w:p>
        </w:tc>
        <w:tc>
          <w:tcPr>
            <w:tcW w:w="851" w:type="dxa"/>
            <w:tcMar>
              <w:left w:w="108" w:type="dxa"/>
              <w:right w:w="0" w:type="dxa"/>
            </w:tcMar>
          </w:tcPr>
          <w:p w:rsidR="00C33C45" w:rsidRPr="009B05A5" w:rsidRDefault="00C33C45" w:rsidP="000D7E0A">
            <w:pPr>
              <w:pStyle w:val="PrincCont"/>
              <w:jc w:val="left"/>
              <w:rPr>
                <w:lang w:val="it-IT"/>
              </w:rPr>
            </w:pPr>
            <w:r>
              <w:rPr>
                <w:lang w:val="it-IT"/>
              </w:rPr>
              <w:t>OIC 25.45</w:t>
            </w:r>
          </w:p>
        </w:tc>
        <w:tc>
          <w:tcPr>
            <w:tcW w:w="7060" w:type="dxa"/>
            <w:tcMar>
              <w:left w:w="108" w:type="dxa"/>
            </w:tcMar>
          </w:tcPr>
          <w:p w:rsidR="00C33C45" w:rsidRPr="00864634" w:rsidRDefault="00C33C45" w:rsidP="000D7E0A">
            <w:pPr>
              <w:spacing w:line="230" w:lineRule="exact"/>
              <w:rPr>
                <w:lang w:val="it-IT" w:eastAsia="it-IT"/>
              </w:rPr>
            </w:pPr>
            <w:r w:rsidRPr="00252752">
              <w:rPr>
                <w:lang w:val="it-IT" w:eastAsia="it-IT"/>
              </w:rPr>
              <w:t>Un’attività per imposte anticipate derivante da differenze temporanee deducibili non</w:t>
            </w:r>
            <w:r>
              <w:rPr>
                <w:lang w:val="it-IT" w:eastAsia="it-IT"/>
              </w:rPr>
              <w:t xml:space="preserve"> </w:t>
            </w:r>
            <w:r w:rsidRPr="00252752">
              <w:rPr>
                <w:lang w:val="it-IT" w:eastAsia="it-IT"/>
              </w:rPr>
              <w:t>contabilizzata in esercizi precedenti, in quanto non sussistevano i requisiti per il suo</w:t>
            </w:r>
            <w:r>
              <w:rPr>
                <w:lang w:val="it-IT" w:eastAsia="it-IT"/>
              </w:rPr>
              <w:t xml:space="preserve"> </w:t>
            </w:r>
            <w:r w:rsidRPr="00252752">
              <w:rPr>
                <w:lang w:val="it-IT" w:eastAsia="it-IT"/>
              </w:rPr>
              <w:t>riconoscimento, è iscritta nell’esercizio in cui sono soddisfatti tali requisiti alla voce CII5-ter</w:t>
            </w:r>
            <w:r>
              <w:rPr>
                <w:lang w:val="it-IT" w:eastAsia="it-IT"/>
              </w:rPr>
              <w:t xml:space="preserve"> </w:t>
            </w:r>
            <w:r w:rsidRPr="00252752">
              <w:rPr>
                <w:lang w:val="it-IT" w:eastAsia="it-IT"/>
              </w:rPr>
              <w:t>“imposte anticipate” dell’attivo, in contropartita a</w:t>
            </w:r>
            <w:r>
              <w:rPr>
                <w:lang w:val="it-IT" w:eastAsia="it-IT"/>
              </w:rPr>
              <w:t>lla voce 20 del conto economico</w:t>
            </w:r>
            <w:r>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864634">
              <w:rPr>
                <w:lang w:val="it-IT"/>
              </w:rP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864634">
              <w:rPr>
                <w:lang w:val="it-IT"/>
              </w:rP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864634">
              <w:rPr>
                <w:lang w:val="it-IT"/>
              </w:rPr>
              <w:instrText xml:space="preserve"> FORMCHECKBOX </w:instrText>
            </w:r>
            <w:r w:rsidR="00CA1681">
              <w:fldChar w:fldCharType="separate"/>
            </w:r>
            <w:r>
              <w:fldChar w:fldCharType="end"/>
            </w:r>
          </w:p>
        </w:tc>
      </w:tr>
      <w:tr w:rsidR="00C33C45" w:rsidRPr="00CC242B"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25.46</w:t>
            </w:r>
          </w:p>
        </w:tc>
        <w:tc>
          <w:tcPr>
            <w:tcW w:w="7060" w:type="dxa"/>
            <w:tcMar>
              <w:left w:w="108" w:type="dxa"/>
            </w:tcMar>
          </w:tcPr>
          <w:p w:rsidR="00C33C45" w:rsidRPr="001867ED" w:rsidRDefault="00C33C45" w:rsidP="000D7E0A">
            <w:pPr>
              <w:pStyle w:val="Commentiriquadro"/>
              <w:contextualSpacing/>
              <w:rPr>
                <w:highlight w:val="yellow"/>
              </w:rPr>
            </w:pPr>
            <w:r>
              <w:t>Ai fini IRAP, le differenze temporanee su cui calcolare le imposte differite sono diverse da quelle IRES, a causa della specificità delle norme IRAP in materia di imponibilità e deducibilità; conseguentemente effettuano calcoli separati delle imposte differite ai fini IRES e ai fini IRAP.</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06C04" w:rsidTr="000D7E0A">
        <w:trPr>
          <w:cantSplit/>
          <w:trHeight w:val="20"/>
        </w:trPr>
        <w:tc>
          <w:tcPr>
            <w:tcW w:w="680" w:type="dxa"/>
          </w:tcPr>
          <w:p w:rsidR="00C33C45" w:rsidRDefault="00C33C45" w:rsidP="000D7E0A">
            <w:pPr>
              <w:pageBreakBefore/>
              <w:jc w:val="center"/>
              <w:rPr>
                <w:lang w:val="it-IT"/>
              </w:rPr>
            </w:pPr>
          </w:p>
        </w:tc>
        <w:tc>
          <w:tcPr>
            <w:tcW w:w="851" w:type="dxa"/>
            <w:tcMar>
              <w:left w:w="108" w:type="dxa"/>
              <w:right w:w="0" w:type="dxa"/>
            </w:tcMar>
          </w:tcPr>
          <w:p w:rsidR="00C33C45" w:rsidRPr="001867ED" w:rsidRDefault="00C33C45" w:rsidP="000D7E0A">
            <w:pPr>
              <w:pStyle w:val="PrincCont"/>
              <w:pageBreakBefore/>
              <w:jc w:val="left"/>
              <w:rPr>
                <w:highlight w:val="yellow"/>
                <w:lang w:val="it-IT"/>
              </w:rPr>
            </w:pPr>
          </w:p>
        </w:tc>
        <w:tc>
          <w:tcPr>
            <w:tcW w:w="7060" w:type="dxa"/>
            <w:tcMar>
              <w:left w:w="108" w:type="dxa"/>
            </w:tcMar>
          </w:tcPr>
          <w:p w:rsidR="00C33C45" w:rsidRPr="00D4120E" w:rsidRDefault="00C33C45" w:rsidP="000D7E0A">
            <w:pPr>
              <w:pageBreakBefore/>
              <w:rPr>
                <w:b/>
                <w:i/>
                <w:highlight w:val="green"/>
                <w:lang w:val="it-IT" w:eastAsia="it-IT"/>
              </w:rPr>
            </w:pPr>
            <w:r w:rsidRPr="00D4120E">
              <w:rPr>
                <w:b/>
                <w:i/>
                <w:lang w:val="it-IT" w:eastAsia="it-IT"/>
              </w:rPr>
              <w:t>Perdite fiscali</w:t>
            </w:r>
          </w:p>
        </w:tc>
        <w:tc>
          <w:tcPr>
            <w:tcW w:w="586" w:type="dxa"/>
            <w:tcMar>
              <w:left w:w="85" w:type="dxa"/>
              <w:right w:w="85" w:type="dxa"/>
            </w:tcMar>
            <w:vAlign w:val="center"/>
          </w:tcPr>
          <w:p w:rsidR="00C33C45" w:rsidRPr="00A32A16" w:rsidRDefault="00C33C45" w:rsidP="000D7E0A">
            <w:pPr>
              <w:pageBreakBefore/>
              <w:jc w:val="center"/>
              <w:rPr>
                <w:lang w:val="it-IT"/>
              </w:rPr>
            </w:pPr>
          </w:p>
        </w:tc>
        <w:tc>
          <w:tcPr>
            <w:tcW w:w="573" w:type="dxa"/>
            <w:tcMar>
              <w:left w:w="108" w:type="dxa"/>
            </w:tcMar>
            <w:vAlign w:val="center"/>
          </w:tcPr>
          <w:p w:rsidR="00C33C45" w:rsidRPr="00A32A16" w:rsidRDefault="00C33C45" w:rsidP="000D7E0A">
            <w:pPr>
              <w:pageBreakBefore/>
              <w:jc w:val="center"/>
              <w:rPr>
                <w:lang w:val="it-IT"/>
              </w:rPr>
            </w:pPr>
          </w:p>
        </w:tc>
        <w:tc>
          <w:tcPr>
            <w:tcW w:w="570" w:type="dxa"/>
            <w:tcMar>
              <w:left w:w="108" w:type="dxa"/>
            </w:tcMar>
            <w:vAlign w:val="center"/>
          </w:tcPr>
          <w:p w:rsidR="00C33C45" w:rsidRPr="00A32A16" w:rsidRDefault="00C33C45" w:rsidP="000D7E0A">
            <w:pPr>
              <w:pageBreakBefore/>
              <w:jc w:val="center"/>
              <w:rPr>
                <w:lang w:val="it-IT"/>
              </w:rPr>
            </w:pPr>
          </w:p>
        </w:tc>
      </w:tr>
      <w:tr w:rsidR="00C33C45" w:rsidRPr="00CC242B"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25.47   OIC 25.48</w:t>
            </w:r>
          </w:p>
        </w:tc>
        <w:tc>
          <w:tcPr>
            <w:tcW w:w="7060" w:type="dxa"/>
            <w:tcMar>
              <w:left w:w="108" w:type="dxa"/>
            </w:tcMar>
          </w:tcPr>
          <w:p w:rsidR="00C33C45" w:rsidRPr="001867ED" w:rsidRDefault="00C33C45" w:rsidP="000D7E0A">
            <w:pPr>
              <w:pStyle w:val="Commentiriquadro"/>
              <w:spacing w:before="20" w:line="180" w:lineRule="exact"/>
              <w:contextualSpacing/>
              <w:rPr>
                <w:highlight w:val="yellow"/>
              </w:rPr>
            </w:pPr>
            <w:r>
              <w:t>Le attività per imposte anticipate derivano, oltre che dalle differenze temporanee deducibili, anche dal riporto a nuovo di perdite fiscali. Una perdita fiscale per un periodo d’imposta può essere portata in diminuzione del reddito imponibile di esercizi futuri in base a quanto previsto dalle norme tributarie.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06C04" w:rsidTr="000D7E0A">
        <w:trPr>
          <w:cantSplit/>
          <w:trHeight w:val="20"/>
        </w:trPr>
        <w:tc>
          <w:tcPr>
            <w:tcW w:w="680" w:type="dxa"/>
          </w:tcPr>
          <w:p w:rsidR="00C33C45" w:rsidRPr="00353788" w:rsidRDefault="00C33C45" w:rsidP="000D7E0A">
            <w:pPr>
              <w:jc w:val="center"/>
              <w:rPr>
                <w:b/>
                <w:lang w:val="it-IT"/>
              </w:rPr>
            </w:pPr>
            <w:r w:rsidRPr="00353788">
              <w:rPr>
                <w:b/>
                <w:lang w:val="it-IT"/>
              </w:rPr>
              <w:t>21)</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25.50</w:t>
            </w:r>
          </w:p>
        </w:tc>
        <w:tc>
          <w:tcPr>
            <w:tcW w:w="7060" w:type="dxa"/>
            <w:tcMar>
              <w:left w:w="108" w:type="dxa"/>
            </w:tcMar>
          </w:tcPr>
          <w:p w:rsidR="00C33C45" w:rsidRPr="00C06C04" w:rsidRDefault="00C33C45" w:rsidP="000D7E0A">
            <w:pPr>
              <w:spacing w:line="224" w:lineRule="exact"/>
              <w:rPr>
                <w:highlight w:val="green"/>
                <w:lang w:val="it-IT" w:eastAsia="it-IT"/>
              </w:rPr>
            </w:pPr>
            <w:r w:rsidRPr="00C06C04">
              <w:rPr>
                <w:lang w:val="it-IT" w:eastAsia="it-IT"/>
              </w:rPr>
              <w:t xml:space="preserve">Il beneficio connesso </w:t>
            </w:r>
            <w:r>
              <w:rPr>
                <w:lang w:val="it-IT" w:eastAsia="it-IT"/>
              </w:rPr>
              <w:t xml:space="preserve">a </w:t>
            </w:r>
            <w:r w:rsidRPr="00C06C04">
              <w:rPr>
                <w:lang w:val="it-IT" w:eastAsia="it-IT"/>
              </w:rPr>
              <w:t xml:space="preserve">una perdita fiscale è </w:t>
            </w:r>
            <w:r>
              <w:rPr>
                <w:lang w:val="it-IT" w:eastAsia="it-IT"/>
              </w:rPr>
              <w:t xml:space="preserve">stato </w:t>
            </w:r>
            <w:r w:rsidRPr="00C06C04">
              <w:rPr>
                <w:lang w:val="it-IT" w:eastAsia="it-IT"/>
              </w:rPr>
              <w:t>rilevato tra le attività dello stato patrimoniale alla</w:t>
            </w:r>
            <w:r>
              <w:rPr>
                <w:lang w:val="it-IT" w:eastAsia="it-IT"/>
              </w:rPr>
              <w:t xml:space="preserve"> voce CII5</w:t>
            </w:r>
            <w:r w:rsidRPr="00C06C04">
              <w:rPr>
                <w:lang w:val="it-IT" w:eastAsia="it-IT"/>
              </w:rPr>
              <w:t>-ter “imposte anticipate” solo se sussiste la ragionevole certezza del loro futuro</w:t>
            </w:r>
            <w:r>
              <w:rPr>
                <w:lang w:val="it-IT" w:eastAsia="it-IT"/>
              </w:rPr>
              <w:t xml:space="preserve"> r</w:t>
            </w:r>
            <w:r w:rsidRPr="00C06C04">
              <w:rPr>
                <w:lang w:val="it-IT" w:eastAsia="it-IT"/>
              </w:rPr>
              <w:t>ecupero</w:t>
            </w:r>
            <w:r>
              <w:rPr>
                <w:lang w:val="it-IT" w:eastAsia="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C06C04">
              <w:rPr>
                <w:lang w:val="it-IT"/>
              </w:rP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C06C04">
              <w:rPr>
                <w:lang w:val="it-IT"/>
              </w:rP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C06C04">
              <w:rPr>
                <w:lang w:val="it-IT"/>
              </w:rPr>
              <w:instrText xml:space="preserve"> FORMCHECKBOX </w:instrText>
            </w:r>
            <w:r w:rsidR="00CA1681">
              <w:fldChar w:fldCharType="separate"/>
            </w:r>
            <w:r>
              <w:fldChar w:fldCharType="end"/>
            </w:r>
          </w:p>
        </w:tc>
      </w:tr>
      <w:tr w:rsidR="00C33C45" w:rsidRPr="00CC242B" w:rsidTr="000D7E0A">
        <w:trPr>
          <w:cantSplit/>
          <w:trHeight w:val="20"/>
        </w:trPr>
        <w:tc>
          <w:tcPr>
            <w:tcW w:w="680" w:type="dxa"/>
          </w:tcPr>
          <w:p w:rsidR="00C33C45" w:rsidRPr="00353788"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25.50</w:t>
            </w:r>
          </w:p>
        </w:tc>
        <w:tc>
          <w:tcPr>
            <w:tcW w:w="7060" w:type="dxa"/>
            <w:tcMar>
              <w:left w:w="108" w:type="dxa"/>
            </w:tcMar>
          </w:tcPr>
          <w:p w:rsidR="00C33C45" w:rsidRDefault="00C33C45" w:rsidP="000D7E0A">
            <w:pPr>
              <w:pStyle w:val="Commentiriquadro"/>
              <w:contextualSpacing/>
            </w:pPr>
            <w:r>
              <w:t>L’esistenza di perdite fiscali non utilizzate è un indicatore significativo del fatto che potrebbe non essere disponibile un reddito imponibile futuro, ciò soprattutto se la società ha una storia di perdite recenti. La ragionevole certezza è comprovata quando:</w:t>
            </w:r>
          </w:p>
          <w:p w:rsidR="00C33C45" w:rsidRDefault="00C33C45" w:rsidP="000D7E0A">
            <w:pPr>
              <w:pStyle w:val="Commentiriquadro"/>
              <w:ind w:left="176" w:hanging="119"/>
              <w:contextualSpacing/>
            </w:pPr>
            <w:r>
              <w:t>-</w:t>
            </w:r>
            <w:r>
              <w:tab/>
              <w:t>esiste una proiezione dei risultati fiscali della società (pianificazione fiscale) per un ragionevole periodo di tempo in base alla quale si prevede di avere redditi imponibili sufficienti per utilizzare le perdite fiscali; e/o</w:t>
            </w:r>
          </w:p>
          <w:p w:rsidR="00C33C45" w:rsidRPr="001867ED" w:rsidRDefault="00C33C45" w:rsidP="000D7E0A">
            <w:pPr>
              <w:pStyle w:val="Commentiriquadro"/>
              <w:spacing w:before="20"/>
              <w:ind w:left="176" w:hanging="119"/>
              <w:contextualSpacing/>
              <w:rPr>
                <w:highlight w:val="yellow"/>
              </w:rPr>
            </w:pPr>
            <w:r>
              <w:t>-</w:t>
            </w:r>
            <w:r>
              <w:tab/>
              <w:t>vi sono imposte differite relative a differenze temporanee imponibili, sufficienti per coprire le perdite fiscali, di cui si prevede l’annullamento in esercizi successivi. Il confronto è fatto tra perdita fiscale e differenze imponibili in futuro.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55268E" w:rsidTr="000D7E0A">
        <w:trPr>
          <w:cantSplit/>
          <w:trHeight w:val="20"/>
        </w:trPr>
        <w:tc>
          <w:tcPr>
            <w:tcW w:w="680" w:type="dxa"/>
          </w:tcPr>
          <w:p w:rsidR="00C33C45" w:rsidRPr="00353788" w:rsidRDefault="00C33C45" w:rsidP="000D7E0A">
            <w:pPr>
              <w:jc w:val="center"/>
              <w:rPr>
                <w:b/>
                <w:lang w:val="it-IT"/>
              </w:rPr>
            </w:pPr>
            <w:r w:rsidRPr="00353788">
              <w:rPr>
                <w:b/>
                <w:lang w:val="it-IT"/>
              </w:rPr>
              <w:t>22)</w:t>
            </w:r>
          </w:p>
        </w:tc>
        <w:tc>
          <w:tcPr>
            <w:tcW w:w="851" w:type="dxa"/>
            <w:tcMar>
              <w:left w:w="108" w:type="dxa"/>
              <w:right w:w="0" w:type="dxa"/>
            </w:tcMar>
          </w:tcPr>
          <w:p w:rsidR="00C33C45" w:rsidRDefault="00C33C45" w:rsidP="000D7E0A">
            <w:pPr>
              <w:pStyle w:val="PrincCont"/>
              <w:jc w:val="left"/>
              <w:rPr>
                <w:lang w:val="it-IT"/>
              </w:rPr>
            </w:pPr>
            <w:r>
              <w:rPr>
                <w:lang w:val="it-IT"/>
              </w:rPr>
              <w:t>OIC 25.51</w:t>
            </w:r>
          </w:p>
        </w:tc>
        <w:tc>
          <w:tcPr>
            <w:tcW w:w="7060" w:type="dxa"/>
            <w:tcMar>
              <w:left w:w="108" w:type="dxa"/>
            </w:tcMar>
          </w:tcPr>
          <w:p w:rsidR="00C33C45" w:rsidRPr="00C06C04" w:rsidRDefault="00C33C45" w:rsidP="000D7E0A">
            <w:pPr>
              <w:spacing w:line="224" w:lineRule="exact"/>
              <w:rPr>
                <w:lang w:val="it-IT" w:eastAsia="it-IT"/>
              </w:rPr>
            </w:pPr>
            <w:r w:rsidRPr="003559BD">
              <w:rPr>
                <w:lang w:val="it-IT" w:eastAsia="it-IT"/>
              </w:rPr>
              <w:t>Un’attività per imposte anticipate derivante dal riporto a nuovo di perdite fiscali, non</w:t>
            </w:r>
            <w:r>
              <w:rPr>
                <w:lang w:val="it-IT" w:eastAsia="it-IT"/>
              </w:rPr>
              <w:t xml:space="preserve"> </w:t>
            </w:r>
            <w:r w:rsidRPr="003559BD">
              <w:rPr>
                <w:lang w:val="it-IT" w:eastAsia="it-IT"/>
              </w:rPr>
              <w:t>contabilizzata in esercizi precedenti in quanto non sussistevano i requisiti per il suo</w:t>
            </w:r>
            <w:r>
              <w:rPr>
                <w:lang w:val="it-IT" w:eastAsia="it-IT"/>
              </w:rPr>
              <w:t xml:space="preserve"> </w:t>
            </w:r>
            <w:r w:rsidRPr="003559BD">
              <w:rPr>
                <w:lang w:val="it-IT" w:eastAsia="it-IT"/>
              </w:rPr>
              <w:t>riconoscimento, è iscritta nell’esercizio in cui sono soddisfatti tali requisiti alla voce CII5-ter</w:t>
            </w:r>
            <w:r>
              <w:rPr>
                <w:lang w:val="it-IT" w:eastAsia="it-IT"/>
              </w:rPr>
              <w:t xml:space="preserve"> </w:t>
            </w:r>
            <w:r w:rsidRPr="003559BD">
              <w:rPr>
                <w:lang w:val="it-IT" w:eastAsia="it-IT"/>
              </w:rPr>
              <w:t>“imposte anticipate” dell’attivo, in contropartita alla voce 20 del conto economico</w:t>
            </w:r>
            <w:r>
              <w:rPr>
                <w:lang w:val="it-IT" w:eastAsia="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C06C04">
              <w:rPr>
                <w:lang w:val="it-IT"/>
              </w:rP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C06C04">
              <w:rPr>
                <w:lang w:val="it-IT"/>
              </w:rP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C06C04">
              <w:rPr>
                <w:lang w:val="it-IT"/>
              </w:rPr>
              <w:instrText xml:space="preserve"> FORMCHECKBOX </w:instrText>
            </w:r>
            <w:r w:rsidR="00CA1681">
              <w:fldChar w:fldCharType="separate"/>
            </w:r>
            <w:r>
              <w:fldChar w:fldCharType="end"/>
            </w:r>
          </w:p>
        </w:tc>
      </w:tr>
      <w:tr w:rsidR="00C33C45" w:rsidRPr="0055268E" w:rsidTr="000D7E0A">
        <w:trPr>
          <w:cantSplit/>
          <w:trHeight w:val="20"/>
        </w:trPr>
        <w:tc>
          <w:tcPr>
            <w:tcW w:w="680" w:type="dxa"/>
          </w:tcPr>
          <w:p w:rsidR="00C33C45" w:rsidRPr="00353788" w:rsidRDefault="00C33C45" w:rsidP="000D7E0A">
            <w:pPr>
              <w:jc w:val="center"/>
              <w:rPr>
                <w:b/>
                <w:lang w:val="it-IT"/>
              </w:rPr>
            </w:pPr>
            <w:r w:rsidRPr="00353788">
              <w:rPr>
                <w:b/>
                <w:lang w:val="it-IT"/>
              </w:rPr>
              <w:t>23)</w:t>
            </w:r>
          </w:p>
        </w:tc>
        <w:tc>
          <w:tcPr>
            <w:tcW w:w="851" w:type="dxa"/>
            <w:tcMar>
              <w:left w:w="108" w:type="dxa"/>
              <w:right w:w="0" w:type="dxa"/>
            </w:tcMar>
          </w:tcPr>
          <w:p w:rsidR="00C33C45" w:rsidRDefault="00C33C45" w:rsidP="000D7E0A">
            <w:pPr>
              <w:pStyle w:val="PrincCont"/>
              <w:jc w:val="left"/>
              <w:rPr>
                <w:lang w:val="it-IT"/>
              </w:rPr>
            </w:pPr>
            <w:r>
              <w:rPr>
                <w:lang w:val="it-IT"/>
              </w:rPr>
              <w:t>OIC 25.52</w:t>
            </w:r>
          </w:p>
        </w:tc>
        <w:tc>
          <w:tcPr>
            <w:tcW w:w="7060" w:type="dxa"/>
            <w:tcMar>
              <w:left w:w="108" w:type="dxa"/>
            </w:tcMar>
          </w:tcPr>
          <w:p w:rsidR="00C33C45" w:rsidRPr="00C06C04" w:rsidRDefault="00C33C45" w:rsidP="000D7E0A">
            <w:pPr>
              <w:spacing w:line="230" w:lineRule="exact"/>
              <w:rPr>
                <w:lang w:val="it-IT" w:eastAsia="it-IT"/>
              </w:rPr>
            </w:pPr>
            <w:r>
              <w:rPr>
                <w:lang w:val="it-IT" w:eastAsia="it-IT"/>
              </w:rPr>
              <w:t>In caso di adesione al consolidato fiscale l</w:t>
            </w:r>
            <w:r w:rsidRPr="003559BD">
              <w:rPr>
                <w:lang w:val="it-IT" w:eastAsia="it-IT"/>
              </w:rPr>
              <w:t>a ragionevole certezza circa</w:t>
            </w:r>
            <w:r>
              <w:rPr>
                <w:lang w:val="it-IT" w:eastAsia="it-IT"/>
              </w:rPr>
              <w:t xml:space="preserve"> </w:t>
            </w:r>
            <w:r w:rsidRPr="003559BD">
              <w:rPr>
                <w:lang w:val="it-IT" w:eastAsia="it-IT"/>
              </w:rPr>
              <w:t>la recuperabilità delle perdite fiscali è valutata con riferimento alle proiezioni dei risultati fiscali</w:t>
            </w:r>
            <w:r>
              <w:rPr>
                <w:lang w:val="it-IT" w:eastAsia="it-IT"/>
              </w:rPr>
              <w:t xml:space="preserve"> </w:t>
            </w:r>
            <w:r w:rsidRPr="003559BD">
              <w:rPr>
                <w:lang w:val="it-IT" w:eastAsia="it-IT"/>
              </w:rPr>
              <w:t>(pianificazione fiscale) di ciascuna società aderente al consolidato fiscale</w:t>
            </w:r>
            <w:r>
              <w:rPr>
                <w:lang w:val="it-IT" w:eastAsia="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C06C04">
              <w:rPr>
                <w:lang w:val="it-IT"/>
              </w:rP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C06C04">
              <w:rPr>
                <w:lang w:val="it-IT"/>
              </w:rP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C06C04">
              <w:rPr>
                <w:lang w:val="it-IT"/>
              </w:rPr>
              <w:instrText xml:space="preserve"> FORMCHECKBOX </w:instrText>
            </w:r>
            <w:r w:rsidR="00CA1681">
              <w:fldChar w:fldCharType="separate"/>
            </w:r>
            <w:r>
              <w:fldChar w:fldCharType="end"/>
            </w:r>
          </w:p>
        </w:tc>
      </w:tr>
      <w:tr w:rsidR="00C33C45" w:rsidRPr="00CC242B" w:rsidTr="000D7E0A">
        <w:trPr>
          <w:cantSplit/>
          <w:trHeight w:val="340"/>
        </w:trPr>
        <w:tc>
          <w:tcPr>
            <w:tcW w:w="680" w:type="dxa"/>
          </w:tcPr>
          <w:p w:rsidR="00C33C45" w:rsidRPr="00353788" w:rsidRDefault="00C33C45" w:rsidP="000D7E0A">
            <w:pPr>
              <w:jc w:val="center"/>
              <w:rPr>
                <w:b/>
                <w:lang w:val="it-IT"/>
              </w:rPr>
            </w:pPr>
          </w:p>
        </w:tc>
        <w:tc>
          <w:tcPr>
            <w:tcW w:w="851" w:type="dxa"/>
            <w:tcMar>
              <w:left w:w="108" w:type="dxa"/>
              <w:right w:w="0" w:type="dxa"/>
            </w:tcMar>
          </w:tcPr>
          <w:p w:rsidR="00C33C45" w:rsidRPr="00A63BEC" w:rsidRDefault="00C33C45" w:rsidP="000D7E0A">
            <w:pPr>
              <w:pStyle w:val="PrincCont"/>
              <w:jc w:val="left"/>
              <w:rPr>
                <w:lang w:val="it-IT"/>
              </w:rPr>
            </w:pPr>
          </w:p>
        </w:tc>
        <w:tc>
          <w:tcPr>
            <w:tcW w:w="7060" w:type="dxa"/>
            <w:tcMar>
              <w:left w:w="108" w:type="dxa"/>
            </w:tcMar>
            <w:vAlign w:val="center"/>
          </w:tcPr>
          <w:p w:rsidR="00C33C45" w:rsidRPr="00A63BEC" w:rsidRDefault="00C33C45" w:rsidP="000D7E0A">
            <w:pPr>
              <w:pStyle w:val="Titolo2"/>
              <w:jc w:val="both"/>
              <w:rPr>
                <w:lang w:val="it-IT"/>
              </w:rPr>
            </w:pPr>
            <w:r w:rsidRPr="00A63BEC">
              <w:rPr>
                <w:lang w:val="it-IT"/>
              </w:rPr>
              <w:t xml:space="preserve">Rilevazione della fiscalità differita su operazioni che </w:t>
            </w:r>
            <w:r>
              <w:rPr>
                <w:lang w:val="it-IT"/>
              </w:rPr>
              <w:t xml:space="preserve">non </w:t>
            </w:r>
            <w:r w:rsidRPr="00A63BEC">
              <w:rPr>
                <w:lang w:val="it-IT"/>
              </w:rPr>
              <w:t>hanno effetto sul conto economico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Pr="00353788"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25.53</w:t>
            </w:r>
          </w:p>
        </w:tc>
        <w:tc>
          <w:tcPr>
            <w:tcW w:w="7060" w:type="dxa"/>
            <w:tcMar>
              <w:left w:w="108" w:type="dxa"/>
            </w:tcMar>
          </w:tcPr>
          <w:p w:rsidR="00C33C45" w:rsidRPr="001867ED" w:rsidRDefault="00C33C45" w:rsidP="000D7E0A">
            <w:pPr>
              <w:pStyle w:val="Commentiriquadro"/>
              <w:contextualSpacing/>
              <w:rPr>
                <w:highlight w:val="yellow"/>
              </w:rPr>
            </w:pPr>
            <w:r>
              <w:t>Le differenze temporanee possono sorgere anche a seguito di operazioni che non transitano dal conto economico, quali ad esempio, operazioni straordinarie (ad esempio, fusioni, scissioni o conferimenti), rivalutazione di attività iscritte nello stato patrimoniale a seguito di specifiche leggi, riserve in sospensione di imposta.</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Pr="00353788" w:rsidRDefault="00C33C45" w:rsidP="000D7E0A">
            <w:pPr>
              <w:jc w:val="center"/>
              <w:rPr>
                <w:b/>
                <w:lang w:val="it-IT"/>
              </w:rPr>
            </w:pPr>
            <w:r w:rsidRPr="00353788">
              <w:rPr>
                <w:b/>
                <w:lang w:val="it-IT"/>
              </w:rPr>
              <w:t>24)</w:t>
            </w:r>
          </w:p>
        </w:tc>
        <w:tc>
          <w:tcPr>
            <w:tcW w:w="851" w:type="dxa"/>
            <w:tcMar>
              <w:left w:w="108" w:type="dxa"/>
              <w:right w:w="0" w:type="dxa"/>
            </w:tcMar>
          </w:tcPr>
          <w:p w:rsidR="00C33C45" w:rsidRDefault="00C33C45" w:rsidP="000D7E0A">
            <w:pPr>
              <w:pStyle w:val="PrincCont"/>
              <w:jc w:val="left"/>
              <w:rPr>
                <w:lang w:val="it-IT"/>
              </w:rPr>
            </w:pPr>
            <w:r>
              <w:rPr>
                <w:lang w:val="it-IT"/>
              </w:rPr>
              <w:t>OIC 25.54</w:t>
            </w:r>
          </w:p>
        </w:tc>
        <w:tc>
          <w:tcPr>
            <w:tcW w:w="7060" w:type="dxa"/>
            <w:tcMar>
              <w:left w:w="108" w:type="dxa"/>
            </w:tcMar>
          </w:tcPr>
          <w:p w:rsidR="00C33C45" w:rsidRDefault="00C33C45" w:rsidP="000D7E0A">
            <w:pPr>
              <w:spacing w:line="230" w:lineRule="exact"/>
              <w:rPr>
                <w:lang w:val="it-IT"/>
              </w:rPr>
            </w:pPr>
            <w:r>
              <w:rPr>
                <w:lang w:val="it-IT"/>
              </w:rPr>
              <w:t>La società</w:t>
            </w:r>
            <w:r w:rsidRPr="00F01D5C">
              <w:rPr>
                <w:lang w:val="it-IT"/>
              </w:rPr>
              <w:t xml:space="preserve"> </w:t>
            </w:r>
            <w:r>
              <w:rPr>
                <w:lang w:val="it-IT"/>
              </w:rPr>
              <w:t>non ha rilevato</w:t>
            </w:r>
            <w:r w:rsidRPr="00F01D5C">
              <w:rPr>
                <w:lang w:val="it-IT"/>
              </w:rPr>
              <w:t xml:space="preserve"> in bilancio</w:t>
            </w:r>
            <w:r>
              <w:rPr>
                <w:lang w:val="it-IT"/>
              </w:rPr>
              <w:t xml:space="preserve"> le </w:t>
            </w:r>
            <w:r w:rsidRPr="00F01D5C">
              <w:rPr>
                <w:lang w:val="it-IT"/>
              </w:rPr>
              <w:t xml:space="preserve">attività per imposte anticipate e le passività per le imposte differite </w:t>
            </w:r>
            <w:r>
              <w:rPr>
                <w:lang w:val="it-IT"/>
              </w:rPr>
              <w:t>in presenza dei</w:t>
            </w:r>
            <w:r w:rsidRPr="00F01D5C">
              <w:rPr>
                <w:lang w:val="it-IT"/>
              </w:rPr>
              <w:t xml:space="preserve"> seguenti casi:</w:t>
            </w:r>
          </w:p>
        </w:tc>
        <w:tc>
          <w:tcPr>
            <w:tcW w:w="586" w:type="dxa"/>
            <w:tcMar>
              <w:left w:w="85" w:type="dxa"/>
              <w:right w:w="85" w:type="dxa"/>
            </w:tcMar>
            <w:vAlign w:val="center"/>
          </w:tcPr>
          <w:p w:rsidR="00C33C45" w:rsidRPr="00FF0782" w:rsidRDefault="00C33C45" w:rsidP="000D7E0A">
            <w:pPr>
              <w:jc w:val="center"/>
              <w:rPr>
                <w:lang w:val="it-IT"/>
              </w:rPr>
            </w:pPr>
          </w:p>
        </w:tc>
        <w:tc>
          <w:tcPr>
            <w:tcW w:w="573" w:type="dxa"/>
            <w:tcMar>
              <w:left w:w="108" w:type="dxa"/>
            </w:tcMar>
            <w:vAlign w:val="center"/>
          </w:tcPr>
          <w:p w:rsidR="00C33C45" w:rsidRPr="00FF0782" w:rsidRDefault="00C33C45" w:rsidP="000D7E0A">
            <w:pPr>
              <w:jc w:val="center"/>
              <w:rPr>
                <w:lang w:val="it-IT"/>
              </w:rPr>
            </w:pPr>
          </w:p>
        </w:tc>
        <w:tc>
          <w:tcPr>
            <w:tcW w:w="570" w:type="dxa"/>
            <w:tcMar>
              <w:left w:w="108" w:type="dxa"/>
            </w:tcMar>
            <w:vAlign w:val="center"/>
          </w:tcPr>
          <w:p w:rsidR="00C33C45" w:rsidRPr="00FF0782" w:rsidRDefault="00C33C45" w:rsidP="000D7E0A">
            <w:pPr>
              <w:jc w:val="center"/>
              <w:rPr>
                <w:lang w:val="it-IT"/>
              </w:rPr>
            </w:pPr>
          </w:p>
        </w:tc>
      </w:tr>
      <w:tr w:rsidR="00C33C45" w:rsidRPr="00FF0782"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FF0782" w:rsidRDefault="00C33C45" w:rsidP="00840B93">
            <w:pPr>
              <w:pStyle w:val="rientrotrattinook"/>
            </w:pPr>
            <w:r w:rsidRPr="00F01D5C">
              <w:t>la rilevazione iniziale dell’avviamento;</w:t>
            </w:r>
          </w:p>
        </w:tc>
        <w:tc>
          <w:tcPr>
            <w:tcW w:w="586" w:type="dxa"/>
            <w:tcMar>
              <w:left w:w="85" w:type="dxa"/>
              <w:right w:w="85"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FF0782"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FF0782" w:rsidRDefault="00C33C45" w:rsidP="00840B93">
            <w:pPr>
              <w:pStyle w:val="rientrotrattinook"/>
            </w:pPr>
            <w:r>
              <w:t>la rilevazione iniziale di un’attività o di una passività in un’operazione che non influenza direttamente né il risultato civilistico né il reddito imponibile e non è un’operazione straordinaria?</w:t>
            </w:r>
          </w:p>
        </w:tc>
        <w:tc>
          <w:tcPr>
            <w:tcW w:w="586" w:type="dxa"/>
            <w:tcMar>
              <w:left w:w="85" w:type="dxa"/>
              <w:right w:w="85"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CC242B"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25.54</w:t>
            </w:r>
          </w:p>
        </w:tc>
        <w:tc>
          <w:tcPr>
            <w:tcW w:w="7060" w:type="dxa"/>
            <w:tcMar>
              <w:left w:w="108" w:type="dxa"/>
            </w:tcMar>
          </w:tcPr>
          <w:p w:rsidR="00C33C45" w:rsidRPr="001867ED" w:rsidRDefault="00C33C45" w:rsidP="000D7E0A">
            <w:pPr>
              <w:pStyle w:val="Commentiriquadro"/>
              <w:contextualSpacing/>
              <w:rPr>
                <w:highlight w:val="yellow"/>
              </w:rPr>
            </w:pPr>
            <w:r>
              <w:t>Si tratta, ad esempio, dell’acquisto di attività che sono: a) non deducibili dalla base imponibile ai fini delle imposte sul reddito; o b) deducibili per un importo inferiore (o superiore) al costo complessivo. In questi casi, il valore fiscale dell’attività è pari a zero, o comunque assume un valore differente (inferiore o superiore), rispetto al valore contabile. Un esempio può essere rappresentato dalle autovetture aziendali non esclusivamente strumentali per l’esercizio dell’attività, che l’ordinamento giuridico preveda che siano deducibili per un ammontare inferiore al costo complessivo.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D07F7" w:rsidTr="000D7E0A">
        <w:trPr>
          <w:cantSplit/>
          <w:trHeight w:val="20"/>
        </w:trPr>
        <w:tc>
          <w:tcPr>
            <w:tcW w:w="680" w:type="dxa"/>
          </w:tcPr>
          <w:p w:rsidR="00C33C45" w:rsidRPr="0074756D" w:rsidRDefault="00C33C45" w:rsidP="000D7E0A">
            <w:pPr>
              <w:jc w:val="center"/>
              <w:rPr>
                <w:b/>
                <w:lang w:val="it-IT"/>
              </w:rPr>
            </w:pPr>
            <w:r w:rsidRPr="0074756D">
              <w:rPr>
                <w:b/>
                <w:lang w:val="it-IT"/>
              </w:rPr>
              <w:t>25)</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25.56</w:t>
            </w:r>
          </w:p>
        </w:tc>
        <w:tc>
          <w:tcPr>
            <w:tcW w:w="7060" w:type="dxa"/>
            <w:tcMar>
              <w:left w:w="108" w:type="dxa"/>
            </w:tcMar>
          </w:tcPr>
          <w:p w:rsidR="00C33C45" w:rsidRPr="00654D0B" w:rsidRDefault="00C33C45" w:rsidP="000D7E0A">
            <w:pPr>
              <w:spacing w:line="230" w:lineRule="exact"/>
              <w:rPr>
                <w:highlight w:val="green"/>
                <w:lang w:val="it-IT" w:eastAsia="it-IT"/>
              </w:rPr>
            </w:pPr>
            <w:r w:rsidRPr="00F40BB4">
              <w:rPr>
                <w:lang w:val="it-IT" w:eastAsia="it-IT"/>
              </w:rPr>
              <w:t>Le eventuali imposte differite relative a operazioni che hanno interessato direttamente il</w:t>
            </w:r>
            <w:r>
              <w:rPr>
                <w:lang w:val="it-IT" w:eastAsia="it-IT"/>
              </w:rPr>
              <w:t xml:space="preserve"> </w:t>
            </w:r>
            <w:r w:rsidRPr="00F40BB4">
              <w:rPr>
                <w:lang w:val="it-IT" w:eastAsia="it-IT"/>
              </w:rPr>
              <w:t>patrimonio netto sono contab</w:t>
            </w:r>
            <w:r>
              <w:rPr>
                <w:lang w:val="it-IT" w:eastAsia="it-IT"/>
              </w:rPr>
              <w:t xml:space="preserve">ilizzate inizialmente nella voce </w:t>
            </w:r>
            <w:r w:rsidRPr="00F40BB4">
              <w:rPr>
                <w:lang w:val="it-IT" w:eastAsia="it-IT"/>
              </w:rPr>
              <w:t>B2 fondi “per imposte, anche differite” tramite riduzione della corrispondente posta di patrimonio</w:t>
            </w:r>
            <w:r>
              <w:rPr>
                <w:lang w:val="it-IT" w:eastAsia="it-IT"/>
              </w:rPr>
              <w:t xml:space="preserve"> </w:t>
            </w:r>
            <w:r w:rsidRPr="00F40BB4">
              <w:rPr>
                <w:lang w:val="it-IT" w:eastAsia="it-IT"/>
              </w:rPr>
              <w:t>netto</w:t>
            </w:r>
            <w:r>
              <w:rPr>
                <w:lang w:val="it-IT" w:eastAsia="it-IT"/>
              </w:rPr>
              <w:t>?</w:t>
            </w:r>
            <w:r w:rsidRPr="00607A2B">
              <w:rPr>
                <w:lang w:val="it-IT" w:eastAsia="it-IT"/>
              </w:rPr>
              <w:t xml:space="preserve"> </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BD07F7" w:rsidTr="000D7E0A">
        <w:trPr>
          <w:cantSplit/>
          <w:trHeight w:val="20"/>
        </w:trPr>
        <w:tc>
          <w:tcPr>
            <w:tcW w:w="680" w:type="dxa"/>
          </w:tcPr>
          <w:p w:rsidR="00C33C45" w:rsidRPr="0074756D" w:rsidRDefault="00C33C45" w:rsidP="000D7E0A">
            <w:pPr>
              <w:jc w:val="center"/>
              <w:rPr>
                <w:b/>
                <w:lang w:val="it-IT"/>
              </w:rPr>
            </w:pPr>
            <w:r w:rsidRPr="0074756D">
              <w:rPr>
                <w:b/>
                <w:lang w:val="it-IT"/>
              </w:rPr>
              <w:t>26)</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25.56</w:t>
            </w:r>
          </w:p>
        </w:tc>
        <w:tc>
          <w:tcPr>
            <w:tcW w:w="7060" w:type="dxa"/>
            <w:tcMar>
              <w:left w:w="108" w:type="dxa"/>
            </w:tcMar>
          </w:tcPr>
          <w:p w:rsidR="00C33C45" w:rsidRPr="00654D0B" w:rsidRDefault="00C33C45" w:rsidP="000D7E0A">
            <w:pPr>
              <w:spacing w:line="230" w:lineRule="exact"/>
              <w:rPr>
                <w:highlight w:val="green"/>
                <w:lang w:val="it-IT" w:eastAsia="it-IT"/>
              </w:rPr>
            </w:pPr>
            <w:r w:rsidRPr="00F40BB4">
              <w:rPr>
                <w:lang w:val="it-IT" w:eastAsia="it-IT"/>
              </w:rPr>
              <w:t>Dopo la rilevazione</w:t>
            </w:r>
            <w:r>
              <w:rPr>
                <w:lang w:val="it-IT" w:eastAsia="it-IT"/>
              </w:rPr>
              <w:t xml:space="preserve"> </w:t>
            </w:r>
            <w:r w:rsidRPr="00F40BB4">
              <w:rPr>
                <w:lang w:val="it-IT" w:eastAsia="it-IT"/>
              </w:rPr>
              <w:t>iniziale, le variazioni nelle imposte differite sono riversate al conto economico alla voce 20</w:t>
            </w:r>
            <w:r>
              <w:rPr>
                <w:lang w:val="it-IT" w:eastAsia="it-IT"/>
              </w:rPr>
              <w:t xml:space="preserve"> </w:t>
            </w:r>
            <w:r w:rsidRPr="00F40BB4">
              <w:rPr>
                <w:lang w:val="it-IT" w:eastAsia="it-IT"/>
              </w:rPr>
              <w:t>“imposte sul reddito dell’esercizio, correnti, differite e anticipate” coerentemente con</w:t>
            </w:r>
            <w:r>
              <w:rPr>
                <w:lang w:val="it-IT" w:eastAsia="it-IT"/>
              </w:rPr>
              <w:t xml:space="preserve"> </w:t>
            </w:r>
            <w:r w:rsidRPr="00F40BB4">
              <w:rPr>
                <w:lang w:val="it-IT" w:eastAsia="it-IT"/>
              </w:rPr>
              <w:t>l’annullamento negli esercizi successivi delle differenze tempo</w:t>
            </w:r>
            <w:r>
              <w:rPr>
                <w:lang w:val="it-IT" w:eastAsia="it-IT"/>
              </w:rPr>
              <w:t>ranee alle quali si riferiscono?</w:t>
            </w:r>
            <w:r w:rsidRPr="00607A2B">
              <w:rPr>
                <w:lang w:val="it-IT" w:eastAsia="it-IT"/>
              </w:rPr>
              <w:t xml:space="preserve"> </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CC242B" w:rsidTr="000D7E0A">
        <w:trPr>
          <w:cantSplit/>
          <w:trHeight w:val="20"/>
        </w:trPr>
        <w:tc>
          <w:tcPr>
            <w:tcW w:w="680" w:type="dxa"/>
          </w:tcPr>
          <w:p w:rsidR="00C33C45" w:rsidRPr="0074756D"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25.57</w:t>
            </w:r>
          </w:p>
        </w:tc>
        <w:tc>
          <w:tcPr>
            <w:tcW w:w="7060" w:type="dxa"/>
            <w:tcMar>
              <w:left w:w="108" w:type="dxa"/>
            </w:tcMar>
          </w:tcPr>
          <w:p w:rsidR="00C33C45" w:rsidRPr="001867ED" w:rsidRDefault="00C33C45" w:rsidP="000D7E0A">
            <w:pPr>
              <w:pStyle w:val="Commentiriquadro"/>
              <w:contextualSpacing/>
              <w:rPr>
                <w:highlight w:val="yellow"/>
              </w:rPr>
            </w:pPr>
            <w:r>
              <w:t>Le imposte differite relative a operazioni che non hanno interessato direttamente il patrimonio netto (ad esempio, la fusione per incorporazione in assenza di un avanzo da concambio), non transitano né dal conto economico né dal patrimonio netto.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D07F7" w:rsidTr="000D7E0A">
        <w:trPr>
          <w:cantSplit/>
          <w:trHeight w:val="20"/>
        </w:trPr>
        <w:tc>
          <w:tcPr>
            <w:tcW w:w="680" w:type="dxa"/>
          </w:tcPr>
          <w:p w:rsidR="00C33C45" w:rsidRPr="0074756D" w:rsidRDefault="00C33C45" w:rsidP="000D7E0A">
            <w:pPr>
              <w:jc w:val="center"/>
              <w:rPr>
                <w:b/>
                <w:lang w:val="it-IT"/>
              </w:rPr>
            </w:pPr>
            <w:r w:rsidRPr="0074756D">
              <w:rPr>
                <w:b/>
                <w:lang w:val="it-IT"/>
              </w:rPr>
              <w:t>27)</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25.57</w:t>
            </w:r>
          </w:p>
        </w:tc>
        <w:tc>
          <w:tcPr>
            <w:tcW w:w="7060" w:type="dxa"/>
            <w:tcMar>
              <w:left w:w="108" w:type="dxa"/>
            </w:tcMar>
          </w:tcPr>
          <w:p w:rsidR="00C33C45" w:rsidRPr="00654D0B" w:rsidRDefault="00C33C45" w:rsidP="000D7E0A">
            <w:pPr>
              <w:spacing w:line="230" w:lineRule="exact"/>
              <w:rPr>
                <w:highlight w:val="green"/>
                <w:lang w:val="it-IT" w:eastAsia="it-IT"/>
              </w:rPr>
            </w:pPr>
            <w:r>
              <w:rPr>
                <w:lang w:val="it-IT" w:eastAsia="it-IT"/>
              </w:rPr>
              <w:t xml:space="preserve">In caso di </w:t>
            </w:r>
            <w:r w:rsidRPr="00F40BB4">
              <w:rPr>
                <w:lang w:val="it-IT" w:eastAsia="it-IT"/>
              </w:rPr>
              <w:t xml:space="preserve">fusione per incorporazione in assenza di un avanzo da concambio </w:t>
            </w:r>
            <w:r>
              <w:rPr>
                <w:lang w:val="it-IT" w:eastAsia="it-IT"/>
              </w:rPr>
              <w:t>l</w:t>
            </w:r>
            <w:r w:rsidRPr="00F40BB4">
              <w:rPr>
                <w:lang w:val="it-IT" w:eastAsia="it-IT"/>
              </w:rPr>
              <w:t>e imposte differite sono calcolate sul</w:t>
            </w:r>
            <w:r>
              <w:rPr>
                <w:lang w:val="it-IT" w:eastAsia="it-IT"/>
              </w:rPr>
              <w:t xml:space="preserve"> </w:t>
            </w:r>
            <w:r w:rsidRPr="00F40BB4">
              <w:rPr>
                <w:lang w:val="it-IT" w:eastAsia="it-IT"/>
              </w:rPr>
              <w:t>plusvalore attribuito al valore contabile delle attività, in sede di allocazione della differenza di</w:t>
            </w:r>
            <w:r>
              <w:rPr>
                <w:lang w:val="it-IT" w:eastAsia="it-IT"/>
              </w:rPr>
              <w:t xml:space="preserve"> </w:t>
            </w:r>
            <w:r w:rsidRPr="00F40BB4">
              <w:rPr>
                <w:lang w:val="it-IT" w:eastAsia="it-IT"/>
              </w:rPr>
              <w:t>fusione, nei limiti del valore corrente della stessa attività</w:t>
            </w:r>
            <w:r>
              <w:rPr>
                <w:lang w:val="it-IT" w:eastAsia="it-IT"/>
              </w:rPr>
              <w:t>?</w:t>
            </w:r>
            <w:r w:rsidRPr="00607A2B">
              <w:rPr>
                <w:lang w:val="it-IT" w:eastAsia="it-IT"/>
              </w:rPr>
              <w:t xml:space="preserve"> </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BD07F7" w:rsidTr="000D7E0A">
        <w:trPr>
          <w:cantSplit/>
          <w:trHeight w:val="20"/>
        </w:trPr>
        <w:tc>
          <w:tcPr>
            <w:tcW w:w="680" w:type="dxa"/>
          </w:tcPr>
          <w:p w:rsidR="00C33C45" w:rsidRPr="0074756D" w:rsidRDefault="00C33C45" w:rsidP="000D7E0A">
            <w:pPr>
              <w:jc w:val="center"/>
              <w:rPr>
                <w:b/>
                <w:lang w:val="it-IT"/>
              </w:rPr>
            </w:pPr>
            <w:r w:rsidRPr="0074756D">
              <w:rPr>
                <w:b/>
                <w:lang w:val="it-IT"/>
              </w:rPr>
              <w:t>28)</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25.57</w:t>
            </w:r>
          </w:p>
        </w:tc>
        <w:tc>
          <w:tcPr>
            <w:tcW w:w="7060" w:type="dxa"/>
            <w:tcMar>
              <w:left w:w="108" w:type="dxa"/>
            </w:tcMar>
          </w:tcPr>
          <w:p w:rsidR="00C33C45" w:rsidRPr="00654D0B" w:rsidRDefault="00C33C45" w:rsidP="000D7E0A">
            <w:pPr>
              <w:spacing w:line="230" w:lineRule="exact"/>
              <w:rPr>
                <w:highlight w:val="green"/>
                <w:lang w:val="it-IT" w:eastAsia="it-IT"/>
              </w:rPr>
            </w:pPr>
            <w:r w:rsidRPr="00F40BB4">
              <w:rPr>
                <w:lang w:val="it-IT" w:eastAsia="it-IT"/>
              </w:rPr>
              <w:t>Il plusvalore attribuito è pari alla</w:t>
            </w:r>
            <w:r>
              <w:rPr>
                <w:lang w:val="it-IT" w:eastAsia="it-IT"/>
              </w:rPr>
              <w:t xml:space="preserve"> </w:t>
            </w:r>
            <w:r w:rsidRPr="00F40BB4">
              <w:rPr>
                <w:lang w:val="it-IT" w:eastAsia="it-IT"/>
              </w:rPr>
              <w:t>differenza tra il valore corrente dell’attività e il suo valore contabile ante operazione</w:t>
            </w:r>
            <w:r>
              <w:rPr>
                <w:lang w:val="it-IT" w:eastAsia="it-IT"/>
              </w:rPr>
              <w:t>?</w:t>
            </w:r>
            <w:r w:rsidRPr="00607A2B">
              <w:rPr>
                <w:lang w:val="it-IT" w:eastAsia="it-IT"/>
              </w:rPr>
              <w:t xml:space="preserve"> </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BD07F7" w:rsidTr="000D7E0A">
        <w:trPr>
          <w:cantSplit/>
          <w:trHeight w:val="20"/>
        </w:trPr>
        <w:tc>
          <w:tcPr>
            <w:tcW w:w="680" w:type="dxa"/>
          </w:tcPr>
          <w:p w:rsidR="00C33C45" w:rsidRPr="0074756D" w:rsidRDefault="00C33C45" w:rsidP="000D7E0A">
            <w:pPr>
              <w:jc w:val="center"/>
              <w:rPr>
                <w:b/>
                <w:lang w:val="it-IT"/>
              </w:rPr>
            </w:pPr>
            <w:r w:rsidRPr="0074756D">
              <w:rPr>
                <w:b/>
                <w:lang w:val="it-IT"/>
              </w:rPr>
              <w:t>29)</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25.57</w:t>
            </w:r>
          </w:p>
        </w:tc>
        <w:tc>
          <w:tcPr>
            <w:tcW w:w="7060" w:type="dxa"/>
            <w:tcMar>
              <w:left w:w="108" w:type="dxa"/>
            </w:tcMar>
          </w:tcPr>
          <w:p w:rsidR="00C33C45" w:rsidRPr="00654D0B" w:rsidRDefault="00C33C45" w:rsidP="000D7E0A">
            <w:pPr>
              <w:spacing w:line="230" w:lineRule="exact"/>
              <w:rPr>
                <w:highlight w:val="green"/>
                <w:lang w:val="it-IT" w:eastAsia="it-IT"/>
              </w:rPr>
            </w:pPr>
            <w:r w:rsidRPr="00F40BB4">
              <w:rPr>
                <w:lang w:val="it-IT" w:eastAsia="it-IT"/>
              </w:rPr>
              <w:t>La passività</w:t>
            </w:r>
            <w:r>
              <w:rPr>
                <w:lang w:val="it-IT" w:eastAsia="it-IT"/>
              </w:rPr>
              <w:t xml:space="preserve"> </w:t>
            </w:r>
            <w:r w:rsidRPr="00F40BB4">
              <w:rPr>
                <w:lang w:val="it-IT" w:eastAsia="it-IT"/>
              </w:rPr>
              <w:t>per imposte differite è iscritta nella voce B2 fondi “per imposte, anche differite” del passivo</w:t>
            </w:r>
            <w:r>
              <w:rPr>
                <w:lang w:val="it-IT" w:eastAsia="it-IT"/>
              </w:rPr>
              <w:t>?</w:t>
            </w:r>
            <w:r w:rsidRPr="00607A2B">
              <w:rPr>
                <w:lang w:val="it-IT" w:eastAsia="it-IT"/>
              </w:rPr>
              <w:t xml:space="preserve"> </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CC242B"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D4120E" w:rsidRDefault="00C33C45" w:rsidP="000D7E0A">
            <w:pPr>
              <w:rPr>
                <w:i/>
                <w:lang w:val="it-IT" w:eastAsia="it-IT"/>
              </w:rPr>
            </w:pPr>
            <w:r w:rsidRPr="00D4120E">
              <w:rPr>
                <w:b/>
                <w:i/>
                <w:lang w:val="it-IT" w:eastAsia="it-IT"/>
              </w:rPr>
              <w:t>Rivalutazioni di attività iscritte nell’attivo patrimoniale</w:t>
            </w:r>
          </w:p>
        </w:tc>
        <w:tc>
          <w:tcPr>
            <w:tcW w:w="586" w:type="dxa"/>
            <w:tcMar>
              <w:left w:w="85" w:type="dxa"/>
              <w:right w:w="85" w:type="dxa"/>
            </w:tcMar>
            <w:vAlign w:val="center"/>
          </w:tcPr>
          <w:p w:rsidR="00C33C45" w:rsidRPr="00607A2B" w:rsidRDefault="00C33C45" w:rsidP="000D7E0A">
            <w:pPr>
              <w:jc w:val="center"/>
              <w:rPr>
                <w:lang w:val="it-IT"/>
              </w:rPr>
            </w:pPr>
          </w:p>
        </w:tc>
        <w:tc>
          <w:tcPr>
            <w:tcW w:w="573" w:type="dxa"/>
            <w:tcMar>
              <w:left w:w="108" w:type="dxa"/>
            </w:tcMar>
            <w:vAlign w:val="center"/>
          </w:tcPr>
          <w:p w:rsidR="00C33C45" w:rsidRPr="00607A2B" w:rsidRDefault="00C33C45" w:rsidP="000D7E0A">
            <w:pPr>
              <w:jc w:val="center"/>
              <w:rPr>
                <w:lang w:val="it-IT"/>
              </w:rPr>
            </w:pPr>
          </w:p>
        </w:tc>
        <w:tc>
          <w:tcPr>
            <w:tcW w:w="570" w:type="dxa"/>
            <w:tcMar>
              <w:left w:w="108" w:type="dxa"/>
            </w:tcMar>
            <w:vAlign w:val="center"/>
          </w:tcPr>
          <w:p w:rsidR="00C33C45" w:rsidRPr="00607A2B" w:rsidRDefault="00C33C45" w:rsidP="000D7E0A">
            <w:pPr>
              <w:jc w:val="center"/>
              <w:rPr>
                <w:lang w:val="it-IT"/>
              </w:rPr>
            </w:pPr>
          </w:p>
        </w:tc>
      </w:tr>
      <w:tr w:rsidR="00C33C45" w:rsidRPr="00CC242B"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25.58   OIC 25.59</w:t>
            </w:r>
          </w:p>
        </w:tc>
        <w:tc>
          <w:tcPr>
            <w:tcW w:w="7060" w:type="dxa"/>
            <w:tcMar>
              <w:left w:w="108" w:type="dxa"/>
            </w:tcMar>
          </w:tcPr>
          <w:p w:rsidR="00C33C45" w:rsidRDefault="00C33C45" w:rsidP="000D7E0A">
            <w:pPr>
              <w:pStyle w:val="Commentiriquadro"/>
              <w:spacing w:line="180" w:lineRule="exact"/>
              <w:contextualSpacing/>
            </w:pPr>
            <w:r>
              <w:t>Alcuni provvedimenti normativi possono consentire la rivalutazione del valore contabile di un’attività rilevata nello stato patrimoniale a fronte dell’iscrizione, in contropartita del maggior valore dell’attivo, di un’apposita riserva di patrimonio netto.</w:t>
            </w:r>
          </w:p>
          <w:p w:rsidR="00C33C45" w:rsidRPr="001867ED" w:rsidRDefault="00C33C45" w:rsidP="000D7E0A">
            <w:pPr>
              <w:pStyle w:val="Commentiriquadro"/>
              <w:spacing w:line="180" w:lineRule="exact"/>
              <w:contextualSpacing/>
              <w:rPr>
                <w:highlight w:val="yellow"/>
              </w:rPr>
            </w:pPr>
            <w:r>
              <w:t>Il maggior valore attribuito ad un’attività in sede di rivalutazione può essere riconosciuto ai fini fiscali a fronte del pagamento di un’imposta sostitutiva.</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D07F7" w:rsidTr="000D7E0A">
        <w:trPr>
          <w:cantSplit/>
          <w:trHeight w:val="20"/>
        </w:trPr>
        <w:tc>
          <w:tcPr>
            <w:tcW w:w="680" w:type="dxa"/>
          </w:tcPr>
          <w:p w:rsidR="00C33C45" w:rsidRPr="00472053" w:rsidRDefault="00C33C45" w:rsidP="000D7E0A">
            <w:pPr>
              <w:jc w:val="center"/>
              <w:rPr>
                <w:b/>
                <w:lang w:val="it-IT"/>
              </w:rPr>
            </w:pPr>
            <w:r w:rsidRPr="00472053">
              <w:rPr>
                <w:b/>
                <w:lang w:val="it-IT"/>
              </w:rPr>
              <w:t>30)</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25.60</w:t>
            </w:r>
          </w:p>
        </w:tc>
        <w:tc>
          <w:tcPr>
            <w:tcW w:w="7060" w:type="dxa"/>
            <w:tcMar>
              <w:left w:w="108" w:type="dxa"/>
            </w:tcMar>
          </w:tcPr>
          <w:p w:rsidR="00C33C45" w:rsidRPr="00654D0B" w:rsidRDefault="00C33C45" w:rsidP="000D7E0A">
            <w:pPr>
              <w:spacing w:line="230" w:lineRule="exact"/>
              <w:rPr>
                <w:highlight w:val="green"/>
                <w:lang w:val="it-IT" w:eastAsia="it-IT"/>
              </w:rPr>
            </w:pPr>
            <w:r w:rsidRPr="00607A2B">
              <w:rPr>
                <w:lang w:val="it-IT" w:eastAsia="it-IT"/>
              </w:rPr>
              <w:t xml:space="preserve">Nel caso in cui i maggiori valori iscritti nell’attivo non siano riconosciuti ai fini fiscali, la società </w:t>
            </w:r>
            <w:r>
              <w:rPr>
                <w:lang w:val="it-IT" w:eastAsia="it-IT"/>
              </w:rPr>
              <w:t xml:space="preserve">ha iscritto </w:t>
            </w:r>
            <w:r w:rsidRPr="00607A2B">
              <w:rPr>
                <w:lang w:val="it-IT" w:eastAsia="it-IT"/>
              </w:rPr>
              <w:t>le imposte differite, IRES e IRAP, direttamente a riduzione della riserva iscritta nel</w:t>
            </w:r>
            <w:r>
              <w:rPr>
                <w:lang w:val="it-IT" w:eastAsia="it-IT"/>
              </w:rPr>
              <w:t xml:space="preserve"> </w:t>
            </w:r>
            <w:r w:rsidRPr="00607A2B">
              <w:rPr>
                <w:lang w:val="it-IT" w:eastAsia="it-IT"/>
              </w:rPr>
              <w:t>patrimonio netto</w:t>
            </w:r>
            <w:r>
              <w:rPr>
                <w:lang w:val="it-IT" w:eastAsia="it-IT"/>
              </w:rPr>
              <w:t>?</w:t>
            </w:r>
            <w:r w:rsidRPr="00607A2B">
              <w:rPr>
                <w:lang w:val="it-IT" w:eastAsia="it-IT"/>
              </w:rPr>
              <w:t xml:space="preserve"> </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BD07F7" w:rsidTr="000D7E0A">
        <w:trPr>
          <w:cantSplit/>
          <w:trHeight w:val="20"/>
        </w:trPr>
        <w:tc>
          <w:tcPr>
            <w:tcW w:w="680" w:type="dxa"/>
          </w:tcPr>
          <w:p w:rsidR="00C33C45" w:rsidRPr="00472053" w:rsidRDefault="00C33C45" w:rsidP="000D7E0A">
            <w:pPr>
              <w:jc w:val="center"/>
              <w:rPr>
                <w:b/>
                <w:lang w:val="it-IT"/>
              </w:rPr>
            </w:pPr>
            <w:r w:rsidRPr="00472053">
              <w:rPr>
                <w:b/>
                <w:lang w:val="it-IT"/>
              </w:rPr>
              <w:t>31)</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25.60</w:t>
            </w:r>
          </w:p>
        </w:tc>
        <w:tc>
          <w:tcPr>
            <w:tcW w:w="7060" w:type="dxa"/>
            <w:tcMar>
              <w:left w:w="108" w:type="dxa"/>
            </w:tcMar>
          </w:tcPr>
          <w:p w:rsidR="00C33C45" w:rsidRPr="00654D0B" w:rsidRDefault="00C33C45" w:rsidP="000D7E0A">
            <w:pPr>
              <w:spacing w:line="230" w:lineRule="exact"/>
              <w:rPr>
                <w:highlight w:val="green"/>
                <w:lang w:val="it-IT" w:eastAsia="it-IT"/>
              </w:rPr>
            </w:pPr>
            <w:r w:rsidRPr="005F44B7">
              <w:rPr>
                <w:lang w:val="it-IT" w:eastAsia="it-IT"/>
              </w:rPr>
              <w:t>Negli esercizi successivi, le imposte differite, sono riversate a conto economico</w:t>
            </w:r>
            <w:r>
              <w:rPr>
                <w:lang w:val="it-IT" w:eastAsia="it-IT"/>
              </w:rPr>
              <w:t xml:space="preserve"> </w:t>
            </w:r>
            <w:r w:rsidRPr="005F44B7">
              <w:rPr>
                <w:lang w:val="it-IT" w:eastAsia="it-IT"/>
              </w:rPr>
              <w:t>in misura corrispondente al realizzo del maggior valore (attraverso ammortamento, cessione</w:t>
            </w:r>
            <w:r>
              <w:rPr>
                <w:lang w:val="it-IT" w:eastAsia="it-IT"/>
              </w:rPr>
              <w:t xml:space="preserve"> </w:t>
            </w:r>
            <w:r w:rsidRPr="005F44B7">
              <w:rPr>
                <w:lang w:val="it-IT" w:eastAsia="it-IT"/>
              </w:rPr>
              <w:t>dell’immobile, successiva riduzione per perdita di valore)</w:t>
            </w:r>
            <w:r>
              <w:rPr>
                <w:lang w:val="it-IT" w:eastAsia="it-IT"/>
              </w:rPr>
              <w:t>?</w:t>
            </w:r>
            <w:r w:rsidRPr="00607A2B">
              <w:rPr>
                <w:lang w:val="it-IT" w:eastAsia="it-IT"/>
              </w:rPr>
              <w:t xml:space="preserve"> </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CC242B" w:rsidTr="000D7E0A">
        <w:trPr>
          <w:cantSplit/>
          <w:trHeight w:val="20"/>
        </w:trPr>
        <w:tc>
          <w:tcPr>
            <w:tcW w:w="680" w:type="dxa"/>
          </w:tcPr>
          <w:p w:rsidR="00C33C45" w:rsidRPr="00472053"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25.61</w:t>
            </w:r>
          </w:p>
        </w:tc>
        <w:tc>
          <w:tcPr>
            <w:tcW w:w="7060" w:type="dxa"/>
            <w:tcMar>
              <w:left w:w="108" w:type="dxa"/>
            </w:tcMar>
          </w:tcPr>
          <w:p w:rsidR="00C33C45" w:rsidRPr="001867ED" w:rsidRDefault="00C33C45" w:rsidP="000D7E0A">
            <w:pPr>
              <w:pStyle w:val="Commentiriquadro"/>
              <w:contextualSpacing/>
              <w:rPr>
                <w:highlight w:val="yellow"/>
              </w:rPr>
            </w:pPr>
            <w:r>
              <w:t>Nel caso in cui i maggiori valori iscritti nell’attivo siano riconosciuti ai fini fiscali, non sorge alcuna differenza temporanea in quanto il valore contabile è pari al valore fiscale. Pertanto, la società non iscrive imposte differite alla data della rivalutazione.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Pr="00472053"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25.62</w:t>
            </w:r>
          </w:p>
        </w:tc>
        <w:tc>
          <w:tcPr>
            <w:tcW w:w="7060" w:type="dxa"/>
            <w:tcMar>
              <w:left w:w="108" w:type="dxa"/>
            </w:tcMar>
          </w:tcPr>
          <w:p w:rsidR="00C33C45" w:rsidRPr="001867ED" w:rsidRDefault="00C33C45" w:rsidP="000D7E0A">
            <w:pPr>
              <w:pStyle w:val="Commentiriquadro"/>
              <w:contextualSpacing/>
              <w:rPr>
                <w:highlight w:val="yellow"/>
              </w:rPr>
            </w:pPr>
            <w:r>
              <w:t>Successivamente alla rilevazione iniziale, la società iscrive le imposte anticipate/differite in presenza di differenze temporanee. Ad esempio, quando gli ammortamenti sul maggior valore sono deducibili fiscalmente a partire da un esercizio successivo a quello in cui la rivalutazione è eseguita. Pertanto, negli esercizi precedenti a quello in cui gli ammortamenti sono fiscalmente deducibili, emergono differenze temporanee sulle quali va considerata la fiscalità differita attiva, se esiste la ragionevole certezza del loro recupero.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D07F7" w:rsidTr="000D7E0A">
        <w:trPr>
          <w:cantSplit/>
          <w:trHeight w:val="20"/>
        </w:trPr>
        <w:tc>
          <w:tcPr>
            <w:tcW w:w="680" w:type="dxa"/>
          </w:tcPr>
          <w:p w:rsidR="00C33C45" w:rsidRPr="00472053" w:rsidRDefault="00C33C45" w:rsidP="000D7E0A">
            <w:pPr>
              <w:jc w:val="center"/>
              <w:rPr>
                <w:b/>
                <w:lang w:val="it-IT"/>
              </w:rPr>
            </w:pPr>
            <w:r w:rsidRPr="00472053">
              <w:rPr>
                <w:b/>
                <w:lang w:val="it-IT"/>
              </w:rPr>
              <w:t>32)</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25.63</w:t>
            </w:r>
          </w:p>
        </w:tc>
        <w:tc>
          <w:tcPr>
            <w:tcW w:w="7060" w:type="dxa"/>
            <w:tcMar>
              <w:left w:w="108" w:type="dxa"/>
            </w:tcMar>
          </w:tcPr>
          <w:p w:rsidR="00C33C45" w:rsidRPr="00654D0B" w:rsidRDefault="00C33C45" w:rsidP="000D7E0A">
            <w:pPr>
              <w:spacing w:line="230" w:lineRule="exact"/>
              <w:rPr>
                <w:highlight w:val="green"/>
                <w:lang w:val="it-IT" w:eastAsia="it-IT"/>
              </w:rPr>
            </w:pPr>
            <w:r>
              <w:rPr>
                <w:lang w:val="it-IT" w:eastAsia="it-IT"/>
              </w:rPr>
              <w:t>Qualora la società abbia optato per i</w:t>
            </w:r>
            <w:r w:rsidRPr="00D21A13">
              <w:rPr>
                <w:lang w:val="it-IT" w:eastAsia="it-IT"/>
              </w:rPr>
              <w:t>l pagamento dell’imposta sostitutiva</w:t>
            </w:r>
            <w:r>
              <w:rPr>
                <w:lang w:val="it-IT" w:eastAsia="it-IT"/>
              </w:rPr>
              <w:t xml:space="preserve">, è stato iscritto </w:t>
            </w:r>
            <w:r w:rsidRPr="00D21A13">
              <w:rPr>
                <w:lang w:val="it-IT" w:eastAsia="it-IT"/>
              </w:rPr>
              <w:t>un debito tributario nello stato</w:t>
            </w:r>
            <w:r>
              <w:rPr>
                <w:lang w:val="it-IT" w:eastAsia="it-IT"/>
              </w:rPr>
              <w:t xml:space="preserve"> </w:t>
            </w:r>
            <w:r w:rsidRPr="00D21A13">
              <w:rPr>
                <w:lang w:val="it-IT" w:eastAsia="it-IT"/>
              </w:rPr>
              <w:t>patrimoniale della società a fronte della riduzione della riserva di rivalutazione</w:t>
            </w:r>
            <w:r>
              <w:rPr>
                <w:lang w:val="it-IT" w:eastAsia="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CC242B" w:rsidTr="000D7E0A">
        <w:trPr>
          <w:cantSplit/>
          <w:trHeight w:val="20"/>
        </w:trPr>
        <w:tc>
          <w:tcPr>
            <w:tcW w:w="680" w:type="dxa"/>
          </w:tcPr>
          <w:p w:rsidR="00C33C45" w:rsidRPr="00472053" w:rsidRDefault="00C33C45" w:rsidP="000D7E0A">
            <w:pPr>
              <w:jc w:val="center"/>
              <w:rPr>
                <w:b/>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D4120E" w:rsidRDefault="00C33C45" w:rsidP="000D7E0A">
            <w:pPr>
              <w:spacing w:line="240" w:lineRule="exact"/>
              <w:rPr>
                <w:i/>
                <w:highlight w:val="yellow"/>
                <w:lang w:val="it-IT" w:eastAsia="it-IT"/>
              </w:rPr>
            </w:pPr>
            <w:r w:rsidRPr="00A05EFD">
              <w:rPr>
                <w:b/>
                <w:i/>
                <w:lang w:val="it-IT" w:eastAsia="it-IT"/>
              </w:rPr>
              <w:t>Riserve in sospensione di imposta</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CC242B" w:rsidTr="000D7E0A">
        <w:trPr>
          <w:cantSplit/>
          <w:trHeight w:val="20"/>
        </w:trPr>
        <w:tc>
          <w:tcPr>
            <w:tcW w:w="680" w:type="dxa"/>
          </w:tcPr>
          <w:p w:rsidR="00C33C45" w:rsidRPr="00472053"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25.64</w:t>
            </w:r>
          </w:p>
        </w:tc>
        <w:tc>
          <w:tcPr>
            <w:tcW w:w="7060" w:type="dxa"/>
            <w:tcMar>
              <w:left w:w="108" w:type="dxa"/>
            </w:tcMar>
          </w:tcPr>
          <w:p w:rsidR="00C33C45" w:rsidRPr="001867ED" w:rsidRDefault="00C33C45" w:rsidP="000D7E0A">
            <w:pPr>
              <w:pStyle w:val="Commentiriquadro"/>
              <w:contextualSpacing/>
              <w:rPr>
                <w:highlight w:val="yellow"/>
              </w:rPr>
            </w:pPr>
            <w:r w:rsidRPr="00470D55">
              <w:t xml:space="preserve">Alcune leggi di rivalutazione possono prevedere che in contropartita al maggior valore contabile di un’attività sia iscritta una riserva nel patrimonio netto non soggetta a tassazione (cd. riserva in sospensione di imposta), se non in caso di distribuzione della riserva ai soci. Il regime di sospensione d’imposta della riserva determina una differenza temporanea imponibile tra il valore contabile della riserva e il suo valore fiscale che richiede l’iscrizione di imposte differite alla data della rivalutazione (rilevazione iniziale). </w:t>
            </w:r>
            <w:r>
              <w:t>L</w:t>
            </w:r>
            <w:r w:rsidRPr="00470D55">
              <w:t>e imposte differite relative alla riserva possono non essere contabilizzate se vi sono scarse probabilità di distribuire la riserva ai soci</w:t>
            </w:r>
            <w:r>
              <w:t>.</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Pr="00472053" w:rsidRDefault="00C33C45" w:rsidP="000D7E0A">
            <w:pPr>
              <w:jc w:val="center"/>
              <w:rPr>
                <w:b/>
                <w:lang w:val="it-IT"/>
              </w:rPr>
            </w:pPr>
            <w:r w:rsidRPr="00472053">
              <w:rPr>
                <w:b/>
                <w:lang w:val="it-IT"/>
              </w:rPr>
              <w:t>33)</w:t>
            </w:r>
          </w:p>
        </w:tc>
        <w:tc>
          <w:tcPr>
            <w:tcW w:w="851" w:type="dxa"/>
            <w:tcMar>
              <w:left w:w="108" w:type="dxa"/>
              <w:right w:w="0" w:type="dxa"/>
            </w:tcMar>
          </w:tcPr>
          <w:p w:rsidR="00C33C45" w:rsidRDefault="00C33C45" w:rsidP="000D7E0A">
            <w:pPr>
              <w:pStyle w:val="PrincCont"/>
              <w:jc w:val="left"/>
              <w:rPr>
                <w:lang w:val="it-IT"/>
              </w:rPr>
            </w:pPr>
            <w:r>
              <w:rPr>
                <w:lang w:val="it-IT"/>
              </w:rPr>
              <w:t>OIC 25.65</w:t>
            </w:r>
          </w:p>
        </w:tc>
        <w:tc>
          <w:tcPr>
            <w:tcW w:w="7060" w:type="dxa"/>
            <w:tcMar>
              <w:left w:w="108" w:type="dxa"/>
            </w:tcMar>
          </w:tcPr>
          <w:p w:rsidR="00C33C45" w:rsidRPr="00A05EFD" w:rsidRDefault="00C33C45" w:rsidP="000D7E0A">
            <w:pPr>
              <w:pStyle w:val="Puntoelenco"/>
              <w:numPr>
                <w:ilvl w:val="0"/>
                <w:numId w:val="0"/>
              </w:numPr>
              <w:spacing w:line="230" w:lineRule="exact"/>
              <w:rPr>
                <w:lang w:eastAsia="it-IT"/>
              </w:rPr>
            </w:pPr>
            <w:r w:rsidRPr="00A05EFD">
              <w:rPr>
                <w:lang w:eastAsia="it-IT"/>
              </w:rPr>
              <w:t>La valutazione circa la probabilità di distribuzione della riserva ai soci è effettuata caso per caso,</w:t>
            </w:r>
            <w:r>
              <w:rPr>
                <w:lang w:eastAsia="it-IT"/>
              </w:rPr>
              <w:t xml:space="preserve"> </w:t>
            </w:r>
            <w:r w:rsidRPr="00A05EFD">
              <w:rPr>
                <w:lang w:eastAsia="it-IT"/>
              </w:rPr>
              <w:t>tenendo conto anche dei seguenti aspetti:</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BD07F7" w:rsidTr="000D7E0A">
        <w:trPr>
          <w:cantSplit/>
          <w:trHeight w:val="20"/>
        </w:trPr>
        <w:tc>
          <w:tcPr>
            <w:tcW w:w="680" w:type="dxa"/>
          </w:tcPr>
          <w:p w:rsidR="00C33C45" w:rsidRPr="00472053" w:rsidRDefault="00C33C45" w:rsidP="000D7E0A">
            <w:pPr>
              <w:jc w:val="center"/>
              <w:rPr>
                <w:b/>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A05EFD" w:rsidRDefault="00C33C45" w:rsidP="00C33C45">
            <w:pPr>
              <w:pStyle w:val="Puntoelenco"/>
              <w:tabs>
                <w:tab w:val="clear" w:pos="704"/>
              </w:tabs>
              <w:spacing w:line="230" w:lineRule="exact"/>
              <w:ind w:left="460" w:hanging="284"/>
              <w:rPr>
                <w:lang w:eastAsia="it-IT"/>
              </w:rPr>
            </w:pPr>
            <w:r w:rsidRPr="00A05EFD">
              <w:rPr>
                <w:lang w:eastAsia="it-IT"/>
              </w:rPr>
              <w:t>l’andamento storico di distribuzione dei dividendi e la presenza nel bilancio di altre riserve di</w:t>
            </w:r>
            <w:r>
              <w:rPr>
                <w:lang w:eastAsia="it-IT"/>
              </w:rPr>
              <w:t xml:space="preserve"> </w:t>
            </w:r>
            <w:r w:rsidRPr="00A05EFD">
              <w:rPr>
                <w:lang w:eastAsia="it-IT"/>
              </w:rPr>
              <w:t>entità tale da non richiedere l’utilizzo di riserve in sospensione ai fini della distribuzione;</w:t>
            </w:r>
          </w:p>
        </w:tc>
        <w:tc>
          <w:tcPr>
            <w:tcW w:w="586" w:type="dxa"/>
            <w:tcMar>
              <w:left w:w="85" w:type="dxa"/>
              <w:right w:w="85"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BD07F7" w:rsidTr="000D7E0A">
        <w:trPr>
          <w:cantSplit/>
          <w:trHeight w:val="20"/>
        </w:trPr>
        <w:tc>
          <w:tcPr>
            <w:tcW w:w="680" w:type="dxa"/>
          </w:tcPr>
          <w:p w:rsidR="00C33C45" w:rsidRPr="00472053" w:rsidRDefault="00C33C45" w:rsidP="000D7E0A">
            <w:pPr>
              <w:jc w:val="center"/>
              <w:rPr>
                <w:b/>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A05EFD" w:rsidRDefault="00C33C45" w:rsidP="00C33C45">
            <w:pPr>
              <w:pStyle w:val="Puntoelenco"/>
              <w:tabs>
                <w:tab w:val="clear" w:pos="704"/>
              </w:tabs>
              <w:spacing w:line="230" w:lineRule="exact"/>
              <w:ind w:left="460" w:hanging="284"/>
              <w:rPr>
                <w:lang w:eastAsia="it-IT"/>
              </w:rPr>
            </w:pPr>
            <w:r w:rsidRPr="00A05EFD">
              <w:rPr>
                <w:lang w:eastAsia="it-IT"/>
              </w:rPr>
              <w:t>la composizione del patrimonio netto, con particolare riguardo alla presenza di altre riserve di entità rilevante, le quali hanno già scontato l’imposta?</w:t>
            </w:r>
          </w:p>
        </w:tc>
        <w:tc>
          <w:tcPr>
            <w:tcW w:w="586" w:type="dxa"/>
            <w:tcMar>
              <w:left w:w="85" w:type="dxa"/>
              <w:right w:w="85"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BD07F7"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D4120E" w:rsidRDefault="00C33C45" w:rsidP="000D7E0A">
            <w:pPr>
              <w:spacing w:line="240" w:lineRule="exact"/>
              <w:rPr>
                <w:i/>
                <w:highlight w:val="yellow"/>
                <w:lang w:val="it-IT" w:eastAsia="it-IT"/>
              </w:rPr>
            </w:pPr>
            <w:r w:rsidRPr="00D4120E">
              <w:rPr>
                <w:b/>
                <w:i/>
                <w:lang w:val="it-IT" w:eastAsia="it-IT"/>
              </w:rPr>
              <w:t xml:space="preserve">Operazioni </w:t>
            </w:r>
            <w:r w:rsidRPr="00A05EFD">
              <w:rPr>
                <w:b/>
                <w:i/>
                <w:lang w:val="it-IT" w:eastAsia="it-IT"/>
              </w:rPr>
              <w:t>straordinarie – Profili generali</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CC242B"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25.66  OIC 25.67</w:t>
            </w:r>
          </w:p>
        </w:tc>
        <w:tc>
          <w:tcPr>
            <w:tcW w:w="7060" w:type="dxa"/>
            <w:tcMar>
              <w:left w:w="108" w:type="dxa"/>
            </w:tcMar>
          </w:tcPr>
          <w:p w:rsidR="00C33C45" w:rsidRDefault="00C33C45" w:rsidP="000D7E0A">
            <w:pPr>
              <w:pStyle w:val="Commentiriquadro"/>
              <w:contextualSpacing/>
            </w:pPr>
            <w:r>
              <w:t>Una differenza temporanea può sorgere in occasione di operazioni straordinarie che comportano il trasferimento di patrimoni, di aziende, rami di azienda o società, quali le operazioni di cessione e di conferimento di aziende o rami d’azienda e le operazioni di fusione e scissione di società.</w:t>
            </w:r>
          </w:p>
          <w:p w:rsidR="00C33C45" w:rsidRPr="001867ED" w:rsidRDefault="00C33C45" w:rsidP="000D7E0A">
            <w:pPr>
              <w:pStyle w:val="Commentiriquadro"/>
              <w:contextualSpacing/>
              <w:rPr>
                <w:highlight w:val="yellow"/>
              </w:rPr>
            </w:pPr>
            <w:r>
              <w:t>Nel caso in cui il regime fiscale previsto per queste operazioni sia quello della neutralità fiscale, tali operazioni si effettuano in continuità dei valori fiscalmente riconosciuti prima dell’operazione. Pertanto, i maggior valori contabili delle attività e dell’avviamento iscritti in bilancio a seguito dell’operazione non sono riconosciuti ai fini fiscali.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25.68  OIC 25.69</w:t>
            </w:r>
          </w:p>
        </w:tc>
        <w:tc>
          <w:tcPr>
            <w:tcW w:w="7060" w:type="dxa"/>
            <w:tcMar>
              <w:left w:w="108" w:type="dxa"/>
            </w:tcMar>
          </w:tcPr>
          <w:p w:rsidR="00C33C45" w:rsidRDefault="00C33C45" w:rsidP="000D7E0A">
            <w:pPr>
              <w:pStyle w:val="Commentiriquadro"/>
              <w:contextualSpacing/>
            </w:pPr>
            <w:r>
              <w:t>La normativa fiscale può, tuttavia, prevedere la facoltà per una società di riallineare il valore fiscale ai maggiori valori contabili delle attività e dell’avviamento mediante il pagamento di un’imposta sostitutiva delle imposte dirette. Il riallineamento consente il riconoscimento fiscale di questi maggiori valori (cd. affrancamento).</w:t>
            </w:r>
          </w:p>
          <w:p w:rsidR="00C33C45" w:rsidRPr="001867ED" w:rsidRDefault="00C33C45" w:rsidP="000D7E0A">
            <w:pPr>
              <w:pStyle w:val="Commentiriquadro"/>
              <w:contextualSpacing/>
              <w:rPr>
                <w:highlight w:val="yellow"/>
              </w:rPr>
            </w:pPr>
            <w:r>
              <w:t>La decisione di avvalersi del riallineamento può essere presa con riferimento all’esercizio in cui avviene l’operazione straordinaria o a un esercizio successivo.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D4120E" w:rsidRDefault="00C33C45" w:rsidP="000D7E0A">
            <w:pPr>
              <w:spacing w:line="240" w:lineRule="exact"/>
              <w:rPr>
                <w:i/>
                <w:highlight w:val="yellow"/>
                <w:lang w:val="it-IT" w:eastAsia="it-IT"/>
              </w:rPr>
            </w:pPr>
            <w:r w:rsidRPr="00F2468B">
              <w:rPr>
                <w:b/>
                <w:i/>
                <w:lang w:val="it-IT" w:eastAsia="it-IT"/>
              </w:rPr>
              <w:t>Operazioni straordinarie – Fiscalità differita sulle attività e passività acquisite</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CC242B"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25.71</w:t>
            </w:r>
          </w:p>
        </w:tc>
        <w:tc>
          <w:tcPr>
            <w:tcW w:w="7060" w:type="dxa"/>
            <w:tcMar>
              <w:left w:w="108" w:type="dxa"/>
            </w:tcMar>
          </w:tcPr>
          <w:p w:rsidR="00C33C45" w:rsidRPr="001867ED" w:rsidRDefault="00C33C45" w:rsidP="000D7E0A">
            <w:pPr>
              <w:pStyle w:val="Commentiriquadro"/>
              <w:contextualSpacing/>
              <w:rPr>
                <w:highlight w:val="yellow"/>
              </w:rPr>
            </w:pPr>
            <w:r>
              <w:t>Nel bilancio della società acquirente le differenze temporanee sorgono quando il valore riconosciuto ai fini fiscali alle attività e passività è diverso rispetto al valore contabile attribuito in sede di allocazione del costo di acquisto della società, dell’azienda o ramo d’azienda, del valore delle azioni o quote ricevute a fronte del conferimento o delle differenze di fusione o scissione.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D07F7" w:rsidTr="000D7E0A">
        <w:trPr>
          <w:cantSplit/>
          <w:trHeight w:val="20"/>
        </w:trPr>
        <w:tc>
          <w:tcPr>
            <w:tcW w:w="680" w:type="dxa"/>
          </w:tcPr>
          <w:p w:rsidR="00C33C45" w:rsidRPr="00472053" w:rsidRDefault="00C33C45" w:rsidP="000D7E0A">
            <w:pPr>
              <w:jc w:val="center"/>
              <w:rPr>
                <w:b/>
                <w:lang w:val="it-IT"/>
              </w:rPr>
            </w:pPr>
            <w:r w:rsidRPr="00472053">
              <w:rPr>
                <w:b/>
                <w:lang w:val="it-IT"/>
              </w:rPr>
              <w:t>34)</w:t>
            </w:r>
          </w:p>
        </w:tc>
        <w:tc>
          <w:tcPr>
            <w:tcW w:w="851" w:type="dxa"/>
            <w:tcMar>
              <w:left w:w="108" w:type="dxa"/>
              <w:right w:w="0" w:type="dxa"/>
            </w:tcMar>
          </w:tcPr>
          <w:p w:rsidR="00C33C45" w:rsidRDefault="00C33C45" w:rsidP="000D7E0A">
            <w:pPr>
              <w:pStyle w:val="PrincCont"/>
              <w:jc w:val="left"/>
              <w:rPr>
                <w:lang w:val="it-IT"/>
              </w:rPr>
            </w:pPr>
            <w:r>
              <w:rPr>
                <w:lang w:val="it-IT"/>
              </w:rPr>
              <w:t>OIC 25.73</w:t>
            </w:r>
          </w:p>
        </w:tc>
        <w:tc>
          <w:tcPr>
            <w:tcW w:w="7060" w:type="dxa"/>
            <w:tcMar>
              <w:left w:w="108" w:type="dxa"/>
            </w:tcMar>
          </w:tcPr>
          <w:p w:rsidR="00C33C45" w:rsidRPr="00397313" w:rsidRDefault="00C33C45" w:rsidP="000D7E0A">
            <w:pPr>
              <w:spacing w:line="230" w:lineRule="exact"/>
              <w:rPr>
                <w:lang w:val="it-IT"/>
              </w:rPr>
            </w:pPr>
            <w:r>
              <w:rPr>
                <w:lang w:val="it-IT"/>
              </w:rPr>
              <w:t>Qualora</w:t>
            </w:r>
            <w:r w:rsidRPr="00397313">
              <w:rPr>
                <w:lang w:val="it-IT"/>
              </w:rPr>
              <w:t xml:space="preserve"> l</w:t>
            </w:r>
            <w:r>
              <w:rPr>
                <w:lang w:val="it-IT"/>
              </w:rPr>
              <w:t>’operazione straordinaria generi</w:t>
            </w:r>
            <w:r w:rsidRPr="00397313">
              <w:rPr>
                <w:lang w:val="it-IT"/>
              </w:rPr>
              <w:t xml:space="preserve"> una differenza temporanea, la società acquirente</w:t>
            </w:r>
            <w:r>
              <w:rPr>
                <w:lang w:val="it-IT"/>
              </w:rPr>
              <w:t xml:space="preserve"> </w:t>
            </w:r>
            <w:r w:rsidRPr="00397313">
              <w:rPr>
                <w:lang w:val="it-IT"/>
              </w:rPr>
              <w:t>iscrive le relative imposte differite o anticipate alla data in cui avviene l’operazione, a fronte dei</w:t>
            </w:r>
            <w:r>
              <w:rPr>
                <w:lang w:val="it-IT"/>
              </w:rPr>
              <w:t xml:space="preserve"> </w:t>
            </w:r>
            <w:r w:rsidRPr="00397313">
              <w:rPr>
                <w:lang w:val="it-IT"/>
              </w:rPr>
              <w:t>maggiori o minori valori derivanti dall’operazione rispetto</w:t>
            </w:r>
            <w:r>
              <w:rPr>
                <w:lang w:val="it-IT"/>
              </w:rPr>
              <w:t xml:space="preserve"> ai valori fiscali riconosciuti</w:t>
            </w:r>
            <w:r w:rsidRPr="00276204">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BD07F7" w:rsidTr="000D7E0A">
        <w:trPr>
          <w:cantSplit/>
          <w:trHeight w:val="20"/>
        </w:trPr>
        <w:tc>
          <w:tcPr>
            <w:tcW w:w="680" w:type="dxa"/>
          </w:tcPr>
          <w:p w:rsidR="00C33C45" w:rsidRPr="00472053" w:rsidRDefault="00C33C45" w:rsidP="000D7E0A">
            <w:pPr>
              <w:jc w:val="center"/>
              <w:rPr>
                <w:b/>
                <w:lang w:val="it-IT"/>
              </w:rPr>
            </w:pPr>
            <w:r w:rsidRPr="00472053">
              <w:rPr>
                <w:b/>
                <w:lang w:val="it-IT"/>
              </w:rPr>
              <w:t>35)</w:t>
            </w:r>
          </w:p>
        </w:tc>
        <w:tc>
          <w:tcPr>
            <w:tcW w:w="851" w:type="dxa"/>
            <w:tcMar>
              <w:left w:w="108" w:type="dxa"/>
              <w:right w:w="0" w:type="dxa"/>
            </w:tcMar>
          </w:tcPr>
          <w:p w:rsidR="00C33C45" w:rsidRDefault="00C33C45" w:rsidP="000D7E0A">
            <w:pPr>
              <w:pStyle w:val="PrincCont"/>
              <w:jc w:val="left"/>
              <w:rPr>
                <w:lang w:val="it-IT"/>
              </w:rPr>
            </w:pPr>
            <w:r>
              <w:rPr>
                <w:lang w:val="it-IT"/>
              </w:rPr>
              <w:t>OIC 25.74</w:t>
            </w:r>
          </w:p>
          <w:p w:rsidR="00C33C45" w:rsidRDefault="00C33C45" w:rsidP="000D7E0A">
            <w:pPr>
              <w:pStyle w:val="PrincCont"/>
              <w:jc w:val="left"/>
              <w:rPr>
                <w:lang w:val="it-IT"/>
              </w:rPr>
            </w:pPr>
          </w:p>
        </w:tc>
        <w:tc>
          <w:tcPr>
            <w:tcW w:w="7060" w:type="dxa"/>
            <w:tcMar>
              <w:left w:w="108" w:type="dxa"/>
            </w:tcMar>
          </w:tcPr>
          <w:p w:rsidR="00C33C45" w:rsidRPr="00397313" w:rsidRDefault="00C33C45" w:rsidP="000D7E0A">
            <w:pPr>
              <w:pStyle w:val="Puntoelenco2"/>
              <w:keepNext/>
              <w:widowControl w:val="0"/>
              <w:numPr>
                <w:ilvl w:val="0"/>
                <w:numId w:val="0"/>
              </w:numPr>
              <w:spacing w:line="230" w:lineRule="exact"/>
              <w:rPr>
                <w:lang w:val="it-IT"/>
              </w:rPr>
            </w:pPr>
            <w:r w:rsidRPr="00B61A4D">
              <w:rPr>
                <w:lang w:val="it-IT"/>
              </w:rPr>
              <w:t xml:space="preserve">Se la società ha deciso di riallineare i valori fiscali e contabili </w:t>
            </w:r>
            <w:r w:rsidRPr="00397313">
              <w:rPr>
                <w:lang w:val="it-IT"/>
              </w:rPr>
              <w:t>con</w:t>
            </w:r>
            <w:r>
              <w:rPr>
                <w:lang w:val="it-IT"/>
              </w:rPr>
              <w:t xml:space="preserve"> </w:t>
            </w:r>
            <w:r w:rsidRPr="00397313">
              <w:rPr>
                <w:lang w:val="it-IT"/>
              </w:rPr>
              <w:t>riferimento all’esercizio in cui avviene l’operazione ed entro la data di redazione del bilancio, la</w:t>
            </w:r>
            <w:r>
              <w:rPr>
                <w:lang w:val="it-IT"/>
              </w:rPr>
              <w:t xml:space="preserve"> </w:t>
            </w:r>
            <w:r w:rsidRPr="00397313">
              <w:rPr>
                <w:lang w:val="it-IT"/>
              </w:rPr>
              <w:t>società calcola l’imposta sostitutiva sul plusvalore attribuito al valore contabile delle attività nei</w:t>
            </w:r>
            <w:r>
              <w:rPr>
                <w:lang w:val="it-IT"/>
              </w:rPr>
              <w:t xml:space="preserve"> </w:t>
            </w:r>
            <w:r w:rsidRPr="00397313">
              <w:rPr>
                <w:lang w:val="it-IT"/>
              </w:rPr>
              <w:t>limiti del valore corrente della stessa attività</w:t>
            </w:r>
            <w:r>
              <w:rPr>
                <w:lang w:val="it-IT"/>
              </w:rPr>
              <w:t xml:space="preserve"> e</w:t>
            </w:r>
            <w:r w:rsidRPr="00397313">
              <w:rPr>
                <w:lang w:val="it-IT"/>
              </w:rPr>
              <w:t xml:space="preserve"> </w:t>
            </w:r>
            <w:r>
              <w:rPr>
                <w:lang w:val="it-IT"/>
              </w:rPr>
              <w:t xml:space="preserve">la </w:t>
            </w:r>
            <w:r w:rsidRPr="00397313">
              <w:rPr>
                <w:lang w:val="it-IT"/>
              </w:rPr>
              <w:t>iscri</w:t>
            </w:r>
            <w:r>
              <w:rPr>
                <w:lang w:val="it-IT"/>
              </w:rPr>
              <w:t>ve</w:t>
            </w:r>
            <w:r w:rsidRPr="00397313">
              <w:rPr>
                <w:lang w:val="it-IT"/>
              </w:rPr>
              <w:t xml:space="preserve"> come debito</w:t>
            </w:r>
            <w:r>
              <w:rPr>
                <w:lang w:val="it-IT"/>
              </w:rPr>
              <w:t xml:space="preserve"> </w:t>
            </w:r>
            <w:r w:rsidRPr="00397313">
              <w:rPr>
                <w:lang w:val="it-IT"/>
              </w:rPr>
              <w:t>tributario alla voce D12 “debiti tributari</w:t>
            </w:r>
            <w:r>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CC242B" w:rsidTr="000D7E0A">
        <w:trPr>
          <w:cantSplit/>
          <w:trHeight w:val="20"/>
        </w:trPr>
        <w:tc>
          <w:tcPr>
            <w:tcW w:w="680" w:type="dxa"/>
          </w:tcPr>
          <w:p w:rsidR="00C33C45" w:rsidRPr="00472053" w:rsidRDefault="00C33C45" w:rsidP="000D7E0A">
            <w:pPr>
              <w:jc w:val="center"/>
              <w:rPr>
                <w:b/>
                <w:lang w:val="it-IT"/>
              </w:rPr>
            </w:pPr>
            <w:r w:rsidRPr="00472053">
              <w:rPr>
                <w:b/>
                <w:lang w:val="it-IT"/>
              </w:rPr>
              <w:t>36)</w:t>
            </w:r>
          </w:p>
        </w:tc>
        <w:tc>
          <w:tcPr>
            <w:tcW w:w="851" w:type="dxa"/>
            <w:tcMar>
              <w:left w:w="108" w:type="dxa"/>
              <w:right w:w="0" w:type="dxa"/>
            </w:tcMar>
          </w:tcPr>
          <w:p w:rsidR="00C33C45" w:rsidRDefault="00C33C45" w:rsidP="000D7E0A">
            <w:pPr>
              <w:pStyle w:val="PrincCont"/>
              <w:jc w:val="left"/>
              <w:rPr>
                <w:lang w:val="it-IT"/>
              </w:rPr>
            </w:pPr>
            <w:r>
              <w:rPr>
                <w:lang w:val="it-IT"/>
              </w:rPr>
              <w:t>OIC 25.75</w:t>
            </w:r>
          </w:p>
        </w:tc>
        <w:tc>
          <w:tcPr>
            <w:tcW w:w="7060" w:type="dxa"/>
            <w:tcMar>
              <w:left w:w="108" w:type="dxa"/>
            </w:tcMar>
          </w:tcPr>
          <w:p w:rsidR="00C33C45" w:rsidRPr="00470D55" w:rsidRDefault="00C33C45" w:rsidP="000D7E0A">
            <w:pPr>
              <w:pStyle w:val="Puntoelenco2"/>
              <w:keepNext/>
              <w:widowControl w:val="0"/>
              <w:numPr>
                <w:ilvl w:val="0"/>
                <w:numId w:val="0"/>
              </w:numPr>
              <w:spacing w:line="230" w:lineRule="exact"/>
              <w:rPr>
                <w:lang w:val="it-IT"/>
              </w:rPr>
            </w:pPr>
            <w:r w:rsidRPr="00B61A4D">
              <w:rPr>
                <w:lang w:val="it-IT"/>
              </w:rPr>
              <w:t xml:space="preserve">Se </w:t>
            </w:r>
            <w:r>
              <w:rPr>
                <w:lang w:val="it-IT"/>
              </w:rPr>
              <w:t>è stato</w:t>
            </w:r>
            <w:r w:rsidRPr="00B61A4D">
              <w:rPr>
                <w:lang w:val="it-IT"/>
              </w:rPr>
              <w:t xml:space="preserve"> deciso di riallineare i valori fiscali e contabili con riferimento ad un esercizio</w:t>
            </w:r>
            <w:r>
              <w:rPr>
                <w:lang w:val="it-IT"/>
              </w:rPr>
              <w:t xml:space="preserve"> </w:t>
            </w:r>
            <w:r w:rsidRPr="00B61A4D">
              <w:rPr>
                <w:lang w:val="it-IT"/>
              </w:rPr>
              <w:t>successivo a quello in cui avviene l’operazione straordinaria, la società</w:t>
            </w:r>
            <w:r>
              <w:rPr>
                <w:lang w:val="it-IT"/>
              </w:rPr>
              <w:t xml:space="preserve"> ha</w:t>
            </w:r>
            <w:r w:rsidRPr="00B61A4D">
              <w:rPr>
                <w:lang w:val="it-IT"/>
              </w:rPr>
              <w:t>:</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470D55"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B97460" w:rsidRDefault="00C33C45" w:rsidP="004E27C2">
            <w:pPr>
              <w:pStyle w:val="Paragrafoelenco"/>
              <w:numPr>
                <w:ilvl w:val="0"/>
                <w:numId w:val="78"/>
              </w:numPr>
              <w:spacing w:line="230" w:lineRule="exact"/>
              <w:ind w:left="318" w:hanging="284"/>
              <w:rPr>
                <w:lang w:val="it-IT"/>
              </w:rPr>
            </w:pPr>
            <w:r w:rsidRPr="00B97460">
              <w:rPr>
                <w:lang w:val="it-IT"/>
              </w:rPr>
              <w:t>eliminato il fondo imposte differite in contropartita alla rilevazi</w:t>
            </w:r>
            <w:r>
              <w:rPr>
                <w:lang w:val="it-IT"/>
              </w:rPr>
              <w:t>one di un provento nella voce 20</w:t>
            </w:r>
            <w:r w:rsidRPr="00B97460">
              <w:rPr>
                <w:lang w:val="it-IT"/>
              </w:rPr>
              <w:t xml:space="preserve"> del conto economico</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470D55"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B97460" w:rsidRDefault="00C33C45" w:rsidP="004E27C2">
            <w:pPr>
              <w:pStyle w:val="Paragrafoelenco"/>
              <w:numPr>
                <w:ilvl w:val="0"/>
                <w:numId w:val="78"/>
              </w:numPr>
              <w:ind w:left="318" w:hanging="284"/>
              <w:rPr>
                <w:lang w:val="it-IT"/>
              </w:rPr>
            </w:pPr>
            <w:r w:rsidRPr="00B97460">
              <w:rPr>
                <w:lang w:val="it-IT"/>
              </w:rPr>
              <w:t>iscritto un costo per l’</w:t>
            </w:r>
            <w:r>
              <w:rPr>
                <w:lang w:val="it-IT"/>
              </w:rPr>
              <w:t>imposta sostitutiva alla voce 20</w:t>
            </w:r>
            <w:r w:rsidRPr="00B97460">
              <w:rPr>
                <w:lang w:val="it-IT"/>
              </w:rPr>
              <w:t xml:space="preserve"> in contropartita ad un debito tributario (voce D12 del passivo)?</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F2468B"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D4120E" w:rsidRDefault="00C33C45" w:rsidP="000D7E0A">
            <w:pPr>
              <w:spacing w:line="240" w:lineRule="exact"/>
              <w:rPr>
                <w:i/>
                <w:highlight w:val="yellow"/>
                <w:lang w:val="it-IT" w:eastAsia="it-IT"/>
              </w:rPr>
            </w:pPr>
            <w:r w:rsidRPr="00397313">
              <w:rPr>
                <w:b/>
                <w:i/>
                <w:lang w:val="it-IT" w:eastAsia="it-IT"/>
              </w:rPr>
              <w:t>Operazioni straordinarie – Avviamento</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CC242B"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25.77</w:t>
            </w:r>
          </w:p>
        </w:tc>
        <w:tc>
          <w:tcPr>
            <w:tcW w:w="7060" w:type="dxa"/>
            <w:tcMar>
              <w:left w:w="108" w:type="dxa"/>
            </w:tcMar>
          </w:tcPr>
          <w:p w:rsidR="00C33C45" w:rsidRPr="001867ED" w:rsidRDefault="00C33C45" w:rsidP="000D7E0A">
            <w:pPr>
              <w:pStyle w:val="Commentiriquadro"/>
              <w:contextualSpacing/>
              <w:rPr>
                <w:highlight w:val="yellow"/>
              </w:rPr>
            </w:pPr>
            <w:r>
              <w:t>Una differenza temporanea imponibile può sorgere al momento della rilevazione iniziale dell’avviamento, se il suo valore non è riconosciuto ai fini fiscali (ossia il suo valore fiscale è pari a zero, o è riconosciuto in misura inferiore rispetto a quello contabile). Tuttavia, secondo quanto previsto dal paragrafo 54 del Principio, la società non iscrive le imposte differite al momento della rilevazione iniziale dell’avviamento. L’avviamento rappresenta, infatti, la differenza che residua dopo l’allocazione del costo di acquisizione alle attività e passività iscritte con l’operazione straordinaria. Conseguentemente, l’iscrizione delle imposte differite comporterebbe un aumento del valore contabile dell’avviamento determinando un contemporaneo incremento di pari importo dell’attivo e del passivo; ciò renderebbe l’informazione contenuta nel bilancio meno trasparente.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D07F7" w:rsidTr="000D7E0A">
        <w:trPr>
          <w:cantSplit/>
          <w:trHeight w:val="20"/>
        </w:trPr>
        <w:tc>
          <w:tcPr>
            <w:tcW w:w="680" w:type="dxa"/>
          </w:tcPr>
          <w:p w:rsidR="00C33C45" w:rsidRPr="00AA0ACB" w:rsidRDefault="00C33C45" w:rsidP="000D7E0A">
            <w:pPr>
              <w:jc w:val="center"/>
              <w:rPr>
                <w:b/>
                <w:lang w:val="it-IT"/>
              </w:rPr>
            </w:pPr>
            <w:r w:rsidRPr="00AA0ACB">
              <w:rPr>
                <w:b/>
                <w:lang w:val="it-IT"/>
              </w:rPr>
              <w:t>37)</w:t>
            </w:r>
          </w:p>
        </w:tc>
        <w:tc>
          <w:tcPr>
            <w:tcW w:w="851" w:type="dxa"/>
            <w:tcMar>
              <w:left w:w="108" w:type="dxa"/>
              <w:right w:w="0" w:type="dxa"/>
            </w:tcMar>
          </w:tcPr>
          <w:p w:rsidR="00C33C45" w:rsidRDefault="00C33C45" w:rsidP="000D7E0A">
            <w:pPr>
              <w:pStyle w:val="PrincCont"/>
              <w:jc w:val="left"/>
              <w:rPr>
                <w:lang w:val="it-IT"/>
              </w:rPr>
            </w:pPr>
            <w:r>
              <w:rPr>
                <w:lang w:val="it-IT"/>
              </w:rPr>
              <w:t>OIC 25.77</w:t>
            </w:r>
          </w:p>
        </w:tc>
        <w:tc>
          <w:tcPr>
            <w:tcW w:w="7060" w:type="dxa"/>
            <w:tcMar>
              <w:left w:w="108" w:type="dxa"/>
            </w:tcMar>
          </w:tcPr>
          <w:p w:rsidR="00C33C45" w:rsidRPr="00B61A4D" w:rsidRDefault="00C33C45" w:rsidP="000D7E0A">
            <w:pPr>
              <w:spacing w:line="240" w:lineRule="exact"/>
              <w:rPr>
                <w:highlight w:val="yellow"/>
                <w:lang w:val="it-IT" w:eastAsia="it-IT"/>
              </w:rPr>
            </w:pPr>
            <w:r>
              <w:rPr>
                <w:lang w:val="it-IT"/>
              </w:rPr>
              <w:t>In sede di rilevazione iniziale dell’avviamento, l</w:t>
            </w:r>
            <w:r w:rsidRPr="00B61A4D">
              <w:rPr>
                <w:lang w:val="it-IT"/>
              </w:rPr>
              <w:t xml:space="preserve">a società </w:t>
            </w:r>
            <w:r>
              <w:rPr>
                <w:lang w:val="it-IT"/>
              </w:rPr>
              <w:t>ha rispettato la previsione di non iscrivere le imposte differite</w:t>
            </w:r>
            <w:r w:rsidRPr="00B61A4D">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CC242B" w:rsidTr="000D7E0A">
        <w:trPr>
          <w:cantSplit/>
          <w:trHeight w:val="20"/>
        </w:trPr>
        <w:tc>
          <w:tcPr>
            <w:tcW w:w="680" w:type="dxa"/>
          </w:tcPr>
          <w:p w:rsidR="00C33C45" w:rsidRPr="00AA0ACB"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25.79</w:t>
            </w:r>
          </w:p>
        </w:tc>
        <w:tc>
          <w:tcPr>
            <w:tcW w:w="7060" w:type="dxa"/>
            <w:tcMar>
              <w:left w:w="108" w:type="dxa"/>
            </w:tcMar>
          </w:tcPr>
          <w:p w:rsidR="00C33C45" w:rsidRPr="001867ED" w:rsidRDefault="00C33C45" w:rsidP="000D7E0A">
            <w:pPr>
              <w:pStyle w:val="Commentiriquadro"/>
              <w:contextualSpacing/>
              <w:rPr>
                <w:highlight w:val="yellow"/>
              </w:rPr>
            </w:pPr>
            <w:r>
              <w:t>Le imposte differite derivanti da differenze temporanee imponibili connesse all’avviamento, ove non derivino dalla rilevazione iniziale dell’avviamento, sono invece contabilizzate. Ad esempio, quando l’avviamento è riconosciuto ai fini fiscali al momento della rilevazione iniziale, non sorge alcuna differenza temporanea che comporti l’iscrizione di imposte differite, in quanto il valore contabile dell’avviamento è pari al suo valore fiscale. Tuttavia, se negli esercizi successivi il valore contabile e fiscale divergono, la società rileva la fiscalità differita in relazione alle differenze temporanee in quanto non derivano dalla rilevazione iniziale dell’avviamento: ad esempio, per il diverso regime di ammortamento civilistico e fiscale dell’avviamento.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D07F7" w:rsidTr="000D7E0A">
        <w:trPr>
          <w:cantSplit/>
          <w:trHeight w:val="20"/>
        </w:trPr>
        <w:tc>
          <w:tcPr>
            <w:tcW w:w="680" w:type="dxa"/>
          </w:tcPr>
          <w:p w:rsidR="00C33C45" w:rsidRPr="00AA0ACB" w:rsidRDefault="00C33C45" w:rsidP="000D7E0A">
            <w:pPr>
              <w:jc w:val="center"/>
              <w:rPr>
                <w:b/>
                <w:lang w:val="it-IT"/>
              </w:rPr>
            </w:pPr>
            <w:r w:rsidRPr="00AA0ACB">
              <w:rPr>
                <w:b/>
                <w:lang w:val="it-IT"/>
              </w:rPr>
              <w:t>38)</w:t>
            </w:r>
          </w:p>
        </w:tc>
        <w:tc>
          <w:tcPr>
            <w:tcW w:w="851" w:type="dxa"/>
            <w:tcMar>
              <w:left w:w="108" w:type="dxa"/>
              <w:right w:w="0" w:type="dxa"/>
            </w:tcMar>
          </w:tcPr>
          <w:p w:rsidR="00C33C45" w:rsidRDefault="00C33C45" w:rsidP="000D7E0A">
            <w:pPr>
              <w:pStyle w:val="PrincCont"/>
              <w:jc w:val="left"/>
              <w:rPr>
                <w:lang w:val="it-IT"/>
              </w:rPr>
            </w:pPr>
            <w:r>
              <w:rPr>
                <w:lang w:val="it-IT"/>
              </w:rPr>
              <w:t>OIC 25.79</w:t>
            </w:r>
          </w:p>
        </w:tc>
        <w:tc>
          <w:tcPr>
            <w:tcW w:w="7060" w:type="dxa"/>
            <w:tcMar>
              <w:left w:w="108" w:type="dxa"/>
            </w:tcMar>
          </w:tcPr>
          <w:p w:rsidR="00C33C45" w:rsidRPr="00B61A4D" w:rsidRDefault="00C33C45" w:rsidP="000D7E0A">
            <w:pPr>
              <w:spacing w:line="240" w:lineRule="exact"/>
              <w:rPr>
                <w:highlight w:val="yellow"/>
                <w:lang w:val="it-IT" w:eastAsia="it-IT"/>
              </w:rPr>
            </w:pPr>
            <w:r>
              <w:rPr>
                <w:lang w:val="it-IT"/>
              </w:rPr>
              <w:t>S</w:t>
            </w:r>
            <w:r w:rsidRPr="00544EA5">
              <w:rPr>
                <w:lang w:val="it-IT"/>
              </w:rPr>
              <w:t>e negli esercizi</w:t>
            </w:r>
            <w:r>
              <w:rPr>
                <w:lang w:val="it-IT"/>
              </w:rPr>
              <w:t xml:space="preserve"> </w:t>
            </w:r>
            <w:r w:rsidRPr="00544EA5">
              <w:rPr>
                <w:lang w:val="it-IT"/>
              </w:rPr>
              <w:t xml:space="preserve">successivi il valore contabile e fiscale </w:t>
            </w:r>
            <w:r>
              <w:rPr>
                <w:lang w:val="it-IT"/>
              </w:rPr>
              <w:t xml:space="preserve">dell’avviamento </w:t>
            </w:r>
            <w:r w:rsidRPr="00544EA5">
              <w:rPr>
                <w:lang w:val="it-IT"/>
              </w:rPr>
              <w:t>divergono</w:t>
            </w:r>
            <w:r>
              <w:rPr>
                <w:lang w:val="it-IT"/>
              </w:rPr>
              <w:t xml:space="preserve"> (ad esempio quando </w:t>
            </w:r>
            <w:r w:rsidRPr="00544EA5">
              <w:rPr>
                <w:lang w:val="it-IT"/>
              </w:rPr>
              <w:t>l’ammortamento civilistico è imputato in un</w:t>
            </w:r>
            <w:r>
              <w:rPr>
                <w:lang w:val="it-IT"/>
              </w:rPr>
              <w:t xml:space="preserve"> </w:t>
            </w:r>
            <w:r w:rsidRPr="00544EA5">
              <w:rPr>
                <w:lang w:val="it-IT"/>
              </w:rPr>
              <w:t>periodo inferiore rispetto a quello fiscale</w:t>
            </w:r>
            <w:r>
              <w:rPr>
                <w:lang w:val="it-IT"/>
              </w:rPr>
              <w:t>)</w:t>
            </w:r>
            <w:r w:rsidRPr="00544EA5">
              <w:rPr>
                <w:lang w:val="it-IT"/>
              </w:rPr>
              <w:t>, la società rileva la fiscalità differita in relazione</w:t>
            </w:r>
            <w:r>
              <w:rPr>
                <w:lang w:val="it-IT"/>
              </w:rPr>
              <w:t xml:space="preserve"> </w:t>
            </w:r>
            <w:r w:rsidRPr="00544EA5">
              <w:rPr>
                <w:lang w:val="it-IT"/>
              </w:rPr>
              <w:t>alle differenze temporanee</w:t>
            </w:r>
            <w:r>
              <w:rPr>
                <w:lang w:val="it-IT"/>
              </w:rPr>
              <w:t xml:space="preserve"> che emergono</w:t>
            </w:r>
            <w:r w:rsidRPr="00B61A4D">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CC242B" w:rsidTr="000D7E0A">
        <w:trPr>
          <w:cantSplit/>
          <w:trHeight w:val="20"/>
        </w:trPr>
        <w:tc>
          <w:tcPr>
            <w:tcW w:w="680" w:type="dxa"/>
          </w:tcPr>
          <w:p w:rsidR="00C33C45" w:rsidRPr="00AA0ACB"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25.80</w:t>
            </w:r>
          </w:p>
        </w:tc>
        <w:tc>
          <w:tcPr>
            <w:tcW w:w="7060" w:type="dxa"/>
            <w:tcMar>
              <w:left w:w="108" w:type="dxa"/>
            </w:tcMar>
          </w:tcPr>
          <w:p w:rsidR="00C33C45" w:rsidRPr="001867ED" w:rsidRDefault="00C33C45" w:rsidP="000D7E0A">
            <w:pPr>
              <w:pStyle w:val="Commentiriquadro"/>
              <w:contextualSpacing/>
              <w:rPr>
                <w:highlight w:val="yellow"/>
              </w:rPr>
            </w:pPr>
            <w:r>
              <w:t>L’affrancamento dell’avviamento conseguente al pagamento dell’imposta sostitutiva determina il riallineamento tra il valore contabile e il valore fiscale dell’avviamento.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Pr="00AA0ACB" w:rsidRDefault="00C33C45" w:rsidP="000D7E0A">
            <w:pPr>
              <w:jc w:val="center"/>
              <w:rPr>
                <w:b/>
                <w:lang w:val="it-IT"/>
              </w:rPr>
            </w:pPr>
            <w:r w:rsidRPr="00AA0ACB">
              <w:rPr>
                <w:b/>
                <w:lang w:val="it-IT"/>
              </w:rPr>
              <w:t>39)</w:t>
            </w:r>
          </w:p>
        </w:tc>
        <w:tc>
          <w:tcPr>
            <w:tcW w:w="851" w:type="dxa"/>
            <w:tcMar>
              <w:left w:w="108" w:type="dxa"/>
              <w:right w:w="0" w:type="dxa"/>
            </w:tcMar>
          </w:tcPr>
          <w:p w:rsidR="00C33C45" w:rsidRPr="00470D55" w:rsidRDefault="00C33C45" w:rsidP="000D7E0A">
            <w:pPr>
              <w:pStyle w:val="PrincCont"/>
              <w:jc w:val="left"/>
              <w:rPr>
                <w:lang w:val="it-IT"/>
              </w:rPr>
            </w:pPr>
            <w:r>
              <w:rPr>
                <w:lang w:val="it-IT"/>
              </w:rPr>
              <w:t>OIC 25.80</w:t>
            </w:r>
          </w:p>
        </w:tc>
        <w:tc>
          <w:tcPr>
            <w:tcW w:w="7060" w:type="dxa"/>
            <w:tcMar>
              <w:left w:w="108" w:type="dxa"/>
            </w:tcMar>
          </w:tcPr>
          <w:p w:rsidR="00C33C45" w:rsidRPr="00470D55" w:rsidRDefault="00C33C45" w:rsidP="000D7E0A">
            <w:pPr>
              <w:spacing w:line="240" w:lineRule="exact"/>
              <w:rPr>
                <w:lang w:val="it-IT" w:eastAsia="it-IT"/>
              </w:rPr>
            </w:pPr>
            <w:r w:rsidRPr="00470D55">
              <w:rPr>
                <w:lang w:val="it-IT"/>
              </w:rPr>
              <w:t>In caso di affrancamento del valore dell’avviamento:</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BD07F7"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470D55" w:rsidRDefault="00C33C45" w:rsidP="000D7E0A">
            <w:pPr>
              <w:pStyle w:val="PrincCont"/>
              <w:jc w:val="left"/>
              <w:rPr>
                <w:lang w:val="it-IT"/>
              </w:rPr>
            </w:pPr>
          </w:p>
        </w:tc>
        <w:tc>
          <w:tcPr>
            <w:tcW w:w="7060" w:type="dxa"/>
            <w:tcMar>
              <w:left w:w="108" w:type="dxa"/>
            </w:tcMar>
          </w:tcPr>
          <w:p w:rsidR="00C33C45" w:rsidRPr="00470D55" w:rsidRDefault="00C33C45" w:rsidP="004E27C2">
            <w:pPr>
              <w:pStyle w:val="Paragrafoelenco"/>
              <w:numPr>
                <w:ilvl w:val="0"/>
                <w:numId w:val="77"/>
              </w:numPr>
              <w:spacing w:line="240" w:lineRule="exact"/>
              <w:ind w:left="357" w:hanging="323"/>
              <w:rPr>
                <w:lang w:val="it-IT" w:eastAsia="it-IT"/>
              </w:rPr>
            </w:pPr>
            <w:r w:rsidRPr="00470D55">
              <w:rPr>
                <w:lang w:val="it-IT"/>
              </w:rPr>
              <w:t>Il costo pagato per l’imposta sostitutiva, utile al riallineamento tra il valore contabile e il valore fiscale dell’avviamento, è ripartito lungo la durata del beneficio fisca</w:t>
            </w:r>
            <w:r>
              <w:rPr>
                <w:lang w:val="it-IT"/>
              </w:rPr>
              <w:t>le derivante dal riallineamento</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BD07F7"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470D55" w:rsidRDefault="00C33C45" w:rsidP="000D7E0A">
            <w:pPr>
              <w:pStyle w:val="PrincCont"/>
              <w:jc w:val="left"/>
              <w:rPr>
                <w:lang w:val="it-IT"/>
              </w:rPr>
            </w:pPr>
          </w:p>
        </w:tc>
        <w:tc>
          <w:tcPr>
            <w:tcW w:w="7060" w:type="dxa"/>
            <w:tcMar>
              <w:left w:w="108" w:type="dxa"/>
            </w:tcMar>
          </w:tcPr>
          <w:p w:rsidR="00C33C45" w:rsidRPr="000E6A15" w:rsidRDefault="00C33C45" w:rsidP="004E27C2">
            <w:pPr>
              <w:pStyle w:val="Paragrafoelenco"/>
              <w:numPr>
                <w:ilvl w:val="0"/>
                <w:numId w:val="77"/>
              </w:numPr>
              <w:spacing w:line="240" w:lineRule="exact"/>
              <w:ind w:left="357" w:hanging="323"/>
              <w:rPr>
                <w:lang w:val="it-IT" w:eastAsia="it-IT"/>
              </w:rPr>
            </w:pPr>
            <w:r w:rsidRPr="000E6A15">
              <w:rPr>
                <w:lang w:val="it-IT"/>
              </w:rPr>
              <w:t xml:space="preserve">L’ammontare del costo differito agli esercizi successivi è </w:t>
            </w:r>
            <w:r w:rsidRPr="00C10F0D">
              <w:rPr>
                <w:lang w:val="it-IT"/>
              </w:rPr>
              <w:t>nell’attivo circolante tra i</w:t>
            </w:r>
            <w:r>
              <w:rPr>
                <w:lang w:val="it-IT"/>
              </w:rPr>
              <w:t xml:space="preserve"> </w:t>
            </w:r>
            <w:r w:rsidRPr="00C10F0D">
              <w:rPr>
                <w:lang w:val="it-IT"/>
              </w:rPr>
              <w:t>crediti mediante una voce ad hoc “Attività per imposta sostitutiva da riallineamento”</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BD07F7"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470D55" w:rsidRDefault="00C33C45" w:rsidP="000D7E0A">
            <w:pPr>
              <w:pStyle w:val="PrincCont"/>
              <w:jc w:val="left"/>
              <w:rPr>
                <w:lang w:val="it-IT"/>
              </w:rPr>
            </w:pPr>
          </w:p>
        </w:tc>
        <w:tc>
          <w:tcPr>
            <w:tcW w:w="7060" w:type="dxa"/>
            <w:tcMar>
              <w:left w:w="108" w:type="dxa"/>
            </w:tcMar>
          </w:tcPr>
          <w:p w:rsidR="00C33C45" w:rsidRPr="00470D55" w:rsidRDefault="00C33C45" w:rsidP="004E27C2">
            <w:pPr>
              <w:pStyle w:val="Paragrafoelenco"/>
              <w:numPr>
                <w:ilvl w:val="0"/>
                <w:numId w:val="77"/>
              </w:numPr>
              <w:spacing w:line="230" w:lineRule="exact"/>
              <w:ind w:left="357" w:hanging="323"/>
              <w:rPr>
                <w:lang w:val="it-IT" w:eastAsia="it-IT"/>
              </w:rPr>
            </w:pPr>
            <w:r w:rsidRPr="00470D55">
              <w:rPr>
                <w:lang w:val="it-IT"/>
              </w:rPr>
              <w:t>La quota del costo di compentenza dell’es</w:t>
            </w:r>
            <w:r>
              <w:rPr>
                <w:lang w:val="it-IT"/>
              </w:rPr>
              <w:t xml:space="preserve">ercizio è iscritta nella voce 20 del conto economico </w:t>
            </w:r>
            <w:r w:rsidRPr="00C10F0D">
              <w:rPr>
                <w:lang w:val="it-IT"/>
              </w:rPr>
              <w:t>“imposte sul reddito dell’esercizio, correnti, differite e anticipate”</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BD07F7"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470D55" w:rsidRDefault="00C33C45" w:rsidP="000D7E0A">
            <w:pPr>
              <w:pStyle w:val="PrincCont"/>
              <w:jc w:val="left"/>
              <w:rPr>
                <w:lang w:val="it-IT"/>
              </w:rPr>
            </w:pPr>
          </w:p>
        </w:tc>
        <w:tc>
          <w:tcPr>
            <w:tcW w:w="7060" w:type="dxa"/>
            <w:tcMar>
              <w:left w:w="108" w:type="dxa"/>
            </w:tcMar>
          </w:tcPr>
          <w:p w:rsidR="00C33C45" w:rsidRPr="00470D55" w:rsidRDefault="00C33C45" w:rsidP="004E27C2">
            <w:pPr>
              <w:pStyle w:val="Paragrafoelenco"/>
              <w:numPr>
                <w:ilvl w:val="0"/>
                <w:numId w:val="77"/>
              </w:numPr>
              <w:spacing w:line="240" w:lineRule="exact"/>
              <w:ind w:left="357" w:hanging="323"/>
              <w:rPr>
                <w:lang w:val="it-IT" w:eastAsia="it-IT"/>
              </w:rPr>
            </w:pPr>
            <w:r w:rsidRPr="00C10F0D">
              <w:rPr>
                <w:lang w:val="it-IT"/>
              </w:rPr>
              <w:t>Il debito riconducibile all’imposta da pagare è rilevata nella voce D12 “debiti tributari” del passivo</w:t>
            </w:r>
            <w:r>
              <w:rPr>
                <w:lang w:val="it-IT"/>
              </w:rPr>
              <w:t xml:space="preserve"> </w:t>
            </w:r>
            <w:r w:rsidRPr="00C10F0D">
              <w:rPr>
                <w:lang w:val="it-IT"/>
              </w:rPr>
              <w:t>patrimoniale</w:t>
            </w:r>
            <w:r w:rsidRPr="00470D55">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CC242B" w:rsidTr="000D7E0A">
        <w:trPr>
          <w:cantSplit/>
          <w:trHeight w:val="20"/>
        </w:trPr>
        <w:tc>
          <w:tcPr>
            <w:tcW w:w="680" w:type="dxa"/>
          </w:tcPr>
          <w:p w:rsidR="00C33C45" w:rsidRPr="00D4120E" w:rsidRDefault="00C33C45" w:rsidP="000D7E0A">
            <w:pPr>
              <w:jc w:val="center"/>
              <w:rPr>
                <w:i/>
                <w:lang w:val="it-IT"/>
              </w:rPr>
            </w:pPr>
          </w:p>
        </w:tc>
        <w:tc>
          <w:tcPr>
            <w:tcW w:w="851" w:type="dxa"/>
            <w:tcMar>
              <w:left w:w="108" w:type="dxa"/>
              <w:right w:w="0" w:type="dxa"/>
            </w:tcMar>
          </w:tcPr>
          <w:p w:rsidR="00C33C45" w:rsidRPr="00D4120E" w:rsidRDefault="00C33C45" w:rsidP="000D7E0A">
            <w:pPr>
              <w:pStyle w:val="PrincCont"/>
              <w:jc w:val="left"/>
              <w:rPr>
                <w:i/>
                <w:highlight w:val="yellow"/>
                <w:lang w:val="it-IT"/>
              </w:rPr>
            </w:pPr>
          </w:p>
        </w:tc>
        <w:tc>
          <w:tcPr>
            <w:tcW w:w="7060" w:type="dxa"/>
            <w:tcMar>
              <w:left w:w="108" w:type="dxa"/>
            </w:tcMar>
            <w:vAlign w:val="center"/>
          </w:tcPr>
          <w:p w:rsidR="00C33C45" w:rsidRPr="00D4120E" w:rsidRDefault="00C33C45" w:rsidP="000D7E0A">
            <w:pPr>
              <w:jc w:val="left"/>
              <w:rPr>
                <w:i/>
                <w:highlight w:val="green"/>
                <w:lang w:val="it-IT" w:eastAsia="it-IT"/>
              </w:rPr>
            </w:pPr>
            <w:r w:rsidRPr="00D4120E">
              <w:rPr>
                <w:b/>
                <w:i/>
                <w:lang w:val="it-IT" w:eastAsia="it-IT"/>
              </w:rPr>
              <w:t>Partecipazioni in società controllate, collegate e joint venture</w:t>
            </w:r>
          </w:p>
        </w:tc>
        <w:tc>
          <w:tcPr>
            <w:tcW w:w="586" w:type="dxa"/>
            <w:tcMar>
              <w:left w:w="85" w:type="dxa"/>
              <w:right w:w="85" w:type="dxa"/>
            </w:tcMar>
            <w:vAlign w:val="center"/>
          </w:tcPr>
          <w:p w:rsidR="00C33C45" w:rsidRPr="00D4120E" w:rsidRDefault="00C33C45" w:rsidP="000D7E0A">
            <w:pPr>
              <w:jc w:val="center"/>
              <w:rPr>
                <w:i/>
                <w:lang w:val="it-IT"/>
              </w:rPr>
            </w:pPr>
          </w:p>
        </w:tc>
        <w:tc>
          <w:tcPr>
            <w:tcW w:w="573" w:type="dxa"/>
            <w:tcMar>
              <w:left w:w="108" w:type="dxa"/>
            </w:tcMar>
            <w:vAlign w:val="center"/>
          </w:tcPr>
          <w:p w:rsidR="00C33C45" w:rsidRPr="00D4120E" w:rsidRDefault="00C33C45" w:rsidP="000D7E0A">
            <w:pPr>
              <w:jc w:val="center"/>
              <w:rPr>
                <w:i/>
                <w:lang w:val="it-IT"/>
              </w:rPr>
            </w:pPr>
          </w:p>
        </w:tc>
        <w:tc>
          <w:tcPr>
            <w:tcW w:w="570" w:type="dxa"/>
            <w:tcMar>
              <w:left w:w="108" w:type="dxa"/>
            </w:tcMar>
            <w:vAlign w:val="center"/>
          </w:tcPr>
          <w:p w:rsidR="00C33C45" w:rsidRPr="00D4120E" w:rsidRDefault="00C33C45" w:rsidP="000D7E0A">
            <w:pPr>
              <w:jc w:val="center"/>
              <w:rPr>
                <w:i/>
                <w:lang w:val="it-IT"/>
              </w:rPr>
            </w:pPr>
          </w:p>
        </w:tc>
      </w:tr>
      <w:tr w:rsidR="00C33C45" w:rsidRPr="00CC242B"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25.82</w:t>
            </w:r>
          </w:p>
        </w:tc>
        <w:tc>
          <w:tcPr>
            <w:tcW w:w="7060" w:type="dxa"/>
            <w:tcMar>
              <w:left w:w="108" w:type="dxa"/>
            </w:tcMar>
          </w:tcPr>
          <w:p w:rsidR="00C33C45" w:rsidRDefault="00C33C45" w:rsidP="000D7E0A">
            <w:pPr>
              <w:pStyle w:val="Commentiriquadro"/>
              <w:contextualSpacing/>
            </w:pPr>
            <w:r>
              <w:t xml:space="preserve">Le differenze temporanee possono emergere anche nei casi in cui il valore contabile di una partecipazione in società controllate, società collegate o in </w:t>
            </w:r>
            <w:r w:rsidRPr="00794EF2">
              <w:rPr>
                <w:i/>
              </w:rPr>
              <w:t>joint venture</w:t>
            </w:r>
            <w:r>
              <w:t xml:space="preserve"> differisca dal valore della partecipazione riconosciuto ai fini fiscali. </w:t>
            </w:r>
          </w:p>
          <w:p w:rsidR="00C33C45" w:rsidRDefault="00C33C45" w:rsidP="000D7E0A">
            <w:pPr>
              <w:pStyle w:val="Commentiriquadro"/>
              <w:contextualSpacing/>
            </w:pPr>
            <w:r>
              <w:t xml:space="preserve">Ad esempio, queste differenze possono manifestarsi per: </w:t>
            </w:r>
          </w:p>
          <w:p w:rsidR="00C33C45" w:rsidRDefault="00C33C45" w:rsidP="000D7E0A">
            <w:pPr>
              <w:pStyle w:val="Commentiriquadro"/>
              <w:spacing w:before="0" w:line="180" w:lineRule="exact"/>
              <w:ind w:left="318" w:hanging="261"/>
            </w:pPr>
            <w:r>
              <w:t xml:space="preserve">i) </w:t>
            </w:r>
            <w:r>
              <w:tab/>
              <w:t>l’esistenza di utili non distribuiti di controllate, collegate e joint venture valutate con il metodo del patrimonio netto</w:t>
            </w:r>
          </w:p>
          <w:p w:rsidR="00C33C45" w:rsidRPr="001867ED" w:rsidRDefault="00C33C45" w:rsidP="000D7E0A">
            <w:pPr>
              <w:pStyle w:val="Commentiriquadro"/>
              <w:spacing w:before="0" w:line="180" w:lineRule="exact"/>
              <w:ind w:left="318" w:hanging="261"/>
              <w:rPr>
                <w:highlight w:val="yellow"/>
              </w:rPr>
            </w:pPr>
            <w:r>
              <w:t>ii)</w:t>
            </w:r>
            <w:r>
              <w:tab/>
              <w:t>la svalutazione del valore contabile della partecipazione in una società controllata, collegata e joint venture al suo ammontare recuperabile non deducibile fiscalmente.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Pr="00AA0ACB" w:rsidRDefault="00C33C45" w:rsidP="000D7E0A">
            <w:pPr>
              <w:jc w:val="center"/>
              <w:rPr>
                <w:b/>
                <w:lang w:val="it-IT"/>
              </w:rPr>
            </w:pPr>
            <w:r w:rsidRPr="00AA0ACB">
              <w:rPr>
                <w:b/>
                <w:lang w:val="it-IT"/>
              </w:rPr>
              <w:t>40)</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25.83</w:t>
            </w:r>
          </w:p>
        </w:tc>
        <w:tc>
          <w:tcPr>
            <w:tcW w:w="7060" w:type="dxa"/>
            <w:tcMar>
              <w:left w:w="108" w:type="dxa"/>
            </w:tcMar>
          </w:tcPr>
          <w:p w:rsidR="00C33C45" w:rsidRPr="00654D0B" w:rsidRDefault="00C33C45" w:rsidP="000D7E0A">
            <w:pPr>
              <w:spacing w:line="240" w:lineRule="exact"/>
              <w:rPr>
                <w:highlight w:val="green"/>
                <w:lang w:val="it-IT" w:eastAsia="it-IT"/>
              </w:rPr>
            </w:pPr>
            <w:r w:rsidRPr="008D22FB">
              <w:rPr>
                <w:lang w:val="it-IT" w:eastAsia="it-IT"/>
              </w:rPr>
              <w:t xml:space="preserve">A seconda della tipologia di differenza temporanea (imponibile o deducibile), la società </w:t>
            </w:r>
            <w:r>
              <w:rPr>
                <w:lang w:val="it-IT" w:eastAsia="it-IT"/>
              </w:rPr>
              <w:t xml:space="preserve">ha </w:t>
            </w:r>
            <w:r w:rsidRPr="008D22FB">
              <w:rPr>
                <w:lang w:val="it-IT" w:eastAsia="it-IT"/>
              </w:rPr>
              <w:t>rileva</w:t>
            </w:r>
            <w:r>
              <w:rPr>
                <w:lang w:val="it-IT" w:eastAsia="it-IT"/>
              </w:rPr>
              <w:t>to:</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BD07F7"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8D22FB" w:rsidRDefault="00C33C45" w:rsidP="000D7E0A">
            <w:pPr>
              <w:pStyle w:val="PrincCont"/>
              <w:jc w:val="left"/>
              <w:rPr>
                <w:lang w:val="it-IT"/>
              </w:rPr>
            </w:pPr>
          </w:p>
        </w:tc>
        <w:tc>
          <w:tcPr>
            <w:tcW w:w="7060" w:type="dxa"/>
            <w:tcMar>
              <w:left w:w="108" w:type="dxa"/>
            </w:tcMar>
          </w:tcPr>
          <w:p w:rsidR="00C33C45" w:rsidRPr="008D22FB" w:rsidRDefault="00C33C45" w:rsidP="004E27C2">
            <w:pPr>
              <w:pStyle w:val="Paragrafoelenco"/>
              <w:numPr>
                <w:ilvl w:val="0"/>
                <w:numId w:val="73"/>
              </w:numPr>
              <w:spacing w:line="240" w:lineRule="exact"/>
              <w:ind w:left="357" w:hanging="323"/>
              <w:rPr>
                <w:lang w:val="it-IT" w:eastAsia="it-IT"/>
              </w:rPr>
            </w:pPr>
            <w:r w:rsidRPr="008D22FB">
              <w:rPr>
                <w:lang w:val="it-IT" w:eastAsia="it-IT"/>
              </w:rPr>
              <w:t>un’attività per imposte anticipate, nella misura in cui è ragionevolmente certo che la differenza temporanea si annullerà nel prevedibile futuro e che sarà disponibile un reddito imponibile a fronte del quale possa es</w:t>
            </w:r>
            <w:r>
              <w:rPr>
                <w:lang w:val="it-IT" w:eastAsia="it-IT"/>
              </w:rPr>
              <w:t>sere utilizzata tale differenza</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BD07F7" w:rsidTr="000D7E0A">
        <w:trPr>
          <w:cantSplit/>
          <w:trHeight w:val="20"/>
        </w:trPr>
        <w:tc>
          <w:tcPr>
            <w:tcW w:w="680" w:type="dxa"/>
          </w:tcPr>
          <w:p w:rsidR="00C33C45" w:rsidRPr="009B05A5" w:rsidRDefault="00C33C45" w:rsidP="000D7E0A">
            <w:pPr>
              <w:jc w:val="center"/>
              <w:rPr>
                <w:lang w:val="it-IT"/>
              </w:rPr>
            </w:pPr>
          </w:p>
        </w:tc>
        <w:tc>
          <w:tcPr>
            <w:tcW w:w="851" w:type="dxa"/>
            <w:tcMar>
              <w:left w:w="108" w:type="dxa"/>
              <w:right w:w="0" w:type="dxa"/>
            </w:tcMar>
          </w:tcPr>
          <w:p w:rsidR="00C33C45" w:rsidRPr="009B05A5" w:rsidRDefault="00C33C45" w:rsidP="000D7E0A">
            <w:pPr>
              <w:pStyle w:val="PrincCont"/>
              <w:jc w:val="left"/>
              <w:rPr>
                <w:lang w:val="it-IT"/>
              </w:rPr>
            </w:pPr>
          </w:p>
        </w:tc>
        <w:tc>
          <w:tcPr>
            <w:tcW w:w="7060" w:type="dxa"/>
            <w:tcMar>
              <w:left w:w="108" w:type="dxa"/>
            </w:tcMar>
          </w:tcPr>
          <w:p w:rsidR="00C33C45" w:rsidRPr="009B05A5" w:rsidRDefault="00C33C45" w:rsidP="004E27C2">
            <w:pPr>
              <w:pStyle w:val="Paragrafoelenco"/>
              <w:numPr>
                <w:ilvl w:val="0"/>
                <w:numId w:val="73"/>
              </w:numPr>
              <w:spacing w:line="230" w:lineRule="exact"/>
              <w:rPr>
                <w:lang w:val="it-IT" w:eastAsia="it-IT"/>
              </w:rPr>
            </w:pPr>
            <w:r w:rsidRPr="009B05A5">
              <w:rPr>
                <w:lang w:val="it-IT" w:eastAsia="it-IT"/>
              </w:rPr>
              <w:t xml:space="preserve">una passività per imposte differite, salvo che siano soddisfatte entrambe le seguenti condizioni: </w:t>
            </w:r>
          </w:p>
          <w:p w:rsidR="00C33C45" w:rsidRPr="009B05A5" w:rsidRDefault="00C33C45" w:rsidP="004E27C2">
            <w:pPr>
              <w:pStyle w:val="Paragrafoelenco"/>
              <w:numPr>
                <w:ilvl w:val="0"/>
                <w:numId w:val="74"/>
              </w:numPr>
              <w:spacing w:line="230" w:lineRule="exact"/>
              <w:ind w:left="601" w:hanging="244"/>
              <w:rPr>
                <w:lang w:val="it-IT" w:eastAsia="it-IT"/>
              </w:rPr>
            </w:pPr>
            <w:r w:rsidRPr="009B05A5">
              <w:rPr>
                <w:lang w:val="it-IT" w:eastAsia="it-IT"/>
              </w:rPr>
              <w:t xml:space="preserve">la controllante, l’investitore o il partecipante alla </w:t>
            </w:r>
            <w:r w:rsidRPr="00AA0ACB">
              <w:rPr>
                <w:i/>
                <w:lang w:val="it-IT" w:eastAsia="it-IT"/>
              </w:rPr>
              <w:t>joint venture</w:t>
            </w:r>
            <w:r w:rsidRPr="009B05A5">
              <w:rPr>
                <w:lang w:val="it-IT" w:eastAsia="it-IT"/>
              </w:rPr>
              <w:t xml:space="preserve"> siano in grado di controllare i tempi dell’annullamento delle differenze temporanee (ad esempio, mediante la politica di distribuzione degli utili); e</w:t>
            </w:r>
          </w:p>
          <w:p w:rsidR="00C33C45" w:rsidRPr="009B05A5" w:rsidRDefault="00C33C45" w:rsidP="004E27C2">
            <w:pPr>
              <w:pStyle w:val="Paragrafoelenco"/>
              <w:numPr>
                <w:ilvl w:val="0"/>
                <w:numId w:val="74"/>
              </w:numPr>
              <w:spacing w:line="240" w:lineRule="exact"/>
              <w:ind w:left="601" w:hanging="244"/>
              <w:rPr>
                <w:lang w:val="it-IT" w:eastAsia="it-IT"/>
              </w:rPr>
            </w:pPr>
            <w:r w:rsidRPr="009B05A5">
              <w:rPr>
                <w:lang w:val="it-IT" w:eastAsia="it-IT"/>
              </w:rPr>
              <w:t>è probabile che, nel prevedibile futuro, la differenza temporanea non si annullerà</w:t>
            </w:r>
            <w:r>
              <w:rPr>
                <w:lang w:val="it-IT" w:eastAsia="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CC242B"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25.84  OIC 25.85</w:t>
            </w:r>
          </w:p>
        </w:tc>
        <w:tc>
          <w:tcPr>
            <w:tcW w:w="7060" w:type="dxa"/>
            <w:tcMar>
              <w:left w:w="108" w:type="dxa"/>
            </w:tcMar>
          </w:tcPr>
          <w:p w:rsidR="00C33C45" w:rsidRDefault="00C33C45" w:rsidP="000D7E0A">
            <w:pPr>
              <w:pStyle w:val="Commentiriquadro"/>
              <w:contextualSpacing/>
            </w:pPr>
            <w:r>
              <w:t xml:space="preserve">Una società controllante (o una partecipante ad una joint venture) stabilendo le politiche dei dividendi della controllata (o della </w:t>
            </w:r>
            <w:r w:rsidRPr="00C169AA">
              <w:rPr>
                <w:i/>
              </w:rPr>
              <w:t>joint venture</w:t>
            </w:r>
            <w:r>
              <w:t>) è in grado di determinare i tempi di annullamento delle differenze temporanee riferibili all’investimento. Pertanto, la società controllante (o partecipante ad una joint venture) non rileva una passività per imposte differite quando ha stabilito, nel prevedibile futuro, gli utili non saranno distribuiti.</w:t>
            </w:r>
          </w:p>
          <w:p w:rsidR="00C33C45" w:rsidRPr="001867ED" w:rsidRDefault="00C33C45" w:rsidP="000D7E0A">
            <w:pPr>
              <w:pStyle w:val="Commentiriquadro"/>
              <w:contextualSpacing/>
              <w:rPr>
                <w:highlight w:val="yellow"/>
              </w:rPr>
            </w:pPr>
            <w:r>
              <w:t xml:space="preserve">Al contrario, una società che detiene una partecipazione in una società collegata non è in grado di stabilire la politica dei dividendi. Pertanto, la società rileva le imposte differite derivanti dalle differenze imponibili riferibili alla sua partecipazione nella società collegata, a meno che un patto vincolante tra i soci non stabilisca che non saranno distribuiti dividendi nel futuro prevedibile. </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Pr="00D4120E" w:rsidRDefault="00C33C45" w:rsidP="000D7E0A">
            <w:pPr>
              <w:jc w:val="center"/>
              <w:rPr>
                <w:i/>
                <w:lang w:val="it-IT"/>
              </w:rPr>
            </w:pPr>
          </w:p>
        </w:tc>
        <w:tc>
          <w:tcPr>
            <w:tcW w:w="851" w:type="dxa"/>
            <w:tcMar>
              <w:left w:w="108" w:type="dxa"/>
              <w:right w:w="0" w:type="dxa"/>
            </w:tcMar>
          </w:tcPr>
          <w:p w:rsidR="00C33C45" w:rsidRPr="00D4120E" w:rsidRDefault="00C33C45" w:rsidP="000D7E0A">
            <w:pPr>
              <w:pStyle w:val="PrincCont"/>
              <w:jc w:val="left"/>
              <w:rPr>
                <w:i/>
                <w:highlight w:val="yellow"/>
                <w:lang w:val="it-IT"/>
              </w:rPr>
            </w:pPr>
          </w:p>
        </w:tc>
        <w:tc>
          <w:tcPr>
            <w:tcW w:w="7060" w:type="dxa"/>
            <w:tcMar>
              <w:left w:w="108" w:type="dxa"/>
            </w:tcMar>
            <w:vAlign w:val="center"/>
          </w:tcPr>
          <w:p w:rsidR="00C33C45" w:rsidRPr="004A69F4" w:rsidRDefault="00C33C45" w:rsidP="000D7E0A">
            <w:pPr>
              <w:jc w:val="left"/>
              <w:rPr>
                <w:sz w:val="22"/>
                <w:highlight w:val="green"/>
                <w:lang w:val="it-IT" w:eastAsia="it-IT"/>
              </w:rPr>
            </w:pPr>
            <w:r w:rsidRPr="004A69F4">
              <w:rPr>
                <w:b/>
                <w:sz w:val="22"/>
                <w:lang w:val="it-IT" w:eastAsia="it-IT"/>
              </w:rPr>
              <w:t>Valutazione delle imposte correnti e differite</w:t>
            </w:r>
          </w:p>
        </w:tc>
        <w:tc>
          <w:tcPr>
            <w:tcW w:w="586" w:type="dxa"/>
            <w:tcMar>
              <w:left w:w="85" w:type="dxa"/>
              <w:right w:w="85" w:type="dxa"/>
            </w:tcMar>
            <w:vAlign w:val="center"/>
          </w:tcPr>
          <w:p w:rsidR="00C33C45" w:rsidRPr="00D4120E" w:rsidRDefault="00C33C45" w:rsidP="000D7E0A">
            <w:pPr>
              <w:jc w:val="center"/>
              <w:rPr>
                <w:i/>
                <w:lang w:val="it-IT"/>
              </w:rPr>
            </w:pPr>
          </w:p>
        </w:tc>
        <w:tc>
          <w:tcPr>
            <w:tcW w:w="573" w:type="dxa"/>
            <w:tcMar>
              <w:left w:w="108" w:type="dxa"/>
            </w:tcMar>
            <w:vAlign w:val="center"/>
          </w:tcPr>
          <w:p w:rsidR="00C33C45" w:rsidRPr="00D4120E" w:rsidRDefault="00C33C45" w:rsidP="000D7E0A">
            <w:pPr>
              <w:jc w:val="center"/>
              <w:rPr>
                <w:i/>
                <w:lang w:val="it-IT"/>
              </w:rPr>
            </w:pPr>
          </w:p>
        </w:tc>
        <w:tc>
          <w:tcPr>
            <w:tcW w:w="570" w:type="dxa"/>
            <w:tcMar>
              <w:left w:w="108" w:type="dxa"/>
            </w:tcMar>
            <w:vAlign w:val="center"/>
          </w:tcPr>
          <w:p w:rsidR="00C33C45" w:rsidRPr="00D4120E" w:rsidRDefault="00C33C45" w:rsidP="000D7E0A">
            <w:pPr>
              <w:jc w:val="center"/>
              <w:rPr>
                <w:i/>
                <w:lang w:val="it-IT"/>
              </w:rPr>
            </w:pPr>
          </w:p>
        </w:tc>
      </w:tr>
      <w:tr w:rsidR="00C33C45" w:rsidRPr="00CC242B"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r>
              <w:rPr>
                <w:lang w:val="it-IT"/>
              </w:rPr>
              <w:t>OIC 25.86</w:t>
            </w:r>
          </w:p>
          <w:p w:rsidR="00C33C45" w:rsidRPr="001867ED" w:rsidRDefault="00C33C45" w:rsidP="000D7E0A">
            <w:pPr>
              <w:pStyle w:val="PrincCont"/>
              <w:jc w:val="left"/>
              <w:rPr>
                <w:highlight w:val="yellow"/>
                <w:lang w:val="it-IT"/>
              </w:rPr>
            </w:pPr>
          </w:p>
        </w:tc>
        <w:tc>
          <w:tcPr>
            <w:tcW w:w="7060" w:type="dxa"/>
            <w:tcMar>
              <w:left w:w="108" w:type="dxa"/>
            </w:tcMar>
          </w:tcPr>
          <w:p w:rsidR="00C33C45" w:rsidRPr="001867ED" w:rsidRDefault="00C33C45" w:rsidP="000D7E0A">
            <w:pPr>
              <w:pStyle w:val="Commentiriquadro"/>
              <w:contextualSpacing/>
              <w:rPr>
                <w:highlight w:val="yellow"/>
              </w:rPr>
            </w:pPr>
            <w:r>
              <w:t>La valutazione dei crediti e dei debiti tributari (voci CII5-bis “crediti tributari” e D12 “debiti tributari”) è effettuata secondo la disciplina generale prevista rispettivamente per i crediti nell’OIC 15 “Crediti” e per i debiti nell’OIC 19 “Debiti”.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C242B"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r>
              <w:rPr>
                <w:lang w:val="it-IT"/>
              </w:rPr>
              <w:t>OIC 25.87</w:t>
            </w:r>
          </w:p>
          <w:p w:rsidR="00C33C45" w:rsidRPr="001867ED" w:rsidRDefault="00C33C45" w:rsidP="000D7E0A">
            <w:pPr>
              <w:pStyle w:val="PrincCont"/>
              <w:jc w:val="left"/>
              <w:rPr>
                <w:highlight w:val="yellow"/>
                <w:lang w:val="it-IT"/>
              </w:rPr>
            </w:pPr>
          </w:p>
        </w:tc>
        <w:tc>
          <w:tcPr>
            <w:tcW w:w="7060" w:type="dxa"/>
            <w:tcMar>
              <w:left w:w="108" w:type="dxa"/>
            </w:tcMar>
          </w:tcPr>
          <w:p w:rsidR="00C33C45" w:rsidRPr="001867ED" w:rsidRDefault="00C33C45" w:rsidP="000D7E0A">
            <w:pPr>
              <w:pStyle w:val="Commentiriquadro"/>
              <w:contextualSpacing/>
              <w:rPr>
                <w:highlight w:val="yellow"/>
              </w:rPr>
            </w:pPr>
            <w:r>
              <w:t>La valutazione del fondo imposte è effettuata secondo la disciplina generale prevista dall’OIC 31 “Fondi per rischi e oneri e Trattamento di Fine Rapporto”. In particolare, nella valutazione delle passività per imposte probabili è necessario tener conto del presumibile esito degli accertamenti e dei contenziosi, sulla base di esperienze passate, di situazioni similari, dell’evoluzione interpretativa sia della dottrina che della giurisprudenza.</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E912AE" w:rsidTr="000D7E0A">
        <w:trPr>
          <w:cantSplit/>
          <w:trHeight w:val="20"/>
        </w:trPr>
        <w:tc>
          <w:tcPr>
            <w:tcW w:w="680" w:type="dxa"/>
          </w:tcPr>
          <w:p w:rsidR="00C33C45" w:rsidRPr="00AA0ACB" w:rsidRDefault="00C33C45" w:rsidP="000D7E0A">
            <w:pPr>
              <w:jc w:val="center"/>
              <w:rPr>
                <w:b/>
                <w:lang w:val="it-IT"/>
              </w:rPr>
            </w:pPr>
            <w:r w:rsidRPr="00AA0ACB">
              <w:rPr>
                <w:b/>
                <w:lang w:val="it-IT"/>
              </w:rPr>
              <w:t>41)</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25.88</w:t>
            </w:r>
          </w:p>
        </w:tc>
        <w:tc>
          <w:tcPr>
            <w:tcW w:w="7060" w:type="dxa"/>
            <w:tcMar>
              <w:left w:w="108" w:type="dxa"/>
            </w:tcMar>
          </w:tcPr>
          <w:p w:rsidR="00C33C45" w:rsidRPr="00654D0B" w:rsidRDefault="00C33C45" w:rsidP="000D7E0A">
            <w:pPr>
              <w:spacing w:line="230" w:lineRule="exact"/>
              <w:rPr>
                <w:highlight w:val="green"/>
                <w:lang w:val="it-IT" w:eastAsia="it-IT"/>
              </w:rPr>
            </w:pPr>
            <w:r w:rsidRPr="00B9338A">
              <w:rPr>
                <w:lang w:val="it-IT" w:eastAsia="it-IT"/>
              </w:rPr>
              <w:t xml:space="preserve">La società </w:t>
            </w:r>
            <w:r>
              <w:rPr>
                <w:lang w:val="it-IT" w:eastAsia="it-IT"/>
              </w:rPr>
              <w:t xml:space="preserve">ha </w:t>
            </w:r>
            <w:r w:rsidRPr="00B9338A">
              <w:rPr>
                <w:lang w:val="it-IT" w:eastAsia="it-IT"/>
              </w:rPr>
              <w:t>apporta</w:t>
            </w:r>
            <w:r>
              <w:rPr>
                <w:lang w:val="it-IT" w:eastAsia="it-IT"/>
              </w:rPr>
              <w:t>to</w:t>
            </w:r>
            <w:r w:rsidRPr="00B9338A">
              <w:rPr>
                <w:lang w:val="it-IT" w:eastAsia="it-IT"/>
              </w:rPr>
              <w:t xml:space="preserve"> adeguate rettifiche in caso di variazione dell’aliquota fiscale rispetto agli</w:t>
            </w:r>
            <w:r>
              <w:rPr>
                <w:lang w:val="it-IT" w:eastAsia="it-IT"/>
              </w:rPr>
              <w:t xml:space="preserve"> </w:t>
            </w:r>
            <w:r w:rsidRPr="00B9338A">
              <w:rPr>
                <w:lang w:val="it-IT" w:eastAsia="it-IT"/>
              </w:rPr>
              <w:t>esercizi precedenti, se la norma di legge che varia l’aliquota è già stata emanata alla data di</w:t>
            </w:r>
            <w:r>
              <w:rPr>
                <w:lang w:val="it-IT" w:eastAsia="it-IT"/>
              </w:rPr>
              <w:t xml:space="preserve"> riferimento del bilancio?</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E912AE" w:rsidTr="000D7E0A">
        <w:trPr>
          <w:cantSplit/>
          <w:trHeight w:val="20"/>
        </w:trPr>
        <w:tc>
          <w:tcPr>
            <w:tcW w:w="680" w:type="dxa"/>
          </w:tcPr>
          <w:p w:rsidR="00C33C45" w:rsidRPr="00AA0ACB" w:rsidRDefault="00C33C45" w:rsidP="000D7E0A">
            <w:pPr>
              <w:jc w:val="center"/>
              <w:rPr>
                <w:b/>
                <w:lang w:val="it-IT"/>
              </w:rPr>
            </w:pPr>
            <w:r w:rsidRPr="00AA0ACB">
              <w:rPr>
                <w:b/>
                <w:lang w:val="it-IT"/>
              </w:rPr>
              <w:t>42)</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25.88</w:t>
            </w:r>
          </w:p>
        </w:tc>
        <w:tc>
          <w:tcPr>
            <w:tcW w:w="7060" w:type="dxa"/>
            <w:tcMar>
              <w:left w:w="108" w:type="dxa"/>
            </w:tcMar>
          </w:tcPr>
          <w:p w:rsidR="00C33C45" w:rsidRPr="00654D0B" w:rsidRDefault="00C33C45" w:rsidP="000D7E0A">
            <w:pPr>
              <w:spacing w:line="230" w:lineRule="exact"/>
              <w:rPr>
                <w:highlight w:val="green"/>
                <w:lang w:val="it-IT" w:eastAsia="it-IT"/>
              </w:rPr>
            </w:pPr>
            <w:r w:rsidRPr="00B9338A">
              <w:rPr>
                <w:lang w:val="it-IT" w:eastAsia="it-IT"/>
              </w:rPr>
              <w:t>In tal caso le rettifiche alle attività per imposte anticipate e alle passività</w:t>
            </w:r>
            <w:r>
              <w:rPr>
                <w:lang w:val="it-IT" w:eastAsia="it-IT"/>
              </w:rPr>
              <w:t xml:space="preserve"> </w:t>
            </w:r>
            <w:r w:rsidRPr="00B9338A">
              <w:rPr>
                <w:lang w:val="it-IT" w:eastAsia="it-IT"/>
              </w:rPr>
              <w:t>per imposte differite sono rilevate a conto economico a meno che tali attività e passività non si</w:t>
            </w:r>
            <w:r>
              <w:rPr>
                <w:lang w:val="it-IT" w:eastAsia="it-IT"/>
              </w:rPr>
              <w:t xml:space="preserve"> </w:t>
            </w:r>
            <w:r w:rsidRPr="00B9338A">
              <w:rPr>
                <w:lang w:val="it-IT" w:eastAsia="it-IT"/>
              </w:rPr>
              <w:t>riferiscano a operazioni che in sede di rilevazione iniziale non hanno avuto effetto sul conto</w:t>
            </w:r>
            <w:r>
              <w:rPr>
                <w:lang w:val="it-IT" w:eastAsia="it-IT"/>
              </w:rPr>
              <w:t xml:space="preserve"> </w:t>
            </w:r>
            <w:r w:rsidRPr="00B9338A">
              <w:rPr>
                <w:lang w:val="it-IT" w:eastAsia="it-IT"/>
              </w:rPr>
              <w:t>economico</w:t>
            </w:r>
            <w:r>
              <w:rPr>
                <w:lang w:val="it-IT" w:eastAsia="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CC242B" w:rsidTr="000D7E0A">
        <w:trPr>
          <w:cantSplit/>
          <w:trHeight w:val="20"/>
        </w:trPr>
        <w:tc>
          <w:tcPr>
            <w:tcW w:w="680" w:type="dxa"/>
          </w:tcPr>
          <w:p w:rsidR="00C33C45" w:rsidRPr="00AA0ACB" w:rsidRDefault="00C33C45" w:rsidP="000D7E0A">
            <w:pPr>
              <w:jc w:val="center"/>
              <w:rPr>
                <w:b/>
                <w:lang w:val="it-IT"/>
              </w:rPr>
            </w:pPr>
          </w:p>
        </w:tc>
        <w:tc>
          <w:tcPr>
            <w:tcW w:w="851" w:type="dxa"/>
            <w:tcMar>
              <w:left w:w="108" w:type="dxa"/>
              <w:right w:w="0" w:type="dxa"/>
            </w:tcMar>
          </w:tcPr>
          <w:p w:rsidR="00C33C45" w:rsidRDefault="00C33C45" w:rsidP="000D7E0A">
            <w:pPr>
              <w:pStyle w:val="PrincCont"/>
              <w:jc w:val="left"/>
              <w:rPr>
                <w:lang w:val="it-IT"/>
              </w:rPr>
            </w:pPr>
            <w:r>
              <w:rPr>
                <w:lang w:val="it-IT"/>
              </w:rPr>
              <w:t>OIC 25.89</w:t>
            </w:r>
          </w:p>
          <w:p w:rsidR="00C33C45" w:rsidRPr="001867ED" w:rsidRDefault="00C33C45" w:rsidP="000D7E0A">
            <w:pPr>
              <w:pStyle w:val="PrincCont"/>
              <w:jc w:val="left"/>
              <w:rPr>
                <w:highlight w:val="yellow"/>
                <w:lang w:val="it-IT"/>
              </w:rPr>
            </w:pPr>
          </w:p>
        </w:tc>
        <w:tc>
          <w:tcPr>
            <w:tcW w:w="7060" w:type="dxa"/>
            <w:tcMar>
              <w:left w:w="108" w:type="dxa"/>
            </w:tcMar>
          </w:tcPr>
          <w:p w:rsidR="00C33C45" w:rsidRPr="001867ED" w:rsidRDefault="00C33C45" w:rsidP="000D7E0A">
            <w:pPr>
              <w:pStyle w:val="Commentiriquadro"/>
              <w:contextualSpacing/>
              <w:rPr>
                <w:highlight w:val="yellow"/>
              </w:rPr>
            </w:pPr>
            <w:r>
              <w:t>Qualora fossero previste differenti aliquote fiscali da applicarsi in base al livello del reddito imponibile, la valutazione delle attività per imposte anticipate e delle passività per imposte differite è effettuata utilizzando le aliquote medie nei periodi in cui le differenze temporanee si riverseranno. Nel caso in cui risultasse particolarmente difficoltoso determinare l’aliquota media per gli esercizi futuri, è accettabile utilizzare l’aliquota media dell’ultimo esercizio.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E912AE" w:rsidTr="000D7E0A">
        <w:trPr>
          <w:cantSplit/>
          <w:trHeight w:val="20"/>
        </w:trPr>
        <w:tc>
          <w:tcPr>
            <w:tcW w:w="680" w:type="dxa"/>
          </w:tcPr>
          <w:p w:rsidR="00C33C45" w:rsidRPr="00AA0ACB" w:rsidRDefault="00C33C45" w:rsidP="000D7E0A">
            <w:pPr>
              <w:jc w:val="center"/>
              <w:rPr>
                <w:b/>
                <w:lang w:val="it-IT"/>
              </w:rPr>
            </w:pPr>
            <w:r w:rsidRPr="00AA0ACB">
              <w:rPr>
                <w:b/>
                <w:lang w:val="it-IT"/>
              </w:rPr>
              <w:t>43)</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25.90</w:t>
            </w:r>
          </w:p>
        </w:tc>
        <w:tc>
          <w:tcPr>
            <w:tcW w:w="7060" w:type="dxa"/>
            <w:tcMar>
              <w:left w:w="108" w:type="dxa"/>
            </w:tcMar>
          </w:tcPr>
          <w:p w:rsidR="00C33C45" w:rsidRPr="00654D0B" w:rsidRDefault="00C33C45" w:rsidP="000D7E0A">
            <w:pPr>
              <w:spacing w:line="230" w:lineRule="exact"/>
              <w:rPr>
                <w:highlight w:val="green"/>
                <w:lang w:val="it-IT" w:eastAsia="it-IT"/>
              </w:rPr>
            </w:pPr>
            <w:r w:rsidRPr="00B9338A">
              <w:rPr>
                <w:lang w:val="it-IT" w:eastAsia="it-IT"/>
              </w:rPr>
              <w:t>L</w:t>
            </w:r>
            <w:r>
              <w:rPr>
                <w:lang w:val="it-IT" w:eastAsia="it-IT"/>
              </w:rPr>
              <w:t>a società ha rispettato il divieto di attualizzare l</w:t>
            </w:r>
            <w:r w:rsidRPr="00B9338A">
              <w:rPr>
                <w:lang w:val="it-IT" w:eastAsia="it-IT"/>
              </w:rPr>
              <w:t>e attività per imposte anticipate e le passività per imposte differite</w:t>
            </w:r>
            <w:r>
              <w:rPr>
                <w:lang w:val="it-IT" w:eastAsia="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CC242B" w:rsidTr="000D7E0A">
        <w:trPr>
          <w:cantSplit/>
          <w:trHeight w:val="365"/>
        </w:trPr>
        <w:tc>
          <w:tcPr>
            <w:tcW w:w="680" w:type="dxa"/>
          </w:tcPr>
          <w:p w:rsidR="00C33C45" w:rsidRPr="00AA0ACB" w:rsidRDefault="00C33C45" w:rsidP="000D7E0A">
            <w:pPr>
              <w:jc w:val="center"/>
              <w:rPr>
                <w:b/>
                <w:lang w:val="it-IT"/>
              </w:rPr>
            </w:pPr>
          </w:p>
        </w:tc>
        <w:tc>
          <w:tcPr>
            <w:tcW w:w="851" w:type="dxa"/>
            <w:tcMar>
              <w:left w:w="108" w:type="dxa"/>
              <w:right w:w="0" w:type="dxa"/>
            </w:tcMar>
          </w:tcPr>
          <w:p w:rsidR="00C33C45" w:rsidRDefault="00C33C45" w:rsidP="000D7E0A">
            <w:pPr>
              <w:pStyle w:val="PrincCont"/>
              <w:jc w:val="left"/>
              <w:rPr>
                <w:lang w:val="it-IT"/>
              </w:rPr>
            </w:pPr>
            <w:r>
              <w:rPr>
                <w:lang w:val="it-IT"/>
              </w:rPr>
              <w:t>OIC 25.91</w:t>
            </w:r>
          </w:p>
          <w:p w:rsidR="00C33C45" w:rsidRPr="001867ED" w:rsidRDefault="00C33C45" w:rsidP="000D7E0A">
            <w:pPr>
              <w:pStyle w:val="PrincCont"/>
              <w:jc w:val="left"/>
              <w:rPr>
                <w:highlight w:val="yellow"/>
                <w:lang w:val="it-IT"/>
              </w:rPr>
            </w:pPr>
          </w:p>
        </w:tc>
        <w:tc>
          <w:tcPr>
            <w:tcW w:w="7060" w:type="dxa"/>
            <w:tcMar>
              <w:left w:w="108" w:type="dxa"/>
            </w:tcMar>
            <w:vAlign w:val="center"/>
          </w:tcPr>
          <w:p w:rsidR="00C33C45" w:rsidRPr="001867ED" w:rsidRDefault="00C33C45" w:rsidP="000D7E0A">
            <w:pPr>
              <w:pStyle w:val="Commentiriquadro"/>
              <w:jc w:val="left"/>
              <w:rPr>
                <w:highlight w:val="yellow"/>
              </w:rPr>
            </w:pPr>
            <w:r>
              <w:t>Il valore contabile di un’attività per imposte anticipate è rivisto a ciascuna data di riferimento del bilancio.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E912AE" w:rsidTr="000D7E0A">
        <w:trPr>
          <w:cantSplit/>
          <w:trHeight w:val="20"/>
        </w:trPr>
        <w:tc>
          <w:tcPr>
            <w:tcW w:w="680" w:type="dxa"/>
          </w:tcPr>
          <w:p w:rsidR="00C33C45" w:rsidRPr="00AA0ACB" w:rsidRDefault="00C33C45" w:rsidP="000D7E0A">
            <w:pPr>
              <w:jc w:val="center"/>
              <w:rPr>
                <w:b/>
                <w:lang w:val="it-IT"/>
              </w:rPr>
            </w:pPr>
            <w:r w:rsidRPr="00AA0ACB">
              <w:rPr>
                <w:b/>
                <w:lang w:val="it-IT"/>
              </w:rPr>
              <w:t>44)</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25.91</w:t>
            </w:r>
          </w:p>
        </w:tc>
        <w:tc>
          <w:tcPr>
            <w:tcW w:w="7060" w:type="dxa"/>
            <w:tcMar>
              <w:left w:w="108" w:type="dxa"/>
            </w:tcMar>
          </w:tcPr>
          <w:p w:rsidR="00C33C45" w:rsidRPr="00654D0B" w:rsidRDefault="00C33C45" w:rsidP="000D7E0A">
            <w:pPr>
              <w:spacing w:line="230" w:lineRule="exact"/>
              <w:rPr>
                <w:highlight w:val="green"/>
                <w:lang w:val="it-IT" w:eastAsia="it-IT"/>
              </w:rPr>
            </w:pPr>
            <w:r w:rsidRPr="00B9338A">
              <w:rPr>
                <w:lang w:val="it-IT" w:eastAsia="it-IT"/>
              </w:rPr>
              <w:t>La società riduce il valore contabile dell’attività se non vi è più la ragionevole certezza</w:t>
            </w:r>
            <w:r>
              <w:rPr>
                <w:lang w:val="it-IT" w:eastAsia="it-IT"/>
              </w:rPr>
              <w:t xml:space="preserve"> </w:t>
            </w:r>
            <w:r w:rsidRPr="00B9338A">
              <w:rPr>
                <w:lang w:val="it-IT" w:eastAsia="it-IT"/>
              </w:rPr>
              <w:t>del loro futuro recupero (ad esempio, l’esistenza di un reddito imponibile sufficiente per</w:t>
            </w:r>
            <w:r>
              <w:rPr>
                <w:lang w:val="it-IT" w:eastAsia="it-IT"/>
              </w:rPr>
              <w:t xml:space="preserve"> </w:t>
            </w:r>
            <w:r w:rsidRPr="00B9338A">
              <w:rPr>
                <w:lang w:val="it-IT" w:eastAsia="it-IT"/>
              </w:rPr>
              <w:t>consentire l’utilizzo del beneficio di parte o di tutta quella a</w:t>
            </w:r>
            <w:r>
              <w:rPr>
                <w:lang w:val="it-IT" w:eastAsia="it-IT"/>
              </w:rPr>
              <w:t>ttività per imposte anticipate)?</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E912AE" w:rsidTr="000D7E0A">
        <w:trPr>
          <w:cantSplit/>
          <w:trHeight w:val="20"/>
        </w:trPr>
        <w:tc>
          <w:tcPr>
            <w:tcW w:w="680" w:type="dxa"/>
          </w:tcPr>
          <w:p w:rsidR="00C33C45" w:rsidRPr="00AA0ACB" w:rsidRDefault="00C33C45" w:rsidP="000D7E0A">
            <w:pPr>
              <w:jc w:val="center"/>
              <w:rPr>
                <w:b/>
                <w:lang w:val="it-IT"/>
              </w:rPr>
            </w:pPr>
            <w:r w:rsidRPr="00AA0ACB">
              <w:rPr>
                <w:b/>
                <w:lang w:val="it-IT"/>
              </w:rPr>
              <w:t>45)</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25.91</w:t>
            </w:r>
          </w:p>
        </w:tc>
        <w:tc>
          <w:tcPr>
            <w:tcW w:w="7060" w:type="dxa"/>
            <w:tcMar>
              <w:left w:w="108" w:type="dxa"/>
            </w:tcMar>
          </w:tcPr>
          <w:p w:rsidR="00C33C45" w:rsidRPr="00654D0B" w:rsidRDefault="00C33C45" w:rsidP="000D7E0A">
            <w:pPr>
              <w:spacing w:line="230" w:lineRule="exact"/>
              <w:rPr>
                <w:highlight w:val="green"/>
                <w:lang w:val="it-IT" w:eastAsia="it-IT"/>
              </w:rPr>
            </w:pPr>
            <w:r w:rsidRPr="00B9338A">
              <w:rPr>
                <w:lang w:val="it-IT" w:eastAsia="it-IT"/>
              </w:rPr>
              <w:t>Negli</w:t>
            </w:r>
            <w:r>
              <w:rPr>
                <w:lang w:val="it-IT" w:eastAsia="it-IT"/>
              </w:rPr>
              <w:t xml:space="preserve"> </w:t>
            </w:r>
            <w:r w:rsidRPr="00B9338A">
              <w:rPr>
                <w:lang w:val="it-IT" w:eastAsia="it-IT"/>
              </w:rPr>
              <w:t>esercizi successivi, il valore dell’attività è ripristinato nella misura in cui diviene ragionevolmente</w:t>
            </w:r>
            <w:r>
              <w:rPr>
                <w:lang w:val="it-IT" w:eastAsia="it-IT"/>
              </w:rPr>
              <w:t xml:space="preserve"> </w:t>
            </w:r>
            <w:r w:rsidRPr="00B9338A">
              <w:rPr>
                <w:lang w:val="it-IT" w:eastAsia="it-IT"/>
              </w:rPr>
              <w:t>certo il recupero dell’attività per imposte anticipate</w:t>
            </w:r>
            <w:r>
              <w:rPr>
                <w:lang w:val="it-IT" w:eastAsia="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D4120E" w:rsidTr="000D7E0A">
        <w:trPr>
          <w:cantSplit/>
          <w:trHeight w:val="20"/>
        </w:trPr>
        <w:tc>
          <w:tcPr>
            <w:tcW w:w="680" w:type="dxa"/>
          </w:tcPr>
          <w:p w:rsidR="00C33C45" w:rsidRPr="00D4120E" w:rsidRDefault="00C33C45" w:rsidP="000D7E0A">
            <w:pPr>
              <w:jc w:val="center"/>
              <w:rPr>
                <w:i/>
                <w:lang w:val="it-IT"/>
              </w:rPr>
            </w:pPr>
          </w:p>
        </w:tc>
        <w:tc>
          <w:tcPr>
            <w:tcW w:w="851" w:type="dxa"/>
            <w:tcMar>
              <w:left w:w="108" w:type="dxa"/>
              <w:right w:w="0" w:type="dxa"/>
            </w:tcMar>
          </w:tcPr>
          <w:p w:rsidR="00C33C45" w:rsidRPr="00D4120E" w:rsidRDefault="00C33C45" w:rsidP="000D7E0A">
            <w:pPr>
              <w:pStyle w:val="PrincCont"/>
              <w:jc w:val="left"/>
              <w:rPr>
                <w:i/>
                <w:highlight w:val="yellow"/>
                <w:lang w:val="it-IT"/>
              </w:rPr>
            </w:pPr>
          </w:p>
        </w:tc>
        <w:tc>
          <w:tcPr>
            <w:tcW w:w="7060" w:type="dxa"/>
            <w:tcMar>
              <w:left w:w="108" w:type="dxa"/>
            </w:tcMar>
          </w:tcPr>
          <w:p w:rsidR="00C33C45" w:rsidRPr="00096F6D" w:rsidRDefault="00C33C45" w:rsidP="000D7E0A">
            <w:pPr>
              <w:rPr>
                <w:sz w:val="22"/>
                <w:highlight w:val="green"/>
                <w:lang w:val="it-IT" w:eastAsia="it-IT"/>
              </w:rPr>
            </w:pPr>
            <w:r>
              <w:rPr>
                <w:b/>
                <w:sz w:val="22"/>
                <w:lang w:val="it-IT" w:eastAsia="it-IT"/>
              </w:rPr>
              <w:t>Nota Integrativa</w:t>
            </w:r>
          </w:p>
        </w:tc>
        <w:tc>
          <w:tcPr>
            <w:tcW w:w="586" w:type="dxa"/>
            <w:tcMar>
              <w:left w:w="85" w:type="dxa"/>
              <w:right w:w="85" w:type="dxa"/>
            </w:tcMar>
            <w:vAlign w:val="center"/>
          </w:tcPr>
          <w:p w:rsidR="00C33C45" w:rsidRPr="00D4120E" w:rsidRDefault="00C33C45" w:rsidP="000D7E0A">
            <w:pPr>
              <w:jc w:val="center"/>
              <w:rPr>
                <w:i/>
                <w:lang w:val="it-IT"/>
              </w:rPr>
            </w:pPr>
          </w:p>
        </w:tc>
        <w:tc>
          <w:tcPr>
            <w:tcW w:w="573" w:type="dxa"/>
            <w:tcMar>
              <w:left w:w="108" w:type="dxa"/>
            </w:tcMar>
            <w:vAlign w:val="center"/>
          </w:tcPr>
          <w:p w:rsidR="00C33C45" w:rsidRPr="00D4120E" w:rsidRDefault="00C33C45" w:rsidP="000D7E0A">
            <w:pPr>
              <w:jc w:val="center"/>
              <w:rPr>
                <w:i/>
                <w:lang w:val="it-IT"/>
              </w:rPr>
            </w:pPr>
          </w:p>
        </w:tc>
        <w:tc>
          <w:tcPr>
            <w:tcW w:w="570" w:type="dxa"/>
            <w:tcMar>
              <w:left w:w="108" w:type="dxa"/>
            </w:tcMar>
            <w:vAlign w:val="center"/>
          </w:tcPr>
          <w:p w:rsidR="00C33C45" w:rsidRPr="00D4120E" w:rsidRDefault="00C33C45" w:rsidP="000D7E0A">
            <w:pPr>
              <w:jc w:val="center"/>
              <w:rPr>
                <w:i/>
                <w:lang w:val="it-IT"/>
              </w:rPr>
            </w:pPr>
          </w:p>
        </w:tc>
      </w:tr>
      <w:tr w:rsidR="00C33C45" w:rsidRPr="00CC242B" w:rsidTr="000D7E0A">
        <w:trPr>
          <w:cantSplit/>
          <w:trHeight w:val="20"/>
        </w:trPr>
        <w:tc>
          <w:tcPr>
            <w:tcW w:w="680" w:type="dxa"/>
          </w:tcPr>
          <w:p w:rsidR="00C33C45" w:rsidRPr="00D4120E" w:rsidRDefault="00C33C45" w:rsidP="000D7E0A">
            <w:pPr>
              <w:jc w:val="center"/>
              <w:rPr>
                <w:i/>
                <w:lang w:val="it-IT"/>
              </w:rPr>
            </w:pPr>
          </w:p>
        </w:tc>
        <w:tc>
          <w:tcPr>
            <w:tcW w:w="851" w:type="dxa"/>
            <w:tcMar>
              <w:left w:w="108" w:type="dxa"/>
              <w:right w:w="0" w:type="dxa"/>
            </w:tcMar>
          </w:tcPr>
          <w:p w:rsidR="00C33C45" w:rsidRPr="00D4120E" w:rsidRDefault="00C33C45" w:rsidP="000D7E0A">
            <w:pPr>
              <w:pStyle w:val="PrincCont"/>
              <w:jc w:val="left"/>
              <w:rPr>
                <w:i/>
                <w:highlight w:val="yellow"/>
                <w:lang w:val="it-IT"/>
              </w:rPr>
            </w:pPr>
          </w:p>
        </w:tc>
        <w:tc>
          <w:tcPr>
            <w:tcW w:w="7060" w:type="dxa"/>
            <w:tcMar>
              <w:left w:w="108" w:type="dxa"/>
            </w:tcMar>
          </w:tcPr>
          <w:p w:rsidR="00C33C45" w:rsidRPr="00D4120E" w:rsidRDefault="00C33C45" w:rsidP="000D7E0A">
            <w:pPr>
              <w:rPr>
                <w:i/>
                <w:highlight w:val="green"/>
                <w:lang w:val="it-IT" w:eastAsia="it-IT"/>
              </w:rPr>
            </w:pPr>
            <w:r w:rsidRPr="00096F6D">
              <w:rPr>
                <w:b/>
                <w:i/>
                <w:lang w:val="it-IT" w:eastAsia="it-IT"/>
              </w:rPr>
              <w:t>Informazioni relative alle società che redigono il bilancio in forma ordinaria</w:t>
            </w:r>
          </w:p>
        </w:tc>
        <w:tc>
          <w:tcPr>
            <w:tcW w:w="586" w:type="dxa"/>
            <w:tcMar>
              <w:left w:w="85" w:type="dxa"/>
              <w:right w:w="85" w:type="dxa"/>
            </w:tcMar>
            <w:vAlign w:val="center"/>
          </w:tcPr>
          <w:p w:rsidR="00C33C45" w:rsidRPr="00D4120E" w:rsidRDefault="00C33C45" w:rsidP="000D7E0A">
            <w:pPr>
              <w:jc w:val="center"/>
              <w:rPr>
                <w:i/>
                <w:lang w:val="it-IT"/>
              </w:rPr>
            </w:pPr>
          </w:p>
        </w:tc>
        <w:tc>
          <w:tcPr>
            <w:tcW w:w="573" w:type="dxa"/>
            <w:tcMar>
              <w:left w:w="108" w:type="dxa"/>
            </w:tcMar>
            <w:vAlign w:val="center"/>
          </w:tcPr>
          <w:p w:rsidR="00C33C45" w:rsidRPr="00D4120E" w:rsidRDefault="00C33C45" w:rsidP="000D7E0A">
            <w:pPr>
              <w:jc w:val="center"/>
              <w:rPr>
                <w:i/>
                <w:lang w:val="it-IT"/>
              </w:rPr>
            </w:pPr>
          </w:p>
        </w:tc>
        <w:tc>
          <w:tcPr>
            <w:tcW w:w="570" w:type="dxa"/>
            <w:tcMar>
              <w:left w:w="108" w:type="dxa"/>
            </w:tcMar>
            <w:vAlign w:val="center"/>
          </w:tcPr>
          <w:p w:rsidR="00C33C45" w:rsidRPr="00D4120E" w:rsidRDefault="00C33C45" w:rsidP="000D7E0A">
            <w:pPr>
              <w:jc w:val="center"/>
              <w:rPr>
                <w:i/>
                <w:lang w:val="it-IT"/>
              </w:rPr>
            </w:pPr>
          </w:p>
        </w:tc>
      </w:tr>
      <w:tr w:rsidR="00C33C45" w:rsidRPr="00CC242B" w:rsidTr="000D7E0A">
        <w:trPr>
          <w:cantSplit/>
          <w:trHeight w:val="20"/>
        </w:trPr>
        <w:tc>
          <w:tcPr>
            <w:tcW w:w="680" w:type="dxa"/>
          </w:tcPr>
          <w:p w:rsidR="00C33C45" w:rsidRPr="00203D0E" w:rsidRDefault="00C33C45" w:rsidP="000D7E0A">
            <w:pPr>
              <w:jc w:val="center"/>
              <w:rPr>
                <w:b/>
                <w:lang w:val="it-IT"/>
              </w:rPr>
            </w:pPr>
            <w:r w:rsidRPr="00203D0E">
              <w:rPr>
                <w:b/>
                <w:lang w:val="it-IT"/>
              </w:rPr>
              <w:t>46)</w:t>
            </w:r>
          </w:p>
        </w:tc>
        <w:tc>
          <w:tcPr>
            <w:tcW w:w="851" w:type="dxa"/>
            <w:tcMar>
              <w:left w:w="108" w:type="dxa"/>
              <w:right w:w="0" w:type="dxa"/>
            </w:tcMar>
          </w:tcPr>
          <w:p w:rsidR="00C33C45" w:rsidRPr="009B56C0" w:rsidRDefault="00C33C45" w:rsidP="000D7E0A">
            <w:pPr>
              <w:pStyle w:val="PrincCont"/>
              <w:jc w:val="left"/>
            </w:pPr>
            <w:r w:rsidRPr="00AA0ACB">
              <w:rPr>
                <w:lang w:val="it-IT"/>
              </w:rPr>
              <w:t>Art. 2427 CC</w:t>
            </w:r>
            <w:r>
              <w:rPr>
                <w:lang w:val="it-IT"/>
              </w:rPr>
              <w:t xml:space="preserve"> </w:t>
            </w:r>
            <w:r w:rsidRPr="000C583C">
              <w:t>OIC 25.92</w:t>
            </w:r>
          </w:p>
        </w:tc>
        <w:tc>
          <w:tcPr>
            <w:tcW w:w="7060" w:type="dxa"/>
            <w:tcMar>
              <w:left w:w="108" w:type="dxa"/>
            </w:tcMar>
          </w:tcPr>
          <w:p w:rsidR="00C33C45" w:rsidRPr="004E1EBE" w:rsidRDefault="00C33C45" w:rsidP="000D7E0A">
            <w:pPr>
              <w:spacing w:line="230" w:lineRule="exact"/>
              <w:rPr>
                <w:highlight w:val="green"/>
                <w:lang w:val="it-IT" w:eastAsia="it-IT"/>
              </w:rPr>
            </w:pPr>
            <w:r w:rsidRPr="000C583C">
              <w:rPr>
                <w:lang w:val="it-IT" w:eastAsia="it-IT"/>
              </w:rPr>
              <w:t>Con riferimento alle imposte sul reddito</w:t>
            </w:r>
            <w:r>
              <w:rPr>
                <w:lang w:val="it-IT" w:eastAsia="it-IT"/>
              </w:rPr>
              <w:t xml:space="preserve"> sono state</w:t>
            </w:r>
            <w:r w:rsidRPr="000C583C">
              <w:rPr>
                <w:lang w:val="it-IT" w:eastAsia="it-IT"/>
              </w:rPr>
              <w:t xml:space="preserve"> indicare le</w:t>
            </w:r>
            <w:r>
              <w:rPr>
                <w:lang w:val="it-IT" w:eastAsia="it-IT"/>
              </w:rPr>
              <w:t xml:space="preserve"> </w:t>
            </w:r>
            <w:r w:rsidRPr="000C583C">
              <w:rPr>
                <w:lang w:val="it-IT" w:eastAsia="it-IT"/>
              </w:rPr>
              <w:t xml:space="preserve">seguenti informazioni nella </w:t>
            </w:r>
            <w:r>
              <w:rPr>
                <w:lang w:val="it-IT" w:eastAsia="it-IT"/>
              </w:rPr>
              <w:t>Nota Integrativa</w:t>
            </w:r>
            <w:r w:rsidRPr="004E1EBE">
              <w:rPr>
                <w:lang w:val="it-IT" w:eastAsia="it-IT"/>
              </w:rPr>
              <w:t xml:space="preserve">: </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BD07F7" w:rsidTr="000D7E0A">
        <w:trPr>
          <w:cantSplit/>
          <w:trHeight w:val="20"/>
        </w:trPr>
        <w:tc>
          <w:tcPr>
            <w:tcW w:w="680" w:type="dxa"/>
          </w:tcPr>
          <w:p w:rsidR="00C33C45" w:rsidRPr="00203D0E" w:rsidRDefault="00C33C45" w:rsidP="000D7E0A">
            <w:pPr>
              <w:jc w:val="center"/>
              <w:rPr>
                <w:b/>
                <w:lang w:val="it-IT"/>
              </w:rPr>
            </w:pPr>
          </w:p>
        </w:tc>
        <w:tc>
          <w:tcPr>
            <w:tcW w:w="851" w:type="dxa"/>
            <w:tcMar>
              <w:left w:w="108" w:type="dxa"/>
              <w:right w:w="0" w:type="dxa"/>
            </w:tcMar>
          </w:tcPr>
          <w:p w:rsidR="00C33C45" w:rsidRPr="000C583C" w:rsidRDefault="00C33C45" w:rsidP="000D7E0A">
            <w:pPr>
              <w:pStyle w:val="PrincCont"/>
              <w:spacing w:before="0" w:after="0"/>
              <w:jc w:val="left"/>
              <w:rPr>
                <w:lang w:val="it-IT"/>
              </w:rPr>
            </w:pPr>
          </w:p>
        </w:tc>
        <w:tc>
          <w:tcPr>
            <w:tcW w:w="7060" w:type="dxa"/>
            <w:tcMar>
              <w:left w:w="108" w:type="dxa"/>
            </w:tcMar>
          </w:tcPr>
          <w:p w:rsidR="00C33C45" w:rsidRPr="000C583C" w:rsidRDefault="00C33C45" w:rsidP="00840B93">
            <w:pPr>
              <w:pStyle w:val="rientrotrattinook"/>
              <w:rPr>
                <w:lang w:eastAsia="it-IT"/>
              </w:rPr>
            </w:pPr>
            <w:r w:rsidRPr="000C583C">
              <w:t xml:space="preserve">i criteri applicati nella valutazione delle voci del bilancio, nelle rettifiche di valore e nella conversione dei valori non espressi all’origine in moneta </w:t>
            </w:r>
            <w:r>
              <w:t>avente corso legale nello Stato;</w:t>
            </w:r>
          </w:p>
        </w:tc>
        <w:tc>
          <w:tcPr>
            <w:tcW w:w="586" w:type="dxa"/>
            <w:tcMar>
              <w:left w:w="85" w:type="dxa"/>
              <w:right w:w="85"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CA1681">
              <w:fldChar w:fldCharType="separate"/>
            </w:r>
            <w:r w:rsidRPr="000C583C">
              <w:fldChar w:fldCharType="end"/>
            </w:r>
          </w:p>
        </w:tc>
        <w:tc>
          <w:tcPr>
            <w:tcW w:w="573" w:type="dxa"/>
            <w:tcMar>
              <w:left w:w="108"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CA1681">
              <w:fldChar w:fldCharType="separate"/>
            </w:r>
            <w:r w:rsidRPr="000C583C">
              <w:fldChar w:fldCharType="end"/>
            </w:r>
          </w:p>
        </w:tc>
        <w:tc>
          <w:tcPr>
            <w:tcW w:w="570" w:type="dxa"/>
            <w:tcMar>
              <w:left w:w="108" w:type="dxa"/>
            </w:tcMar>
            <w:vAlign w:val="center"/>
          </w:tcPr>
          <w:p w:rsidR="00C33C45" w:rsidRPr="00A32A16"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CA1681">
              <w:fldChar w:fldCharType="separate"/>
            </w:r>
            <w:r w:rsidRPr="000C583C">
              <w:fldChar w:fldCharType="end"/>
            </w:r>
          </w:p>
        </w:tc>
      </w:tr>
      <w:tr w:rsidR="00C33C45" w:rsidRPr="00BD07F7" w:rsidTr="000D7E0A">
        <w:trPr>
          <w:cantSplit/>
          <w:trHeight w:val="20"/>
        </w:trPr>
        <w:tc>
          <w:tcPr>
            <w:tcW w:w="680" w:type="dxa"/>
          </w:tcPr>
          <w:p w:rsidR="00C33C45" w:rsidRPr="00203D0E" w:rsidRDefault="00C33C45" w:rsidP="000D7E0A">
            <w:pPr>
              <w:jc w:val="center"/>
              <w:rPr>
                <w:b/>
                <w:lang w:val="it-IT"/>
              </w:rPr>
            </w:pPr>
          </w:p>
        </w:tc>
        <w:tc>
          <w:tcPr>
            <w:tcW w:w="851" w:type="dxa"/>
            <w:tcMar>
              <w:left w:w="108" w:type="dxa"/>
              <w:right w:w="0" w:type="dxa"/>
            </w:tcMar>
          </w:tcPr>
          <w:p w:rsidR="00C33C45" w:rsidRPr="000C583C" w:rsidRDefault="00C33C45" w:rsidP="000D7E0A">
            <w:pPr>
              <w:pStyle w:val="PrincCont"/>
              <w:spacing w:before="0" w:after="0"/>
              <w:jc w:val="left"/>
              <w:rPr>
                <w:lang w:val="it-IT"/>
              </w:rPr>
            </w:pPr>
          </w:p>
        </w:tc>
        <w:tc>
          <w:tcPr>
            <w:tcW w:w="7060" w:type="dxa"/>
            <w:tcMar>
              <w:left w:w="108" w:type="dxa"/>
            </w:tcMar>
          </w:tcPr>
          <w:p w:rsidR="00C33C45" w:rsidRPr="000C583C" w:rsidRDefault="00C33C45" w:rsidP="00840B93">
            <w:pPr>
              <w:pStyle w:val="rientrotrattinook"/>
            </w:pPr>
            <w:r>
              <w:t xml:space="preserve">le variazioni intervenute nella consistenza delle altre voci dell’attivo e del passivo; in particolare, per le voci del patrimonio netto, per i fondi e per il trattamento di fine rapporto, </w:t>
            </w:r>
            <w:r w:rsidRPr="000C583C">
              <w:t>la formazione e le utilizzazioni</w:t>
            </w:r>
            <w:r>
              <w:t>;</w:t>
            </w:r>
          </w:p>
        </w:tc>
        <w:tc>
          <w:tcPr>
            <w:tcW w:w="586" w:type="dxa"/>
            <w:tcMar>
              <w:left w:w="85" w:type="dxa"/>
              <w:right w:w="85"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CA1681">
              <w:fldChar w:fldCharType="separate"/>
            </w:r>
            <w:r w:rsidRPr="000C583C">
              <w:fldChar w:fldCharType="end"/>
            </w:r>
          </w:p>
        </w:tc>
        <w:tc>
          <w:tcPr>
            <w:tcW w:w="573" w:type="dxa"/>
            <w:tcMar>
              <w:left w:w="108"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CA1681">
              <w:fldChar w:fldCharType="separate"/>
            </w:r>
            <w:r w:rsidRPr="000C583C">
              <w:fldChar w:fldCharType="end"/>
            </w:r>
          </w:p>
        </w:tc>
        <w:tc>
          <w:tcPr>
            <w:tcW w:w="570" w:type="dxa"/>
            <w:tcMar>
              <w:left w:w="108" w:type="dxa"/>
            </w:tcMar>
            <w:vAlign w:val="center"/>
          </w:tcPr>
          <w:p w:rsidR="00C33C45" w:rsidRPr="00A32A16"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CA1681">
              <w:fldChar w:fldCharType="separate"/>
            </w:r>
            <w:r w:rsidRPr="000C583C">
              <w:fldChar w:fldCharType="end"/>
            </w:r>
          </w:p>
        </w:tc>
      </w:tr>
      <w:tr w:rsidR="00C33C45" w:rsidRPr="00BD07F7" w:rsidTr="000D7E0A">
        <w:trPr>
          <w:cantSplit/>
          <w:trHeight w:val="20"/>
        </w:trPr>
        <w:tc>
          <w:tcPr>
            <w:tcW w:w="680" w:type="dxa"/>
          </w:tcPr>
          <w:p w:rsidR="00C33C45" w:rsidRPr="00203D0E" w:rsidRDefault="00C33C45" w:rsidP="000D7E0A">
            <w:pPr>
              <w:jc w:val="center"/>
              <w:rPr>
                <w:b/>
                <w:lang w:val="it-IT"/>
              </w:rPr>
            </w:pPr>
          </w:p>
        </w:tc>
        <w:tc>
          <w:tcPr>
            <w:tcW w:w="851" w:type="dxa"/>
            <w:tcMar>
              <w:left w:w="108" w:type="dxa"/>
              <w:right w:w="0" w:type="dxa"/>
            </w:tcMar>
          </w:tcPr>
          <w:p w:rsidR="00C33C45" w:rsidRPr="000C583C" w:rsidRDefault="00C33C45" w:rsidP="000D7E0A">
            <w:pPr>
              <w:pStyle w:val="PrincCont"/>
              <w:spacing w:before="0" w:after="0"/>
              <w:jc w:val="left"/>
              <w:rPr>
                <w:lang w:val="it-IT"/>
              </w:rPr>
            </w:pPr>
          </w:p>
        </w:tc>
        <w:tc>
          <w:tcPr>
            <w:tcW w:w="7060" w:type="dxa"/>
            <w:tcMar>
              <w:left w:w="108" w:type="dxa"/>
            </w:tcMar>
          </w:tcPr>
          <w:p w:rsidR="00C33C45" w:rsidRPr="000C583C" w:rsidRDefault="00C33C45" w:rsidP="00840B93">
            <w:pPr>
              <w:pStyle w:val="rientrotrattinook"/>
            </w:pPr>
            <w:r>
              <w:t>distintamente per ciascuna voce, l’ammontare dei crediti e dei debiti di durata residua superiore a cinque anni, e dei debiti assistiti da garanzie reali su beni sociali, con specifica indicazione della natura delle garanzie e con specifica ripartizione secondo le aree geografiche;</w:t>
            </w:r>
          </w:p>
        </w:tc>
        <w:tc>
          <w:tcPr>
            <w:tcW w:w="586" w:type="dxa"/>
            <w:tcMar>
              <w:left w:w="85" w:type="dxa"/>
              <w:right w:w="85"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CA1681">
              <w:fldChar w:fldCharType="separate"/>
            </w:r>
            <w:r w:rsidRPr="000C583C">
              <w:fldChar w:fldCharType="end"/>
            </w:r>
          </w:p>
        </w:tc>
        <w:tc>
          <w:tcPr>
            <w:tcW w:w="573" w:type="dxa"/>
            <w:tcMar>
              <w:left w:w="108"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CA1681">
              <w:fldChar w:fldCharType="separate"/>
            </w:r>
            <w:r w:rsidRPr="000C583C">
              <w:fldChar w:fldCharType="end"/>
            </w:r>
          </w:p>
        </w:tc>
        <w:tc>
          <w:tcPr>
            <w:tcW w:w="570" w:type="dxa"/>
            <w:tcMar>
              <w:left w:w="108" w:type="dxa"/>
            </w:tcMar>
            <w:vAlign w:val="center"/>
          </w:tcPr>
          <w:p w:rsidR="00C33C45" w:rsidRPr="00A32A16"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CA1681">
              <w:fldChar w:fldCharType="separate"/>
            </w:r>
            <w:r w:rsidRPr="000C583C">
              <w:fldChar w:fldCharType="end"/>
            </w:r>
          </w:p>
        </w:tc>
      </w:tr>
      <w:tr w:rsidR="00C33C45" w:rsidRPr="00BD07F7" w:rsidTr="000D7E0A">
        <w:trPr>
          <w:cantSplit/>
          <w:trHeight w:val="20"/>
        </w:trPr>
        <w:tc>
          <w:tcPr>
            <w:tcW w:w="680" w:type="dxa"/>
          </w:tcPr>
          <w:p w:rsidR="00C33C45" w:rsidRPr="00203D0E" w:rsidRDefault="00C33C45" w:rsidP="000D7E0A">
            <w:pPr>
              <w:jc w:val="center"/>
              <w:rPr>
                <w:b/>
                <w:lang w:val="it-IT"/>
              </w:rPr>
            </w:pPr>
          </w:p>
        </w:tc>
        <w:tc>
          <w:tcPr>
            <w:tcW w:w="851" w:type="dxa"/>
            <w:tcMar>
              <w:left w:w="108" w:type="dxa"/>
              <w:right w:w="0" w:type="dxa"/>
            </w:tcMar>
          </w:tcPr>
          <w:p w:rsidR="00C33C45" w:rsidRPr="000C583C" w:rsidRDefault="00C33C45" w:rsidP="000D7E0A">
            <w:pPr>
              <w:pStyle w:val="PrincCont"/>
              <w:spacing w:before="0" w:after="0"/>
              <w:jc w:val="left"/>
              <w:rPr>
                <w:lang w:val="it-IT"/>
              </w:rPr>
            </w:pPr>
          </w:p>
        </w:tc>
        <w:tc>
          <w:tcPr>
            <w:tcW w:w="7060" w:type="dxa"/>
            <w:tcMar>
              <w:left w:w="108" w:type="dxa"/>
            </w:tcMar>
          </w:tcPr>
          <w:p w:rsidR="00C33C45" w:rsidRPr="000C583C" w:rsidRDefault="00C33C45" w:rsidP="00840B93">
            <w:pPr>
              <w:pStyle w:val="rientrotrattinook"/>
            </w:pPr>
            <w:r>
              <w:t>l’importo complessivo degli impegni, delle garanzie e delle passività potenziali non risultanti dallo stato patrimoniale, con indicazione della natura delle garanzie reali prestate; gli impegni esistenti in materia di trattamento di quiescenza e simili, nonché gli impegni assunti nei confronti di imprese controllate, collegate, nonché controllanti e imprese sottoposte al controllo di quest’ultime sono distintamente indicati?</w:t>
            </w:r>
          </w:p>
        </w:tc>
        <w:tc>
          <w:tcPr>
            <w:tcW w:w="586" w:type="dxa"/>
            <w:tcMar>
              <w:left w:w="85" w:type="dxa"/>
              <w:right w:w="85"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CA1681">
              <w:fldChar w:fldCharType="separate"/>
            </w:r>
            <w:r w:rsidRPr="000C583C">
              <w:fldChar w:fldCharType="end"/>
            </w:r>
          </w:p>
        </w:tc>
        <w:tc>
          <w:tcPr>
            <w:tcW w:w="573" w:type="dxa"/>
            <w:tcMar>
              <w:left w:w="108"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CA1681">
              <w:fldChar w:fldCharType="separate"/>
            </w:r>
            <w:r w:rsidRPr="000C583C">
              <w:fldChar w:fldCharType="end"/>
            </w:r>
          </w:p>
        </w:tc>
        <w:tc>
          <w:tcPr>
            <w:tcW w:w="570" w:type="dxa"/>
            <w:tcMar>
              <w:left w:w="108" w:type="dxa"/>
            </w:tcMar>
            <w:vAlign w:val="center"/>
          </w:tcPr>
          <w:p w:rsidR="00C33C45" w:rsidRPr="00A32A16"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CA1681">
              <w:fldChar w:fldCharType="separate"/>
            </w:r>
            <w:r w:rsidRPr="000C583C">
              <w:fldChar w:fldCharType="end"/>
            </w:r>
          </w:p>
        </w:tc>
      </w:tr>
      <w:tr w:rsidR="00C33C45" w:rsidRPr="00CC242B" w:rsidTr="000D7E0A">
        <w:trPr>
          <w:cantSplit/>
          <w:trHeight w:val="20"/>
        </w:trPr>
        <w:tc>
          <w:tcPr>
            <w:tcW w:w="680" w:type="dxa"/>
          </w:tcPr>
          <w:p w:rsidR="00C33C45" w:rsidRPr="00203D0E" w:rsidRDefault="00C33C45" w:rsidP="000D7E0A">
            <w:pPr>
              <w:jc w:val="center"/>
              <w:rPr>
                <w:b/>
                <w:lang w:val="it-IT"/>
              </w:rPr>
            </w:pPr>
            <w:r w:rsidRPr="00203D0E">
              <w:rPr>
                <w:b/>
                <w:lang w:val="it-IT"/>
              </w:rPr>
              <w:t>47)</w:t>
            </w:r>
          </w:p>
        </w:tc>
        <w:tc>
          <w:tcPr>
            <w:tcW w:w="851" w:type="dxa"/>
            <w:tcMar>
              <w:left w:w="108" w:type="dxa"/>
              <w:right w:w="0" w:type="dxa"/>
            </w:tcMar>
          </w:tcPr>
          <w:p w:rsidR="00C33C45" w:rsidRPr="009B56C0" w:rsidRDefault="00C33C45" w:rsidP="000D7E0A">
            <w:pPr>
              <w:pStyle w:val="PrincCont"/>
              <w:jc w:val="left"/>
            </w:pPr>
            <w:r>
              <w:rPr>
                <w:lang w:val="it-IT"/>
              </w:rPr>
              <w:t>OIC 25.92</w:t>
            </w:r>
          </w:p>
        </w:tc>
        <w:tc>
          <w:tcPr>
            <w:tcW w:w="7060" w:type="dxa"/>
            <w:tcMar>
              <w:left w:w="108" w:type="dxa"/>
            </w:tcMar>
          </w:tcPr>
          <w:p w:rsidR="00C33C45" w:rsidRPr="004E1EBE" w:rsidRDefault="00C33C45" w:rsidP="000D7E0A">
            <w:pPr>
              <w:spacing w:line="230" w:lineRule="exact"/>
              <w:rPr>
                <w:highlight w:val="green"/>
                <w:lang w:val="it-IT" w:eastAsia="it-IT"/>
              </w:rPr>
            </w:pPr>
            <w:r w:rsidRPr="004E1EBE">
              <w:rPr>
                <w:lang w:val="it-IT" w:eastAsia="it-IT"/>
              </w:rPr>
              <w:t xml:space="preserve">Nella </w:t>
            </w:r>
            <w:r>
              <w:rPr>
                <w:lang w:val="it-IT" w:eastAsia="it-IT"/>
              </w:rPr>
              <w:t>Nota Integrativa</w:t>
            </w:r>
            <w:r w:rsidRPr="004E1EBE">
              <w:rPr>
                <w:lang w:val="it-IT" w:eastAsia="it-IT"/>
              </w:rPr>
              <w:t xml:space="preserve"> è stato inserito un apposito prospetto contenente: </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BD07F7" w:rsidTr="000D7E0A">
        <w:trPr>
          <w:cantSplit/>
          <w:trHeight w:val="20"/>
        </w:trPr>
        <w:tc>
          <w:tcPr>
            <w:tcW w:w="680" w:type="dxa"/>
          </w:tcPr>
          <w:p w:rsidR="00C33C45" w:rsidRPr="00203D0E" w:rsidRDefault="00C33C45" w:rsidP="000D7E0A">
            <w:pPr>
              <w:jc w:val="center"/>
              <w:rPr>
                <w:b/>
                <w:lang w:val="it-IT"/>
              </w:rPr>
            </w:pPr>
          </w:p>
        </w:tc>
        <w:tc>
          <w:tcPr>
            <w:tcW w:w="851" w:type="dxa"/>
            <w:tcMar>
              <w:left w:w="108" w:type="dxa"/>
              <w:right w:w="0" w:type="dxa"/>
            </w:tcMar>
          </w:tcPr>
          <w:p w:rsidR="00C33C45" w:rsidRPr="004E1EBE" w:rsidRDefault="00C33C45" w:rsidP="000D7E0A">
            <w:pPr>
              <w:pStyle w:val="PrincCont"/>
              <w:jc w:val="left"/>
              <w:rPr>
                <w:lang w:val="it-IT"/>
              </w:rPr>
            </w:pPr>
          </w:p>
        </w:tc>
        <w:tc>
          <w:tcPr>
            <w:tcW w:w="7060" w:type="dxa"/>
            <w:tcMar>
              <w:left w:w="108" w:type="dxa"/>
            </w:tcMar>
          </w:tcPr>
          <w:p w:rsidR="00C33C45" w:rsidRPr="001968DA" w:rsidRDefault="00C33C45" w:rsidP="00840B93">
            <w:pPr>
              <w:pStyle w:val="rientrotrattinook"/>
            </w:pPr>
            <w:r w:rsidRPr="001968DA">
              <w:t>la descrizione delle differenze temporanee che hanno comportato la rilevazione di imposte differite e anticipate, specificando l’aliquota applicata e le variazioni rispetto all’esercizio precedente, gli importi accreditati o addebitati a conto economico oppure a patrimonio netto, le voci escluse dal computo e le relative motivazioni</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BD07F7" w:rsidTr="000D7E0A">
        <w:trPr>
          <w:cantSplit/>
          <w:trHeight w:val="20"/>
        </w:trPr>
        <w:tc>
          <w:tcPr>
            <w:tcW w:w="680" w:type="dxa"/>
          </w:tcPr>
          <w:p w:rsidR="00C33C45" w:rsidRPr="00203D0E" w:rsidRDefault="00C33C45" w:rsidP="000D7E0A">
            <w:pPr>
              <w:jc w:val="center"/>
              <w:rPr>
                <w:b/>
                <w:lang w:val="it-IT"/>
              </w:rPr>
            </w:pPr>
          </w:p>
        </w:tc>
        <w:tc>
          <w:tcPr>
            <w:tcW w:w="851" w:type="dxa"/>
            <w:tcMar>
              <w:left w:w="108" w:type="dxa"/>
              <w:right w:w="0" w:type="dxa"/>
            </w:tcMar>
          </w:tcPr>
          <w:p w:rsidR="00C33C45" w:rsidRPr="004E1EBE" w:rsidRDefault="00C33C45" w:rsidP="000D7E0A">
            <w:pPr>
              <w:pStyle w:val="PrincCont"/>
              <w:jc w:val="left"/>
              <w:rPr>
                <w:lang w:val="it-IT"/>
              </w:rPr>
            </w:pPr>
          </w:p>
        </w:tc>
        <w:tc>
          <w:tcPr>
            <w:tcW w:w="7060" w:type="dxa"/>
            <w:tcMar>
              <w:left w:w="108" w:type="dxa"/>
            </w:tcMar>
          </w:tcPr>
          <w:p w:rsidR="00C33C45" w:rsidRPr="001968DA" w:rsidRDefault="00C33C45" w:rsidP="00840B93">
            <w:pPr>
              <w:pStyle w:val="rientrotrattinook"/>
            </w:pPr>
            <w:r w:rsidRPr="001968DA">
              <w:t>l’ammontare delle imposte anticipate contabilizzato in bilancio attinenti a perdite dell’esercizio o di esercizi precedenti e le motivazioni dell’iscrizione, l’ammontare non ancora contabilizzato e le motivazioni della mancata iscrizione?</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6B767C" w:rsidTr="000D7E0A">
        <w:trPr>
          <w:cantSplit/>
          <w:trHeight w:val="20"/>
        </w:trPr>
        <w:tc>
          <w:tcPr>
            <w:tcW w:w="680" w:type="dxa"/>
          </w:tcPr>
          <w:p w:rsidR="00C33C45" w:rsidRPr="00203D0E" w:rsidRDefault="00C33C45" w:rsidP="000D7E0A">
            <w:pPr>
              <w:jc w:val="center"/>
              <w:rPr>
                <w:b/>
                <w:lang w:val="it-IT"/>
              </w:rPr>
            </w:pPr>
            <w:r w:rsidRPr="00203D0E">
              <w:rPr>
                <w:b/>
                <w:lang w:val="it-IT"/>
              </w:rPr>
              <w:t>48)</w:t>
            </w:r>
          </w:p>
        </w:tc>
        <w:tc>
          <w:tcPr>
            <w:tcW w:w="851" w:type="dxa"/>
            <w:tcMar>
              <w:left w:w="108" w:type="dxa"/>
              <w:right w:w="0" w:type="dxa"/>
            </w:tcMar>
          </w:tcPr>
          <w:p w:rsidR="00C33C45" w:rsidRDefault="00C33C45" w:rsidP="000D7E0A">
            <w:pPr>
              <w:pStyle w:val="PrincCont"/>
              <w:jc w:val="left"/>
              <w:rPr>
                <w:lang w:val="it-IT"/>
              </w:rPr>
            </w:pPr>
            <w:r>
              <w:rPr>
                <w:lang w:val="it-IT"/>
              </w:rPr>
              <w:t>OIC 25.93</w:t>
            </w:r>
          </w:p>
        </w:tc>
        <w:tc>
          <w:tcPr>
            <w:tcW w:w="7060" w:type="dxa"/>
            <w:tcMar>
              <w:left w:w="108" w:type="dxa"/>
            </w:tcMar>
          </w:tcPr>
          <w:p w:rsidR="00C33C45" w:rsidRPr="004E1EBE" w:rsidRDefault="00C33C45" w:rsidP="000D7E0A">
            <w:pPr>
              <w:spacing w:line="230" w:lineRule="exact"/>
              <w:rPr>
                <w:lang w:val="it-IT" w:eastAsia="it-IT"/>
              </w:rPr>
            </w:pPr>
            <w:r>
              <w:rPr>
                <w:lang w:val="it-IT" w:eastAsia="it-IT"/>
              </w:rPr>
              <w:t>L</w:t>
            </w:r>
            <w:r w:rsidRPr="003C0257">
              <w:rPr>
                <w:lang w:val="it-IT" w:eastAsia="it-IT"/>
              </w:rPr>
              <w:t xml:space="preserve">a </w:t>
            </w:r>
            <w:r>
              <w:rPr>
                <w:lang w:val="it-IT" w:eastAsia="it-IT"/>
              </w:rPr>
              <w:t>Nota Integrativa</w:t>
            </w:r>
            <w:r w:rsidRPr="003C0257">
              <w:rPr>
                <w:lang w:val="it-IT" w:eastAsia="it-IT"/>
              </w:rPr>
              <w:t xml:space="preserve"> descrive le</w:t>
            </w:r>
            <w:r>
              <w:rPr>
                <w:lang w:val="it-IT" w:eastAsia="it-IT"/>
              </w:rPr>
              <w:t xml:space="preserve"> </w:t>
            </w:r>
            <w:r w:rsidRPr="003C0257">
              <w:rPr>
                <w:lang w:val="it-IT" w:eastAsia="it-IT"/>
              </w:rPr>
              <w:t>motivazioni in virtù delle quali non è stato iscritto un fondo imposte, pur in presenza di</w:t>
            </w:r>
            <w:r>
              <w:rPr>
                <w:lang w:val="it-IT" w:eastAsia="it-IT"/>
              </w:rPr>
              <w:t xml:space="preserve"> </w:t>
            </w:r>
            <w:r w:rsidRPr="003C0257">
              <w:rPr>
                <w:lang w:val="it-IT" w:eastAsia="it-IT"/>
              </w:rPr>
              <w:t>accertamenti o contenziosi con le autorità fiscali</w:t>
            </w:r>
            <w:r>
              <w:rPr>
                <w:lang w:val="it-IT" w:eastAsia="it-IT"/>
              </w:rPr>
              <w:t>?</w:t>
            </w:r>
          </w:p>
        </w:tc>
        <w:tc>
          <w:tcPr>
            <w:tcW w:w="586" w:type="dxa"/>
            <w:tcMar>
              <w:left w:w="85" w:type="dxa"/>
              <w:right w:w="85"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CC242B" w:rsidTr="000D7E0A">
        <w:trPr>
          <w:cantSplit/>
          <w:trHeight w:val="20"/>
        </w:trPr>
        <w:tc>
          <w:tcPr>
            <w:tcW w:w="680" w:type="dxa"/>
          </w:tcPr>
          <w:p w:rsidR="00C33C45" w:rsidRPr="00203D0E" w:rsidRDefault="00C33C45" w:rsidP="000D7E0A">
            <w:pPr>
              <w:pageBreakBefore/>
              <w:jc w:val="center"/>
              <w:rPr>
                <w:b/>
                <w:lang w:val="it-IT"/>
              </w:rPr>
            </w:pPr>
            <w:r w:rsidRPr="00203D0E">
              <w:rPr>
                <w:b/>
                <w:lang w:val="it-IT"/>
              </w:rPr>
              <w:t>49)</w:t>
            </w:r>
          </w:p>
        </w:tc>
        <w:tc>
          <w:tcPr>
            <w:tcW w:w="851" w:type="dxa"/>
            <w:tcMar>
              <w:left w:w="108" w:type="dxa"/>
              <w:right w:w="0" w:type="dxa"/>
            </w:tcMar>
          </w:tcPr>
          <w:p w:rsidR="00C33C45" w:rsidRPr="001867ED" w:rsidRDefault="00C33C45" w:rsidP="000D7E0A">
            <w:pPr>
              <w:pStyle w:val="PrincCont"/>
              <w:pageBreakBefore/>
              <w:jc w:val="left"/>
              <w:rPr>
                <w:highlight w:val="yellow"/>
                <w:lang w:val="it-IT"/>
              </w:rPr>
            </w:pPr>
            <w:r>
              <w:rPr>
                <w:lang w:val="it-IT"/>
              </w:rPr>
              <w:t>OIC 25.93</w:t>
            </w:r>
          </w:p>
        </w:tc>
        <w:tc>
          <w:tcPr>
            <w:tcW w:w="7060" w:type="dxa"/>
            <w:tcMar>
              <w:left w:w="108" w:type="dxa"/>
            </w:tcMar>
          </w:tcPr>
          <w:p w:rsidR="00C33C45" w:rsidRPr="004E1EBE" w:rsidRDefault="00C33C45" w:rsidP="000D7E0A">
            <w:pPr>
              <w:pageBreakBefore/>
              <w:spacing w:line="230" w:lineRule="exact"/>
              <w:rPr>
                <w:highlight w:val="green"/>
                <w:lang w:val="it-IT" w:eastAsia="it-IT"/>
              </w:rPr>
            </w:pPr>
            <w:r w:rsidRPr="004E1EBE">
              <w:rPr>
                <w:lang w:val="it-IT" w:eastAsia="it-IT"/>
              </w:rPr>
              <w:t xml:space="preserve">Ove rilevante, la </w:t>
            </w:r>
            <w:r>
              <w:rPr>
                <w:lang w:val="it-IT" w:eastAsia="it-IT"/>
              </w:rPr>
              <w:t>Nota Integrativa</w:t>
            </w:r>
            <w:r w:rsidRPr="004E1EBE">
              <w:rPr>
                <w:lang w:val="it-IT" w:eastAsia="it-IT"/>
              </w:rPr>
              <w:t xml:space="preserve"> indica:</w:t>
            </w:r>
          </w:p>
        </w:tc>
        <w:tc>
          <w:tcPr>
            <w:tcW w:w="586" w:type="dxa"/>
            <w:tcMar>
              <w:left w:w="85" w:type="dxa"/>
              <w:right w:w="85" w:type="dxa"/>
            </w:tcMar>
            <w:vAlign w:val="center"/>
          </w:tcPr>
          <w:p w:rsidR="00C33C45" w:rsidRPr="00A32A16" w:rsidRDefault="00C33C45" w:rsidP="000D7E0A">
            <w:pPr>
              <w:pageBreakBefore/>
              <w:jc w:val="center"/>
              <w:rPr>
                <w:lang w:val="it-IT"/>
              </w:rPr>
            </w:pPr>
          </w:p>
        </w:tc>
        <w:tc>
          <w:tcPr>
            <w:tcW w:w="573" w:type="dxa"/>
            <w:tcMar>
              <w:left w:w="108" w:type="dxa"/>
            </w:tcMar>
            <w:vAlign w:val="center"/>
          </w:tcPr>
          <w:p w:rsidR="00C33C45" w:rsidRPr="00A32A16" w:rsidRDefault="00C33C45" w:rsidP="000D7E0A">
            <w:pPr>
              <w:pageBreakBefore/>
              <w:jc w:val="center"/>
              <w:rPr>
                <w:lang w:val="it-IT"/>
              </w:rPr>
            </w:pPr>
          </w:p>
        </w:tc>
        <w:tc>
          <w:tcPr>
            <w:tcW w:w="570" w:type="dxa"/>
            <w:tcMar>
              <w:left w:w="108" w:type="dxa"/>
            </w:tcMar>
            <w:vAlign w:val="center"/>
          </w:tcPr>
          <w:p w:rsidR="00C33C45" w:rsidRPr="00A32A16" w:rsidRDefault="00C33C45" w:rsidP="000D7E0A">
            <w:pPr>
              <w:pageBreakBefore/>
              <w:jc w:val="center"/>
              <w:rPr>
                <w:lang w:val="it-IT"/>
              </w:rPr>
            </w:pPr>
          </w:p>
        </w:tc>
      </w:tr>
      <w:tr w:rsidR="00C33C45" w:rsidRPr="00BD07F7"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812F65" w:rsidRDefault="00C33C45" w:rsidP="000D7E0A">
            <w:pPr>
              <w:pStyle w:val="PrincCont"/>
              <w:jc w:val="left"/>
              <w:rPr>
                <w:lang w:val="it-IT"/>
              </w:rPr>
            </w:pPr>
          </w:p>
        </w:tc>
        <w:tc>
          <w:tcPr>
            <w:tcW w:w="7060" w:type="dxa"/>
            <w:tcMar>
              <w:left w:w="108" w:type="dxa"/>
            </w:tcMar>
          </w:tcPr>
          <w:p w:rsidR="00C33C45" w:rsidRPr="00812F65" w:rsidRDefault="00C33C45" w:rsidP="004E27C2">
            <w:pPr>
              <w:pStyle w:val="Paragrafoelenco"/>
              <w:numPr>
                <w:ilvl w:val="0"/>
                <w:numId w:val="75"/>
              </w:numPr>
              <w:spacing w:line="230" w:lineRule="exact"/>
              <w:ind w:left="357" w:hanging="357"/>
              <w:rPr>
                <w:lang w:val="it-IT" w:eastAsia="it-IT"/>
              </w:rPr>
            </w:pPr>
            <w:r w:rsidRPr="00812F65">
              <w:rPr>
                <w:lang w:val="it-IT"/>
              </w:rPr>
              <w:t>gli effetti delle operazioni di riallinea</w:t>
            </w:r>
            <w:r>
              <w:rPr>
                <w:lang w:val="it-IT"/>
              </w:rPr>
              <w:t>mento effettuate nell’esercizio</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BD07F7"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812F65" w:rsidRDefault="00C33C45" w:rsidP="000D7E0A">
            <w:pPr>
              <w:pStyle w:val="PrincCont"/>
              <w:jc w:val="left"/>
              <w:rPr>
                <w:lang w:val="it-IT"/>
              </w:rPr>
            </w:pPr>
          </w:p>
        </w:tc>
        <w:tc>
          <w:tcPr>
            <w:tcW w:w="7060" w:type="dxa"/>
            <w:tcMar>
              <w:left w:w="108" w:type="dxa"/>
            </w:tcMar>
          </w:tcPr>
          <w:p w:rsidR="00C33C45" w:rsidRPr="00812F65" w:rsidRDefault="00C33C45" w:rsidP="004E27C2">
            <w:pPr>
              <w:pStyle w:val="Paragrafoelenco"/>
              <w:numPr>
                <w:ilvl w:val="0"/>
                <w:numId w:val="75"/>
              </w:numPr>
              <w:spacing w:line="230" w:lineRule="exact"/>
              <w:ind w:left="357" w:hanging="357"/>
              <w:rPr>
                <w:lang w:val="it-IT" w:eastAsia="it-IT"/>
              </w:rPr>
            </w:pPr>
            <w:r w:rsidRPr="00812F65">
              <w:rPr>
                <w:lang w:val="it-IT"/>
              </w:rPr>
              <w:t>il rapporto tra l’onere fiscale corrente e il risultato civilistico mediante una o entrambi le seguenti modalità:</w:t>
            </w:r>
          </w:p>
          <w:p w:rsidR="00C33C45" w:rsidRPr="00812F65" w:rsidRDefault="00C33C45" w:rsidP="004E27C2">
            <w:pPr>
              <w:pStyle w:val="Paragrafoelenco"/>
              <w:numPr>
                <w:ilvl w:val="0"/>
                <w:numId w:val="76"/>
              </w:numPr>
              <w:spacing w:line="230" w:lineRule="exact"/>
              <w:ind w:left="601" w:hanging="244"/>
              <w:rPr>
                <w:lang w:val="it-IT" w:eastAsia="it-IT"/>
              </w:rPr>
            </w:pPr>
            <w:r w:rsidRPr="00812F65">
              <w:rPr>
                <w:lang w:val="it-IT" w:eastAsia="it-IT"/>
              </w:rPr>
              <w:t>una riconciliazione numerica, con le relative motivazioni, fra l’onere fiscale corrente e l’onere fiscale teorico, quand</w:t>
            </w:r>
            <w:r>
              <w:rPr>
                <w:lang w:val="it-IT" w:eastAsia="it-IT"/>
              </w:rPr>
              <w:t>o la differenza è significativa</w:t>
            </w:r>
          </w:p>
          <w:p w:rsidR="00C33C45" w:rsidRPr="00812F65" w:rsidRDefault="00C33C45" w:rsidP="004E27C2">
            <w:pPr>
              <w:pStyle w:val="Paragrafoelenco"/>
              <w:numPr>
                <w:ilvl w:val="0"/>
                <w:numId w:val="76"/>
              </w:numPr>
              <w:spacing w:line="230" w:lineRule="exact"/>
              <w:ind w:left="601" w:hanging="244"/>
              <w:rPr>
                <w:lang w:val="it-IT" w:eastAsia="it-IT"/>
              </w:rPr>
            </w:pPr>
            <w:r w:rsidRPr="00812F65">
              <w:rPr>
                <w:lang w:val="it-IT" w:eastAsia="it-IT"/>
              </w:rPr>
              <w:t>una riconciliazione numerica, con le relative motivazioni, tra l’aliquota fiscale applicabile (o aliquota teorica) e l’aliquota fiscale media effettiva, quand</w:t>
            </w:r>
            <w:r>
              <w:rPr>
                <w:lang w:val="it-IT" w:eastAsia="it-IT"/>
              </w:rPr>
              <w:t>o la differenza è significativa</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BD07F7"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p>
        </w:tc>
        <w:tc>
          <w:tcPr>
            <w:tcW w:w="7060" w:type="dxa"/>
            <w:tcMar>
              <w:left w:w="108" w:type="dxa"/>
            </w:tcMar>
          </w:tcPr>
          <w:p w:rsidR="00C33C45" w:rsidRPr="00812F65" w:rsidRDefault="00C33C45" w:rsidP="004E27C2">
            <w:pPr>
              <w:pStyle w:val="Paragrafoelenco"/>
              <w:numPr>
                <w:ilvl w:val="0"/>
                <w:numId w:val="75"/>
              </w:numPr>
              <w:rPr>
                <w:lang w:val="it-IT"/>
              </w:rPr>
            </w:pPr>
            <w:r w:rsidRPr="00812F65">
              <w:rPr>
                <w:lang w:val="it-IT"/>
              </w:rPr>
              <w:t>l’ammontare e la natura di singoli crediti o debiti tributari di importo rilevante con peculiari</w:t>
            </w:r>
          </w:p>
          <w:p w:rsidR="00C33C45" w:rsidRPr="00654D0B" w:rsidRDefault="00C33C45" w:rsidP="000D7E0A">
            <w:pPr>
              <w:pStyle w:val="Paragrafoelenco"/>
              <w:spacing w:line="230" w:lineRule="exact"/>
              <w:ind w:left="357"/>
              <w:rPr>
                <w:highlight w:val="green"/>
                <w:lang w:val="it-IT" w:eastAsia="it-IT"/>
              </w:rPr>
            </w:pPr>
            <w:r w:rsidRPr="00812F65">
              <w:rPr>
                <w:lang w:val="it-IT"/>
              </w:rPr>
              <w:t>caratteristiche di cui è importante che il lettore del bilancio abbia conoscenza</w:t>
            </w:r>
            <w:r>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CC242B"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r>
              <w:rPr>
                <w:lang w:val="it-IT"/>
              </w:rPr>
              <w:t>OIC 25.94</w:t>
            </w:r>
          </w:p>
          <w:p w:rsidR="00C33C45" w:rsidRPr="001867ED" w:rsidRDefault="00C33C45" w:rsidP="000D7E0A">
            <w:pPr>
              <w:pStyle w:val="PrincCont"/>
              <w:jc w:val="left"/>
              <w:rPr>
                <w:highlight w:val="yellow"/>
                <w:lang w:val="it-IT"/>
              </w:rPr>
            </w:pPr>
          </w:p>
        </w:tc>
        <w:tc>
          <w:tcPr>
            <w:tcW w:w="7060" w:type="dxa"/>
            <w:tcMar>
              <w:left w:w="108" w:type="dxa"/>
            </w:tcMar>
          </w:tcPr>
          <w:p w:rsidR="00C33C45" w:rsidRPr="001867ED" w:rsidRDefault="00C33C45" w:rsidP="000D7E0A">
            <w:pPr>
              <w:pStyle w:val="Commentiriquadro"/>
              <w:contextualSpacing/>
              <w:rPr>
                <w:highlight w:val="yellow"/>
              </w:rPr>
            </w:pPr>
            <w:r>
              <w:t>L’articolo 2423 comma 4 del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6B767C" w:rsidTr="000D7E0A">
        <w:trPr>
          <w:cantSplit/>
          <w:trHeight w:val="20"/>
        </w:trPr>
        <w:tc>
          <w:tcPr>
            <w:tcW w:w="680" w:type="dxa"/>
          </w:tcPr>
          <w:p w:rsidR="00C33C45" w:rsidRPr="00203D0E" w:rsidRDefault="00C33C45" w:rsidP="000D7E0A">
            <w:pPr>
              <w:jc w:val="center"/>
              <w:rPr>
                <w:b/>
                <w:lang w:val="it-IT"/>
              </w:rPr>
            </w:pPr>
            <w:r w:rsidRPr="00203D0E">
              <w:rPr>
                <w:b/>
                <w:lang w:val="it-IT"/>
              </w:rPr>
              <w:t>50)</w:t>
            </w:r>
          </w:p>
        </w:tc>
        <w:tc>
          <w:tcPr>
            <w:tcW w:w="851" w:type="dxa"/>
            <w:tcMar>
              <w:left w:w="108" w:type="dxa"/>
              <w:right w:w="0" w:type="dxa"/>
            </w:tcMar>
          </w:tcPr>
          <w:p w:rsidR="00C33C45" w:rsidRDefault="00C33C45" w:rsidP="000D7E0A">
            <w:pPr>
              <w:pStyle w:val="PrincCont"/>
              <w:jc w:val="left"/>
              <w:rPr>
                <w:lang w:val="it-IT"/>
              </w:rPr>
            </w:pPr>
            <w:r>
              <w:rPr>
                <w:lang w:val="it-IT"/>
              </w:rPr>
              <w:t>OIC 25.94</w:t>
            </w:r>
          </w:p>
        </w:tc>
        <w:tc>
          <w:tcPr>
            <w:tcW w:w="7060" w:type="dxa"/>
            <w:tcMar>
              <w:left w:w="108" w:type="dxa"/>
            </w:tcMar>
          </w:tcPr>
          <w:p w:rsidR="00C33C45" w:rsidRPr="004E1EBE" w:rsidRDefault="00C33C45" w:rsidP="000D7E0A">
            <w:pPr>
              <w:spacing w:line="230" w:lineRule="exact"/>
              <w:rPr>
                <w:lang w:val="it-IT" w:eastAsia="it-IT"/>
              </w:rPr>
            </w:pPr>
            <w:r>
              <w:rPr>
                <w:lang w:val="it-IT" w:eastAsia="it-IT"/>
              </w:rPr>
              <w:t>La</w:t>
            </w:r>
            <w:r w:rsidRPr="00291CF1">
              <w:rPr>
                <w:lang w:val="it-IT" w:eastAsia="it-IT"/>
              </w:rPr>
              <w:t xml:space="preserve"> società </w:t>
            </w:r>
            <w:r>
              <w:rPr>
                <w:lang w:val="it-IT" w:eastAsia="it-IT"/>
              </w:rPr>
              <w:t>ha illustrat</w:t>
            </w:r>
            <w:r w:rsidRPr="00291CF1">
              <w:rPr>
                <w:lang w:val="it-IT" w:eastAsia="it-IT"/>
              </w:rPr>
              <w:t xml:space="preserve">o nella </w:t>
            </w:r>
            <w:r>
              <w:rPr>
                <w:lang w:val="it-IT" w:eastAsia="it-IT"/>
              </w:rPr>
              <w:t>Nota Integrativa</w:t>
            </w:r>
            <w:r w:rsidRPr="00291CF1">
              <w:rPr>
                <w:lang w:val="it-IT" w:eastAsia="it-IT"/>
              </w:rPr>
              <w:t xml:space="preserve"> i criteri con i quali ha dato attuazione alla presente disposi</w:t>
            </w:r>
            <w:r>
              <w:rPr>
                <w:lang w:val="it-IT" w:eastAsia="it-IT"/>
              </w:rPr>
              <w:t>zione?</w:t>
            </w:r>
          </w:p>
        </w:tc>
        <w:tc>
          <w:tcPr>
            <w:tcW w:w="586" w:type="dxa"/>
            <w:tcMar>
              <w:left w:w="85" w:type="dxa"/>
              <w:right w:w="85"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CC242B" w:rsidTr="000D7E0A">
        <w:trPr>
          <w:cantSplit/>
          <w:trHeight w:val="20"/>
        </w:trPr>
        <w:tc>
          <w:tcPr>
            <w:tcW w:w="680" w:type="dxa"/>
          </w:tcPr>
          <w:p w:rsidR="00C33C45" w:rsidRPr="00203D0E" w:rsidRDefault="00C33C45" w:rsidP="000D7E0A">
            <w:pPr>
              <w:jc w:val="center"/>
              <w:rPr>
                <w:b/>
                <w:i/>
                <w:lang w:val="it-IT"/>
              </w:rPr>
            </w:pPr>
          </w:p>
        </w:tc>
        <w:tc>
          <w:tcPr>
            <w:tcW w:w="851" w:type="dxa"/>
            <w:tcMar>
              <w:left w:w="108" w:type="dxa"/>
              <w:right w:w="0" w:type="dxa"/>
            </w:tcMar>
          </w:tcPr>
          <w:p w:rsidR="00C33C45" w:rsidRPr="00D4120E" w:rsidRDefault="00C33C45" w:rsidP="000D7E0A">
            <w:pPr>
              <w:pStyle w:val="PrincCont"/>
              <w:jc w:val="left"/>
              <w:rPr>
                <w:i/>
                <w:highlight w:val="yellow"/>
                <w:lang w:val="it-IT"/>
              </w:rPr>
            </w:pPr>
          </w:p>
        </w:tc>
        <w:tc>
          <w:tcPr>
            <w:tcW w:w="7060" w:type="dxa"/>
            <w:tcMar>
              <w:left w:w="108" w:type="dxa"/>
            </w:tcMar>
          </w:tcPr>
          <w:p w:rsidR="00C33C45" w:rsidRPr="00D4120E" w:rsidRDefault="00C33C45" w:rsidP="000D7E0A">
            <w:pPr>
              <w:rPr>
                <w:i/>
                <w:highlight w:val="green"/>
                <w:lang w:val="it-IT" w:eastAsia="it-IT"/>
              </w:rPr>
            </w:pPr>
            <w:r w:rsidRPr="000C583C">
              <w:rPr>
                <w:b/>
                <w:i/>
                <w:lang w:val="it-IT" w:eastAsia="it-IT"/>
              </w:rPr>
              <w:t>Informazioni relative alle società che redigono il bilancio in forma abbreviata</w:t>
            </w:r>
          </w:p>
        </w:tc>
        <w:tc>
          <w:tcPr>
            <w:tcW w:w="586" w:type="dxa"/>
            <w:tcMar>
              <w:left w:w="85" w:type="dxa"/>
              <w:right w:w="85" w:type="dxa"/>
            </w:tcMar>
            <w:vAlign w:val="center"/>
          </w:tcPr>
          <w:p w:rsidR="00C33C45" w:rsidRPr="00D4120E" w:rsidRDefault="00C33C45" w:rsidP="000D7E0A">
            <w:pPr>
              <w:jc w:val="center"/>
              <w:rPr>
                <w:i/>
                <w:lang w:val="it-IT"/>
              </w:rPr>
            </w:pPr>
          </w:p>
        </w:tc>
        <w:tc>
          <w:tcPr>
            <w:tcW w:w="573" w:type="dxa"/>
            <w:tcMar>
              <w:left w:w="108" w:type="dxa"/>
            </w:tcMar>
            <w:vAlign w:val="center"/>
          </w:tcPr>
          <w:p w:rsidR="00C33C45" w:rsidRPr="00D4120E" w:rsidRDefault="00C33C45" w:rsidP="000D7E0A">
            <w:pPr>
              <w:jc w:val="center"/>
              <w:rPr>
                <w:i/>
                <w:lang w:val="it-IT"/>
              </w:rPr>
            </w:pPr>
          </w:p>
        </w:tc>
        <w:tc>
          <w:tcPr>
            <w:tcW w:w="570" w:type="dxa"/>
            <w:tcMar>
              <w:left w:w="108" w:type="dxa"/>
            </w:tcMar>
            <w:vAlign w:val="center"/>
          </w:tcPr>
          <w:p w:rsidR="00C33C45" w:rsidRPr="00D4120E" w:rsidRDefault="00C33C45" w:rsidP="000D7E0A">
            <w:pPr>
              <w:jc w:val="center"/>
              <w:rPr>
                <w:i/>
                <w:lang w:val="it-IT"/>
              </w:rPr>
            </w:pPr>
          </w:p>
        </w:tc>
      </w:tr>
      <w:tr w:rsidR="00C33C45" w:rsidRPr="00CC242B" w:rsidTr="000D7E0A">
        <w:trPr>
          <w:cantSplit/>
          <w:trHeight w:val="20"/>
        </w:trPr>
        <w:tc>
          <w:tcPr>
            <w:tcW w:w="680" w:type="dxa"/>
          </w:tcPr>
          <w:p w:rsidR="00C33C45" w:rsidRPr="00203D0E" w:rsidRDefault="00C33C45" w:rsidP="000D7E0A">
            <w:pPr>
              <w:jc w:val="center"/>
              <w:rPr>
                <w:b/>
                <w:lang w:val="it-IT"/>
              </w:rPr>
            </w:pPr>
            <w:r w:rsidRPr="00203D0E">
              <w:rPr>
                <w:b/>
                <w:lang w:val="it-IT"/>
              </w:rPr>
              <w:t>51)</w:t>
            </w:r>
          </w:p>
        </w:tc>
        <w:tc>
          <w:tcPr>
            <w:tcW w:w="851" w:type="dxa"/>
            <w:tcMar>
              <w:left w:w="108" w:type="dxa"/>
              <w:right w:w="0" w:type="dxa"/>
            </w:tcMar>
          </w:tcPr>
          <w:p w:rsidR="00C33C45" w:rsidRPr="009B56C0" w:rsidRDefault="00C33C45" w:rsidP="000D7E0A">
            <w:pPr>
              <w:pStyle w:val="PrincCont"/>
              <w:spacing w:before="20" w:after="0"/>
              <w:jc w:val="left"/>
            </w:pPr>
            <w:r w:rsidRPr="009B56C0">
              <w:t>Art. 2427</w:t>
            </w:r>
            <w:r>
              <w:t xml:space="preserve"> CC</w:t>
            </w:r>
          </w:p>
          <w:p w:rsidR="00C33C45" w:rsidRPr="009B56C0" w:rsidRDefault="00C33C45" w:rsidP="000D7E0A">
            <w:pPr>
              <w:pStyle w:val="PrincCont"/>
              <w:spacing w:before="0" w:after="0"/>
              <w:jc w:val="left"/>
            </w:pPr>
            <w:r>
              <w:t>OIC 25.95</w:t>
            </w:r>
          </w:p>
        </w:tc>
        <w:tc>
          <w:tcPr>
            <w:tcW w:w="7060" w:type="dxa"/>
            <w:tcMar>
              <w:left w:w="108" w:type="dxa"/>
            </w:tcMar>
          </w:tcPr>
          <w:p w:rsidR="00C33C45" w:rsidRPr="004E1EBE" w:rsidRDefault="00C33C45" w:rsidP="000D7E0A">
            <w:pPr>
              <w:spacing w:line="230" w:lineRule="exact"/>
              <w:rPr>
                <w:highlight w:val="green"/>
                <w:lang w:val="it-IT" w:eastAsia="it-IT"/>
              </w:rPr>
            </w:pPr>
            <w:r w:rsidRPr="000C583C">
              <w:rPr>
                <w:lang w:val="it-IT" w:eastAsia="it-IT"/>
              </w:rPr>
              <w:t>Con riferimento alle imposte sul reddito</w:t>
            </w:r>
            <w:r>
              <w:rPr>
                <w:lang w:val="it-IT" w:eastAsia="it-IT"/>
              </w:rPr>
              <w:t xml:space="preserve"> sono state</w:t>
            </w:r>
            <w:r w:rsidRPr="000C583C">
              <w:rPr>
                <w:lang w:val="it-IT" w:eastAsia="it-IT"/>
              </w:rPr>
              <w:t xml:space="preserve"> indicare le</w:t>
            </w:r>
            <w:r>
              <w:rPr>
                <w:lang w:val="it-IT" w:eastAsia="it-IT"/>
              </w:rPr>
              <w:t xml:space="preserve"> </w:t>
            </w:r>
            <w:r w:rsidRPr="000C583C">
              <w:rPr>
                <w:lang w:val="it-IT" w:eastAsia="it-IT"/>
              </w:rPr>
              <w:t xml:space="preserve">seguenti informazioni nella </w:t>
            </w:r>
            <w:r>
              <w:rPr>
                <w:lang w:val="it-IT" w:eastAsia="it-IT"/>
              </w:rPr>
              <w:t>Nota Integrativa</w:t>
            </w:r>
            <w:r w:rsidRPr="004E1EBE">
              <w:rPr>
                <w:lang w:val="it-IT" w:eastAsia="it-IT"/>
              </w:rPr>
              <w:t xml:space="preserve">: </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BD07F7" w:rsidTr="000D7E0A">
        <w:trPr>
          <w:cantSplit/>
          <w:trHeight w:val="20"/>
        </w:trPr>
        <w:tc>
          <w:tcPr>
            <w:tcW w:w="680" w:type="dxa"/>
          </w:tcPr>
          <w:p w:rsidR="00C33C45" w:rsidRPr="00203D0E" w:rsidRDefault="00C33C45" w:rsidP="000D7E0A">
            <w:pPr>
              <w:jc w:val="center"/>
              <w:rPr>
                <w:b/>
                <w:lang w:val="it-IT"/>
              </w:rPr>
            </w:pPr>
          </w:p>
        </w:tc>
        <w:tc>
          <w:tcPr>
            <w:tcW w:w="851" w:type="dxa"/>
            <w:tcMar>
              <w:left w:w="108" w:type="dxa"/>
              <w:right w:w="0" w:type="dxa"/>
            </w:tcMar>
          </w:tcPr>
          <w:p w:rsidR="00C33C45" w:rsidRPr="000C583C" w:rsidRDefault="00C33C45" w:rsidP="000D7E0A">
            <w:pPr>
              <w:pStyle w:val="PrincCont"/>
              <w:spacing w:before="0" w:after="0"/>
              <w:jc w:val="left"/>
              <w:rPr>
                <w:lang w:val="it-IT"/>
              </w:rPr>
            </w:pPr>
          </w:p>
        </w:tc>
        <w:tc>
          <w:tcPr>
            <w:tcW w:w="7060" w:type="dxa"/>
            <w:tcMar>
              <w:left w:w="108" w:type="dxa"/>
            </w:tcMar>
          </w:tcPr>
          <w:p w:rsidR="00C33C45" w:rsidRPr="000C583C" w:rsidRDefault="00C33C45" w:rsidP="00840B93">
            <w:pPr>
              <w:pStyle w:val="rientrotrattinook"/>
              <w:rPr>
                <w:lang w:eastAsia="it-IT"/>
              </w:rPr>
            </w:pPr>
            <w:r w:rsidRPr="000C583C">
              <w:t xml:space="preserve">i criteri applicati nella valutazione delle voci del bilancio, nelle rettifiche di valore e nella conversione dei valori non espressi all’origine in moneta </w:t>
            </w:r>
            <w:r>
              <w:t>avente corso legale nello Stato;</w:t>
            </w:r>
          </w:p>
        </w:tc>
        <w:tc>
          <w:tcPr>
            <w:tcW w:w="586" w:type="dxa"/>
            <w:tcMar>
              <w:left w:w="85" w:type="dxa"/>
              <w:right w:w="85"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CA1681">
              <w:fldChar w:fldCharType="separate"/>
            </w:r>
            <w:r w:rsidRPr="000C583C">
              <w:fldChar w:fldCharType="end"/>
            </w:r>
          </w:p>
        </w:tc>
        <w:tc>
          <w:tcPr>
            <w:tcW w:w="573" w:type="dxa"/>
            <w:tcMar>
              <w:left w:w="108"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CA1681">
              <w:fldChar w:fldCharType="separate"/>
            </w:r>
            <w:r w:rsidRPr="000C583C">
              <w:fldChar w:fldCharType="end"/>
            </w:r>
          </w:p>
        </w:tc>
        <w:tc>
          <w:tcPr>
            <w:tcW w:w="570" w:type="dxa"/>
            <w:tcMar>
              <w:left w:w="108" w:type="dxa"/>
            </w:tcMar>
            <w:vAlign w:val="center"/>
          </w:tcPr>
          <w:p w:rsidR="00C33C45" w:rsidRPr="00A32A16"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CA1681">
              <w:fldChar w:fldCharType="separate"/>
            </w:r>
            <w:r w:rsidRPr="000C583C">
              <w:fldChar w:fldCharType="end"/>
            </w:r>
          </w:p>
        </w:tc>
      </w:tr>
      <w:tr w:rsidR="00C33C45" w:rsidRPr="00BD07F7" w:rsidTr="000D7E0A">
        <w:trPr>
          <w:cantSplit/>
          <w:trHeight w:val="20"/>
        </w:trPr>
        <w:tc>
          <w:tcPr>
            <w:tcW w:w="680" w:type="dxa"/>
          </w:tcPr>
          <w:p w:rsidR="00C33C45" w:rsidRPr="00203D0E" w:rsidRDefault="00C33C45" w:rsidP="000D7E0A">
            <w:pPr>
              <w:jc w:val="center"/>
              <w:rPr>
                <w:b/>
                <w:lang w:val="it-IT"/>
              </w:rPr>
            </w:pPr>
          </w:p>
        </w:tc>
        <w:tc>
          <w:tcPr>
            <w:tcW w:w="851" w:type="dxa"/>
            <w:tcMar>
              <w:left w:w="108" w:type="dxa"/>
              <w:right w:w="0" w:type="dxa"/>
            </w:tcMar>
          </w:tcPr>
          <w:p w:rsidR="00C33C45" w:rsidRPr="000C583C" w:rsidRDefault="00C33C45" w:rsidP="000D7E0A">
            <w:pPr>
              <w:pStyle w:val="PrincCont"/>
              <w:spacing w:before="0" w:after="0"/>
              <w:jc w:val="left"/>
              <w:rPr>
                <w:lang w:val="it-IT"/>
              </w:rPr>
            </w:pPr>
          </w:p>
        </w:tc>
        <w:tc>
          <w:tcPr>
            <w:tcW w:w="7060" w:type="dxa"/>
            <w:tcMar>
              <w:left w:w="108" w:type="dxa"/>
            </w:tcMar>
          </w:tcPr>
          <w:p w:rsidR="00C33C45" w:rsidRPr="000C583C" w:rsidRDefault="00C33C45" w:rsidP="00840B93">
            <w:pPr>
              <w:pStyle w:val="rientrotrattinook"/>
            </w:pPr>
            <w:r>
              <w:t>le informazioni di cui all’articolo 2427, co. 1, n. 6, limitatamente ai soli debiti senza indicazione della ripartizione geografica;</w:t>
            </w:r>
          </w:p>
        </w:tc>
        <w:tc>
          <w:tcPr>
            <w:tcW w:w="586" w:type="dxa"/>
            <w:tcMar>
              <w:left w:w="85" w:type="dxa"/>
              <w:right w:w="85"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CA1681">
              <w:fldChar w:fldCharType="separate"/>
            </w:r>
            <w:r w:rsidRPr="000C583C">
              <w:fldChar w:fldCharType="end"/>
            </w:r>
          </w:p>
        </w:tc>
        <w:tc>
          <w:tcPr>
            <w:tcW w:w="573" w:type="dxa"/>
            <w:tcMar>
              <w:left w:w="108"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CA1681">
              <w:fldChar w:fldCharType="separate"/>
            </w:r>
            <w:r w:rsidRPr="000C583C">
              <w:fldChar w:fldCharType="end"/>
            </w:r>
          </w:p>
        </w:tc>
        <w:tc>
          <w:tcPr>
            <w:tcW w:w="570" w:type="dxa"/>
            <w:tcMar>
              <w:left w:w="108" w:type="dxa"/>
            </w:tcMar>
            <w:vAlign w:val="center"/>
          </w:tcPr>
          <w:p w:rsidR="00C33C45" w:rsidRPr="00A32A16"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CA1681">
              <w:fldChar w:fldCharType="separate"/>
            </w:r>
            <w:r w:rsidRPr="000C583C">
              <w:fldChar w:fldCharType="end"/>
            </w:r>
          </w:p>
        </w:tc>
      </w:tr>
      <w:tr w:rsidR="00C33C45" w:rsidRPr="00BD07F7" w:rsidTr="000D7E0A">
        <w:trPr>
          <w:cantSplit/>
          <w:trHeight w:val="20"/>
        </w:trPr>
        <w:tc>
          <w:tcPr>
            <w:tcW w:w="680" w:type="dxa"/>
          </w:tcPr>
          <w:p w:rsidR="00C33C45" w:rsidRPr="00203D0E" w:rsidRDefault="00C33C45" w:rsidP="000D7E0A">
            <w:pPr>
              <w:jc w:val="center"/>
              <w:rPr>
                <w:b/>
                <w:lang w:val="it-IT"/>
              </w:rPr>
            </w:pPr>
          </w:p>
        </w:tc>
        <w:tc>
          <w:tcPr>
            <w:tcW w:w="851" w:type="dxa"/>
            <w:tcMar>
              <w:left w:w="108" w:type="dxa"/>
              <w:right w:w="0" w:type="dxa"/>
            </w:tcMar>
          </w:tcPr>
          <w:p w:rsidR="00C33C45" w:rsidRPr="000C583C" w:rsidRDefault="00C33C45" w:rsidP="000D7E0A">
            <w:pPr>
              <w:pStyle w:val="PrincCont"/>
              <w:spacing w:before="0" w:after="0"/>
              <w:jc w:val="left"/>
              <w:rPr>
                <w:lang w:val="it-IT"/>
              </w:rPr>
            </w:pPr>
          </w:p>
        </w:tc>
        <w:tc>
          <w:tcPr>
            <w:tcW w:w="7060" w:type="dxa"/>
            <w:tcMar>
              <w:left w:w="108" w:type="dxa"/>
            </w:tcMar>
          </w:tcPr>
          <w:p w:rsidR="00C33C45" w:rsidRPr="000C583C" w:rsidRDefault="00C33C45" w:rsidP="00840B93">
            <w:pPr>
              <w:pStyle w:val="rientrotrattinook"/>
            </w:pPr>
            <w:r>
              <w:t>l’importo complessivo degli impegni, delle garanzie e delle passività potenziali non risultanti dallo stato patrimoniale, con indicazione della natura delle garanzie reali prestate; gli impegni esistenti in materia di trattamento di quiescenza e simili, nonché gli impegni assunti nei confronti di imprese controllate, collegate, nonché controllanti e imprese sottoposte al controllo di quest’ultime sono distintamente indicati?</w:t>
            </w:r>
          </w:p>
        </w:tc>
        <w:tc>
          <w:tcPr>
            <w:tcW w:w="586" w:type="dxa"/>
            <w:tcMar>
              <w:left w:w="85" w:type="dxa"/>
              <w:right w:w="85"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CA1681">
              <w:fldChar w:fldCharType="separate"/>
            </w:r>
            <w:r w:rsidRPr="000C583C">
              <w:fldChar w:fldCharType="end"/>
            </w:r>
          </w:p>
        </w:tc>
        <w:tc>
          <w:tcPr>
            <w:tcW w:w="573" w:type="dxa"/>
            <w:tcMar>
              <w:left w:w="108"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CA1681">
              <w:fldChar w:fldCharType="separate"/>
            </w:r>
            <w:r w:rsidRPr="000C583C">
              <w:fldChar w:fldCharType="end"/>
            </w:r>
          </w:p>
        </w:tc>
        <w:tc>
          <w:tcPr>
            <w:tcW w:w="570" w:type="dxa"/>
            <w:tcMar>
              <w:left w:w="108" w:type="dxa"/>
            </w:tcMar>
            <w:vAlign w:val="center"/>
          </w:tcPr>
          <w:p w:rsidR="00C33C45" w:rsidRPr="00A32A16"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CA1681">
              <w:fldChar w:fldCharType="separate"/>
            </w:r>
            <w:r w:rsidRPr="000C583C">
              <w:fldChar w:fldCharType="end"/>
            </w:r>
          </w:p>
        </w:tc>
      </w:tr>
      <w:tr w:rsidR="00C33C45" w:rsidRPr="00CC242B" w:rsidTr="000D7E0A">
        <w:trPr>
          <w:cantSplit/>
          <w:trHeight w:val="20"/>
        </w:trPr>
        <w:tc>
          <w:tcPr>
            <w:tcW w:w="680" w:type="dxa"/>
          </w:tcPr>
          <w:p w:rsidR="00C33C45" w:rsidRPr="00203D0E" w:rsidRDefault="00C33C45" w:rsidP="000D7E0A">
            <w:pPr>
              <w:jc w:val="center"/>
              <w:rPr>
                <w:b/>
                <w:lang w:val="it-IT"/>
              </w:rPr>
            </w:pPr>
          </w:p>
        </w:tc>
        <w:tc>
          <w:tcPr>
            <w:tcW w:w="851" w:type="dxa"/>
            <w:tcMar>
              <w:left w:w="108" w:type="dxa"/>
              <w:right w:w="0" w:type="dxa"/>
            </w:tcMar>
          </w:tcPr>
          <w:p w:rsidR="00C33C45" w:rsidRDefault="00C33C45" w:rsidP="000D7E0A">
            <w:pPr>
              <w:pStyle w:val="PrincCont"/>
              <w:jc w:val="left"/>
              <w:rPr>
                <w:lang w:val="it-IT"/>
              </w:rPr>
            </w:pPr>
            <w:r>
              <w:rPr>
                <w:lang w:val="it-IT"/>
              </w:rPr>
              <w:t>OIC 25.96</w:t>
            </w:r>
          </w:p>
          <w:p w:rsidR="00C33C45" w:rsidRPr="001867ED" w:rsidRDefault="00C33C45" w:rsidP="000D7E0A">
            <w:pPr>
              <w:pStyle w:val="PrincCont"/>
              <w:jc w:val="left"/>
              <w:rPr>
                <w:highlight w:val="yellow"/>
                <w:lang w:val="it-IT"/>
              </w:rPr>
            </w:pPr>
          </w:p>
        </w:tc>
        <w:tc>
          <w:tcPr>
            <w:tcW w:w="7060" w:type="dxa"/>
            <w:tcMar>
              <w:left w:w="108" w:type="dxa"/>
            </w:tcMar>
          </w:tcPr>
          <w:p w:rsidR="00C33C45" w:rsidRPr="001867ED" w:rsidRDefault="00C33C45" w:rsidP="000D7E0A">
            <w:pPr>
              <w:pStyle w:val="Commentiriquadro"/>
              <w:contextualSpacing/>
              <w:rPr>
                <w:highlight w:val="yellow"/>
              </w:rPr>
            </w:pPr>
            <w:r>
              <w:t>L’articolo 2423 comma 4 del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6B767C" w:rsidTr="000D7E0A">
        <w:trPr>
          <w:cantSplit/>
          <w:trHeight w:val="20"/>
        </w:trPr>
        <w:tc>
          <w:tcPr>
            <w:tcW w:w="680" w:type="dxa"/>
          </w:tcPr>
          <w:p w:rsidR="00C33C45" w:rsidRPr="00203D0E" w:rsidRDefault="00C33C45" w:rsidP="000D7E0A">
            <w:pPr>
              <w:jc w:val="center"/>
              <w:rPr>
                <w:b/>
                <w:lang w:val="it-IT"/>
              </w:rPr>
            </w:pPr>
            <w:r w:rsidRPr="00203D0E">
              <w:rPr>
                <w:b/>
                <w:lang w:val="it-IT"/>
              </w:rPr>
              <w:t>52)</w:t>
            </w:r>
          </w:p>
        </w:tc>
        <w:tc>
          <w:tcPr>
            <w:tcW w:w="851" w:type="dxa"/>
            <w:tcMar>
              <w:left w:w="108" w:type="dxa"/>
              <w:right w:w="0" w:type="dxa"/>
            </w:tcMar>
          </w:tcPr>
          <w:p w:rsidR="00C33C45" w:rsidRDefault="00C33C45" w:rsidP="000D7E0A">
            <w:pPr>
              <w:pStyle w:val="PrincCont"/>
              <w:jc w:val="left"/>
              <w:rPr>
                <w:lang w:val="it-IT"/>
              </w:rPr>
            </w:pPr>
            <w:r>
              <w:rPr>
                <w:lang w:val="it-IT"/>
              </w:rPr>
              <w:t>OIC 25.96</w:t>
            </w:r>
          </w:p>
        </w:tc>
        <w:tc>
          <w:tcPr>
            <w:tcW w:w="7060" w:type="dxa"/>
            <w:tcMar>
              <w:left w:w="108" w:type="dxa"/>
            </w:tcMar>
          </w:tcPr>
          <w:p w:rsidR="00C33C45" w:rsidRPr="004E1EBE" w:rsidRDefault="00C33C45" w:rsidP="000D7E0A">
            <w:pPr>
              <w:spacing w:line="230" w:lineRule="exact"/>
              <w:rPr>
                <w:lang w:val="it-IT" w:eastAsia="it-IT"/>
              </w:rPr>
            </w:pPr>
            <w:r>
              <w:rPr>
                <w:lang w:val="it-IT" w:eastAsia="it-IT"/>
              </w:rPr>
              <w:t>La</w:t>
            </w:r>
            <w:r w:rsidRPr="00291CF1">
              <w:rPr>
                <w:lang w:val="it-IT" w:eastAsia="it-IT"/>
              </w:rPr>
              <w:t xml:space="preserve"> società </w:t>
            </w:r>
            <w:r>
              <w:rPr>
                <w:lang w:val="it-IT" w:eastAsia="it-IT"/>
              </w:rPr>
              <w:t>ha illustrat</w:t>
            </w:r>
            <w:r w:rsidRPr="00291CF1">
              <w:rPr>
                <w:lang w:val="it-IT" w:eastAsia="it-IT"/>
              </w:rPr>
              <w:t xml:space="preserve">o nella </w:t>
            </w:r>
            <w:r>
              <w:rPr>
                <w:lang w:val="it-IT" w:eastAsia="it-IT"/>
              </w:rPr>
              <w:t>Nota Integrativa</w:t>
            </w:r>
            <w:r w:rsidRPr="00291CF1">
              <w:rPr>
                <w:lang w:val="it-IT" w:eastAsia="it-IT"/>
              </w:rPr>
              <w:t xml:space="preserve"> i criteri con i quali ha dato attuazione alla presente disposi</w:t>
            </w:r>
            <w:r>
              <w:rPr>
                <w:lang w:val="it-IT" w:eastAsia="it-IT"/>
              </w:rPr>
              <w:t>zione?</w:t>
            </w:r>
          </w:p>
        </w:tc>
        <w:tc>
          <w:tcPr>
            <w:tcW w:w="586" w:type="dxa"/>
            <w:tcMar>
              <w:left w:w="85" w:type="dxa"/>
              <w:right w:w="85"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BD07F7" w:rsidTr="000D7E0A">
        <w:trPr>
          <w:cantSplit/>
          <w:trHeight w:val="20"/>
        </w:trPr>
        <w:tc>
          <w:tcPr>
            <w:tcW w:w="680" w:type="dxa"/>
          </w:tcPr>
          <w:p w:rsidR="00C33C45" w:rsidRPr="00203D0E"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p>
        </w:tc>
        <w:tc>
          <w:tcPr>
            <w:tcW w:w="7060" w:type="dxa"/>
            <w:tcMar>
              <w:left w:w="108" w:type="dxa"/>
            </w:tcMar>
          </w:tcPr>
          <w:p w:rsidR="00C33C45" w:rsidRPr="00094E97" w:rsidRDefault="00C33C45" w:rsidP="000D7E0A">
            <w:pPr>
              <w:pStyle w:val="Titolo2"/>
            </w:pPr>
            <w:r>
              <w:t>Disposizioni di prima applicazione</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6B767C" w:rsidTr="000D7E0A">
        <w:trPr>
          <w:cantSplit/>
          <w:trHeight w:val="20"/>
        </w:trPr>
        <w:tc>
          <w:tcPr>
            <w:tcW w:w="680" w:type="dxa"/>
          </w:tcPr>
          <w:p w:rsidR="00C33C45" w:rsidRPr="00203D0E" w:rsidRDefault="00C33C45" w:rsidP="000D7E0A">
            <w:pPr>
              <w:jc w:val="center"/>
              <w:rPr>
                <w:b/>
                <w:lang w:val="it-IT"/>
              </w:rPr>
            </w:pPr>
            <w:r w:rsidRPr="00203D0E">
              <w:rPr>
                <w:b/>
                <w:lang w:val="it-IT"/>
              </w:rPr>
              <w:t>53)</w:t>
            </w:r>
          </w:p>
        </w:tc>
        <w:tc>
          <w:tcPr>
            <w:tcW w:w="851" w:type="dxa"/>
            <w:tcMar>
              <w:left w:w="108" w:type="dxa"/>
              <w:right w:w="0" w:type="dxa"/>
            </w:tcMar>
          </w:tcPr>
          <w:p w:rsidR="00C33C45" w:rsidRDefault="00C33C45" w:rsidP="000D7E0A">
            <w:pPr>
              <w:pStyle w:val="PrincCont"/>
              <w:jc w:val="left"/>
              <w:rPr>
                <w:lang w:val="it-IT"/>
              </w:rPr>
            </w:pPr>
            <w:r>
              <w:rPr>
                <w:lang w:val="it-IT"/>
              </w:rPr>
              <w:t>OIC 25.100</w:t>
            </w:r>
          </w:p>
        </w:tc>
        <w:tc>
          <w:tcPr>
            <w:tcW w:w="7060" w:type="dxa"/>
            <w:tcMar>
              <w:left w:w="108" w:type="dxa"/>
            </w:tcMar>
          </w:tcPr>
          <w:p w:rsidR="00C33C45" w:rsidRPr="004E1EBE" w:rsidRDefault="00C33C45" w:rsidP="000D7E0A">
            <w:pPr>
              <w:spacing w:line="230" w:lineRule="exact"/>
              <w:rPr>
                <w:lang w:val="it-IT" w:eastAsia="it-IT"/>
              </w:rPr>
            </w:pPr>
            <w:r w:rsidRPr="00340B46">
              <w:rPr>
                <w:lang w:val="it-IT" w:eastAsia="it-IT"/>
              </w:rPr>
              <w:t>Gli eventuali effetti derivanti dall’applicazione delle modifiche apportate alla precedente versione</w:t>
            </w:r>
            <w:r>
              <w:rPr>
                <w:lang w:val="it-IT" w:eastAsia="it-IT"/>
              </w:rPr>
              <w:t xml:space="preserve"> </w:t>
            </w:r>
            <w:r w:rsidRPr="00340B46">
              <w:rPr>
                <w:lang w:val="it-IT" w:eastAsia="it-IT"/>
              </w:rPr>
              <w:t>dell’OIC 25 in tema di riclassificazione degli oneri e proventi straordinari sono applicati</w:t>
            </w:r>
            <w:r>
              <w:rPr>
                <w:lang w:val="it-IT" w:eastAsia="it-IT"/>
              </w:rPr>
              <w:t xml:space="preserve"> </w:t>
            </w:r>
            <w:r w:rsidRPr="00340B46">
              <w:rPr>
                <w:lang w:val="it-IT" w:eastAsia="it-IT"/>
              </w:rPr>
              <w:t>retroattivamente</w:t>
            </w:r>
            <w:r>
              <w:rPr>
                <w:lang w:val="it-IT" w:eastAsia="it-IT"/>
              </w:rPr>
              <w:t>, ai soli fini riclassificatori?</w:t>
            </w:r>
          </w:p>
        </w:tc>
        <w:tc>
          <w:tcPr>
            <w:tcW w:w="586" w:type="dxa"/>
            <w:tcMar>
              <w:left w:w="85" w:type="dxa"/>
              <w:right w:w="85"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C33C45" w:rsidRPr="00CC242B"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r>
              <w:rPr>
                <w:lang w:val="it-IT"/>
              </w:rPr>
              <w:t>OIC 25.101</w:t>
            </w:r>
          </w:p>
          <w:p w:rsidR="00C33C45" w:rsidRPr="001867ED" w:rsidRDefault="00C33C45" w:rsidP="000D7E0A">
            <w:pPr>
              <w:pStyle w:val="PrincCont"/>
              <w:jc w:val="left"/>
              <w:rPr>
                <w:highlight w:val="yellow"/>
                <w:lang w:val="it-IT"/>
              </w:rPr>
            </w:pPr>
          </w:p>
        </w:tc>
        <w:tc>
          <w:tcPr>
            <w:tcW w:w="7060" w:type="dxa"/>
            <w:tcMar>
              <w:left w:w="108" w:type="dxa"/>
            </w:tcMar>
          </w:tcPr>
          <w:p w:rsidR="00C33C45" w:rsidRPr="001867ED" w:rsidRDefault="00C33C45" w:rsidP="000D7E0A">
            <w:pPr>
              <w:pStyle w:val="Commentiriquadro"/>
              <w:contextualSpacing/>
              <w:rPr>
                <w:highlight w:val="yellow"/>
              </w:rPr>
            </w:pPr>
            <w:r>
              <w:t>Eventuali effetti derivanti dall’applicazione delle modifiche apportate alla precedente versione dell’OIC 25 possono essere rilevati in bilancio prospetticamente ai sensi dell’OIC 29. Pertanto le componenti delle voci riferite ad operazioni che non hanno ancora esaurito i loro effetti in bilancio possono continuare ad essere contabilizzate in conformità al precedente principio.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bl>
    <w:p w:rsidR="00C33C45" w:rsidRPr="00181FF6" w:rsidRDefault="00C33C45" w:rsidP="00C33C45">
      <w:pPr>
        <w:rPr>
          <w:lang w:val="it-IT"/>
        </w:rPr>
      </w:pPr>
    </w:p>
    <w:p w:rsidR="0003478B" w:rsidRDefault="0003478B" w:rsidP="00AD4AE2">
      <w:pPr>
        <w:rPr>
          <w:lang w:val="it-IT"/>
        </w:rPr>
        <w:sectPr w:rsidR="0003478B" w:rsidSect="000D7E0A">
          <w:headerReference w:type="default" r:id="rId55"/>
          <w:footerReference w:type="default" r:id="rId56"/>
          <w:pgSz w:w="11906" w:h="16838" w:code="9"/>
          <w:pgMar w:top="1134" w:right="851" w:bottom="851" w:left="851" w:header="709" w:footer="567" w:gutter="0"/>
          <w:cols w:space="708"/>
          <w:docGrid w:linePitch="360"/>
        </w:sectPr>
      </w:pPr>
    </w:p>
    <w:p w:rsidR="0003478B" w:rsidRPr="00655A70" w:rsidRDefault="0003478B" w:rsidP="0003478B">
      <w:pPr>
        <w:rPr>
          <w:lang w:val="it-IT"/>
        </w:rPr>
      </w:pPr>
    </w:p>
    <w:p w:rsidR="0003478B" w:rsidRPr="00454676" w:rsidRDefault="0003478B" w:rsidP="0003478B">
      <w:pPr>
        <w:tabs>
          <w:tab w:val="left" w:pos="1890"/>
        </w:tabs>
        <w:spacing w:line="260" w:lineRule="exact"/>
        <w:ind w:left="990" w:hanging="990"/>
        <w:jc w:val="left"/>
        <w:rPr>
          <w:b/>
          <w:color w:val="0070C0"/>
          <w:sz w:val="28"/>
          <w:lang w:val="it-IT"/>
        </w:rPr>
      </w:pPr>
      <w:r w:rsidRPr="00454676">
        <w:rPr>
          <w:b/>
          <w:color w:val="0070C0"/>
          <w:sz w:val="28"/>
          <w:lang w:val="it-IT"/>
        </w:rPr>
        <w:t>Patrimoni destinati ad uno specifico affare</w:t>
      </w:r>
    </w:p>
    <w:p w:rsidR="0003478B" w:rsidRPr="00462301" w:rsidRDefault="0003478B" w:rsidP="0003478B">
      <w:pPr>
        <w:rPr>
          <w:lang w:val="it-IT"/>
        </w:rPr>
      </w:pPr>
    </w:p>
    <w:p w:rsidR="0003478B" w:rsidRPr="00462301" w:rsidRDefault="0003478B" w:rsidP="0003478B">
      <w:pPr>
        <w:rPr>
          <w:lang w:val="it-IT"/>
        </w:rPr>
      </w:pPr>
    </w:p>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03478B" w:rsidRPr="008A0F36" w:rsidTr="000D7E0A">
        <w:trPr>
          <w:cantSplit/>
          <w:trHeight w:val="20"/>
          <w:tblHeader/>
        </w:trPr>
        <w:tc>
          <w:tcPr>
            <w:tcW w:w="680" w:type="dxa"/>
            <w:shd w:val="clear" w:color="auto" w:fill="F2F2F2"/>
          </w:tcPr>
          <w:p w:rsidR="0003478B" w:rsidRPr="008A0F36" w:rsidRDefault="0003478B" w:rsidP="000D7E0A">
            <w:pPr>
              <w:jc w:val="center"/>
              <w:rPr>
                <w:lang w:val="it-IT"/>
              </w:rPr>
            </w:pPr>
          </w:p>
        </w:tc>
        <w:tc>
          <w:tcPr>
            <w:tcW w:w="851" w:type="dxa"/>
            <w:shd w:val="clear" w:color="auto" w:fill="F2F2F2"/>
            <w:tcMar>
              <w:left w:w="108" w:type="dxa"/>
              <w:right w:w="0" w:type="dxa"/>
            </w:tcMar>
          </w:tcPr>
          <w:p w:rsidR="0003478B" w:rsidRPr="008A0F36" w:rsidRDefault="0003478B" w:rsidP="000D7E0A">
            <w:pPr>
              <w:jc w:val="left"/>
              <w:rPr>
                <w:b/>
                <w:lang w:val="it-IT"/>
              </w:rPr>
            </w:pPr>
          </w:p>
        </w:tc>
        <w:tc>
          <w:tcPr>
            <w:tcW w:w="7060" w:type="dxa"/>
            <w:shd w:val="clear" w:color="auto" w:fill="F2F2F2"/>
            <w:tcMar>
              <w:left w:w="108" w:type="dxa"/>
            </w:tcMar>
          </w:tcPr>
          <w:p w:rsidR="0003478B" w:rsidRPr="008A0F36" w:rsidRDefault="0003478B" w:rsidP="000D7E0A">
            <w:pPr>
              <w:jc w:val="center"/>
              <w:rPr>
                <w:b/>
                <w:lang w:val="it-IT"/>
              </w:rPr>
            </w:pPr>
          </w:p>
        </w:tc>
        <w:tc>
          <w:tcPr>
            <w:tcW w:w="586" w:type="dxa"/>
            <w:shd w:val="clear" w:color="auto" w:fill="F2F2F2"/>
            <w:tcMar>
              <w:left w:w="85" w:type="dxa"/>
              <w:right w:w="85" w:type="dxa"/>
            </w:tcMar>
            <w:vAlign w:val="bottom"/>
          </w:tcPr>
          <w:p w:rsidR="0003478B" w:rsidRPr="008A0F36" w:rsidRDefault="0003478B" w:rsidP="000D7E0A">
            <w:pPr>
              <w:jc w:val="center"/>
              <w:rPr>
                <w:b/>
                <w:lang w:val="it-IT"/>
              </w:rPr>
            </w:pPr>
            <w:r w:rsidRPr="008A0F36">
              <w:rPr>
                <w:b/>
                <w:lang w:val="it-IT"/>
              </w:rPr>
              <w:t>SI</w:t>
            </w:r>
          </w:p>
        </w:tc>
        <w:tc>
          <w:tcPr>
            <w:tcW w:w="573" w:type="dxa"/>
            <w:shd w:val="clear" w:color="auto" w:fill="F2F2F2"/>
            <w:tcMar>
              <w:left w:w="108" w:type="dxa"/>
            </w:tcMar>
            <w:vAlign w:val="bottom"/>
          </w:tcPr>
          <w:p w:rsidR="0003478B" w:rsidRPr="008A0F36" w:rsidRDefault="0003478B" w:rsidP="000D7E0A">
            <w:pPr>
              <w:jc w:val="center"/>
              <w:rPr>
                <w:b/>
                <w:lang w:val="it-IT"/>
              </w:rPr>
            </w:pPr>
            <w:r w:rsidRPr="008A0F36">
              <w:rPr>
                <w:b/>
                <w:lang w:val="it-IT"/>
              </w:rPr>
              <w:t>NO</w:t>
            </w:r>
          </w:p>
        </w:tc>
        <w:tc>
          <w:tcPr>
            <w:tcW w:w="570" w:type="dxa"/>
            <w:shd w:val="clear" w:color="auto" w:fill="F2F2F2"/>
            <w:tcMar>
              <w:left w:w="108" w:type="dxa"/>
            </w:tcMar>
            <w:vAlign w:val="bottom"/>
          </w:tcPr>
          <w:p w:rsidR="0003478B" w:rsidRPr="008A0F36" w:rsidRDefault="0003478B" w:rsidP="000D7E0A">
            <w:pPr>
              <w:jc w:val="center"/>
              <w:rPr>
                <w:b/>
                <w:lang w:val="it-IT"/>
              </w:rPr>
            </w:pPr>
            <w:r w:rsidRPr="008A0F36">
              <w:rPr>
                <w:b/>
                <w:lang w:val="it-IT"/>
              </w:rPr>
              <w:t>N/A</w:t>
            </w:r>
          </w:p>
        </w:tc>
      </w:tr>
      <w:tr w:rsidR="0003478B" w:rsidRPr="00CC242B" w:rsidTr="000D7E0A">
        <w:trPr>
          <w:cantSplit/>
          <w:trHeight w:val="20"/>
        </w:trPr>
        <w:tc>
          <w:tcPr>
            <w:tcW w:w="680" w:type="dxa"/>
            <w:vAlign w:val="center"/>
          </w:tcPr>
          <w:p w:rsidR="0003478B" w:rsidRPr="008A0F36" w:rsidRDefault="0003478B" w:rsidP="000D7E0A">
            <w:pPr>
              <w:overflowPunct/>
              <w:autoSpaceDE/>
              <w:autoSpaceDN/>
              <w:adjustRightInd/>
              <w:spacing w:before="0" w:after="0" w:line="240" w:lineRule="auto"/>
              <w:jc w:val="left"/>
              <w:textAlignment w:val="auto"/>
              <w:rPr>
                <w:lang w:val="it-IT"/>
              </w:rPr>
            </w:pPr>
          </w:p>
        </w:tc>
        <w:tc>
          <w:tcPr>
            <w:tcW w:w="851" w:type="dxa"/>
            <w:tcMar>
              <w:left w:w="108" w:type="dxa"/>
              <w:right w:w="0" w:type="dxa"/>
            </w:tcMar>
            <w:vAlign w:val="center"/>
          </w:tcPr>
          <w:p w:rsidR="0003478B" w:rsidRPr="008A0F36" w:rsidRDefault="0003478B" w:rsidP="000D7E0A">
            <w:pPr>
              <w:pStyle w:val="PrincCont"/>
              <w:jc w:val="left"/>
              <w:rPr>
                <w:lang w:val="it-IT"/>
              </w:rPr>
            </w:pPr>
          </w:p>
        </w:tc>
        <w:tc>
          <w:tcPr>
            <w:tcW w:w="7060" w:type="dxa"/>
            <w:tcMar>
              <w:left w:w="108" w:type="dxa"/>
            </w:tcMar>
            <w:vAlign w:val="center"/>
          </w:tcPr>
          <w:p w:rsidR="0003478B" w:rsidRPr="008A0F36" w:rsidRDefault="0003478B" w:rsidP="000D7E0A">
            <w:pPr>
              <w:pStyle w:val="Titolo1"/>
            </w:pPr>
            <w:bookmarkStart w:id="5" w:name="_Toc311103558"/>
            <w:r w:rsidRPr="00042E79">
              <w:t>Patrimoni destinati ad uno specifico affare</w:t>
            </w:r>
            <w:bookmarkEnd w:id="5"/>
          </w:p>
        </w:tc>
        <w:tc>
          <w:tcPr>
            <w:tcW w:w="586" w:type="dxa"/>
            <w:tcMar>
              <w:left w:w="85" w:type="dxa"/>
              <w:right w:w="85" w:type="dxa"/>
            </w:tcMar>
            <w:vAlign w:val="center"/>
          </w:tcPr>
          <w:p w:rsidR="0003478B" w:rsidRPr="008A0F36" w:rsidRDefault="0003478B" w:rsidP="000D7E0A">
            <w:pPr>
              <w:jc w:val="left"/>
              <w:rPr>
                <w:lang w:val="it-IT"/>
              </w:rPr>
            </w:pPr>
          </w:p>
        </w:tc>
        <w:tc>
          <w:tcPr>
            <w:tcW w:w="573" w:type="dxa"/>
            <w:tcMar>
              <w:left w:w="108" w:type="dxa"/>
            </w:tcMar>
            <w:vAlign w:val="center"/>
          </w:tcPr>
          <w:p w:rsidR="0003478B" w:rsidRPr="008A0F36" w:rsidRDefault="0003478B" w:rsidP="000D7E0A">
            <w:pPr>
              <w:jc w:val="left"/>
              <w:rPr>
                <w:lang w:val="it-IT"/>
              </w:rPr>
            </w:pPr>
          </w:p>
        </w:tc>
        <w:tc>
          <w:tcPr>
            <w:tcW w:w="570" w:type="dxa"/>
            <w:tcMar>
              <w:left w:w="108" w:type="dxa"/>
            </w:tcMar>
            <w:vAlign w:val="center"/>
          </w:tcPr>
          <w:p w:rsidR="0003478B" w:rsidRPr="008A0F36" w:rsidRDefault="0003478B" w:rsidP="000D7E0A">
            <w:pPr>
              <w:jc w:val="left"/>
              <w:rPr>
                <w:lang w:val="it-IT"/>
              </w:rPr>
            </w:pPr>
          </w:p>
        </w:tc>
      </w:tr>
      <w:tr w:rsidR="0003478B" w:rsidRPr="00CC242B" w:rsidTr="000D7E0A">
        <w:trPr>
          <w:cantSplit/>
          <w:trHeight w:val="340"/>
        </w:trPr>
        <w:tc>
          <w:tcPr>
            <w:tcW w:w="680" w:type="dxa"/>
          </w:tcPr>
          <w:p w:rsidR="0003478B" w:rsidRPr="008A0F36" w:rsidRDefault="0003478B" w:rsidP="000D7E0A">
            <w:pPr>
              <w:jc w:val="center"/>
              <w:rPr>
                <w:lang w:val="it-IT"/>
              </w:rPr>
            </w:pPr>
          </w:p>
        </w:tc>
        <w:tc>
          <w:tcPr>
            <w:tcW w:w="851" w:type="dxa"/>
            <w:tcMar>
              <w:left w:w="108" w:type="dxa"/>
              <w:right w:w="0" w:type="dxa"/>
            </w:tcMar>
          </w:tcPr>
          <w:p w:rsidR="0003478B" w:rsidRPr="008A0F36" w:rsidRDefault="0003478B" w:rsidP="000D7E0A">
            <w:pPr>
              <w:pStyle w:val="PrincCont"/>
              <w:jc w:val="left"/>
              <w:rPr>
                <w:lang w:val="it-IT"/>
              </w:rPr>
            </w:pPr>
            <w:r>
              <w:rPr>
                <w:lang w:val="it-IT"/>
              </w:rPr>
              <w:t>Art. 2447-bis CC</w:t>
            </w:r>
          </w:p>
        </w:tc>
        <w:tc>
          <w:tcPr>
            <w:tcW w:w="7060" w:type="dxa"/>
            <w:tcMar>
              <w:left w:w="108" w:type="dxa"/>
            </w:tcMar>
          </w:tcPr>
          <w:p w:rsidR="0003478B" w:rsidRDefault="0003478B" w:rsidP="000D7E0A">
            <w:pPr>
              <w:pStyle w:val="Commentiriquadro"/>
              <w:rPr>
                <w:lang w:eastAsia="it-IT"/>
              </w:rPr>
            </w:pPr>
            <w:r>
              <w:rPr>
                <w:lang w:eastAsia="it-IT"/>
              </w:rPr>
              <w:t>La società può:</w:t>
            </w:r>
          </w:p>
          <w:p w:rsidR="0003478B" w:rsidRDefault="0003478B" w:rsidP="000D7E0A">
            <w:pPr>
              <w:pStyle w:val="Commentiriquadro"/>
              <w:ind w:left="318" w:hanging="261"/>
              <w:rPr>
                <w:lang w:eastAsia="it-IT"/>
              </w:rPr>
            </w:pPr>
            <w:r>
              <w:rPr>
                <w:lang w:eastAsia="it-IT"/>
              </w:rPr>
              <w:t>a)</w:t>
            </w:r>
            <w:r>
              <w:rPr>
                <w:lang w:eastAsia="it-IT"/>
              </w:rPr>
              <w:tab/>
              <w:t>costituire uno o più patrimoni ciascuno dei quali destinato in via esclusiva ad uno specifico affare;</w:t>
            </w:r>
          </w:p>
          <w:p w:rsidR="0003478B" w:rsidRDefault="0003478B" w:rsidP="000D7E0A">
            <w:pPr>
              <w:pStyle w:val="Commentiriquadro"/>
              <w:ind w:left="317" w:hanging="260"/>
              <w:rPr>
                <w:lang w:eastAsia="it-IT"/>
              </w:rPr>
            </w:pPr>
            <w:r>
              <w:rPr>
                <w:lang w:eastAsia="it-IT"/>
              </w:rPr>
              <w:t>b)</w:t>
            </w:r>
            <w:r>
              <w:rPr>
                <w:lang w:eastAsia="it-IT"/>
              </w:rPr>
              <w:tab/>
              <w:t>convenire che nel contratto relativo al finanziamento di uno specifico affare al rimborso totale o parziale del finanziamento medesimo siano destinati i proventi dell'affare stesso, o parte di essi.</w:t>
            </w:r>
          </w:p>
          <w:p w:rsidR="0003478B" w:rsidRPr="005A570F" w:rsidRDefault="0003478B" w:rsidP="000D7E0A">
            <w:pPr>
              <w:pStyle w:val="Commentiriquadro"/>
            </w:pPr>
            <w:r>
              <w:rPr>
                <w:lang w:eastAsia="it-IT"/>
              </w:rPr>
              <w:t>Salvo quanto disposto in leggi speciali, i patrimoni destinati ai sensi della lettera a) del primo comma non possono essere costituiti per un valore complessivamente superiore al dieci per cento del patrimonio netto della società e non possono comunque essere costituiti per l'esercizio di affari attinenti ad attività riservate in base alle leggi speciali.</w:t>
            </w:r>
          </w:p>
        </w:tc>
        <w:tc>
          <w:tcPr>
            <w:tcW w:w="586" w:type="dxa"/>
            <w:tcMar>
              <w:left w:w="85" w:type="dxa"/>
              <w:right w:w="85" w:type="dxa"/>
            </w:tcMar>
            <w:vAlign w:val="center"/>
          </w:tcPr>
          <w:p w:rsidR="0003478B" w:rsidRPr="00FF19F7" w:rsidRDefault="0003478B" w:rsidP="000D7E0A">
            <w:pPr>
              <w:jc w:val="center"/>
              <w:rPr>
                <w:lang w:val="it-IT"/>
              </w:rPr>
            </w:pPr>
          </w:p>
        </w:tc>
        <w:tc>
          <w:tcPr>
            <w:tcW w:w="573" w:type="dxa"/>
            <w:tcMar>
              <w:left w:w="108" w:type="dxa"/>
            </w:tcMar>
            <w:vAlign w:val="center"/>
          </w:tcPr>
          <w:p w:rsidR="0003478B" w:rsidRPr="00FF19F7" w:rsidRDefault="0003478B" w:rsidP="000D7E0A">
            <w:pPr>
              <w:jc w:val="center"/>
              <w:rPr>
                <w:lang w:val="it-IT"/>
              </w:rPr>
            </w:pPr>
          </w:p>
        </w:tc>
        <w:tc>
          <w:tcPr>
            <w:tcW w:w="570" w:type="dxa"/>
            <w:tcMar>
              <w:left w:w="108" w:type="dxa"/>
            </w:tcMar>
            <w:vAlign w:val="center"/>
          </w:tcPr>
          <w:p w:rsidR="0003478B" w:rsidRPr="00FF19F7" w:rsidRDefault="0003478B" w:rsidP="000D7E0A">
            <w:pPr>
              <w:jc w:val="center"/>
              <w:rPr>
                <w:lang w:val="it-IT"/>
              </w:rPr>
            </w:pPr>
          </w:p>
        </w:tc>
      </w:tr>
      <w:tr w:rsidR="0003478B" w:rsidRPr="000D133D" w:rsidTr="000D7E0A">
        <w:trPr>
          <w:cantSplit/>
          <w:trHeight w:val="20"/>
        </w:trPr>
        <w:tc>
          <w:tcPr>
            <w:tcW w:w="680" w:type="dxa"/>
          </w:tcPr>
          <w:p w:rsidR="0003478B" w:rsidRPr="003469A5" w:rsidRDefault="0003478B" w:rsidP="000D7E0A">
            <w:pPr>
              <w:jc w:val="center"/>
              <w:rPr>
                <w:b/>
                <w:lang w:val="it-IT"/>
              </w:rPr>
            </w:pPr>
            <w:r w:rsidRPr="003469A5">
              <w:rPr>
                <w:b/>
                <w:lang w:val="it-IT"/>
              </w:rPr>
              <w:t>1)</w:t>
            </w:r>
          </w:p>
        </w:tc>
        <w:tc>
          <w:tcPr>
            <w:tcW w:w="851" w:type="dxa"/>
            <w:tcMar>
              <w:left w:w="108" w:type="dxa"/>
              <w:right w:w="0" w:type="dxa"/>
            </w:tcMar>
          </w:tcPr>
          <w:p w:rsidR="0003478B" w:rsidRPr="008A0F36" w:rsidRDefault="0003478B" w:rsidP="000D7E0A">
            <w:pPr>
              <w:pStyle w:val="PrincCont"/>
              <w:jc w:val="left"/>
              <w:rPr>
                <w:lang w:val="it-IT"/>
              </w:rPr>
            </w:pPr>
          </w:p>
        </w:tc>
        <w:tc>
          <w:tcPr>
            <w:tcW w:w="7060" w:type="dxa"/>
            <w:tcMar>
              <w:left w:w="108" w:type="dxa"/>
            </w:tcMar>
          </w:tcPr>
          <w:p w:rsidR="0003478B" w:rsidRPr="000D133D" w:rsidRDefault="0003478B" w:rsidP="000D7E0A">
            <w:pPr>
              <w:spacing w:line="230" w:lineRule="exact"/>
              <w:rPr>
                <w:lang w:val="it-IT"/>
              </w:rPr>
            </w:pPr>
            <w:r w:rsidRPr="005A570F">
              <w:rPr>
                <w:lang w:val="it-IT"/>
              </w:rPr>
              <w:t>La società ha</w:t>
            </w:r>
            <w:r>
              <w:rPr>
                <w:lang w:val="it-IT"/>
              </w:rPr>
              <w:t xml:space="preserve"> </w:t>
            </w:r>
            <w:r w:rsidRPr="000D133D">
              <w:rPr>
                <w:lang w:val="it-IT"/>
              </w:rPr>
              <w:t>costituito uno o più patrimoni ciascuno dei quali destinato in via esclusiva ad uno specifico affare</w:t>
            </w:r>
            <w:r>
              <w:rPr>
                <w:lang w:val="it-IT"/>
              </w:rPr>
              <w:t>?</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CA1681">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CA1681">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CA1681">
              <w:fldChar w:fldCharType="separate"/>
            </w:r>
            <w:r>
              <w:fldChar w:fldCharType="end"/>
            </w:r>
          </w:p>
        </w:tc>
      </w:tr>
      <w:tr w:rsidR="0003478B" w:rsidRPr="005A570F" w:rsidTr="000D7E0A">
        <w:trPr>
          <w:cantSplit/>
          <w:trHeight w:val="20"/>
        </w:trPr>
        <w:tc>
          <w:tcPr>
            <w:tcW w:w="680" w:type="dxa"/>
          </w:tcPr>
          <w:p w:rsidR="0003478B" w:rsidRPr="003469A5" w:rsidRDefault="0003478B" w:rsidP="000D7E0A">
            <w:pPr>
              <w:jc w:val="center"/>
              <w:rPr>
                <w:b/>
                <w:lang w:val="it-IT"/>
              </w:rPr>
            </w:pPr>
            <w:r w:rsidRPr="003469A5">
              <w:rPr>
                <w:b/>
                <w:lang w:val="it-IT"/>
              </w:rPr>
              <w:t>2)</w:t>
            </w:r>
          </w:p>
        </w:tc>
        <w:tc>
          <w:tcPr>
            <w:tcW w:w="851" w:type="dxa"/>
            <w:tcMar>
              <w:left w:w="108" w:type="dxa"/>
              <w:right w:w="0" w:type="dxa"/>
            </w:tcMar>
          </w:tcPr>
          <w:p w:rsidR="0003478B" w:rsidRPr="000D133D" w:rsidRDefault="0003478B" w:rsidP="000D7E0A">
            <w:pPr>
              <w:pStyle w:val="PrincCont"/>
              <w:jc w:val="left"/>
              <w:rPr>
                <w:lang w:val="it-IT"/>
              </w:rPr>
            </w:pPr>
            <w:r>
              <w:rPr>
                <w:lang w:val="it-IT"/>
              </w:rPr>
              <w:t xml:space="preserve">Art. 2447-decies, c.1, </w:t>
            </w:r>
            <w:r w:rsidRPr="00D2428A">
              <w:rPr>
                <w:lang w:val="it-IT"/>
              </w:rPr>
              <w:t>CC</w:t>
            </w:r>
          </w:p>
        </w:tc>
        <w:tc>
          <w:tcPr>
            <w:tcW w:w="7060" w:type="dxa"/>
            <w:tcMar>
              <w:left w:w="108" w:type="dxa"/>
            </w:tcMar>
          </w:tcPr>
          <w:p w:rsidR="0003478B" w:rsidRPr="000D133D" w:rsidRDefault="0003478B" w:rsidP="000D7E0A">
            <w:pPr>
              <w:spacing w:line="230" w:lineRule="exact"/>
              <w:rPr>
                <w:lang w:val="it-IT"/>
              </w:rPr>
            </w:pPr>
            <w:r w:rsidRPr="000D133D">
              <w:rPr>
                <w:lang w:val="it-IT"/>
              </w:rPr>
              <w:t>La società ha convenuto che nel contratto relativo al finanziamento di uno specifico affare, al rimborso totale o parziale del finanziamento medesimo siano destinati i proventi dell’affare stesso, o parti di essi?</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CA1681">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CA1681">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CA1681">
              <w:fldChar w:fldCharType="separate"/>
            </w:r>
            <w:r>
              <w:fldChar w:fldCharType="end"/>
            </w:r>
          </w:p>
        </w:tc>
      </w:tr>
      <w:tr w:rsidR="0003478B" w:rsidRPr="00CC242B" w:rsidTr="000D7E0A">
        <w:trPr>
          <w:cantSplit/>
          <w:trHeight w:val="20"/>
        </w:trPr>
        <w:tc>
          <w:tcPr>
            <w:tcW w:w="680" w:type="dxa"/>
          </w:tcPr>
          <w:p w:rsidR="0003478B" w:rsidRPr="003469A5" w:rsidRDefault="0003478B" w:rsidP="000D7E0A">
            <w:pPr>
              <w:jc w:val="center"/>
              <w:rPr>
                <w:b/>
                <w:lang w:val="it-IT"/>
              </w:rPr>
            </w:pPr>
            <w:r w:rsidRPr="003469A5">
              <w:rPr>
                <w:b/>
                <w:lang w:val="it-IT"/>
              </w:rPr>
              <w:t>3)</w:t>
            </w:r>
          </w:p>
        </w:tc>
        <w:tc>
          <w:tcPr>
            <w:tcW w:w="851" w:type="dxa"/>
            <w:tcMar>
              <w:left w:w="108" w:type="dxa"/>
              <w:right w:w="0" w:type="dxa"/>
            </w:tcMar>
          </w:tcPr>
          <w:p w:rsidR="0003478B" w:rsidRPr="008A0F36" w:rsidRDefault="0003478B" w:rsidP="000D7E0A">
            <w:pPr>
              <w:pStyle w:val="PrincCont"/>
              <w:jc w:val="left"/>
              <w:rPr>
                <w:lang w:val="it-IT"/>
              </w:rPr>
            </w:pPr>
            <w:r>
              <w:rPr>
                <w:lang w:val="it-IT"/>
              </w:rPr>
              <w:t>Art. 2427, c.</w:t>
            </w:r>
            <w:r w:rsidRPr="00711F3D">
              <w:rPr>
                <w:lang w:val="it-IT"/>
              </w:rPr>
              <w:t>1, n</w:t>
            </w:r>
            <w:r>
              <w:rPr>
                <w:lang w:val="it-IT"/>
              </w:rPr>
              <w:t>n. 20 e 21, CC</w:t>
            </w:r>
          </w:p>
        </w:tc>
        <w:tc>
          <w:tcPr>
            <w:tcW w:w="7060" w:type="dxa"/>
            <w:tcMar>
              <w:left w:w="108" w:type="dxa"/>
            </w:tcMar>
          </w:tcPr>
          <w:p w:rsidR="0003478B" w:rsidRPr="00711F3D" w:rsidRDefault="0003478B" w:rsidP="000D7E0A">
            <w:pPr>
              <w:spacing w:line="230" w:lineRule="exact"/>
              <w:rPr>
                <w:lang w:val="it-IT"/>
              </w:rPr>
            </w:pPr>
            <w:r w:rsidRPr="00711F3D">
              <w:rPr>
                <w:lang w:val="it-IT"/>
              </w:rPr>
              <w:t xml:space="preserve">In caso affermativo gli amministratori nella </w:t>
            </w:r>
            <w:r w:rsidR="00104BFF">
              <w:rPr>
                <w:lang w:val="it-IT"/>
              </w:rPr>
              <w:t>Nota Integrativa</w:t>
            </w:r>
            <w:r w:rsidRPr="00711F3D">
              <w:rPr>
                <w:lang w:val="it-IT"/>
              </w:rPr>
              <w:t xml:space="preserve"> della società </w:t>
            </w:r>
            <w:r>
              <w:rPr>
                <w:lang w:val="it-IT"/>
              </w:rPr>
              <w:t>hanno riportat</w:t>
            </w:r>
            <w:r w:rsidRPr="00711F3D">
              <w:rPr>
                <w:lang w:val="it-IT"/>
              </w:rPr>
              <w:t>o</w:t>
            </w:r>
            <w:r>
              <w:rPr>
                <w:lang w:val="it-IT"/>
              </w:rPr>
              <w:t>:</w:t>
            </w:r>
          </w:p>
        </w:tc>
        <w:tc>
          <w:tcPr>
            <w:tcW w:w="586" w:type="dxa"/>
            <w:tcMar>
              <w:left w:w="85" w:type="dxa"/>
              <w:right w:w="85" w:type="dxa"/>
            </w:tcMar>
            <w:vAlign w:val="center"/>
          </w:tcPr>
          <w:p w:rsidR="0003478B" w:rsidRPr="00FF19F7" w:rsidRDefault="0003478B" w:rsidP="000D7E0A">
            <w:pPr>
              <w:jc w:val="center"/>
              <w:rPr>
                <w:lang w:val="it-IT"/>
              </w:rPr>
            </w:pPr>
          </w:p>
        </w:tc>
        <w:tc>
          <w:tcPr>
            <w:tcW w:w="573" w:type="dxa"/>
            <w:tcMar>
              <w:left w:w="108" w:type="dxa"/>
            </w:tcMar>
            <w:vAlign w:val="center"/>
          </w:tcPr>
          <w:p w:rsidR="0003478B" w:rsidRPr="0003362A" w:rsidRDefault="0003478B" w:rsidP="000D7E0A">
            <w:pPr>
              <w:jc w:val="center"/>
              <w:rPr>
                <w:lang w:val="it-IT"/>
              </w:rPr>
            </w:pPr>
          </w:p>
        </w:tc>
        <w:tc>
          <w:tcPr>
            <w:tcW w:w="570" w:type="dxa"/>
            <w:tcMar>
              <w:left w:w="108" w:type="dxa"/>
            </w:tcMar>
            <w:vAlign w:val="center"/>
          </w:tcPr>
          <w:p w:rsidR="0003478B" w:rsidRPr="0003362A" w:rsidRDefault="0003478B" w:rsidP="000D7E0A">
            <w:pPr>
              <w:jc w:val="center"/>
              <w:rPr>
                <w:lang w:val="it-IT"/>
              </w:rPr>
            </w:pPr>
          </w:p>
        </w:tc>
      </w:tr>
      <w:tr w:rsidR="0003478B" w:rsidRPr="00F50B82" w:rsidTr="000D7E0A">
        <w:trPr>
          <w:cantSplit/>
          <w:trHeight w:val="20"/>
        </w:trPr>
        <w:tc>
          <w:tcPr>
            <w:tcW w:w="680" w:type="dxa"/>
          </w:tcPr>
          <w:p w:rsidR="0003478B" w:rsidRPr="003469A5" w:rsidRDefault="0003478B" w:rsidP="000D7E0A">
            <w:pPr>
              <w:jc w:val="center"/>
              <w:rPr>
                <w:b/>
                <w:lang w:val="it-IT"/>
              </w:rPr>
            </w:pPr>
          </w:p>
        </w:tc>
        <w:tc>
          <w:tcPr>
            <w:tcW w:w="851" w:type="dxa"/>
            <w:tcMar>
              <w:left w:w="108" w:type="dxa"/>
              <w:right w:w="0" w:type="dxa"/>
            </w:tcMar>
          </w:tcPr>
          <w:p w:rsidR="0003478B" w:rsidRPr="008A0F36" w:rsidRDefault="0003478B" w:rsidP="000D7E0A">
            <w:pPr>
              <w:pStyle w:val="PrincCont"/>
              <w:jc w:val="left"/>
              <w:rPr>
                <w:lang w:val="it-IT"/>
              </w:rPr>
            </w:pPr>
            <w:r>
              <w:rPr>
                <w:lang w:val="it-IT"/>
              </w:rPr>
              <w:t>Art. 2447-septies, c.3</w:t>
            </w:r>
            <w:r w:rsidRPr="00D2428A">
              <w:rPr>
                <w:lang w:val="it-IT"/>
              </w:rPr>
              <w:t>, CC</w:t>
            </w:r>
          </w:p>
        </w:tc>
        <w:tc>
          <w:tcPr>
            <w:tcW w:w="7060" w:type="dxa"/>
            <w:tcMar>
              <w:left w:w="108" w:type="dxa"/>
            </w:tcMar>
          </w:tcPr>
          <w:p w:rsidR="0003478B" w:rsidRPr="00711F3D" w:rsidRDefault="0003478B" w:rsidP="003A0BEB">
            <w:pPr>
              <w:pStyle w:val="rientrotrattinook"/>
              <w:tabs>
                <w:tab w:val="clear" w:pos="704"/>
              </w:tabs>
              <w:ind w:left="460" w:hanging="284"/>
            </w:pPr>
            <w:r w:rsidRPr="00A710DB">
              <w:t>l’illus</w:t>
            </w:r>
            <w:r w:rsidRPr="00711F3D">
              <w:t>trazione del valore e della tipologia dei beni e dei rapporti giuridici compresi in ciascun patrimonio destinato, ivi inclusi quelli apportati da terzi</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3478B" w:rsidRPr="008A0F36" w:rsidTr="000D7E0A">
        <w:trPr>
          <w:cantSplit/>
          <w:trHeight w:val="20"/>
        </w:trPr>
        <w:tc>
          <w:tcPr>
            <w:tcW w:w="680" w:type="dxa"/>
          </w:tcPr>
          <w:p w:rsidR="0003478B" w:rsidRPr="003469A5" w:rsidRDefault="0003478B" w:rsidP="000D7E0A">
            <w:pPr>
              <w:jc w:val="center"/>
              <w:rPr>
                <w:b/>
                <w:lang w:val="it-IT"/>
              </w:rPr>
            </w:pPr>
          </w:p>
        </w:tc>
        <w:tc>
          <w:tcPr>
            <w:tcW w:w="851" w:type="dxa"/>
            <w:tcMar>
              <w:left w:w="108" w:type="dxa"/>
              <w:right w:w="0" w:type="dxa"/>
            </w:tcMar>
          </w:tcPr>
          <w:p w:rsidR="0003478B" w:rsidRPr="008A0F36" w:rsidRDefault="0003478B" w:rsidP="000D7E0A">
            <w:pPr>
              <w:pStyle w:val="PrincCont"/>
              <w:jc w:val="left"/>
              <w:rPr>
                <w:lang w:val="it-IT"/>
              </w:rPr>
            </w:pPr>
            <w:r>
              <w:rPr>
                <w:lang w:val="it-IT"/>
              </w:rPr>
              <w:t>Art. 2447-septies, c.3</w:t>
            </w:r>
            <w:r w:rsidRPr="00D2428A">
              <w:rPr>
                <w:lang w:val="it-IT"/>
              </w:rPr>
              <w:t>, CC</w:t>
            </w:r>
          </w:p>
        </w:tc>
        <w:tc>
          <w:tcPr>
            <w:tcW w:w="7060" w:type="dxa"/>
            <w:tcMar>
              <w:left w:w="108" w:type="dxa"/>
            </w:tcMar>
          </w:tcPr>
          <w:p w:rsidR="0003478B" w:rsidRPr="00711F3D" w:rsidRDefault="0003478B" w:rsidP="003A0BEB">
            <w:pPr>
              <w:pStyle w:val="rientrotrattinook"/>
              <w:tabs>
                <w:tab w:val="clear" w:pos="704"/>
              </w:tabs>
              <w:ind w:left="460" w:hanging="284"/>
            </w:pPr>
            <w:r w:rsidRPr="00711F3D">
              <w:t>i criteri adottati per la imputazione degli elementi comuni di costo e di ricavo, nonché il corrisponde</w:t>
            </w:r>
            <w:r>
              <w:t>nte regime della responsabilità</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3478B" w:rsidRPr="00F50B82" w:rsidTr="000D7E0A">
        <w:trPr>
          <w:cantSplit/>
          <w:trHeight w:val="20"/>
        </w:trPr>
        <w:tc>
          <w:tcPr>
            <w:tcW w:w="680" w:type="dxa"/>
          </w:tcPr>
          <w:p w:rsidR="0003478B" w:rsidRPr="003469A5" w:rsidRDefault="0003478B" w:rsidP="000D7E0A">
            <w:pPr>
              <w:jc w:val="center"/>
              <w:rPr>
                <w:b/>
                <w:lang w:val="it-IT"/>
              </w:rPr>
            </w:pPr>
          </w:p>
        </w:tc>
        <w:tc>
          <w:tcPr>
            <w:tcW w:w="851" w:type="dxa"/>
            <w:tcMar>
              <w:left w:w="108" w:type="dxa"/>
              <w:right w:w="0" w:type="dxa"/>
            </w:tcMar>
          </w:tcPr>
          <w:p w:rsidR="0003478B" w:rsidRPr="008A0F36" w:rsidRDefault="0003478B" w:rsidP="000D7E0A">
            <w:pPr>
              <w:pStyle w:val="PrincCont"/>
              <w:jc w:val="left"/>
              <w:rPr>
                <w:lang w:val="it-IT"/>
              </w:rPr>
            </w:pPr>
            <w:r>
              <w:rPr>
                <w:lang w:val="it-IT"/>
              </w:rPr>
              <w:t>Art. 2447-decies, c.</w:t>
            </w:r>
            <w:r w:rsidRPr="00D2428A">
              <w:rPr>
                <w:lang w:val="it-IT"/>
              </w:rPr>
              <w:t>8, CC</w:t>
            </w:r>
          </w:p>
        </w:tc>
        <w:tc>
          <w:tcPr>
            <w:tcW w:w="7060" w:type="dxa"/>
            <w:tcMar>
              <w:left w:w="108" w:type="dxa"/>
            </w:tcMar>
          </w:tcPr>
          <w:p w:rsidR="0003478B" w:rsidRPr="00AC1912" w:rsidRDefault="0003478B" w:rsidP="003A0BEB">
            <w:pPr>
              <w:pStyle w:val="rientrotrattinook"/>
              <w:tabs>
                <w:tab w:val="clear" w:pos="704"/>
              </w:tabs>
              <w:ind w:left="460" w:hanging="284"/>
            </w:pPr>
            <w:r>
              <w:t>l’indicazione della destinazione dei</w:t>
            </w:r>
            <w:r w:rsidRPr="00AC1912">
              <w:t xml:space="preserve"> proventi dell’affare stesso al rimborso totale o parziale del finanziamento </w:t>
            </w:r>
            <w:r>
              <w:t>destinato</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3478B" w:rsidRPr="00F50B82" w:rsidTr="000D7E0A">
        <w:trPr>
          <w:cantSplit/>
          <w:trHeight w:val="20"/>
        </w:trPr>
        <w:tc>
          <w:tcPr>
            <w:tcW w:w="680" w:type="dxa"/>
          </w:tcPr>
          <w:p w:rsidR="0003478B" w:rsidRPr="003469A5" w:rsidRDefault="0003478B" w:rsidP="000D7E0A">
            <w:pPr>
              <w:jc w:val="center"/>
              <w:rPr>
                <w:b/>
                <w:lang w:val="it-IT"/>
              </w:rPr>
            </w:pPr>
          </w:p>
        </w:tc>
        <w:tc>
          <w:tcPr>
            <w:tcW w:w="851" w:type="dxa"/>
            <w:tcMar>
              <w:left w:w="108" w:type="dxa"/>
              <w:right w:w="0" w:type="dxa"/>
            </w:tcMar>
          </w:tcPr>
          <w:p w:rsidR="0003478B" w:rsidRPr="008A0F36" w:rsidRDefault="0003478B" w:rsidP="000D7E0A">
            <w:pPr>
              <w:pStyle w:val="PrincCont"/>
              <w:jc w:val="left"/>
              <w:rPr>
                <w:lang w:val="it-IT"/>
              </w:rPr>
            </w:pPr>
          </w:p>
        </w:tc>
        <w:tc>
          <w:tcPr>
            <w:tcW w:w="7060" w:type="dxa"/>
            <w:tcMar>
              <w:left w:w="108" w:type="dxa"/>
            </w:tcMar>
          </w:tcPr>
          <w:p w:rsidR="0003478B" w:rsidRPr="00AC1912" w:rsidRDefault="0003478B" w:rsidP="003A0BEB">
            <w:pPr>
              <w:pStyle w:val="rientrotrattinook"/>
              <w:tabs>
                <w:tab w:val="clear" w:pos="704"/>
              </w:tabs>
              <w:ind w:left="460" w:hanging="284"/>
            </w:pPr>
            <w:r>
              <w:t>l’indicazione del vincolo dei</w:t>
            </w:r>
            <w:r w:rsidRPr="00AC1912">
              <w:t xml:space="preserve"> beni strumentali destinati all</w:t>
            </w:r>
            <w:r>
              <w:t>a realizzazione dell’operazione?</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3478B" w:rsidRPr="00F50B82" w:rsidTr="000D7E0A">
        <w:trPr>
          <w:cantSplit/>
          <w:trHeight w:val="20"/>
        </w:trPr>
        <w:tc>
          <w:tcPr>
            <w:tcW w:w="680" w:type="dxa"/>
          </w:tcPr>
          <w:p w:rsidR="0003478B" w:rsidRPr="003469A5" w:rsidRDefault="0003478B" w:rsidP="000D7E0A">
            <w:pPr>
              <w:jc w:val="center"/>
              <w:rPr>
                <w:b/>
                <w:lang w:val="it-IT"/>
              </w:rPr>
            </w:pPr>
            <w:r w:rsidRPr="003469A5">
              <w:rPr>
                <w:b/>
                <w:lang w:val="it-IT"/>
              </w:rPr>
              <w:t>4)</w:t>
            </w:r>
          </w:p>
        </w:tc>
        <w:tc>
          <w:tcPr>
            <w:tcW w:w="851" w:type="dxa"/>
            <w:tcMar>
              <w:left w:w="108" w:type="dxa"/>
              <w:right w:w="0" w:type="dxa"/>
            </w:tcMar>
          </w:tcPr>
          <w:p w:rsidR="0003478B" w:rsidRPr="00262F7D" w:rsidRDefault="0003478B" w:rsidP="000D7E0A">
            <w:pPr>
              <w:pStyle w:val="PrincCont"/>
              <w:jc w:val="left"/>
            </w:pPr>
            <w:r>
              <w:t>Art. 2447-septies, c.4, CC</w:t>
            </w:r>
          </w:p>
        </w:tc>
        <w:tc>
          <w:tcPr>
            <w:tcW w:w="7060" w:type="dxa"/>
            <w:tcMar>
              <w:left w:w="108" w:type="dxa"/>
            </w:tcMar>
          </w:tcPr>
          <w:p w:rsidR="0003478B" w:rsidRPr="00262F7D" w:rsidRDefault="0003478B" w:rsidP="000D7E0A">
            <w:pPr>
              <w:spacing w:line="230" w:lineRule="exact"/>
              <w:rPr>
                <w:lang w:val="it-IT"/>
              </w:rPr>
            </w:pPr>
            <w:r w:rsidRPr="00262F7D">
              <w:rPr>
                <w:lang w:val="it-IT"/>
              </w:rPr>
              <w:t xml:space="preserve">Qualora la deliberazione costitutiva del patrimonio destinato preveda una responsabilità illimitata della società per le obbligazioni contratte in relazione allo specifico affare, l’impegno da ciò derivante risulta in calce allo stato patrimoniale e ha formato oggetto di valutazione da parte degli amministratori secondo criteri illustrati in </w:t>
            </w:r>
            <w:r w:rsidR="00104BFF">
              <w:rPr>
                <w:lang w:val="it-IT"/>
              </w:rPr>
              <w:t>Nota Integrativa</w:t>
            </w:r>
            <w:r>
              <w:rPr>
                <w:lang w:val="it-IT"/>
              </w:rPr>
              <w:t>?</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3478B" w:rsidRPr="00134DB6" w:rsidTr="000D7E0A">
        <w:trPr>
          <w:cantSplit/>
          <w:trHeight w:val="20"/>
        </w:trPr>
        <w:tc>
          <w:tcPr>
            <w:tcW w:w="680" w:type="dxa"/>
          </w:tcPr>
          <w:p w:rsidR="0003478B" w:rsidRPr="003469A5" w:rsidRDefault="0003478B" w:rsidP="000D7E0A">
            <w:pPr>
              <w:jc w:val="center"/>
              <w:rPr>
                <w:b/>
                <w:lang w:val="it-IT"/>
              </w:rPr>
            </w:pPr>
            <w:r w:rsidRPr="003469A5">
              <w:rPr>
                <w:b/>
                <w:lang w:val="it-IT"/>
              </w:rPr>
              <w:t>5)</w:t>
            </w:r>
          </w:p>
        </w:tc>
        <w:tc>
          <w:tcPr>
            <w:tcW w:w="851" w:type="dxa"/>
            <w:tcMar>
              <w:left w:w="108" w:type="dxa"/>
              <w:right w:w="0" w:type="dxa"/>
            </w:tcMar>
          </w:tcPr>
          <w:p w:rsidR="0003478B" w:rsidRDefault="0003478B" w:rsidP="000D7E0A">
            <w:pPr>
              <w:pStyle w:val="PrincCont"/>
              <w:jc w:val="left"/>
            </w:pPr>
            <w:r>
              <w:t>Art. 2447-sexies CC</w:t>
            </w:r>
          </w:p>
        </w:tc>
        <w:tc>
          <w:tcPr>
            <w:tcW w:w="7060" w:type="dxa"/>
            <w:tcMar>
              <w:left w:w="108" w:type="dxa"/>
            </w:tcMar>
          </w:tcPr>
          <w:p w:rsidR="0003478B" w:rsidRPr="00262F7D" w:rsidRDefault="0003478B" w:rsidP="000D7E0A">
            <w:pPr>
              <w:spacing w:line="230" w:lineRule="exact"/>
              <w:rPr>
                <w:lang w:val="it-IT"/>
              </w:rPr>
            </w:pPr>
            <w:r>
              <w:rPr>
                <w:lang w:val="it-IT"/>
              </w:rPr>
              <w:t>È stata istituita una contabilità separata per ogni singolo patrimonio destinato?</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CA1681">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CA1681">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CA1681">
              <w:fldChar w:fldCharType="separate"/>
            </w:r>
            <w:r>
              <w:fldChar w:fldCharType="end"/>
            </w:r>
          </w:p>
        </w:tc>
      </w:tr>
      <w:tr w:rsidR="0003478B" w:rsidRPr="00F50B82" w:rsidTr="000D7E0A">
        <w:trPr>
          <w:cantSplit/>
          <w:trHeight w:val="20"/>
        </w:trPr>
        <w:tc>
          <w:tcPr>
            <w:tcW w:w="680" w:type="dxa"/>
          </w:tcPr>
          <w:p w:rsidR="0003478B" w:rsidRPr="003469A5" w:rsidRDefault="0003478B" w:rsidP="000D7E0A">
            <w:pPr>
              <w:jc w:val="center"/>
              <w:rPr>
                <w:b/>
                <w:lang w:val="it-IT"/>
              </w:rPr>
            </w:pPr>
            <w:r w:rsidRPr="003469A5">
              <w:rPr>
                <w:b/>
                <w:lang w:val="it-IT"/>
              </w:rPr>
              <w:t>6)</w:t>
            </w:r>
          </w:p>
        </w:tc>
        <w:tc>
          <w:tcPr>
            <w:tcW w:w="851" w:type="dxa"/>
            <w:tcMar>
              <w:left w:w="108" w:type="dxa"/>
              <w:right w:w="0" w:type="dxa"/>
            </w:tcMar>
          </w:tcPr>
          <w:p w:rsidR="0003478B" w:rsidRPr="00262F7D" w:rsidRDefault="0003478B" w:rsidP="000D7E0A">
            <w:pPr>
              <w:pStyle w:val="PrincCont"/>
              <w:jc w:val="left"/>
            </w:pPr>
            <w:r>
              <w:t>Art. 2447-septies, c.2, CC</w:t>
            </w:r>
          </w:p>
        </w:tc>
        <w:tc>
          <w:tcPr>
            <w:tcW w:w="7060" w:type="dxa"/>
            <w:tcMar>
              <w:left w:w="108" w:type="dxa"/>
            </w:tcMar>
          </w:tcPr>
          <w:p w:rsidR="0003478B" w:rsidRPr="00262F7D" w:rsidRDefault="0003478B" w:rsidP="000D7E0A">
            <w:pPr>
              <w:spacing w:line="230" w:lineRule="exact"/>
              <w:jc w:val="left"/>
              <w:rPr>
                <w:lang w:val="it-IT"/>
              </w:rPr>
            </w:pPr>
            <w:r w:rsidRPr="00262F7D">
              <w:rPr>
                <w:lang w:val="it-IT"/>
              </w:rPr>
              <w:t>Per ciascun patrimonio destinato è stato redatto un rendiconto separato</w:t>
            </w:r>
            <w:r>
              <w:rPr>
                <w:lang w:val="it-IT"/>
              </w:rPr>
              <w:t xml:space="preserve"> allegato al bilancio?</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3478B" w:rsidRPr="00F50B82" w:rsidTr="000D7E0A">
        <w:trPr>
          <w:cantSplit/>
          <w:trHeight w:val="20"/>
        </w:trPr>
        <w:tc>
          <w:tcPr>
            <w:tcW w:w="680" w:type="dxa"/>
          </w:tcPr>
          <w:p w:rsidR="0003478B" w:rsidRPr="003469A5" w:rsidRDefault="0003478B" w:rsidP="000D7E0A">
            <w:pPr>
              <w:jc w:val="center"/>
              <w:rPr>
                <w:b/>
                <w:lang w:val="it-IT"/>
              </w:rPr>
            </w:pPr>
            <w:r w:rsidRPr="003469A5">
              <w:rPr>
                <w:b/>
                <w:lang w:val="it-IT"/>
              </w:rPr>
              <w:t>7)</w:t>
            </w:r>
          </w:p>
        </w:tc>
        <w:tc>
          <w:tcPr>
            <w:tcW w:w="851" w:type="dxa"/>
            <w:tcMar>
              <w:left w:w="108" w:type="dxa"/>
              <w:right w:w="0" w:type="dxa"/>
            </w:tcMar>
          </w:tcPr>
          <w:p w:rsidR="0003478B" w:rsidRPr="008A0F36" w:rsidRDefault="0003478B" w:rsidP="000D7E0A">
            <w:pPr>
              <w:pStyle w:val="PrincCont"/>
              <w:jc w:val="left"/>
              <w:rPr>
                <w:lang w:val="it-IT"/>
              </w:rPr>
            </w:pPr>
            <w:r>
              <w:rPr>
                <w:lang w:val="it-IT"/>
              </w:rPr>
              <w:t>OIC 2.2</w:t>
            </w:r>
          </w:p>
        </w:tc>
        <w:tc>
          <w:tcPr>
            <w:tcW w:w="7060" w:type="dxa"/>
            <w:tcMar>
              <w:left w:w="108" w:type="dxa"/>
            </w:tcMar>
          </w:tcPr>
          <w:p w:rsidR="0003478B" w:rsidRPr="00134DB6" w:rsidRDefault="0003478B" w:rsidP="000D7E0A">
            <w:pPr>
              <w:spacing w:line="230" w:lineRule="exact"/>
              <w:rPr>
                <w:lang w:val="it-IT"/>
              </w:rPr>
            </w:pPr>
            <w:r w:rsidRPr="00134DB6">
              <w:rPr>
                <w:lang w:val="it-IT"/>
              </w:rPr>
              <w:t>Gli eventuali beni apport</w:t>
            </w:r>
            <w:r>
              <w:rPr>
                <w:lang w:val="it-IT"/>
              </w:rPr>
              <w:t>ati da terzi sono stati iscritti a valori</w:t>
            </w:r>
            <w:r w:rsidRPr="00134DB6">
              <w:rPr>
                <w:lang w:val="it-IT"/>
              </w:rPr>
              <w:t xml:space="preserve"> </w:t>
            </w:r>
            <w:r>
              <w:rPr>
                <w:lang w:val="it-IT"/>
              </w:rPr>
              <w:t>di mercato?</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r w:rsidR="0003478B" w:rsidRPr="00EE1B92" w:rsidTr="000D7E0A">
        <w:trPr>
          <w:cantSplit/>
          <w:trHeight w:val="20"/>
        </w:trPr>
        <w:tc>
          <w:tcPr>
            <w:tcW w:w="680" w:type="dxa"/>
          </w:tcPr>
          <w:p w:rsidR="0003478B" w:rsidRPr="003469A5" w:rsidRDefault="0003478B" w:rsidP="000D7E0A">
            <w:pPr>
              <w:jc w:val="center"/>
              <w:rPr>
                <w:b/>
                <w:lang w:val="it-IT"/>
              </w:rPr>
            </w:pPr>
            <w:r w:rsidRPr="003469A5">
              <w:rPr>
                <w:b/>
                <w:lang w:val="it-IT"/>
              </w:rPr>
              <w:t>8)</w:t>
            </w:r>
          </w:p>
        </w:tc>
        <w:tc>
          <w:tcPr>
            <w:tcW w:w="851" w:type="dxa"/>
            <w:tcMar>
              <w:left w:w="108" w:type="dxa"/>
              <w:right w:w="0" w:type="dxa"/>
            </w:tcMar>
          </w:tcPr>
          <w:p w:rsidR="0003478B" w:rsidRPr="008A0F36" w:rsidRDefault="0003478B" w:rsidP="000D7E0A">
            <w:pPr>
              <w:pStyle w:val="PrincCont"/>
              <w:jc w:val="left"/>
              <w:rPr>
                <w:lang w:val="it-IT"/>
              </w:rPr>
            </w:pPr>
            <w:r>
              <w:rPr>
                <w:lang w:val="it-IT"/>
              </w:rPr>
              <w:t>OIC 2.5</w:t>
            </w:r>
          </w:p>
        </w:tc>
        <w:tc>
          <w:tcPr>
            <w:tcW w:w="7060" w:type="dxa"/>
            <w:tcMar>
              <w:left w:w="108" w:type="dxa"/>
            </w:tcMar>
          </w:tcPr>
          <w:p w:rsidR="0003478B" w:rsidRPr="00EE1B92" w:rsidRDefault="0003478B" w:rsidP="000D7E0A">
            <w:pPr>
              <w:spacing w:line="230" w:lineRule="exact"/>
              <w:rPr>
                <w:lang w:val="it-IT"/>
              </w:rPr>
            </w:pPr>
            <w:r>
              <w:rPr>
                <w:lang w:val="it-IT"/>
              </w:rPr>
              <w:t>A fronte degli apporti da terzi è stato iscritto un debito o una “Riserva da apporti di terzi a patrimoni destinati”, se gli apporti non sono restituibili?</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CA1681">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CA1681">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CA1681">
              <w:fldChar w:fldCharType="separate"/>
            </w:r>
            <w:r>
              <w:fldChar w:fldCharType="end"/>
            </w:r>
          </w:p>
        </w:tc>
      </w:tr>
      <w:tr w:rsidR="0003478B" w:rsidRPr="00D34C46" w:rsidTr="000D7E0A">
        <w:trPr>
          <w:cantSplit/>
          <w:trHeight w:val="20"/>
        </w:trPr>
        <w:tc>
          <w:tcPr>
            <w:tcW w:w="680" w:type="dxa"/>
          </w:tcPr>
          <w:p w:rsidR="0003478B" w:rsidRPr="003469A5" w:rsidRDefault="0003478B" w:rsidP="000D7E0A">
            <w:pPr>
              <w:jc w:val="center"/>
              <w:rPr>
                <w:b/>
                <w:lang w:val="it-IT"/>
              </w:rPr>
            </w:pPr>
            <w:r w:rsidRPr="003469A5">
              <w:rPr>
                <w:b/>
                <w:lang w:val="it-IT"/>
              </w:rPr>
              <w:t>9)</w:t>
            </w:r>
          </w:p>
        </w:tc>
        <w:tc>
          <w:tcPr>
            <w:tcW w:w="851" w:type="dxa"/>
            <w:tcMar>
              <w:left w:w="108" w:type="dxa"/>
              <w:right w:w="0" w:type="dxa"/>
            </w:tcMar>
          </w:tcPr>
          <w:p w:rsidR="0003478B" w:rsidRPr="008A0F36" w:rsidRDefault="0003478B" w:rsidP="000D7E0A">
            <w:pPr>
              <w:pStyle w:val="PrincCont"/>
              <w:jc w:val="left"/>
              <w:rPr>
                <w:lang w:val="it-IT"/>
              </w:rPr>
            </w:pPr>
            <w:r>
              <w:rPr>
                <w:lang w:val="it-IT"/>
              </w:rPr>
              <w:t>OIC 2.5</w:t>
            </w:r>
          </w:p>
        </w:tc>
        <w:tc>
          <w:tcPr>
            <w:tcW w:w="7060" w:type="dxa"/>
            <w:tcMar>
              <w:left w:w="108" w:type="dxa"/>
            </w:tcMar>
          </w:tcPr>
          <w:p w:rsidR="0003478B" w:rsidRPr="00EE1B92" w:rsidRDefault="0003478B" w:rsidP="000D7E0A">
            <w:pPr>
              <w:spacing w:line="230" w:lineRule="exact"/>
              <w:rPr>
                <w:lang w:val="it-IT"/>
              </w:rPr>
            </w:pPr>
            <w:r>
              <w:rPr>
                <w:lang w:val="it-IT"/>
              </w:rPr>
              <w:t>I</w:t>
            </w:r>
            <w:r w:rsidRPr="00D34C46">
              <w:rPr>
                <w:lang w:val="it-IT"/>
              </w:rPr>
              <w:t>l conto economico del patrimonio destinato si chiude sempre con un</w:t>
            </w:r>
            <w:r>
              <w:rPr>
                <w:lang w:val="it-IT"/>
              </w:rPr>
              <w:t xml:space="preserve"> </w:t>
            </w:r>
            <w:r w:rsidRPr="00D34C46">
              <w:rPr>
                <w:lang w:val="it-IT"/>
              </w:rPr>
              <w:t>risultato netto che è pari alla sola quota di utile o di perdita di pertinenza della società, in quanto la</w:t>
            </w:r>
            <w:r>
              <w:rPr>
                <w:lang w:val="it-IT"/>
              </w:rPr>
              <w:t xml:space="preserve"> </w:t>
            </w:r>
            <w:r w:rsidRPr="00D34C46">
              <w:rPr>
                <w:lang w:val="it-IT"/>
              </w:rPr>
              <w:t>quota di pertinenza del terzo apportante è stata già rilevata: ove al terzo competa una quota di utile,</w:t>
            </w:r>
            <w:r>
              <w:rPr>
                <w:lang w:val="it-IT"/>
              </w:rPr>
              <w:t xml:space="preserve"> </w:t>
            </w:r>
            <w:r w:rsidRPr="00D34C46">
              <w:rPr>
                <w:lang w:val="it-IT"/>
              </w:rPr>
              <w:t>come costo dell’affare, ed ove il terzo subisca (pro quota) una perdita, come riduzione della perdita</w:t>
            </w:r>
            <w:r>
              <w:rPr>
                <w:lang w:val="it-IT"/>
              </w:rPr>
              <w:t xml:space="preserve"> </w:t>
            </w:r>
            <w:r w:rsidRPr="00D34C46">
              <w:rPr>
                <w:lang w:val="it-IT"/>
              </w:rPr>
              <w:t>dell’affare</w:t>
            </w:r>
            <w:r>
              <w:rPr>
                <w:lang w:val="it-IT"/>
              </w:rPr>
              <w:t>?</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CA1681">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CA1681">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CA1681">
              <w:fldChar w:fldCharType="separate"/>
            </w:r>
            <w:r>
              <w:fldChar w:fldCharType="end"/>
            </w:r>
          </w:p>
        </w:tc>
      </w:tr>
      <w:tr w:rsidR="0003478B" w:rsidRPr="00D34C46" w:rsidTr="000D7E0A">
        <w:trPr>
          <w:cantSplit/>
          <w:trHeight w:val="20"/>
        </w:trPr>
        <w:tc>
          <w:tcPr>
            <w:tcW w:w="680" w:type="dxa"/>
          </w:tcPr>
          <w:p w:rsidR="0003478B" w:rsidRPr="003469A5" w:rsidRDefault="0003478B" w:rsidP="000D7E0A">
            <w:pPr>
              <w:jc w:val="center"/>
              <w:rPr>
                <w:b/>
                <w:lang w:val="it-IT"/>
              </w:rPr>
            </w:pPr>
            <w:r w:rsidRPr="003469A5">
              <w:rPr>
                <w:b/>
                <w:lang w:val="it-IT"/>
              </w:rPr>
              <w:t>10)</w:t>
            </w:r>
          </w:p>
        </w:tc>
        <w:tc>
          <w:tcPr>
            <w:tcW w:w="851" w:type="dxa"/>
            <w:tcMar>
              <w:left w:w="108" w:type="dxa"/>
              <w:right w:w="0" w:type="dxa"/>
            </w:tcMar>
          </w:tcPr>
          <w:p w:rsidR="0003478B" w:rsidRDefault="0003478B" w:rsidP="000D7E0A">
            <w:pPr>
              <w:pStyle w:val="PrincCont"/>
              <w:jc w:val="left"/>
            </w:pPr>
            <w:r>
              <w:t>Art. 2447-septies, c.1, CC</w:t>
            </w:r>
          </w:p>
          <w:p w:rsidR="0003478B" w:rsidRPr="00D34C46" w:rsidRDefault="0003478B" w:rsidP="000D7E0A">
            <w:pPr>
              <w:pStyle w:val="PrincCont"/>
              <w:jc w:val="left"/>
            </w:pPr>
            <w:r>
              <w:t>OIC 2.4</w:t>
            </w:r>
          </w:p>
        </w:tc>
        <w:tc>
          <w:tcPr>
            <w:tcW w:w="7060" w:type="dxa"/>
            <w:tcMar>
              <w:left w:w="108" w:type="dxa"/>
            </w:tcMar>
          </w:tcPr>
          <w:p w:rsidR="0003478B" w:rsidRPr="00D34C46" w:rsidRDefault="0003478B" w:rsidP="000D7E0A">
            <w:pPr>
              <w:spacing w:line="230" w:lineRule="exact"/>
              <w:rPr>
                <w:lang w:val="it-IT"/>
              </w:rPr>
            </w:pPr>
            <w:r>
              <w:rPr>
                <w:lang w:val="it-IT"/>
              </w:rPr>
              <w:t>I</w:t>
            </w:r>
            <w:r w:rsidRPr="00D34C46">
              <w:rPr>
                <w:lang w:val="it-IT"/>
              </w:rPr>
              <w:t xml:space="preserve"> beni e i rapporti </w:t>
            </w:r>
            <w:r>
              <w:rPr>
                <w:lang w:val="it-IT"/>
              </w:rPr>
              <w:t xml:space="preserve">giuridici </w:t>
            </w:r>
            <w:r w:rsidRPr="00D34C46">
              <w:rPr>
                <w:lang w:val="it-IT"/>
              </w:rPr>
              <w:t>comp</w:t>
            </w:r>
            <w:r>
              <w:rPr>
                <w:lang w:val="it-IT"/>
              </w:rPr>
              <w:t>resi in uno o più</w:t>
            </w:r>
            <w:r w:rsidRPr="00D34C46">
              <w:rPr>
                <w:lang w:val="it-IT"/>
              </w:rPr>
              <w:t xml:space="preserve"> patrimoni</w:t>
            </w:r>
            <w:r>
              <w:rPr>
                <w:lang w:val="it-IT"/>
              </w:rPr>
              <w:t>, ciascuno dei quali destinato in via esclusiva ad uno specifico affare,</w:t>
            </w:r>
            <w:r w:rsidRPr="00D34C46">
              <w:rPr>
                <w:lang w:val="it-IT"/>
              </w:rPr>
              <w:t xml:space="preserve"> sono distintamente indicati nello stato</w:t>
            </w:r>
            <w:r>
              <w:rPr>
                <w:lang w:val="it-IT"/>
              </w:rPr>
              <w:t xml:space="preserve"> </w:t>
            </w:r>
            <w:r w:rsidRPr="00D34C46">
              <w:rPr>
                <w:lang w:val="it-IT"/>
              </w:rPr>
              <w:t>patrimoniale della società?</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CA1681">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CA1681">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CA1681">
              <w:fldChar w:fldCharType="separate"/>
            </w:r>
            <w:r>
              <w:fldChar w:fldCharType="end"/>
            </w:r>
          </w:p>
        </w:tc>
      </w:tr>
      <w:tr w:rsidR="0003478B" w:rsidRPr="008A0F36" w:rsidTr="000D7E0A">
        <w:trPr>
          <w:cantSplit/>
          <w:trHeight w:val="20"/>
        </w:trPr>
        <w:tc>
          <w:tcPr>
            <w:tcW w:w="680" w:type="dxa"/>
          </w:tcPr>
          <w:p w:rsidR="0003478B" w:rsidRPr="003469A5" w:rsidRDefault="0003478B" w:rsidP="000D7E0A">
            <w:pPr>
              <w:jc w:val="center"/>
              <w:rPr>
                <w:b/>
                <w:lang w:val="it-IT"/>
              </w:rPr>
            </w:pPr>
            <w:r w:rsidRPr="003469A5">
              <w:rPr>
                <w:b/>
                <w:lang w:val="it-IT"/>
              </w:rPr>
              <w:t>11)</w:t>
            </w:r>
          </w:p>
        </w:tc>
        <w:tc>
          <w:tcPr>
            <w:tcW w:w="851" w:type="dxa"/>
            <w:tcMar>
              <w:left w:w="108" w:type="dxa"/>
              <w:right w:w="0" w:type="dxa"/>
            </w:tcMar>
          </w:tcPr>
          <w:p w:rsidR="0003478B" w:rsidRPr="00D34C46" w:rsidRDefault="0003478B" w:rsidP="000D7E0A">
            <w:pPr>
              <w:pStyle w:val="PrincCont"/>
              <w:jc w:val="left"/>
              <w:rPr>
                <w:lang w:val="it-IT"/>
              </w:rPr>
            </w:pPr>
            <w:r>
              <w:rPr>
                <w:lang w:val="it-IT"/>
              </w:rPr>
              <w:t>OIC 2.5</w:t>
            </w:r>
          </w:p>
        </w:tc>
        <w:tc>
          <w:tcPr>
            <w:tcW w:w="7060" w:type="dxa"/>
            <w:tcMar>
              <w:left w:w="108" w:type="dxa"/>
            </w:tcMar>
          </w:tcPr>
          <w:p w:rsidR="0003478B" w:rsidRPr="00EE1B92" w:rsidRDefault="0003478B" w:rsidP="000D7E0A">
            <w:pPr>
              <w:spacing w:line="230" w:lineRule="exact"/>
              <w:rPr>
                <w:lang w:val="it-IT"/>
              </w:rPr>
            </w:pPr>
            <w:r w:rsidRPr="00EE1B92">
              <w:rPr>
                <w:lang w:val="it-IT"/>
              </w:rPr>
              <w:t xml:space="preserve">La </w:t>
            </w:r>
            <w:r w:rsidR="00104BFF">
              <w:rPr>
                <w:lang w:val="it-IT"/>
              </w:rPr>
              <w:t>Nota Integrativa</w:t>
            </w:r>
            <w:r w:rsidRPr="00EE1B92">
              <w:rPr>
                <w:lang w:val="it-IT"/>
              </w:rPr>
              <w:t xml:space="preserve"> </w:t>
            </w:r>
            <w:r>
              <w:rPr>
                <w:lang w:val="it-IT"/>
              </w:rPr>
              <w:t xml:space="preserve">fornisce </w:t>
            </w:r>
            <w:r w:rsidRPr="00EE1B92">
              <w:rPr>
                <w:lang w:val="it-IT"/>
              </w:rPr>
              <w:t>opportune informazioni su</w:t>
            </w:r>
            <w:r>
              <w:rPr>
                <w:lang w:val="it-IT"/>
              </w:rPr>
              <w:t>lla</w:t>
            </w:r>
            <w:r w:rsidRPr="00EE1B92">
              <w:rPr>
                <w:lang w:val="it-IT"/>
              </w:rPr>
              <w:t xml:space="preserve"> natura dell’apporto,</w:t>
            </w:r>
            <w:r>
              <w:rPr>
                <w:lang w:val="it-IT"/>
              </w:rPr>
              <w:t xml:space="preserve"> da terzi, il </w:t>
            </w:r>
            <w:r w:rsidRPr="00EE1B92">
              <w:rPr>
                <w:lang w:val="it-IT"/>
              </w:rPr>
              <w:t>criterio di valutazione</w:t>
            </w:r>
            <w:r>
              <w:rPr>
                <w:lang w:val="it-IT"/>
              </w:rPr>
              <w:t>,</w:t>
            </w:r>
            <w:r w:rsidRPr="00EE1B92">
              <w:rPr>
                <w:lang w:val="it-IT"/>
              </w:rPr>
              <w:t xml:space="preserve"> </w:t>
            </w:r>
            <w:r>
              <w:rPr>
                <w:lang w:val="it-IT"/>
              </w:rPr>
              <w:t>l</w:t>
            </w:r>
            <w:r w:rsidRPr="00EE1B92">
              <w:rPr>
                <w:lang w:val="it-IT"/>
              </w:rPr>
              <w:t xml:space="preserve">e modalità di imputazione al conto economico </w:t>
            </w:r>
            <w:r>
              <w:rPr>
                <w:lang w:val="it-IT"/>
              </w:rPr>
              <w:t xml:space="preserve">e se </w:t>
            </w:r>
            <w:r w:rsidRPr="00EE1B92">
              <w:rPr>
                <w:lang w:val="it-IT"/>
              </w:rPr>
              <w:t>vi è un debito di restituzione del be</w:t>
            </w:r>
            <w:r>
              <w:rPr>
                <w:lang w:val="it-IT"/>
              </w:rPr>
              <w:t>ne alla conclusione dell’affare?</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CA1681">
              <w:fldChar w:fldCharType="separate"/>
            </w:r>
            <w:r>
              <w:fldChar w:fldCharType="end"/>
            </w:r>
          </w:p>
        </w:tc>
      </w:tr>
    </w:tbl>
    <w:p w:rsidR="0003478B" w:rsidRPr="00181FF6" w:rsidRDefault="0003478B" w:rsidP="0003478B">
      <w:pPr>
        <w:rPr>
          <w:lang w:val="it-IT"/>
        </w:rPr>
      </w:pPr>
    </w:p>
    <w:p w:rsidR="0003478B" w:rsidRDefault="0003478B" w:rsidP="00AD4AE2">
      <w:pPr>
        <w:rPr>
          <w:lang w:val="it-IT"/>
        </w:rPr>
        <w:sectPr w:rsidR="0003478B" w:rsidSect="000D7E0A">
          <w:headerReference w:type="default" r:id="rId57"/>
          <w:footerReference w:type="default" r:id="rId58"/>
          <w:pgSz w:w="11906" w:h="16838" w:code="9"/>
          <w:pgMar w:top="1134" w:right="851" w:bottom="851" w:left="851" w:header="709" w:footer="567" w:gutter="0"/>
          <w:cols w:space="708"/>
          <w:docGrid w:linePitch="360"/>
        </w:sectPr>
      </w:pPr>
    </w:p>
    <w:p w:rsidR="00BF4F18" w:rsidRPr="00BF4F18" w:rsidRDefault="00BF4F18" w:rsidP="00BF4F18"/>
    <w:p w:rsidR="00BF4F18" w:rsidRPr="00BF4F18" w:rsidRDefault="00BF4F18" w:rsidP="00BF4F18">
      <w:pPr>
        <w:spacing w:line="260" w:lineRule="exact"/>
        <w:ind w:left="990" w:hanging="990"/>
        <w:jc w:val="left"/>
        <w:rPr>
          <w:b/>
          <w:color w:val="0070C0"/>
          <w:sz w:val="28"/>
        </w:rPr>
      </w:pPr>
      <w:r w:rsidRPr="00BF4F18">
        <w:rPr>
          <w:b/>
          <w:color w:val="0070C0"/>
          <w:sz w:val="28"/>
        </w:rPr>
        <w:t>Fusione e scissione</w:t>
      </w:r>
    </w:p>
    <w:p w:rsidR="00BF4F18" w:rsidRPr="00BF4F18" w:rsidRDefault="00BF4F18" w:rsidP="00BF4F18"/>
    <w:p w:rsidR="00BF4F18" w:rsidRPr="00BF4F18" w:rsidRDefault="00BF4F18" w:rsidP="00BF4F18"/>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BF4F18" w:rsidRPr="00BF4F18" w:rsidTr="000D7E0A">
        <w:trPr>
          <w:cantSplit/>
          <w:trHeight w:val="20"/>
          <w:tblHeader/>
        </w:trPr>
        <w:tc>
          <w:tcPr>
            <w:tcW w:w="680" w:type="dxa"/>
            <w:shd w:val="clear" w:color="auto" w:fill="F2F2F2" w:themeFill="background1" w:themeFillShade="F2"/>
          </w:tcPr>
          <w:p w:rsidR="00BF4F18" w:rsidRPr="00BF4F18" w:rsidRDefault="00BF4F18" w:rsidP="00BF4F18">
            <w:pPr>
              <w:jc w:val="center"/>
              <w:rPr>
                <w:lang w:val="it-IT"/>
              </w:rPr>
            </w:pPr>
          </w:p>
        </w:tc>
        <w:tc>
          <w:tcPr>
            <w:tcW w:w="851" w:type="dxa"/>
            <w:shd w:val="clear" w:color="auto" w:fill="F2F2F2" w:themeFill="background1" w:themeFillShade="F2"/>
            <w:tcMar>
              <w:left w:w="108" w:type="dxa"/>
              <w:right w:w="0" w:type="dxa"/>
            </w:tcMar>
          </w:tcPr>
          <w:p w:rsidR="00BF4F18" w:rsidRPr="00BF4F18" w:rsidRDefault="00BF4F18" w:rsidP="00BF4F18">
            <w:pPr>
              <w:jc w:val="left"/>
              <w:rPr>
                <w:b/>
                <w:lang w:val="it-IT"/>
              </w:rPr>
            </w:pPr>
          </w:p>
        </w:tc>
        <w:tc>
          <w:tcPr>
            <w:tcW w:w="7060" w:type="dxa"/>
            <w:shd w:val="clear" w:color="auto" w:fill="F2F2F2" w:themeFill="background1" w:themeFillShade="F2"/>
            <w:tcMar>
              <w:left w:w="108" w:type="dxa"/>
            </w:tcMar>
          </w:tcPr>
          <w:p w:rsidR="00BF4F18" w:rsidRPr="00BF4F18" w:rsidRDefault="00BF4F18" w:rsidP="00BF4F18">
            <w:pPr>
              <w:jc w:val="center"/>
              <w:rPr>
                <w:b/>
                <w:lang w:val="it-IT"/>
              </w:rPr>
            </w:pPr>
          </w:p>
        </w:tc>
        <w:tc>
          <w:tcPr>
            <w:tcW w:w="586" w:type="dxa"/>
            <w:shd w:val="clear" w:color="auto" w:fill="F2F2F2" w:themeFill="background1" w:themeFillShade="F2"/>
            <w:tcMar>
              <w:left w:w="85" w:type="dxa"/>
              <w:right w:w="85" w:type="dxa"/>
            </w:tcMar>
            <w:vAlign w:val="bottom"/>
          </w:tcPr>
          <w:p w:rsidR="00BF4F18" w:rsidRPr="00BF4F18" w:rsidRDefault="00BF4F18" w:rsidP="00BF4F18">
            <w:pPr>
              <w:jc w:val="center"/>
              <w:rPr>
                <w:b/>
                <w:lang w:val="it-IT"/>
              </w:rPr>
            </w:pPr>
            <w:r w:rsidRPr="00BF4F18">
              <w:rPr>
                <w:b/>
                <w:lang w:val="it-IT"/>
              </w:rPr>
              <w:t>SI</w:t>
            </w:r>
          </w:p>
        </w:tc>
        <w:tc>
          <w:tcPr>
            <w:tcW w:w="573" w:type="dxa"/>
            <w:shd w:val="clear" w:color="auto" w:fill="F2F2F2" w:themeFill="background1" w:themeFillShade="F2"/>
            <w:tcMar>
              <w:left w:w="108" w:type="dxa"/>
            </w:tcMar>
            <w:vAlign w:val="bottom"/>
          </w:tcPr>
          <w:p w:rsidR="00BF4F18" w:rsidRPr="00BF4F18" w:rsidRDefault="00BF4F18" w:rsidP="00BF4F18">
            <w:pPr>
              <w:jc w:val="center"/>
              <w:rPr>
                <w:b/>
                <w:lang w:val="it-IT"/>
              </w:rPr>
            </w:pPr>
            <w:r w:rsidRPr="00BF4F18">
              <w:rPr>
                <w:b/>
                <w:lang w:val="it-IT"/>
              </w:rPr>
              <w:t>NO</w:t>
            </w:r>
          </w:p>
        </w:tc>
        <w:tc>
          <w:tcPr>
            <w:tcW w:w="570" w:type="dxa"/>
            <w:shd w:val="clear" w:color="auto" w:fill="F2F2F2" w:themeFill="background1" w:themeFillShade="F2"/>
            <w:tcMar>
              <w:left w:w="108" w:type="dxa"/>
            </w:tcMar>
            <w:vAlign w:val="bottom"/>
          </w:tcPr>
          <w:p w:rsidR="00BF4F18" w:rsidRPr="00BF4F18" w:rsidRDefault="00BF4F18" w:rsidP="00BF4F18">
            <w:pPr>
              <w:jc w:val="center"/>
              <w:rPr>
                <w:b/>
                <w:lang w:val="it-IT"/>
              </w:rPr>
            </w:pPr>
            <w:r w:rsidRPr="00BF4F18">
              <w:rPr>
                <w:b/>
                <w:lang w:val="it-IT"/>
              </w:rPr>
              <w:t>N/A</w:t>
            </w:r>
          </w:p>
        </w:tc>
      </w:tr>
      <w:tr w:rsidR="00BF4F18" w:rsidRPr="00BF4F18" w:rsidTr="000D7E0A">
        <w:trPr>
          <w:cantSplit/>
          <w:trHeight w:val="20"/>
        </w:trPr>
        <w:tc>
          <w:tcPr>
            <w:tcW w:w="680" w:type="dxa"/>
          </w:tcPr>
          <w:p w:rsidR="00BF4F18" w:rsidRPr="00BF4F18" w:rsidRDefault="00BF4F18" w:rsidP="00BF4F18">
            <w:pPr>
              <w:jc w:val="center"/>
              <w:rPr>
                <w:lang w:val="it-IT"/>
              </w:rPr>
            </w:pPr>
          </w:p>
        </w:tc>
        <w:tc>
          <w:tcPr>
            <w:tcW w:w="851" w:type="dxa"/>
            <w:tcMar>
              <w:left w:w="108" w:type="dxa"/>
              <w:right w:w="0" w:type="dxa"/>
            </w:tcMar>
          </w:tcPr>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spacing w:line="240" w:lineRule="exact"/>
              <w:rPr>
                <w:b/>
                <w:sz w:val="22"/>
                <w:szCs w:val="22"/>
                <w:lang w:val="it-IT"/>
              </w:rPr>
            </w:pPr>
            <w:bookmarkStart w:id="6" w:name="_Toc311103561"/>
            <w:r w:rsidRPr="00BF4F18">
              <w:rPr>
                <w:rFonts w:cs="Arial"/>
                <w:b/>
                <w:sz w:val="22"/>
                <w:szCs w:val="22"/>
              </w:rPr>
              <w:t xml:space="preserve">LA FUSIONE </w:t>
            </w:r>
            <w:bookmarkEnd w:id="6"/>
          </w:p>
        </w:tc>
        <w:tc>
          <w:tcPr>
            <w:tcW w:w="586" w:type="dxa"/>
            <w:tcMar>
              <w:left w:w="85" w:type="dxa"/>
              <w:right w:w="85" w:type="dxa"/>
            </w:tcMar>
            <w:vAlign w:val="center"/>
          </w:tcPr>
          <w:p w:rsidR="00BF4F18" w:rsidRPr="00BF4F18" w:rsidRDefault="00BF4F18" w:rsidP="00BF4F18">
            <w:pPr>
              <w:jc w:val="center"/>
            </w:pPr>
          </w:p>
        </w:tc>
        <w:tc>
          <w:tcPr>
            <w:tcW w:w="573" w:type="dxa"/>
            <w:tcMar>
              <w:left w:w="108" w:type="dxa"/>
            </w:tcMar>
            <w:vAlign w:val="center"/>
          </w:tcPr>
          <w:p w:rsidR="00BF4F18" w:rsidRPr="00BF4F18" w:rsidRDefault="00BF4F18" w:rsidP="00BF4F18">
            <w:pPr>
              <w:jc w:val="center"/>
            </w:pPr>
          </w:p>
        </w:tc>
        <w:tc>
          <w:tcPr>
            <w:tcW w:w="570" w:type="dxa"/>
            <w:tcMar>
              <w:left w:w="108" w:type="dxa"/>
            </w:tcMar>
            <w:vAlign w:val="center"/>
          </w:tcPr>
          <w:p w:rsidR="00BF4F18" w:rsidRPr="00BF4F18" w:rsidRDefault="00BF4F18" w:rsidP="00BF4F18">
            <w:pPr>
              <w:jc w:val="center"/>
            </w:pPr>
          </w:p>
        </w:tc>
      </w:tr>
      <w:tr w:rsidR="00BF4F18" w:rsidRPr="00CC242B" w:rsidTr="000D7E0A">
        <w:trPr>
          <w:cantSplit/>
          <w:trHeight w:val="20"/>
        </w:trPr>
        <w:tc>
          <w:tcPr>
            <w:tcW w:w="680" w:type="dxa"/>
          </w:tcPr>
          <w:p w:rsidR="00BF4F18" w:rsidRPr="00BF4F18" w:rsidRDefault="00BF4F18" w:rsidP="00BF4F18">
            <w:pPr>
              <w:jc w:val="center"/>
              <w:rPr>
                <w:lang w:val="it-IT"/>
              </w:rPr>
            </w:pP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en-US"/>
              </w:rPr>
            </w:pPr>
          </w:p>
        </w:tc>
        <w:tc>
          <w:tcPr>
            <w:tcW w:w="7060" w:type="dxa"/>
            <w:tcMar>
              <w:left w:w="108" w:type="dxa"/>
            </w:tcMar>
          </w:tcPr>
          <w:p w:rsidR="00BF4F18" w:rsidRPr="00BF4F18" w:rsidRDefault="00BF4F18" w:rsidP="00BF4F18">
            <w:pPr>
              <w:keepNext/>
              <w:overflowPunct/>
              <w:autoSpaceDE/>
              <w:autoSpaceDN/>
              <w:adjustRightInd/>
              <w:spacing w:before="40" w:line="240" w:lineRule="exact"/>
              <w:jc w:val="left"/>
              <w:textAlignment w:val="auto"/>
              <w:outlineLvl w:val="1"/>
              <w:rPr>
                <w:b/>
                <w:sz w:val="22"/>
                <w:lang w:val="it-IT"/>
              </w:rPr>
            </w:pPr>
            <w:r w:rsidRPr="00BF4F18">
              <w:rPr>
                <w:b/>
                <w:sz w:val="22"/>
                <w:lang w:val="it-IT"/>
              </w:rPr>
              <w:t>Primo bilancio d’esercizio successivo alla fusione</w:t>
            </w:r>
          </w:p>
        </w:tc>
        <w:tc>
          <w:tcPr>
            <w:tcW w:w="586" w:type="dxa"/>
            <w:tcMar>
              <w:left w:w="85" w:type="dxa"/>
              <w:right w:w="85" w:type="dxa"/>
            </w:tcMar>
            <w:vAlign w:val="center"/>
          </w:tcPr>
          <w:p w:rsidR="00BF4F18" w:rsidRPr="00BF4F18" w:rsidRDefault="00BF4F18" w:rsidP="00BF4F18">
            <w:pPr>
              <w:jc w:val="center"/>
              <w:rPr>
                <w:lang w:val="it-IT"/>
              </w:rPr>
            </w:pPr>
          </w:p>
        </w:tc>
        <w:tc>
          <w:tcPr>
            <w:tcW w:w="573" w:type="dxa"/>
            <w:tcMar>
              <w:left w:w="108" w:type="dxa"/>
            </w:tcMar>
            <w:vAlign w:val="center"/>
          </w:tcPr>
          <w:p w:rsidR="00BF4F18" w:rsidRPr="00BF4F18" w:rsidRDefault="00BF4F18" w:rsidP="00BF4F18">
            <w:pPr>
              <w:jc w:val="center"/>
              <w:rPr>
                <w:lang w:val="it-IT"/>
              </w:rPr>
            </w:pPr>
          </w:p>
        </w:tc>
        <w:tc>
          <w:tcPr>
            <w:tcW w:w="570" w:type="dxa"/>
            <w:tcMar>
              <w:left w:w="108" w:type="dxa"/>
            </w:tcMar>
            <w:vAlign w:val="center"/>
          </w:tcPr>
          <w:p w:rsidR="00BF4F18" w:rsidRPr="00BF4F18" w:rsidRDefault="00BF4F18" w:rsidP="00BF4F18">
            <w:pPr>
              <w:jc w:val="center"/>
              <w:rPr>
                <w:lang w:val="it-IT"/>
              </w:rPr>
            </w:pPr>
          </w:p>
        </w:tc>
      </w:tr>
      <w:tr w:rsidR="00BF4F18" w:rsidRPr="00BF4F18" w:rsidTr="000D7E0A">
        <w:trPr>
          <w:cantSplit/>
          <w:trHeight w:val="20"/>
        </w:trPr>
        <w:tc>
          <w:tcPr>
            <w:tcW w:w="680" w:type="dxa"/>
          </w:tcPr>
          <w:p w:rsidR="00BF4F18" w:rsidRPr="00BF4F18" w:rsidRDefault="00BF4F18" w:rsidP="00BF4F18">
            <w:pPr>
              <w:jc w:val="center"/>
              <w:rPr>
                <w:b/>
                <w:lang w:val="it-IT"/>
              </w:rPr>
            </w:pPr>
            <w:r w:rsidRPr="00BF4F18">
              <w:rPr>
                <w:rFonts w:cs="Arial"/>
                <w:b/>
                <w:lang w:val="it-IT"/>
              </w:rPr>
              <w:t>1)</w:t>
            </w: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 xml:space="preserve">PARTE PRIMA </w:t>
            </w:r>
          </w:p>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OIC 4</w:t>
            </w:r>
          </w:p>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Cap. 4 par.4.5</w:t>
            </w:r>
          </w:p>
          <w:p w:rsidR="00BF4F18" w:rsidRPr="00BF4F18" w:rsidRDefault="00BF4F18" w:rsidP="00BF4F18">
            <w:pPr>
              <w:spacing w:before="40" w:line="240" w:lineRule="auto"/>
              <w:ind w:right="28"/>
              <w:jc w:val="left"/>
              <w:rPr>
                <w:sz w:val="13"/>
                <w:szCs w:val="13"/>
                <w:highlight w:val="yellow"/>
                <w:lang w:val="it-IT"/>
              </w:rPr>
            </w:pPr>
          </w:p>
        </w:tc>
        <w:tc>
          <w:tcPr>
            <w:tcW w:w="7060" w:type="dxa"/>
            <w:tcMar>
              <w:left w:w="108" w:type="dxa"/>
            </w:tcMar>
          </w:tcPr>
          <w:p w:rsidR="00BF4F18" w:rsidRPr="00BF4F18" w:rsidRDefault="00BF4F18" w:rsidP="00BF4F18">
            <w:pPr>
              <w:spacing w:line="230" w:lineRule="exact"/>
              <w:rPr>
                <w:lang w:val="it-IT"/>
              </w:rPr>
            </w:pPr>
            <w:r w:rsidRPr="00BF4F18">
              <w:rPr>
                <w:rFonts w:cs="Arial"/>
                <w:lang w:val="it-IT"/>
              </w:rPr>
              <w:t xml:space="preserve">Nel primo bilancio d’esercizio successivo alla fusione, per ogni voce dell’attivo e del passivo i singoli conti delle società partecipanti alla fusione sono stati aggregati in un’unica voce di identico contenuto e sono stati applicati i principi di redazione e valutazione previsti dal CC in materia? </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r>
      <w:tr w:rsidR="00BF4F18" w:rsidRPr="00BF4F18" w:rsidTr="000D7E0A">
        <w:trPr>
          <w:cantSplit/>
          <w:trHeight w:val="20"/>
        </w:trPr>
        <w:tc>
          <w:tcPr>
            <w:tcW w:w="680" w:type="dxa"/>
          </w:tcPr>
          <w:p w:rsidR="00BF4F18" w:rsidRPr="00BF4F18" w:rsidRDefault="00BF4F18" w:rsidP="00BF4F18">
            <w:pPr>
              <w:jc w:val="center"/>
              <w:rPr>
                <w:rFonts w:cs="Arial"/>
                <w:b/>
                <w:lang w:val="it-IT"/>
              </w:rPr>
            </w:pPr>
            <w:r w:rsidRPr="00BF4F18">
              <w:rPr>
                <w:rFonts w:cs="Arial"/>
                <w:b/>
                <w:lang w:val="it-IT"/>
              </w:rPr>
              <w:t>2)</w:t>
            </w: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OIC 4</w:t>
            </w:r>
          </w:p>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Cap. 4 par.4.5</w:t>
            </w:r>
          </w:p>
        </w:tc>
        <w:tc>
          <w:tcPr>
            <w:tcW w:w="7060" w:type="dxa"/>
            <w:tcMar>
              <w:left w:w="108" w:type="dxa"/>
            </w:tcMar>
          </w:tcPr>
          <w:p w:rsidR="00BF4F18" w:rsidRPr="00BF4F18" w:rsidRDefault="00BF4F18" w:rsidP="00BF4F18">
            <w:pPr>
              <w:spacing w:line="230" w:lineRule="exact"/>
              <w:rPr>
                <w:rFonts w:cs="Arial"/>
                <w:lang w:val="it-IT"/>
              </w:rPr>
            </w:pPr>
            <w:r w:rsidRPr="00BF4F18">
              <w:rPr>
                <w:rFonts w:cs="Arial"/>
                <w:lang w:val="it-IT"/>
              </w:rPr>
              <w:t>L’aggregazione di cui sopra è stata effettuata anche per quanto riguarda le voci di conto economico, qualora sia stata prevista la retrodatazione degli effetti contabili dell’operazione?</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r>
      <w:tr w:rsidR="00BF4F18" w:rsidRPr="00BF4F18" w:rsidTr="000D7E0A">
        <w:trPr>
          <w:cantSplit/>
          <w:trHeight w:val="20"/>
        </w:trPr>
        <w:tc>
          <w:tcPr>
            <w:tcW w:w="680" w:type="dxa"/>
          </w:tcPr>
          <w:p w:rsidR="00BF4F18" w:rsidRPr="00BF4F18" w:rsidRDefault="00BF4F18" w:rsidP="00BF4F18">
            <w:pPr>
              <w:jc w:val="center"/>
              <w:rPr>
                <w:b/>
                <w:lang w:val="it-IT"/>
              </w:rPr>
            </w:pPr>
            <w:r w:rsidRPr="00BF4F18">
              <w:rPr>
                <w:rFonts w:cs="Arial"/>
                <w:b/>
                <w:lang w:val="it-IT"/>
              </w:rPr>
              <w:t>3)</w:t>
            </w: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OIC 4</w:t>
            </w:r>
          </w:p>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Cap. 4 par.4.5</w:t>
            </w:r>
          </w:p>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spacing w:line="230" w:lineRule="exact"/>
              <w:rPr>
                <w:lang w:val="it-IT"/>
              </w:rPr>
            </w:pPr>
            <w:r w:rsidRPr="00BF4F18">
              <w:rPr>
                <w:rFonts w:cs="Arial"/>
                <w:lang w:val="it-IT"/>
              </w:rPr>
              <w:t xml:space="preserve">Nel caso di fusione per incorporazione, sono stati indicati, quali dati comparativi, i dati dell’esercizio precedente (anteriore a quello di completamento del procedimento di fusione) relativamente alla società incorporante? </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r>
      <w:tr w:rsidR="00BF4F18" w:rsidRPr="00BF4F18" w:rsidTr="000D7E0A">
        <w:trPr>
          <w:cantSplit/>
          <w:trHeight w:val="20"/>
        </w:trPr>
        <w:tc>
          <w:tcPr>
            <w:tcW w:w="680" w:type="dxa"/>
          </w:tcPr>
          <w:p w:rsidR="00BF4F18" w:rsidRPr="00BF4F18" w:rsidRDefault="00BF4F18" w:rsidP="00BF4F18">
            <w:pPr>
              <w:jc w:val="center"/>
              <w:rPr>
                <w:b/>
                <w:lang w:val="it-IT"/>
              </w:rPr>
            </w:pPr>
            <w:r w:rsidRPr="00BF4F18">
              <w:rPr>
                <w:rFonts w:cs="Arial"/>
                <w:b/>
                <w:lang w:val="it-IT"/>
              </w:rPr>
              <w:t>4)</w:t>
            </w: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OIC 4</w:t>
            </w:r>
          </w:p>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Cap. 4 par.4.5</w:t>
            </w:r>
          </w:p>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spacing w:line="230" w:lineRule="exact"/>
              <w:rPr>
                <w:lang w:val="it-IT"/>
              </w:rPr>
            </w:pPr>
            <w:r w:rsidRPr="00BF4F18">
              <w:rPr>
                <w:rFonts w:cs="Arial"/>
                <w:lang w:val="it-IT"/>
              </w:rPr>
              <w:t xml:space="preserve">Nel caso di fusione propria, non sono stati esposti dati comparativi in quanto in tale fattispecie la società risultante dalla fusione è una nuova società? </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r>
      <w:tr w:rsidR="00BF4F18" w:rsidRPr="00CC242B" w:rsidTr="000D7E0A">
        <w:trPr>
          <w:cantSplit/>
          <w:trHeight w:val="20"/>
        </w:trPr>
        <w:tc>
          <w:tcPr>
            <w:tcW w:w="680" w:type="dxa"/>
          </w:tcPr>
          <w:p w:rsidR="00BF4F18" w:rsidRPr="00BF4F18" w:rsidRDefault="00BF4F18" w:rsidP="00BF4F18">
            <w:pPr>
              <w:jc w:val="center"/>
              <w:rPr>
                <w:b/>
                <w:lang w:val="it-IT"/>
              </w:rPr>
            </w:pPr>
            <w:r w:rsidRPr="00BF4F18">
              <w:rPr>
                <w:rFonts w:cs="Arial"/>
                <w:b/>
                <w:lang w:val="it-IT"/>
              </w:rPr>
              <w:t>5)</w:t>
            </w: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OIC 4</w:t>
            </w:r>
          </w:p>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Cap. 4 par.4.5</w:t>
            </w:r>
          </w:p>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spacing w:line="230" w:lineRule="exact"/>
              <w:rPr>
                <w:lang w:val="it-IT"/>
              </w:rPr>
            </w:pPr>
            <w:r w:rsidRPr="00BF4F18">
              <w:rPr>
                <w:rFonts w:cs="Arial"/>
                <w:lang w:val="it-IT"/>
              </w:rPr>
              <w:t xml:space="preserve">In caso di fusione per incorporazione, è stata predisposta una tabella allegata alla </w:t>
            </w:r>
            <w:r w:rsidR="00104BFF">
              <w:rPr>
                <w:rFonts w:cs="Arial"/>
                <w:lang w:val="it-IT"/>
              </w:rPr>
              <w:t>Nota Integrativa</w:t>
            </w:r>
            <w:r w:rsidRPr="00BF4F18">
              <w:rPr>
                <w:rFonts w:cs="Arial"/>
                <w:lang w:val="it-IT"/>
              </w:rPr>
              <w:t xml:space="preserve">, che, sia per lo stato patrimoniale che per il conto economico, riporti in colonne affiancate: </w:t>
            </w:r>
          </w:p>
        </w:tc>
        <w:tc>
          <w:tcPr>
            <w:tcW w:w="586" w:type="dxa"/>
            <w:tcMar>
              <w:left w:w="85" w:type="dxa"/>
              <w:right w:w="85" w:type="dxa"/>
            </w:tcMar>
            <w:vAlign w:val="center"/>
          </w:tcPr>
          <w:p w:rsidR="00BF4F18" w:rsidRPr="00BF4F18" w:rsidRDefault="00BF4F18" w:rsidP="00BF4F18">
            <w:pPr>
              <w:jc w:val="center"/>
              <w:rPr>
                <w:lang w:val="it-IT"/>
              </w:rPr>
            </w:pPr>
          </w:p>
        </w:tc>
        <w:tc>
          <w:tcPr>
            <w:tcW w:w="573" w:type="dxa"/>
            <w:tcMar>
              <w:left w:w="108" w:type="dxa"/>
            </w:tcMar>
            <w:vAlign w:val="center"/>
          </w:tcPr>
          <w:p w:rsidR="00BF4F18" w:rsidRPr="00BF4F18" w:rsidRDefault="00BF4F18" w:rsidP="00BF4F18">
            <w:pPr>
              <w:jc w:val="center"/>
              <w:rPr>
                <w:lang w:val="it-IT"/>
              </w:rPr>
            </w:pPr>
          </w:p>
        </w:tc>
        <w:tc>
          <w:tcPr>
            <w:tcW w:w="570" w:type="dxa"/>
            <w:tcMar>
              <w:left w:w="108" w:type="dxa"/>
            </w:tcMar>
            <w:vAlign w:val="center"/>
          </w:tcPr>
          <w:p w:rsidR="00BF4F18" w:rsidRPr="00BF4F18" w:rsidRDefault="00BF4F18" w:rsidP="00BF4F18">
            <w:pPr>
              <w:jc w:val="center"/>
              <w:rPr>
                <w:lang w:val="it-IT"/>
              </w:rPr>
            </w:pPr>
          </w:p>
        </w:tc>
      </w:tr>
      <w:tr w:rsidR="00BF4F18" w:rsidRPr="00BF4F18" w:rsidTr="000D7E0A">
        <w:trPr>
          <w:cantSplit/>
          <w:trHeight w:val="20"/>
        </w:trPr>
        <w:tc>
          <w:tcPr>
            <w:tcW w:w="680" w:type="dxa"/>
          </w:tcPr>
          <w:p w:rsidR="00BF4F18" w:rsidRPr="00BF4F18" w:rsidRDefault="00BF4F18" w:rsidP="00BF4F18">
            <w:pPr>
              <w:jc w:val="center"/>
              <w:rPr>
                <w:b/>
                <w:lang w:val="it-IT"/>
              </w:rPr>
            </w:pPr>
          </w:p>
        </w:tc>
        <w:tc>
          <w:tcPr>
            <w:tcW w:w="851" w:type="dxa"/>
            <w:tcMar>
              <w:left w:w="108" w:type="dxa"/>
              <w:right w:w="0" w:type="dxa"/>
            </w:tcMar>
          </w:tcPr>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BF4F18">
              <w:rPr>
                <w:lang w:val="it-IT"/>
              </w:rPr>
              <w:t>gli importi risultanti dal bilancio del precedente esercizio (dell’incorporante)</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r>
      <w:tr w:rsidR="00BF4F18" w:rsidRPr="00BF4F18" w:rsidTr="000D7E0A">
        <w:trPr>
          <w:cantSplit/>
          <w:trHeight w:val="20"/>
        </w:trPr>
        <w:tc>
          <w:tcPr>
            <w:tcW w:w="680" w:type="dxa"/>
          </w:tcPr>
          <w:p w:rsidR="00BF4F18" w:rsidRPr="00BF4F18" w:rsidRDefault="00BF4F18" w:rsidP="00BF4F18">
            <w:pPr>
              <w:jc w:val="center"/>
              <w:rPr>
                <w:b/>
                <w:lang w:val="it-IT"/>
              </w:rPr>
            </w:pPr>
          </w:p>
        </w:tc>
        <w:tc>
          <w:tcPr>
            <w:tcW w:w="851" w:type="dxa"/>
            <w:tcMar>
              <w:left w:w="108" w:type="dxa"/>
              <w:right w:w="0" w:type="dxa"/>
            </w:tcMar>
          </w:tcPr>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BF4F18">
              <w:rPr>
                <w:lang w:val="it-IT"/>
              </w:rPr>
              <w:t>gli importi iscritti per tutte le incorporate (cumulativamente se sono più d’una) nel bilancio d’apertura</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r>
      <w:tr w:rsidR="00BF4F18" w:rsidRPr="00BF4F18" w:rsidTr="000D7E0A">
        <w:trPr>
          <w:cantSplit/>
          <w:trHeight w:val="20"/>
        </w:trPr>
        <w:tc>
          <w:tcPr>
            <w:tcW w:w="680" w:type="dxa"/>
          </w:tcPr>
          <w:p w:rsidR="00BF4F18" w:rsidRPr="00BF4F18" w:rsidRDefault="00BF4F18" w:rsidP="00BF4F18">
            <w:pPr>
              <w:jc w:val="center"/>
              <w:rPr>
                <w:b/>
                <w:lang w:val="it-IT"/>
              </w:rPr>
            </w:pPr>
          </w:p>
        </w:tc>
        <w:tc>
          <w:tcPr>
            <w:tcW w:w="851" w:type="dxa"/>
            <w:tcMar>
              <w:left w:w="108" w:type="dxa"/>
              <w:right w:w="0" w:type="dxa"/>
            </w:tcMar>
          </w:tcPr>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BF4F18">
              <w:rPr>
                <w:lang w:val="it-IT"/>
              </w:rPr>
              <w:t>gli importi dell’incorporata iscritti nel bilancio dell’esercizio, se determinabili, senza eccessiva difficoltà?</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r>
      <w:tr w:rsidR="00BF4F18" w:rsidRPr="00BF4F18" w:rsidTr="000D7E0A">
        <w:trPr>
          <w:cantSplit/>
          <w:trHeight w:val="20"/>
        </w:trPr>
        <w:tc>
          <w:tcPr>
            <w:tcW w:w="680" w:type="dxa"/>
          </w:tcPr>
          <w:p w:rsidR="00BF4F18" w:rsidRPr="00BF4F18" w:rsidRDefault="00BF4F18" w:rsidP="00BF4F18">
            <w:pPr>
              <w:jc w:val="center"/>
              <w:rPr>
                <w:b/>
                <w:lang w:val="it-IT"/>
              </w:rPr>
            </w:pPr>
            <w:r w:rsidRPr="00BF4F18">
              <w:rPr>
                <w:rFonts w:cs="Arial"/>
                <w:b/>
                <w:lang w:val="it-IT"/>
              </w:rPr>
              <w:t>6)</w:t>
            </w: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OIC 4</w:t>
            </w:r>
          </w:p>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Cap. 4 par.4.5</w:t>
            </w:r>
          </w:p>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spacing w:line="230" w:lineRule="exact"/>
              <w:rPr>
                <w:lang w:val="it-IT"/>
              </w:rPr>
            </w:pPr>
            <w:r w:rsidRPr="00BF4F18">
              <w:rPr>
                <w:rFonts w:cs="Arial"/>
                <w:lang w:val="it-IT"/>
              </w:rPr>
              <w:t xml:space="preserve">L’importo dell’avanzo e/o disavanzo, da annullamento e da concambio, che non risulta dalla tabella sopra indicata, è illustrato, per ciascuna società interessata e precisandone il trattamento contabile, con l’indicazione dei criteri seguiti nell’iscrizione dei valori correnti delle attività e delle passività e dell’avviamento in sostituzione del disavanzo? </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r>
      <w:tr w:rsidR="00BF4F18" w:rsidRPr="00BF4F18" w:rsidTr="000D7E0A">
        <w:trPr>
          <w:cantSplit/>
          <w:trHeight w:val="20"/>
        </w:trPr>
        <w:tc>
          <w:tcPr>
            <w:tcW w:w="680" w:type="dxa"/>
          </w:tcPr>
          <w:p w:rsidR="00BF4F18" w:rsidRPr="00BF4F18" w:rsidRDefault="00BF4F18" w:rsidP="00BF4F18">
            <w:pPr>
              <w:jc w:val="center"/>
              <w:rPr>
                <w:b/>
                <w:lang w:val="it-IT"/>
              </w:rPr>
            </w:pPr>
            <w:r w:rsidRPr="00BF4F18">
              <w:rPr>
                <w:rFonts w:cs="Arial"/>
                <w:b/>
                <w:lang w:val="it-IT"/>
              </w:rPr>
              <w:t>7)</w:t>
            </w: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OIC 4</w:t>
            </w:r>
          </w:p>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Cap. 4 par.4.5</w:t>
            </w:r>
          </w:p>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spacing w:line="230" w:lineRule="exact"/>
              <w:rPr>
                <w:lang w:val="it-IT"/>
              </w:rPr>
            </w:pPr>
            <w:r w:rsidRPr="00BF4F18">
              <w:rPr>
                <w:rFonts w:cs="Arial"/>
                <w:lang w:val="it-IT"/>
              </w:rPr>
              <w:t xml:space="preserve">Nel caso di fusione propria e per incorporazione, nell’ipotesi di assenza di retroattività contabile, qualora gli effetti della fusione sulla situazione economica e patrimoniale siano significativi, è stata predisposta, ad integrazione dell’informativa nel primo bilancio d’esercizio successivo alla fusione, un’apposita situazione economico-patrimoniale sintetica pro-forma, che evidenzi quali sarebbero stati i dati salienti dell’esercizio precedente qualora gli effetti della fusione fossero stati riflessi retroattivamente all’inizio di tale esercizio? </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r>
      <w:tr w:rsidR="00BF4F18" w:rsidRPr="00BF4F18" w:rsidTr="000D7E0A">
        <w:trPr>
          <w:cantSplit/>
          <w:trHeight w:val="20"/>
        </w:trPr>
        <w:tc>
          <w:tcPr>
            <w:tcW w:w="680" w:type="dxa"/>
          </w:tcPr>
          <w:p w:rsidR="00BF4F18" w:rsidRPr="00BF4F18" w:rsidRDefault="00BF4F18" w:rsidP="00BF4F18">
            <w:pPr>
              <w:jc w:val="center"/>
              <w:rPr>
                <w:b/>
                <w:lang w:val="it-IT"/>
              </w:rPr>
            </w:pPr>
            <w:r w:rsidRPr="00BF4F18">
              <w:rPr>
                <w:rFonts w:cs="Arial"/>
                <w:b/>
                <w:lang w:val="it-IT"/>
              </w:rPr>
              <w:t>8)</w:t>
            </w: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OIC 4</w:t>
            </w:r>
          </w:p>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Cap. 4 par.4.5</w:t>
            </w:r>
          </w:p>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spacing w:line="230" w:lineRule="exact"/>
              <w:rPr>
                <w:lang w:val="it-IT"/>
              </w:rPr>
            </w:pPr>
            <w:r w:rsidRPr="00BF4F18">
              <w:rPr>
                <w:rFonts w:cs="Arial"/>
                <w:lang w:val="it-IT"/>
              </w:rPr>
              <w:t xml:space="preserve">Quale parte integrante dell’informativa del primo bilancio d’esercizio successivo alla fusione, è stato predisposto il rendiconto finanziario ed in calce allo stesso è stata evidenziata in forma tabellare e per ciascuna incorporata, la presentazione distinta per classi delle attività e passività acquisite con la fusione, che non hanno dato luogo a flussi finanziari? </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r>
      <w:tr w:rsidR="00BF4F18" w:rsidRPr="00CC242B" w:rsidTr="000D7E0A">
        <w:trPr>
          <w:cantSplit/>
          <w:trHeight w:val="20"/>
        </w:trPr>
        <w:tc>
          <w:tcPr>
            <w:tcW w:w="680" w:type="dxa"/>
          </w:tcPr>
          <w:p w:rsidR="00BF4F18" w:rsidRPr="00BF4F18" w:rsidRDefault="00BF4F18" w:rsidP="00BF4F18">
            <w:pPr>
              <w:jc w:val="center"/>
              <w:rPr>
                <w:rFonts w:cs="Arial"/>
                <w:b/>
                <w:lang w:val="it-IT"/>
              </w:rPr>
            </w:pP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p>
        </w:tc>
        <w:tc>
          <w:tcPr>
            <w:tcW w:w="7060" w:type="dxa"/>
            <w:tcMar>
              <w:left w:w="108" w:type="dxa"/>
            </w:tcMar>
          </w:tcPr>
          <w:p w:rsidR="00BF4F18" w:rsidRPr="00BF4F18" w:rsidRDefault="00BF4F18" w:rsidP="00BF4F18">
            <w:pPr>
              <w:pBdr>
                <w:top w:val="single" w:sz="4" w:space="1" w:color="auto"/>
                <w:left w:val="single" w:sz="4" w:space="4" w:color="auto"/>
                <w:bottom w:val="single" w:sz="4" w:space="1" w:color="auto"/>
                <w:right w:val="single" w:sz="4" w:space="4" w:color="auto"/>
              </w:pBdr>
              <w:spacing w:before="40" w:line="200" w:lineRule="exact"/>
              <w:ind w:left="57" w:right="57"/>
              <w:rPr>
                <w:rFonts w:cs="Arial"/>
                <w:sz w:val="16"/>
                <w:szCs w:val="16"/>
                <w:lang w:val="it-IT"/>
              </w:rPr>
            </w:pPr>
            <w:r w:rsidRPr="00BF4F18">
              <w:rPr>
                <w:sz w:val="16"/>
                <w:szCs w:val="16"/>
                <w:lang w:val="it-IT"/>
              </w:rPr>
              <w:t>Ai sensi dell’art. 2425-ter CC, in vigore dal 1° gennaio 2016, il rendiconto finanziario costituisce parte integrante del bilancio d’esercizio</w:t>
            </w:r>
          </w:p>
        </w:tc>
        <w:tc>
          <w:tcPr>
            <w:tcW w:w="586" w:type="dxa"/>
            <w:tcMar>
              <w:left w:w="85" w:type="dxa"/>
              <w:right w:w="85" w:type="dxa"/>
            </w:tcMar>
            <w:vAlign w:val="center"/>
          </w:tcPr>
          <w:p w:rsidR="00BF4F18" w:rsidRPr="00BF4F18" w:rsidRDefault="00BF4F18" w:rsidP="00BF4F18">
            <w:pPr>
              <w:jc w:val="center"/>
              <w:rPr>
                <w:rFonts w:cs="Arial"/>
                <w:lang w:val="it-IT"/>
              </w:rPr>
            </w:pPr>
          </w:p>
        </w:tc>
        <w:tc>
          <w:tcPr>
            <w:tcW w:w="573" w:type="dxa"/>
            <w:tcMar>
              <w:left w:w="108" w:type="dxa"/>
            </w:tcMar>
            <w:vAlign w:val="center"/>
          </w:tcPr>
          <w:p w:rsidR="00BF4F18" w:rsidRPr="00BF4F18" w:rsidRDefault="00BF4F18" w:rsidP="00BF4F18">
            <w:pPr>
              <w:jc w:val="center"/>
              <w:rPr>
                <w:rFonts w:cs="Arial"/>
                <w:lang w:val="it-IT"/>
              </w:rPr>
            </w:pPr>
          </w:p>
        </w:tc>
        <w:tc>
          <w:tcPr>
            <w:tcW w:w="570" w:type="dxa"/>
            <w:tcMar>
              <w:left w:w="108" w:type="dxa"/>
            </w:tcMar>
            <w:vAlign w:val="center"/>
          </w:tcPr>
          <w:p w:rsidR="00BF4F18" w:rsidRPr="00BF4F18" w:rsidRDefault="00BF4F18" w:rsidP="00BF4F18">
            <w:pPr>
              <w:jc w:val="center"/>
              <w:rPr>
                <w:rFonts w:cs="Arial"/>
                <w:lang w:val="it-IT"/>
              </w:rPr>
            </w:pPr>
          </w:p>
        </w:tc>
      </w:tr>
      <w:tr w:rsidR="00BF4F18" w:rsidRPr="00CC242B" w:rsidTr="000D7E0A">
        <w:trPr>
          <w:cantSplit/>
          <w:trHeight w:val="20"/>
        </w:trPr>
        <w:tc>
          <w:tcPr>
            <w:tcW w:w="680" w:type="dxa"/>
          </w:tcPr>
          <w:p w:rsidR="00BF4F18" w:rsidRPr="00BF4F18" w:rsidRDefault="00BF4F18" w:rsidP="00BF4F18">
            <w:pPr>
              <w:jc w:val="center"/>
              <w:rPr>
                <w:rFonts w:cs="Arial"/>
                <w:b/>
                <w:lang w:val="it-IT"/>
              </w:rPr>
            </w:pP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p>
        </w:tc>
        <w:tc>
          <w:tcPr>
            <w:tcW w:w="7060" w:type="dxa"/>
            <w:tcMar>
              <w:left w:w="108" w:type="dxa"/>
            </w:tcMar>
          </w:tcPr>
          <w:p w:rsidR="00BF4F18" w:rsidRPr="00BF4F18" w:rsidRDefault="00BF4F18" w:rsidP="00BF4F18">
            <w:pPr>
              <w:keepNext/>
              <w:overflowPunct/>
              <w:autoSpaceDE/>
              <w:autoSpaceDN/>
              <w:adjustRightInd/>
              <w:spacing w:before="40" w:line="240" w:lineRule="exact"/>
              <w:jc w:val="left"/>
              <w:textAlignment w:val="auto"/>
              <w:outlineLvl w:val="1"/>
              <w:rPr>
                <w:b/>
                <w:sz w:val="22"/>
                <w:lang w:val="it-IT"/>
              </w:rPr>
            </w:pPr>
            <w:r w:rsidRPr="00BF4F18">
              <w:rPr>
                <w:b/>
                <w:sz w:val="22"/>
                <w:lang w:val="it-IT"/>
              </w:rPr>
              <w:t>Il bilancio di fusione ed il bilancio consolidato</w:t>
            </w:r>
          </w:p>
        </w:tc>
        <w:tc>
          <w:tcPr>
            <w:tcW w:w="586" w:type="dxa"/>
            <w:tcMar>
              <w:left w:w="85" w:type="dxa"/>
              <w:right w:w="85" w:type="dxa"/>
            </w:tcMar>
            <w:vAlign w:val="center"/>
          </w:tcPr>
          <w:p w:rsidR="00BF4F18" w:rsidRPr="00BF4F18" w:rsidRDefault="00BF4F18" w:rsidP="00BF4F18">
            <w:pPr>
              <w:jc w:val="center"/>
              <w:rPr>
                <w:rFonts w:cs="Arial"/>
                <w:lang w:val="it-IT"/>
              </w:rPr>
            </w:pPr>
          </w:p>
        </w:tc>
        <w:tc>
          <w:tcPr>
            <w:tcW w:w="573" w:type="dxa"/>
            <w:tcMar>
              <w:left w:w="108" w:type="dxa"/>
            </w:tcMar>
            <w:vAlign w:val="center"/>
          </w:tcPr>
          <w:p w:rsidR="00BF4F18" w:rsidRPr="00BF4F18" w:rsidRDefault="00BF4F18" w:rsidP="00BF4F18">
            <w:pPr>
              <w:jc w:val="center"/>
              <w:rPr>
                <w:rFonts w:cs="Arial"/>
                <w:lang w:val="it-IT"/>
              </w:rPr>
            </w:pPr>
          </w:p>
        </w:tc>
        <w:tc>
          <w:tcPr>
            <w:tcW w:w="570" w:type="dxa"/>
            <w:tcMar>
              <w:left w:w="108" w:type="dxa"/>
            </w:tcMar>
            <w:vAlign w:val="center"/>
          </w:tcPr>
          <w:p w:rsidR="00BF4F18" w:rsidRPr="00BF4F18" w:rsidRDefault="00BF4F18" w:rsidP="00BF4F18">
            <w:pPr>
              <w:jc w:val="center"/>
              <w:rPr>
                <w:rFonts w:cs="Arial"/>
                <w:lang w:val="it-IT"/>
              </w:rPr>
            </w:pPr>
          </w:p>
        </w:tc>
      </w:tr>
      <w:tr w:rsidR="00BF4F18" w:rsidRPr="00CC242B" w:rsidTr="000D7E0A">
        <w:trPr>
          <w:cantSplit/>
          <w:trHeight w:val="20"/>
        </w:trPr>
        <w:tc>
          <w:tcPr>
            <w:tcW w:w="680" w:type="dxa"/>
          </w:tcPr>
          <w:p w:rsidR="00BF4F18" w:rsidRPr="00BF4F18" w:rsidRDefault="00BF4F18" w:rsidP="00BF4F18">
            <w:pPr>
              <w:jc w:val="center"/>
              <w:rPr>
                <w:b/>
                <w:lang w:val="it-IT"/>
              </w:rPr>
            </w:pPr>
            <w:r w:rsidRPr="00BF4F18">
              <w:rPr>
                <w:rFonts w:cs="Arial"/>
                <w:b/>
                <w:lang w:val="it-IT"/>
              </w:rPr>
              <w:t>9)</w:t>
            </w: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OIC 4</w:t>
            </w:r>
          </w:p>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Cap. 4 par.4.7</w:t>
            </w:r>
          </w:p>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spacing w:line="230" w:lineRule="exact"/>
              <w:rPr>
                <w:lang w:val="it-IT"/>
              </w:rPr>
            </w:pPr>
            <w:r w:rsidRPr="00BF4F18">
              <w:rPr>
                <w:rFonts w:cs="Arial"/>
                <w:lang w:val="it-IT"/>
              </w:rPr>
              <w:t xml:space="preserve">Qualora sia avvenuta una fusione per incorporazione fra controllante e controllata, nel primo bilancio successivo alla fusione è stato verificato che: </w:t>
            </w:r>
          </w:p>
        </w:tc>
        <w:tc>
          <w:tcPr>
            <w:tcW w:w="586" w:type="dxa"/>
            <w:tcMar>
              <w:left w:w="85" w:type="dxa"/>
              <w:right w:w="85" w:type="dxa"/>
            </w:tcMar>
            <w:vAlign w:val="center"/>
          </w:tcPr>
          <w:p w:rsidR="00BF4F18" w:rsidRPr="00BF4F18" w:rsidRDefault="00BF4F18" w:rsidP="00BF4F18">
            <w:pPr>
              <w:jc w:val="center"/>
              <w:rPr>
                <w:lang w:val="it-IT"/>
              </w:rPr>
            </w:pPr>
          </w:p>
        </w:tc>
        <w:tc>
          <w:tcPr>
            <w:tcW w:w="573" w:type="dxa"/>
            <w:tcMar>
              <w:left w:w="108" w:type="dxa"/>
            </w:tcMar>
            <w:vAlign w:val="center"/>
          </w:tcPr>
          <w:p w:rsidR="00BF4F18" w:rsidRPr="00BF4F18" w:rsidRDefault="00BF4F18" w:rsidP="00BF4F18">
            <w:pPr>
              <w:jc w:val="center"/>
              <w:rPr>
                <w:lang w:val="it-IT"/>
              </w:rPr>
            </w:pPr>
          </w:p>
        </w:tc>
        <w:tc>
          <w:tcPr>
            <w:tcW w:w="570" w:type="dxa"/>
            <w:tcMar>
              <w:left w:w="108" w:type="dxa"/>
            </w:tcMar>
            <w:vAlign w:val="center"/>
          </w:tcPr>
          <w:p w:rsidR="00BF4F18" w:rsidRPr="00BF4F18" w:rsidRDefault="00BF4F18" w:rsidP="00BF4F18">
            <w:pPr>
              <w:jc w:val="center"/>
              <w:rPr>
                <w:lang w:val="it-IT"/>
              </w:rPr>
            </w:pPr>
          </w:p>
        </w:tc>
      </w:tr>
      <w:tr w:rsidR="00BF4F18" w:rsidRPr="00BF4F18" w:rsidTr="000D7E0A">
        <w:trPr>
          <w:cantSplit/>
          <w:trHeight w:val="20"/>
        </w:trPr>
        <w:tc>
          <w:tcPr>
            <w:tcW w:w="680" w:type="dxa"/>
          </w:tcPr>
          <w:p w:rsidR="00BF4F18" w:rsidRPr="00BF4F18" w:rsidRDefault="00BF4F18" w:rsidP="00BF4F18">
            <w:pPr>
              <w:jc w:val="center"/>
              <w:rPr>
                <w:b/>
                <w:lang w:val="it-IT"/>
              </w:rPr>
            </w:pPr>
          </w:p>
        </w:tc>
        <w:tc>
          <w:tcPr>
            <w:tcW w:w="851" w:type="dxa"/>
            <w:tcMar>
              <w:left w:w="108" w:type="dxa"/>
              <w:right w:w="0" w:type="dxa"/>
            </w:tcMar>
          </w:tcPr>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4E27C2">
            <w:pPr>
              <w:numPr>
                <w:ilvl w:val="0"/>
                <w:numId w:val="81"/>
              </w:numPr>
              <w:overflowPunct/>
              <w:autoSpaceDE/>
              <w:autoSpaceDN/>
              <w:adjustRightInd/>
              <w:spacing w:line="230" w:lineRule="exact"/>
              <w:ind w:left="318" w:hanging="283"/>
              <w:textAlignment w:val="auto"/>
              <w:rPr>
                <w:lang w:val="it-IT"/>
              </w:rPr>
            </w:pPr>
            <w:r w:rsidRPr="00BF4F18">
              <w:rPr>
                <w:lang w:val="it-IT"/>
              </w:rPr>
              <w:t>esista coerenza nell’allocazione della differenza di fusione alle singole voci di bilancio, e ove possibile, vengano mantenute le stesse imputazioni già effettuate nel bilancio consolidato, nel rispetto della continuità dei valori</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r>
      <w:tr w:rsidR="00BF4F18" w:rsidRPr="00BF4F18" w:rsidTr="000D7E0A">
        <w:trPr>
          <w:cantSplit/>
          <w:trHeight w:val="20"/>
        </w:trPr>
        <w:tc>
          <w:tcPr>
            <w:tcW w:w="680" w:type="dxa"/>
          </w:tcPr>
          <w:p w:rsidR="00BF4F18" w:rsidRPr="00BF4F18" w:rsidRDefault="00BF4F18" w:rsidP="00BF4F18">
            <w:pPr>
              <w:jc w:val="center"/>
              <w:rPr>
                <w:b/>
                <w:lang w:val="it-IT"/>
              </w:rPr>
            </w:pPr>
          </w:p>
        </w:tc>
        <w:tc>
          <w:tcPr>
            <w:tcW w:w="851" w:type="dxa"/>
            <w:tcMar>
              <w:left w:w="108" w:type="dxa"/>
              <w:right w:w="0" w:type="dxa"/>
            </w:tcMar>
          </w:tcPr>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4E27C2">
            <w:pPr>
              <w:numPr>
                <w:ilvl w:val="0"/>
                <w:numId w:val="81"/>
              </w:numPr>
              <w:overflowPunct/>
              <w:autoSpaceDE/>
              <w:autoSpaceDN/>
              <w:adjustRightInd/>
              <w:spacing w:line="230" w:lineRule="exact"/>
              <w:ind w:left="318" w:hanging="283"/>
              <w:textAlignment w:val="auto"/>
              <w:rPr>
                <w:lang w:val="it-IT"/>
              </w:rPr>
            </w:pPr>
            <w:r w:rsidRPr="00BF4F18">
              <w:rPr>
                <w:lang w:val="it-IT"/>
              </w:rPr>
              <w:t xml:space="preserve">in allegato alla </w:t>
            </w:r>
            <w:r w:rsidR="00104BFF">
              <w:rPr>
                <w:lang w:val="it-IT"/>
              </w:rPr>
              <w:t>Nota Integrativa</w:t>
            </w:r>
            <w:r w:rsidRPr="00BF4F18">
              <w:rPr>
                <w:lang w:val="it-IT"/>
              </w:rPr>
              <w:t xml:space="preserve"> siano stati riportati i valori dell’ultimo bilancio consolidato ante fusione?</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r>
      <w:tr w:rsidR="00BF4F18" w:rsidRPr="00BF4F18" w:rsidTr="000D7E0A">
        <w:trPr>
          <w:cantSplit/>
          <w:trHeight w:val="20"/>
        </w:trPr>
        <w:tc>
          <w:tcPr>
            <w:tcW w:w="680" w:type="dxa"/>
          </w:tcPr>
          <w:p w:rsidR="00BF4F18" w:rsidRPr="00BF4F18" w:rsidRDefault="00BF4F18" w:rsidP="00BF4F18">
            <w:pPr>
              <w:jc w:val="center"/>
              <w:rPr>
                <w:b/>
                <w:lang w:val="it-IT"/>
              </w:rPr>
            </w:pPr>
          </w:p>
        </w:tc>
        <w:tc>
          <w:tcPr>
            <w:tcW w:w="851" w:type="dxa"/>
            <w:tcMar>
              <w:left w:w="108" w:type="dxa"/>
              <w:right w:w="0" w:type="dxa"/>
            </w:tcMar>
          </w:tcPr>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keepNext/>
              <w:overflowPunct/>
              <w:autoSpaceDE/>
              <w:autoSpaceDN/>
              <w:adjustRightInd/>
              <w:spacing w:before="40" w:line="240" w:lineRule="exact"/>
              <w:jc w:val="left"/>
              <w:textAlignment w:val="auto"/>
              <w:outlineLvl w:val="1"/>
              <w:rPr>
                <w:b/>
                <w:sz w:val="22"/>
                <w:lang w:val="it-IT"/>
              </w:rPr>
            </w:pPr>
            <w:r w:rsidRPr="00BF4F18">
              <w:rPr>
                <w:rFonts w:cs="Arial"/>
                <w:b/>
                <w:sz w:val="22"/>
                <w:szCs w:val="22"/>
              </w:rPr>
              <w:t>LA SCISSIONE</w:t>
            </w:r>
          </w:p>
        </w:tc>
        <w:tc>
          <w:tcPr>
            <w:tcW w:w="586" w:type="dxa"/>
            <w:tcMar>
              <w:left w:w="85" w:type="dxa"/>
              <w:right w:w="85" w:type="dxa"/>
            </w:tcMar>
            <w:vAlign w:val="center"/>
          </w:tcPr>
          <w:p w:rsidR="00BF4F18" w:rsidRPr="00BF4F18" w:rsidRDefault="00BF4F18" w:rsidP="00BF4F18">
            <w:pPr>
              <w:jc w:val="center"/>
              <w:rPr>
                <w:rFonts w:cs="Arial"/>
                <w:lang w:val="it-IT"/>
              </w:rPr>
            </w:pPr>
          </w:p>
        </w:tc>
        <w:tc>
          <w:tcPr>
            <w:tcW w:w="573" w:type="dxa"/>
            <w:tcMar>
              <w:left w:w="108" w:type="dxa"/>
            </w:tcMar>
            <w:vAlign w:val="center"/>
          </w:tcPr>
          <w:p w:rsidR="00BF4F18" w:rsidRPr="00BF4F18" w:rsidRDefault="00BF4F18" w:rsidP="00BF4F18">
            <w:pPr>
              <w:jc w:val="center"/>
              <w:rPr>
                <w:rFonts w:cs="Arial"/>
                <w:lang w:val="it-IT"/>
              </w:rPr>
            </w:pPr>
          </w:p>
        </w:tc>
        <w:tc>
          <w:tcPr>
            <w:tcW w:w="570" w:type="dxa"/>
            <w:tcMar>
              <w:left w:w="108" w:type="dxa"/>
            </w:tcMar>
            <w:vAlign w:val="center"/>
          </w:tcPr>
          <w:p w:rsidR="00BF4F18" w:rsidRPr="00BF4F18" w:rsidRDefault="00BF4F18" w:rsidP="00BF4F18">
            <w:pPr>
              <w:jc w:val="center"/>
              <w:rPr>
                <w:rFonts w:cs="Arial"/>
                <w:lang w:val="it-IT"/>
              </w:rPr>
            </w:pPr>
          </w:p>
        </w:tc>
      </w:tr>
      <w:tr w:rsidR="00BF4F18" w:rsidRPr="00CC242B" w:rsidTr="000D7E0A">
        <w:trPr>
          <w:cantSplit/>
          <w:trHeight w:val="20"/>
        </w:trPr>
        <w:tc>
          <w:tcPr>
            <w:tcW w:w="680" w:type="dxa"/>
          </w:tcPr>
          <w:p w:rsidR="00BF4F18" w:rsidRPr="00BF4F18" w:rsidRDefault="00BF4F18" w:rsidP="00BF4F18">
            <w:pPr>
              <w:jc w:val="center"/>
              <w:rPr>
                <w:b/>
                <w:lang w:val="it-IT"/>
              </w:rPr>
            </w:pPr>
          </w:p>
        </w:tc>
        <w:tc>
          <w:tcPr>
            <w:tcW w:w="851" w:type="dxa"/>
            <w:tcMar>
              <w:left w:w="108" w:type="dxa"/>
              <w:right w:w="0" w:type="dxa"/>
            </w:tcMar>
          </w:tcPr>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keepNext/>
              <w:overflowPunct/>
              <w:autoSpaceDE/>
              <w:autoSpaceDN/>
              <w:adjustRightInd/>
              <w:spacing w:before="40" w:line="240" w:lineRule="exact"/>
              <w:jc w:val="left"/>
              <w:textAlignment w:val="auto"/>
              <w:outlineLvl w:val="1"/>
              <w:rPr>
                <w:b/>
                <w:sz w:val="22"/>
                <w:lang w:val="it-IT"/>
              </w:rPr>
            </w:pPr>
            <w:r w:rsidRPr="00BF4F18">
              <w:rPr>
                <w:b/>
                <w:sz w:val="22"/>
                <w:lang w:val="it-IT"/>
              </w:rPr>
              <w:t>Primo bilancio d’esercizio successivo alla scissione</w:t>
            </w:r>
          </w:p>
        </w:tc>
        <w:tc>
          <w:tcPr>
            <w:tcW w:w="586" w:type="dxa"/>
            <w:tcMar>
              <w:left w:w="85" w:type="dxa"/>
              <w:right w:w="85" w:type="dxa"/>
            </w:tcMar>
            <w:vAlign w:val="center"/>
          </w:tcPr>
          <w:p w:rsidR="00BF4F18" w:rsidRPr="00BF4F18" w:rsidRDefault="00BF4F18" w:rsidP="00BF4F18">
            <w:pPr>
              <w:jc w:val="center"/>
              <w:rPr>
                <w:rFonts w:cs="Arial"/>
                <w:lang w:val="it-IT"/>
              </w:rPr>
            </w:pPr>
          </w:p>
        </w:tc>
        <w:tc>
          <w:tcPr>
            <w:tcW w:w="573" w:type="dxa"/>
            <w:tcMar>
              <w:left w:w="108" w:type="dxa"/>
            </w:tcMar>
            <w:vAlign w:val="center"/>
          </w:tcPr>
          <w:p w:rsidR="00BF4F18" w:rsidRPr="00BF4F18" w:rsidRDefault="00BF4F18" w:rsidP="00BF4F18">
            <w:pPr>
              <w:jc w:val="center"/>
              <w:rPr>
                <w:rFonts w:cs="Arial"/>
                <w:lang w:val="it-IT"/>
              </w:rPr>
            </w:pPr>
          </w:p>
        </w:tc>
        <w:tc>
          <w:tcPr>
            <w:tcW w:w="570" w:type="dxa"/>
            <w:tcMar>
              <w:left w:w="108" w:type="dxa"/>
            </w:tcMar>
            <w:vAlign w:val="center"/>
          </w:tcPr>
          <w:p w:rsidR="00BF4F18" w:rsidRPr="00BF4F18" w:rsidRDefault="00BF4F18" w:rsidP="00BF4F18">
            <w:pPr>
              <w:jc w:val="center"/>
              <w:rPr>
                <w:rFonts w:cs="Arial"/>
                <w:lang w:val="it-IT"/>
              </w:rPr>
            </w:pPr>
          </w:p>
        </w:tc>
      </w:tr>
      <w:tr w:rsidR="00BF4F18" w:rsidRPr="00BF4F18" w:rsidTr="000D7E0A">
        <w:trPr>
          <w:cantSplit/>
          <w:trHeight w:val="20"/>
        </w:trPr>
        <w:tc>
          <w:tcPr>
            <w:tcW w:w="680" w:type="dxa"/>
          </w:tcPr>
          <w:p w:rsidR="00BF4F18" w:rsidRPr="00BF4F18" w:rsidRDefault="00BF4F18" w:rsidP="00BF4F18">
            <w:pPr>
              <w:jc w:val="center"/>
              <w:rPr>
                <w:b/>
                <w:lang w:val="it-IT"/>
              </w:rPr>
            </w:pPr>
            <w:r w:rsidRPr="00BF4F18">
              <w:rPr>
                <w:rFonts w:cs="Arial"/>
                <w:b/>
                <w:lang w:val="it-IT"/>
              </w:rPr>
              <w:t>10)</w:t>
            </w: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PARTE SECONDA OIC 4</w:t>
            </w:r>
          </w:p>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Cap. 4 par.4.4</w:t>
            </w:r>
          </w:p>
        </w:tc>
        <w:tc>
          <w:tcPr>
            <w:tcW w:w="7060" w:type="dxa"/>
            <w:tcMar>
              <w:left w:w="108" w:type="dxa"/>
            </w:tcMar>
          </w:tcPr>
          <w:p w:rsidR="00BF4F18" w:rsidRPr="00BF4F18" w:rsidRDefault="00BF4F18" w:rsidP="00BF4F18">
            <w:pPr>
              <w:spacing w:line="230" w:lineRule="exact"/>
              <w:rPr>
                <w:lang w:val="it-IT"/>
              </w:rPr>
            </w:pPr>
            <w:r w:rsidRPr="00BF4F18">
              <w:rPr>
                <w:rFonts w:cs="Arial"/>
                <w:lang w:val="it-IT"/>
              </w:rPr>
              <w:t xml:space="preserve">Qualora sia avvenuta una operazione di scissione, nel caso di beneficiaria neocostituita, nessuna informazione comparativa è stata esposta, mentre nel caso di beneficiaria pre-esistente, la comparazione è avvenuta con il suo precedente bilancio d’esercizio? </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CA1681">
              <w:rPr>
                <w:rFonts w:cs="Arial"/>
              </w:rPr>
            </w:r>
            <w:r w:rsidR="00CA1681">
              <w:rPr>
                <w:rFonts w:cs="Arial"/>
              </w:rPr>
              <w:fldChar w:fldCharType="separate"/>
            </w:r>
            <w:r w:rsidRPr="00BF4F18">
              <w:rPr>
                <w:rFonts w:cs="Arial"/>
              </w:rPr>
              <w:fldChar w:fldCharType="end"/>
            </w:r>
          </w:p>
        </w:tc>
      </w:tr>
    </w:tbl>
    <w:p w:rsidR="00BF4F18" w:rsidRPr="00BF4F18" w:rsidRDefault="00BF4F18" w:rsidP="00BF4F18">
      <w:pPr>
        <w:rPr>
          <w:lang w:val="it-IT"/>
        </w:rPr>
      </w:pPr>
    </w:p>
    <w:p w:rsidR="00BF4F18" w:rsidRDefault="00BF4F18" w:rsidP="00AD4AE2">
      <w:pPr>
        <w:rPr>
          <w:lang w:val="it-IT"/>
        </w:rPr>
        <w:sectPr w:rsidR="00BF4F18" w:rsidSect="008E5F3E">
          <w:headerReference w:type="default" r:id="rId59"/>
          <w:footerReference w:type="default" r:id="rId60"/>
          <w:pgSz w:w="11906" w:h="16838" w:code="9"/>
          <w:pgMar w:top="1134" w:right="851" w:bottom="851" w:left="851" w:header="709" w:footer="567" w:gutter="0"/>
          <w:cols w:space="708"/>
          <w:docGrid w:linePitch="360"/>
        </w:sectPr>
      </w:pPr>
    </w:p>
    <w:p w:rsidR="00613ED3" w:rsidRDefault="00613ED3" w:rsidP="00613ED3"/>
    <w:p w:rsidR="00613ED3" w:rsidRPr="00F24592" w:rsidRDefault="00613ED3" w:rsidP="00613ED3">
      <w:pPr>
        <w:tabs>
          <w:tab w:val="left" w:pos="1890"/>
        </w:tabs>
        <w:spacing w:line="260" w:lineRule="exact"/>
        <w:ind w:left="990" w:hanging="990"/>
        <w:jc w:val="left"/>
        <w:rPr>
          <w:b/>
          <w:color w:val="0070C0"/>
        </w:rPr>
      </w:pPr>
      <w:r w:rsidRPr="00F24592">
        <w:rPr>
          <w:b/>
          <w:color w:val="0070C0"/>
          <w:sz w:val="28"/>
        </w:rPr>
        <w:t>Certificati verdi</w:t>
      </w:r>
    </w:p>
    <w:p w:rsidR="00613ED3" w:rsidRDefault="00613ED3" w:rsidP="00613ED3"/>
    <w:p w:rsidR="00613ED3" w:rsidRDefault="00613ED3" w:rsidP="00613ED3"/>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613ED3" w:rsidRPr="008A0F36" w:rsidTr="000D7E0A">
        <w:trPr>
          <w:cantSplit/>
          <w:trHeight w:val="20"/>
          <w:tblHeader/>
        </w:trPr>
        <w:tc>
          <w:tcPr>
            <w:tcW w:w="680" w:type="dxa"/>
            <w:shd w:val="clear" w:color="auto" w:fill="F2F2F2" w:themeFill="background1" w:themeFillShade="F2"/>
          </w:tcPr>
          <w:p w:rsidR="00613ED3" w:rsidRPr="008A0F36" w:rsidRDefault="00613ED3" w:rsidP="000D7E0A">
            <w:pPr>
              <w:jc w:val="center"/>
              <w:rPr>
                <w:lang w:val="it-IT"/>
              </w:rPr>
            </w:pPr>
          </w:p>
        </w:tc>
        <w:tc>
          <w:tcPr>
            <w:tcW w:w="851" w:type="dxa"/>
            <w:shd w:val="clear" w:color="auto" w:fill="F2F2F2" w:themeFill="background1" w:themeFillShade="F2"/>
            <w:tcMar>
              <w:left w:w="108" w:type="dxa"/>
              <w:right w:w="0" w:type="dxa"/>
            </w:tcMar>
          </w:tcPr>
          <w:p w:rsidR="00613ED3" w:rsidRPr="008A0F36" w:rsidRDefault="00613ED3" w:rsidP="000D7E0A">
            <w:pPr>
              <w:jc w:val="left"/>
              <w:rPr>
                <w:b/>
                <w:lang w:val="it-IT"/>
              </w:rPr>
            </w:pPr>
          </w:p>
        </w:tc>
        <w:tc>
          <w:tcPr>
            <w:tcW w:w="7060" w:type="dxa"/>
            <w:shd w:val="clear" w:color="auto" w:fill="F2F2F2" w:themeFill="background1" w:themeFillShade="F2"/>
            <w:tcMar>
              <w:left w:w="108" w:type="dxa"/>
            </w:tcMar>
          </w:tcPr>
          <w:p w:rsidR="00613ED3" w:rsidRPr="008A0F36" w:rsidRDefault="00613ED3" w:rsidP="000D7E0A">
            <w:pPr>
              <w:jc w:val="center"/>
              <w:rPr>
                <w:b/>
                <w:lang w:val="it-IT"/>
              </w:rPr>
            </w:pPr>
          </w:p>
        </w:tc>
        <w:tc>
          <w:tcPr>
            <w:tcW w:w="586" w:type="dxa"/>
            <w:shd w:val="clear" w:color="auto" w:fill="F2F2F2" w:themeFill="background1" w:themeFillShade="F2"/>
            <w:tcMar>
              <w:left w:w="85" w:type="dxa"/>
              <w:right w:w="85" w:type="dxa"/>
            </w:tcMar>
            <w:vAlign w:val="bottom"/>
          </w:tcPr>
          <w:p w:rsidR="00613ED3" w:rsidRPr="008A0F36" w:rsidRDefault="00613ED3" w:rsidP="000D7E0A">
            <w:pPr>
              <w:jc w:val="center"/>
              <w:rPr>
                <w:b/>
                <w:lang w:val="it-IT"/>
              </w:rPr>
            </w:pPr>
            <w:r w:rsidRPr="008A0F36">
              <w:rPr>
                <w:b/>
                <w:lang w:val="it-IT"/>
              </w:rPr>
              <w:t>SI</w:t>
            </w:r>
          </w:p>
        </w:tc>
        <w:tc>
          <w:tcPr>
            <w:tcW w:w="573" w:type="dxa"/>
            <w:shd w:val="clear" w:color="auto" w:fill="F2F2F2" w:themeFill="background1" w:themeFillShade="F2"/>
            <w:tcMar>
              <w:left w:w="108" w:type="dxa"/>
            </w:tcMar>
            <w:vAlign w:val="bottom"/>
          </w:tcPr>
          <w:p w:rsidR="00613ED3" w:rsidRPr="008A0F36" w:rsidRDefault="00613ED3" w:rsidP="000D7E0A">
            <w:pPr>
              <w:jc w:val="center"/>
              <w:rPr>
                <w:b/>
                <w:lang w:val="it-IT"/>
              </w:rPr>
            </w:pPr>
            <w:r w:rsidRPr="008A0F36">
              <w:rPr>
                <w:b/>
                <w:lang w:val="it-IT"/>
              </w:rPr>
              <w:t>NO</w:t>
            </w:r>
          </w:p>
        </w:tc>
        <w:tc>
          <w:tcPr>
            <w:tcW w:w="570" w:type="dxa"/>
            <w:shd w:val="clear" w:color="auto" w:fill="F2F2F2" w:themeFill="background1" w:themeFillShade="F2"/>
            <w:tcMar>
              <w:left w:w="108" w:type="dxa"/>
            </w:tcMar>
            <w:vAlign w:val="bottom"/>
          </w:tcPr>
          <w:p w:rsidR="00613ED3" w:rsidRPr="008A0F36" w:rsidRDefault="00613ED3" w:rsidP="000D7E0A">
            <w:pPr>
              <w:jc w:val="center"/>
              <w:rPr>
                <w:b/>
                <w:lang w:val="it-IT"/>
              </w:rPr>
            </w:pPr>
            <w:r w:rsidRPr="008A0F36">
              <w:rPr>
                <w:b/>
                <w:lang w:val="it-IT"/>
              </w:rPr>
              <w:t>N/A</w:t>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vAlign w:val="center"/>
          </w:tcPr>
          <w:p w:rsidR="00613ED3" w:rsidRPr="0015013F" w:rsidRDefault="00613ED3" w:rsidP="000D7E0A">
            <w:pPr>
              <w:pStyle w:val="Titolo1"/>
            </w:pPr>
            <w:r w:rsidRPr="0015013F">
              <w:t>CERTIFICATI VERDI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vAlign w:val="center"/>
          </w:tcPr>
          <w:p w:rsidR="00613ED3" w:rsidRPr="007F398B" w:rsidRDefault="00613ED3" w:rsidP="000D7E0A">
            <w:pPr>
              <w:pStyle w:val="Titolo2"/>
              <w:rPr>
                <w:lang w:val="it-IT"/>
              </w:rPr>
            </w:pPr>
            <w:r>
              <w:rPr>
                <w:lang w:val="it-IT"/>
              </w:rPr>
              <w:t>Definizioni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C242B"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r>
              <w:rPr>
                <w:lang w:val="it-IT"/>
              </w:rPr>
              <w:t>OIC 7.5</w:t>
            </w:r>
          </w:p>
        </w:tc>
        <w:tc>
          <w:tcPr>
            <w:tcW w:w="7060" w:type="dxa"/>
            <w:tcMar>
              <w:left w:w="108" w:type="dxa"/>
            </w:tcMar>
          </w:tcPr>
          <w:p w:rsidR="00613ED3" w:rsidRPr="007F398B" w:rsidRDefault="00613ED3" w:rsidP="000D7E0A">
            <w:pPr>
              <w:pStyle w:val="Commentiriquadro"/>
            </w:pPr>
            <w:r w:rsidRPr="007F398B">
              <w:t>Per certificati verdi emessi a consuntivo si intendono i certificati che il Gestore dei Servizi Energetici (GSE) emette, in ragione della produzione effettiva, nell’anno successivo rispetto a quello in cui si è realizzata la produz</w:t>
            </w:r>
            <w:r>
              <w:t>ione oggetto di incentivazione.</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C242B"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r>
              <w:rPr>
                <w:lang w:val="it-IT"/>
              </w:rPr>
              <w:t>OIC 7.6</w:t>
            </w:r>
          </w:p>
        </w:tc>
        <w:tc>
          <w:tcPr>
            <w:tcW w:w="7060" w:type="dxa"/>
            <w:tcMar>
              <w:left w:w="108" w:type="dxa"/>
            </w:tcMar>
          </w:tcPr>
          <w:p w:rsidR="00613ED3" w:rsidRPr="007F398B" w:rsidRDefault="00613ED3" w:rsidP="000D7E0A">
            <w:pPr>
              <w:pStyle w:val="Commentiriquadro"/>
            </w:pPr>
            <w:r w:rsidRPr="007F398B">
              <w:t>Per certificati verdi emessi a preventivo si intendono i certificati che il GSE emette, in ragione della produzione attesa, nell’anno corrente o nell’anno precedente a quello in cui si realizza la produzione oggetto di incentivazione. Rientrano in tale tipologia anche i certificati verdi emessi in base alle misure mensili di energia prodotta.</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C242B"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r>
              <w:rPr>
                <w:lang w:val="it-IT"/>
              </w:rPr>
              <w:t>OIC 7.</w:t>
            </w:r>
            <w:r w:rsidRPr="00D63511">
              <w:rPr>
                <w:lang w:val="it-IT"/>
              </w:rPr>
              <w:t>7</w:t>
            </w:r>
          </w:p>
        </w:tc>
        <w:tc>
          <w:tcPr>
            <w:tcW w:w="7060" w:type="dxa"/>
            <w:tcMar>
              <w:left w:w="108" w:type="dxa"/>
            </w:tcMar>
          </w:tcPr>
          <w:p w:rsidR="00613ED3" w:rsidRPr="007F398B" w:rsidRDefault="00613ED3" w:rsidP="000D7E0A">
            <w:pPr>
              <w:pStyle w:val="Commentiriquadro"/>
            </w:pPr>
            <w:r w:rsidRPr="007F398B">
              <w:t>Per consegna dei certificati verdi si intende il momento in cui, entro il 31 marzo di ciascun anno, le società soggette all’obbligo sono tenute a consegnare al GSE i certificati verdi relativi all’obbligo dell’anno precedente</w:t>
            </w:r>
            <w:r>
              <w:t>.</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C242B"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r>
              <w:rPr>
                <w:lang w:val="it-IT"/>
              </w:rPr>
              <w:t>OIC 7.8</w:t>
            </w:r>
          </w:p>
        </w:tc>
        <w:tc>
          <w:tcPr>
            <w:tcW w:w="7060" w:type="dxa"/>
            <w:tcMar>
              <w:left w:w="108" w:type="dxa"/>
            </w:tcMar>
          </w:tcPr>
          <w:p w:rsidR="00613ED3" w:rsidRPr="007F398B" w:rsidRDefault="00613ED3" w:rsidP="000D7E0A">
            <w:pPr>
              <w:pStyle w:val="Commentiriquadro"/>
            </w:pPr>
            <w:r w:rsidRPr="007F398B">
              <w:t>Per vendita dei certificati verdi si intende l’attività con cui la società cede sul mercato ad un prezzo concordato tra le parti i certificati stessi. Rientra nella nozione di vendita anche la cessione dei certificati verdi al GSE ad un prezzo minimo garantito stabilito dalla disciplina di riferimento (c.d. ritiro garantito dei certificati verdi da parte del GSE)</w:t>
            </w:r>
            <w:r>
              <w:t>.</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C242B"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vAlign w:val="center"/>
          </w:tcPr>
          <w:p w:rsidR="00613ED3" w:rsidRPr="00332039" w:rsidRDefault="00613ED3" w:rsidP="000D7E0A">
            <w:pPr>
              <w:pStyle w:val="Titolo2"/>
              <w:jc w:val="both"/>
              <w:rPr>
                <w:lang w:val="it-IT"/>
              </w:rPr>
            </w:pPr>
            <w:r w:rsidRPr="00332039">
              <w:rPr>
                <w:lang w:val="it-IT"/>
              </w:rPr>
              <w:t>Società che producono energia elettrica da fonti rinnovabili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C242B"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0D7E0A">
            <w:pPr>
              <w:pStyle w:val="Commentiriquadro"/>
            </w:pPr>
            <w:r w:rsidRPr="000A0ED1">
              <w:t>Per le società che producono energia elettrica da fonti rinnovabili i certificati verdi costituiscono una forma di integrazione dei ricavi di esercizio analoga ai contributi in conto esercizio, ai fini di compensare i maggiori oneri sostenuti per la produzione di energia elettrica da fonti rinnovabili rispetto a quella da fonti fossili tradizionali</w:t>
            </w:r>
            <w:r w:rsidRPr="00F63450">
              <w:t>.</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C242B" w:rsidTr="000D7E0A">
        <w:trPr>
          <w:cantSplit/>
          <w:trHeight w:val="20"/>
        </w:trPr>
        <w:tc>
          <w:tcPr>
            <w:tcW w:w="680" w:type="dxa"/>
          </w:tcPr>
          <w:p w:rsidR="00613ED3" w:rsidRPr="00F24592" w:rsidRDefault="00613ED3" w:rsidP="000D7E0A">
            <w:pPr>
              <w:jc w:val="center"/>
              <w:rPr>
                <w:b/>
                <w:lang w:val="it-IT"/>
              </w:rPr>
            </w:pPr>
            <w:r w:rsidRPr="00F24592">
              <w:rPr>
                <w:b/>
                <w:lang w:val="it-IT"/>
              </w:rPr>
              <w:t>1)</w:t>
            </w: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103BE7" w:rsidRDefault="00613ED3" w:rsidP="000D7E0A">
            <w:pPr>
              <w:spacing w:line="230" w:lineRule="exact"/>
              <w:rPr>
                <w:lang w:val="it-IT"/>
              </w:rPr>
            </w:pPr>
            <w:r w:rsidRPr="00103BE7">
              <w:rPr>
                <w:lang w:val="it-IT"/>
              </w:rPr>
              <w:t>I crediti sono stati classificati nelle seguenti voci: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Pr="00A627A5" w:rsidRDefault="00613ED3" w:rsidP="000D7E0A">
            <w:pPr>
              <w:pStyle w:val="PrincCont"/>
              <w:jc w:val="left"/>
              <w:rPr>
                <w:lang w:val="it-IT"/>
              </w:rPr>
            </w:pPr>
            <w:r w:rsidRPr="00A627A5">
              <w:rPr>
                <w:lang w:val="it-IT"/>
              </w:rPr>
              <w:t>OIC 7.37</w:t>
            </w:r>
          </w:p>
        </w:tc>
        <w:tc>
          <w:tcPr>
            <w:tcW w:w="7060" w:type="dxa"/>
            <w:tcMar>
              <w:left w:w="108" w:type="dxa"/>
            </w:tcMar>
          </w:tcPr>
          <w:p w:rsidR="00613ED3" w:rsidRPr="0042475B" w:rsidRDefault="00613ED3" w:rsidP="004E27C2">
            <w:pPr>
              <w:pStyle w:val="Rientroa"/>
              <w:numPr>
                <w:ilvl w:val="0"/>
                <w:numId w:val="82"/>
              </w:numPr>
              <w:spacing w:line="230" w:lineRule="exact"/>
              <w:ind w:left="318" w:hanging="283"/>
            </w:pPr>
            <w:r w:rsidRPr="00EE33A9">
              <w:t>nella voce C.II.1) “Crediti verso clienti” i crediti derivanti dalla vendita di certificati verdi</w:t>
            </w:r>
            <w:r w:rsidRPr="00405DFC">
              <w:t xml:space="preserve">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Pr="00A627A5" w:rsidRDefault="00613ED3" w:rsidP="000D7E0A">
            <w:pPr>
              <w:pStyle w:val="PrincCont"/>
              <w:jc w:val="left"/>
              <w:rPr>
                <w:lang w:val="it-IT"/>
              </w:rPr>
            </w:pPr>
            <w:r w:rsidRPr="00A627A5">
              <w:rPr>
                <w:lang w:val="it-IT"/>
              </w:rPr>
              <w:t>OIC 7.38 e 39</w:t>
            </w:r>
          </w:p>
        </w:tc>
        <w:tc>
          <w:tcPr>
            <w:tcW w:w="7060" w:type="dxa"/>
            <w:tcMar>
              <w:left w:w="108" w:type="dxa"/>
            </w:tcMar>
          </w:tcPr>
          <w:p w:rsidR="00613ED3" w:rsidRPr="0042475B" w:rsidRDefault="00613ED3" w:rsidP="004E27C2">
            <w:pPr>
              <w:pStyle w:val="Rientroa"/>
              <w:numPr>
                <w:ilvl w:val="0"/>
                <w:numId w:val="82"/>
              </w:numPr>
              <w:spacing w:line="230" w:lineRule="exact"/>
              <w:ind w:left="318" w:hanging="283"/>
            </w:pPr>
            <w:r w:rsidRPr="00405DFC">
              <w:t xml:space="preserve">nella </w:t>
            </w:r>
            <w:r w:rsidRPr="00EE33A9">
              <w:t>voce C.II.5-</w:t>
            </w:r>
            <w:r>
              <w:t>quater</w:t>
            </w:r>
            <w:r w:rsidRPr="00405DFC">
              <w:t>) “Crediti verso altri” i crediti verso il Gestore dei Servizi</w:t>
            </w:r>
            <w:r>
              <w:t xml:space="preserve"> </w:t>
            </w:r>
            <w:r w:rsidRPr="00405DFC">
              <w:t xml:space="preserve">Energetici (GSE) derivanti da certificati verdi maturati </w:t>
            </w:r>
            <w:r>
              <w:t>nell’esercizio e non venduti?</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047EC0" w:rsidTr="000D7E0A">
        <w:trPr>
          <w:cantSplit/>
          <w:trHeight w:val="20"/>
        </w:trPr>
        <w:tc>
          <w:tcPr>
            <w:tcW w:w="680" w:type="dxa"/>
          </w:tcPr>
          <w:p w:rsidR="00613ED3" w:rsidRPr="00F24592" w:rsidRDefault="00613ED3" w:rsidP="000D7E0A">
            <w:pPr>
              <w:jc w:val="center"/>
              <w:rPr>
                <w:b/>
                <w:lang w:val="it-IT"/>
              </w:rPr>
            </w:pPr>
            <w:r w:rsidRPr="00F24592">
              <w:rPr>
                <w:b/>
                <w:lang w:val="it-IT"/>
              </w:rPr>
              <w:t>2)</w:t>
            </w:r>
          </w:p>
        </w:tc>
        <w:tc>
          <w:tcPr>
            <w:tcW w:w="851" w:type="dxa"/>
            <w:tcMar>
              <w:left w:w="108" w:type="dxa"/>
              <w:right w:w="0" w:type="dxa"/>
            </w:tcMar>
          </w:tcPr>
          <w:p w:rsidR="00613ED3" w:rsidRPr="00A627A5" w:rsidRDefault="00613ED3" w:rsidP="000D7E0A">
            <w:pPr>
              <w:pStyle w:val="PrincCont"/>
              <w:jc w:val="left"/>
              <w:rPr>
                <w:lang w:val="it-IT"/>
              </w:rPr>
            </w:pPr>
            <w:r w:rsidRPr="00A627A5">
              <w:rPr>
                <w:lang w:val="it-IT"/>
              </w:rPr>
              <w:t>OIC 7.40</w:t>
            </w:r>
          </w:p>
        </w:tc>
        <w:tc>
          <w:tcPr>
            <w:tcW w:w="7060" w:type="dxa"/>
            <w:tcMar>
              <w:left w:w="108" w:type="dxa"/>
            </w:tcMar>
          </w:tcPr>
          <w:p w:rsidR="00613ED3" w:rsidRPr="00047EC0" w:rsidRDefault="00613ED3" w:rsidP="000D7E0A">
            <w:pPr>
              <w:spacing w:line="230" w:lineRule="exact"/>
              <w:rPr>
                <w:highlight w:val="yellow"/>
                <w:lang w:val="it-IT"/>
              </w:rPr>
            </w:pPr>
            <w:r w:rsidRPr="00F24592">
              <w:rPr>
                <w:lang w:val="it-IT"/>
              </w:rPr>
              <w:t>I crediti derivanti dalla vendita di certificati verdi sono iscritti in accordo con le prescizioni dell’OIC 15 (Nota: il testo del par. 40 dell’OIC 7, che deve ancora essere rivisto, prevede “</w:t>
            </w:r>
            <w:r w:rsidRPr="00F24592">
              <w:rPr>
                <w:i/>
                <w:lang w:val="it-IT"/>
              </w:rPr>
              <w:t>secondo il valore presumibile di realizzazione come previsto dall’OIC 15</w:t>
            </w:r>
            <w:r w:rsidRPr="00F24592">
              <w:rPr>
                <w:lang w:val="it-IT"/>
              </w:rPr>
              <w:t xml:space="preserve">”, wording che è da ritenersi superato)?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047EC0">
              <w:rPr>
                <w:lang w:val="it-IT"/>
              </w:rPr>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047EC0">
              <w:rPr>
                <w:lang w:val="it-IT"/>
              </w:rPr>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047EC0">
              <w:rPr>
                <w:lang w:val="it-IT"/>
              </w:rPr>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sidRPr="00F24592">
              <w:rPr>
                <w:b/>
                <w:lang w:val="it-IT"/>
              </w:rPr>
              <w:t>3)</w:t>
            </w:r>
          </w:p>
        </w:tc>
        <w:tc>
          <w:tcPr>
            <w:tcW w:w="851" w:type="dxa"/>
            <w:tcMar>
              <w:left w:w="108" w:type="dxa"/>
              <w:right w:w="0" w:type="dxa"/>
            </w:tcMar>
          </w:tcPr>
          <w:p w:rsidR="00613ED3" w:rsidRPr="00A627A5" w:rsidRDefault="00613ED3" w:rsidP="000D7E0A">
            <w:pPr>
              <w:pStyle w:val="PrincCont"/>
              <w:jc w:val="left"/>
              <w:rPr>
                <w:lang w:val="it-IT"/>
              </w:rPr>
            </w:pPr>
            <w:r w:rsidRPr="00A627A5">
              <w:rPr>
                <w:lang w:val="it-IT"/>
              </w:rPr>
              <w:t>OIC 7.41</w:t>
            </w:r>
          </w:p>
        </w:tc>
        <w:tc>
          <w:tcPr>
            <w:tcW w:w="7060" w:type="dxa"/>
            <w:tcMar>
              <w:left w:w="108" w:type="dxa"/>
            </w:tcMar>
          </w:tcPr>
          <w:p w:rsidR="00613ED3" w:rsidRPr="00D009FF" w:rsidRDefault="00613ED3" w:rsidP="000D7E0A">
            <w:pPr>
              <w:spacing w:line="230" w:lineRule="exact"/>
              <w:rPr>
                <w:lang w:val="it-IT"/>
              </w:rPr>
            </w:pPr>
            <w:r w:rsidRPr="00D009FF">
              <w:rPr>
                <w:lang w:val="it-IT"/>
              </w:rPr>
              <w:t xml:space="preserve">I crediti verso il GSE sono iscritti al valore riconosciuto dallo stesso in caso di ritiro </w:t>
            </w:r>
            <w:r>
              <w:rPr>
                <w:lang w:val="it-IT"/>
              </w:rPr>
              <w:t>garantito dei certificati verdi</w:t>
            </w:r>
            <w:r w:rsidRPr="00D009FF">
              <w:rPr>
                <w:lang w:val="it-IT"/>
              </w:rPr>
              <w:t xml:space="preserve">?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sidRPr="00F24592">
              <w:rPr>
                <w:b/>
                <w:lang w:val="it-IT"/>
              </w:rPr>
              <w:t>4)</w:t>
            </w:r>
          </w:p>
        </w:tc>
        <w:tc>
          <w:tcPr>
            <w:tcW w:w="851" w:type="dxa"/>
            <w:tcMar>
              <w:left w:w="108" w:type="dxa"/>
              <w:right w:w="0" w:type="dxa"/>
            </w:tcMar>
          </w:tcPr>
          <w:p w:rsidR="00613ED3" w:rsidRPr="00A627A5" w:rsidRDefault="00613ED3" w:rsidP="000D7E0A">
            <w:pPr>
              <w:pStyle w:val="PrincCont"/>
              <w:jc w:val="left"/>
              <w:rPr>
                <w:lang w:val="it-IT"/>
              </w:rPr>
            </w:pPr>
            <w:r w:rsidRPr="00A627A5">
              <w:rPr>
                <w:lang w:val="it-IT"/>
              </w:rPr>
              <w:t>OIC 7.23</w:t>
            </w:r>
          </w:p>
        </w:tc>
        <w:tc>
          <w:tcPr>
            <w:tcW w:w="7060" w:type="dxa"/>
            <w:tcMar>
              <w:left w:w="108" w:type="dxa"/>
            </w:tcMar>
          </w:tcPr>
          <w:p w:rsidR="00613ED3" w:rsidRPr="00D009FF" w:rsidRDefault="00613ED3" w:rsidP="000D7E0A">
            <w:pPr>
              <w:spacing w:line="230" w:lineRule="exact"/>
              <w:rPr>
                <w:lang w:val="it-IT"/>
              </w:rPr>
            </w:pPr>
            <w:r w:rsidRPr="00D009FF">
              <w:rPr>
                <w:lang w:val="it-IT"/>
              </w:rPr>
              <w:t>I ricavi relativi ai certificati verdi sono rilevati per competenza nell’esercizio in cui ha luogo la produzione di energia elettrica da fonti rinnovabili e in pro</w:t>
            </w:r>
            <w:r>
              <w:rPr>
                <w:lang w:val="it-IT"/>
              </w:rPr>
              <w:t>porzione alla produzione stessa</w:t>
            </w:r>
            <w:r w:rsidRPr="00D009FF">
              <w:rPr>
                <w:lang w:val="it-IT"/>
              </w:rPr>
              <w:t xml:space="preserve">?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sidRPr="00F24592">
              <w:rPr>
                <w:b/>
                <w:lang w:val="it-IT"/>
              </w:rPr>
              <w:t>5)</w:t>
            </w:r>
          </w:p>
        </w:tc>
        <w:tc>
          <w:tcPr>
            <w:tcW w:w="851" w:type="dxa"/>
            <w:tcMar>
              <w:left w:w="108" w:type="dxa"/>
              <w:right w:w="0" w:type="dxa"/>
            </w:tcMar>
          </w:tcPr>
          <w:p w:rsidR="00613ED3" w:rsidRPr="00A627A5" w:rsidRDefault="00613ED3" w:rsidP="000D7E0A">
            <w:pPr>
              <w:pStyle w:val="PrincCont"/>
              <w:jc w:val="left"/>
              <w:rPr>
                <w:lang w:val="it-IT"/>
              </w:rPr>
            </w:pPr>
            <w:r w:rsidRPr="00A627A5">
              <w:rPr>
                <w:lang w:val="it-IT"/>
              </w:rPr>
              <w:t>OIC 7.29</w:t>
            </w:r>
          </w:p>
        </w:tc>
        <w:tc>
          <w:tcPr>
            <w:tcW w:w="7060" w:type="dxa"/>
            <w:tcMar>
              <w:left w:w="108" w:type="dxa"/>
            </w:tcMar>
          </w:tcPr>
          <w:p w:rsidR="00613ED3" w:rsidRPr="00D009FF" w:rsidRDefault="00613ED3" w:rsidP="000D7E0A">
            <w:pPr>
              <w:spacing w:line="230" w:lineRule="exact"/>
              <w:rPr>
                <w:lang w:val="it-IT"/>
              </w:rPr>
            </w:pPr>
            <w:r w:rsidRPr="00D009FF">
              <w:rPr>
                <w:lang w:val="it-IT"/>
              </w:rPr>
              <w:t xml:space="preserve">Qualora una quota parte dei certificati verdi ricevuti a preventivo e venduti nel corso dell’esercizio di competenza non risulti maturata alla fine dell’esercizio stesso, a causa di un deficit di produzione di energia elettrica da fonti rinnovabili, è rilevato un risconto passivo in misura pari alla quota di ricavi la cui competenza è rinviata all’esercizio successivo?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C242B" w:rsidTr="000D7E0A">
        <w:trPr>
          <w:cantSplit/>
          <w:trHeight w:val="20"/>
        </w:trPr>
        <w:tc>
          <w:tcPr>
            <w:tcW w:w="680" w:type="dxa"/>
          </w:tcPr>
          <w:p w:rsidR="00613ED3" w:rsidRPr="00F24592" w:rsidRDefault="00613ED3" w:rsidP="000D7E0A">
            <w:pPr>
              <w:jc w:val="center"/>
              <w:rPr>
                <w:b/>
                <w:lang w:val="it-IT"/>
              </w:rPr>
            </w:pPr>
            <w:r>
              <w:rPr>
                <w:b/>
                <w:lang w:val="it-IT"/>
              </w:rPr>
              <w:t>6</w:t>
            </w:r>
            <w:r w:rsidRPr="00F24592">
              <w:rPr>
                <w:b/>
                <w:lang w:val="it-IT"/>
              </w:rPr>
              <w:t>)</w:t>
            </w:r>
          </w:p>
        </w:tc>
        <w:tc>
          <w:tcPr>
            <w:tcW w:w="851" w:type="dxa"/>
            <w:tcMar>
              <w:left w:w="108" w:type="dxa"/>
              <w:right w:w="0" w:type="dxa"/>
            </w:tcMar>
          </w:tcPr>
          <w:p w:rsidR="00613ED3" w:rsidRPr="00A627A5" w:rsidRDefault="00613ED3" w:rsidP="000D7E0A">
            <w:pPr>
              <w:pStyle w:val="PrincCont"/>
              <w:jc w:val="left"/>
              <w:rPr>
                <w:lang w:val="it-IT"/>
              </w:rPr>
            </w:pPr>
          </w:p>
        </w:tc>
        <w:tc>
          <w:tcPr>
            <w:tcW w:w="7060" w:type="dxa"/>
            <w:tcMar>
              <w:left w:w="108" w:type="dxa"/>
            </w:tcMar>
          </w:tcPr>
          <w:p w:rsidR="00613ED3" w:rsidRPr="00103BE7" w:rsidRDefault="00613ED3" w:rsidP="000D7E0A">
            <w:pPr>
              <w:spacing w:line="230" w:lineRule="exact"/>
              <w:rPr>
                <w:lang w:val="it-IT"/>
              </w:rPr>
            </w:pPr>
            <w:r w:rsidRPr="00103BE7">
              <w:rPr>
                <w:lang w:val="it-IT"/>
              </w:rPr>
              <w:t>Nel conto economico sono stati classificati gli oneri e i proventi derivanti dai certificati verdi: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Pr="00A627A5" w:rsidRDefault="00613ED3" w:rsidP="000D7E0A">
            <w:pPr>
              <w:pStyle w:val="PrincCont"/>
              <w:jc w:val="left"/>
              <w:rPr>
                <w:lang w:val="it-IT"/>
              </w:rPr>
            </w:pPr>
            <w:r w:rsidRPr="00A627A5">
              <w:t>OIC 7.34</w:t>
            </w:r>
          </w:p>
        </w:tc>
        <w:tc>
          <w:tcPr>
            <w:tcW w:w="7060" w:type="dxa"/>
            <w:tcMar>
              <w:left w:w="108" w:type="dxa"/>
            </w:tcMar>
          </w:tcPr>
          <w:p w:rsidR="00613ED3" w:rsidRPr="0042475B" w:rsidRDefault="00613ED3" w:rsidP="004E27C2">
            <w:pPr>
              <w:pStyle w:val="Rientroa"/>
              <w:numPr>
                <w:ilvl w:val="0"/>
                <w:numId w:val="83"/>
              </w:numPr>
              <w:spacing w:line="230" w:lineRule="exact"/>
              <w:ind w:left="318" w:hanging="283"/>
            </w:pPr>
            <w:r w:rsidRPr="007364B3">
              <w:t xml:space="preserve">nella voce </w:t>
            </w:r>
            <w:r w:rsidRPr="001C09F7">
              <w:t>A.5)</w:t>
            </w:r>
            <w:r w:rsidRPr="007364B3">
              <w:t xml:space="preserve"> “Altri ricavi</w:t>
            </w:r>
            <w:r>
              <w:t xml:space="preserve"> e proventi</w:t>
            </w:r>
            <w:r w:rsidRPr="007364B3">
              <w:t>” i ricavi relativi ai certificati verd</w:t>
            </w:r>
            <w:r>
              <w:t xml:space="preserve">i di competenza dell’esercizio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Pr="00A627A5" w:rsidRDefault="00613ED3" w:rsidP="000D7E0A">
            <w:pPr>
              <w:pStyle w:val="PrincCont"/>
              <w:jc w:val="left"/>
              <w:rPr>
                <w:lang w:val="it-IT"/>
              </w:rPr>
            </w:pPr>
            <w:r w:rsidRPr="00A627A5">
              <w:t>OIC 7.35</w:t>
            </w:r>
          </w:p>
        </w:tc>
        <w:tc>
          <w:tcPr>
            <w:tcW w:w="7060" w:type="dxa"/>
            <w:tcMar>
              <w:left w:w="108" w:type="dxa"/>
            </w:tcMar>
          </w:tcPr>
          <w:p w:rsidR="00613ED3" w:rsidRPr="0042475B" w:rsidRDefault="00613ED3" w:rsidP="004E27C2">
            <w:pPr>
              <w:pStyle w:val="Rientroa"/>
              <w:numPr>
                <w:ilvl w:val="0"/>
                <w:numId w:val="83"/>
              </w:numPr>
              <w:spacing w:line="230" w:lineRule="exact"/>
              <w:ind w:left="318" w:hanging="283"/>
            </w:pPr>
            <w:r w:rsidRPr="007364B3">
              <w:t xml:space="preserve">nella </w:t>
            </w:r>
            <w:r w:rsidRPr="001C09F7">
              <w:t>voce A.5) “</w:t>
            </w:r>
            <w:r w:rsidRPr="007364B3">
              <w:t>Altri ricavi</w:t>
            </w:r>
            <w:r>
              <w:t xml:space="preserve"> e proventi</w:t>
            </w:r>
            <w:r w:rsidRPr="007364B3">
              <w:t>” le sopravvenienze attive derivanti dalla vendita dei certificati verdi successivamente alla chiusur</w:t>
            </w:r>
            <w:r>
              <w:t xml:space="preserve">a dell’esercizio di competenza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Pr="00A627A5" w:rsidRDefault="00613ED3" w:rsidP="000D7E0A">
            <w:pPr>
              <w:pStyle w:val="PrincCont"/>
              <w:jc w:val="left"/>
              <w:rPr>
                <w:lang w:val="it-IT"/>
              </w:rPr>
            </w:pPr>
            <w:r w:rsidRPr="00A627A5">
              <w:t>OIC 7.36</w:t>
            </w:r>
          </w:p>
        </w:tc>
        <w:tc>
          <w:tcPr>
            <w:tcW w:w="7060" w:type="dxa"/>
            <w:tcMar>
              <w:left w:w="108" w:type="dxa"/>
            </w:tcMar>
          </w:tcPr>
          <w:p w:rsidR="00613ED3" w:rsidRPr="0042475B" w:rsidRDefault="00613ED3" w:rsidP="004E27C2">
            <w:pPr>
              <w:pStyle w:val="Rientroa"/>
              <w:numPr>
                <w:ilvl w:val="0"/>
                <w:numId w:val="83"/>
              </w:numPr>
              <w:spacing w:line="230" w:lineRule="exact"/>
              <w:ind w:left="318" w:hanging="283"/>
            </w:pPr>
            <w:r w:rsidRPr="007364B3">
              <w:t xml:space="preserve">nella </w:t>
            </w:r>
            <w:r w:rsidRPr="001C09F7">
              <w:t>voce B.14) “</w:t>
            </w:r>
            <w:r w:rsidRPr="007364B3">
              <w:t>Oneri diversi di gestione” le sopravvenienze passive derivanti dalla vendita dei certificati verdi successivamente alla chiusura dell’esercizio di competenza</w:t>
            </w:r>
            <w:r>
              <w:t xml:space="preserve">?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C242B"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vAlign w:val="center"/>
          </w:tcPr>
          <w:p w:rsidR="00613ED3" w:rsidRPr="00332039" w:rsidRDefault="00613ED3" w:rsidP="000D7E0A">
            <w:pPr>
              <w:pStyle w:val="Titolo2"/>
              <w:jc w:val="both"/>
              <w:rPr>
                <w:lang w:val="it-IT"/>
              </w:rPr>
            </w:pPr>
            <w:r w:rsidRPr="00332039">
              <w:rPr>
                <w:lang w:val="it-IT"/>
              </w:rPr>
              <w:t>Società che producono/importano energia elettrica da fonti non rinnovabili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C242B"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0D7E0A">
            <w:pPr>
              <w:pStyle w:val="Commentiriquadro"/>
            </w:pPr>
            <w:r w:rsidRPr="000A0ED1">
              <w:t>Per i produttori/importatori di energia elettrica da fonti non rinnovabili i certificati verdi rappresentano un sistema penalizzante che li obbliga ad acquistare sul mercato i certificati verdi necessari all’adempimento degli obblighi normativi, con un aumento dei costi di produzione</w:t>
            </w:r>
            <w:r>
              <w:t>.</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C242B" w:rsidTr="000D7E0A">
        <w:trPr>
          <w:cantSplit/>
          <w:trHeight w:val="20"/>
        </w:trPr>
        <w:tc>
          <w:tcPr>
            <w:tcW w:w="680" w:type="dxa"/>
          </w:tcPr>
          <w:p w:rsidR="00613ED3" w:rsidRPr="00F24592" w:rsidRDefault="00613ED3" w:rsidP="000D7E0A">
            <w:pPr>
              <w:jc w:val="center"/>
              <w:rPr>
                <w:b/>
                <w:lang w:val="it-IT"/>
              </w:rPr>
            </w:pPr>
            <w:r>
              <w:rPr>
                <w:b/>
                <w:lang w:val="it-IT"/>
              </w:rPr>
              <w:t>7</w:t>
            </w:r>
            <w:r w:rsidRPr="00F24592">
              <w:rPr>
                <w:b/>
                <w:lang w:val="it-IT"/>
              </w:rPr>
              <w:t>)</w:t>
            </w: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A77A52" w:rsidRDefault="00613ED3" w:rsidP="000D7E0A">
            <w:pPr>
              <w:spacing w:line="230" w:lineRule="exact"/>
              <w:rPr>
                <w:lang w:val="it-IT"/>
              </w:rPr>
            </w:pPr>
            <w:r w:rsidRPr="00A77A52">
              <w:rPr>
                <w:lang w:val="it-IT"/>
              </w:rPr>
              <w:t>I debiti sono stati classificati nelle seguenti voci: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r>
              <w:t>OIC 7.</w:t>
            </w:r>
            <w:r w:rsidRPr="007364B3">
              <w:t>55</w:t>
            </w:r>
          </w:p>
        </w:tc>
        <w:tc>
          <w:tcPr>
            <w:tcW w:w="7060" w:type="dxa"/>
            <w:tcMar>
              <w:left w:w="108" w:type="dxa"/>
            </w:tcMar>
          </w:tcPr>
          <w:p w:rsidR="00613ED3" w:rsidRPr="0042475B" w:rsidRDefault="00613ED3" w:rsidP="004E27C2">
            <w:pPr>
              <w:pStyle w:val="Rientroa"/>
              <w:numPr>
                <w:ilvl w:val="0"/>
                <w:numId w:val="84"/>
              </w:numPr>
              <w:spacing w:line="230" w:lineRule="exact"/>
              <w:ind w:left="318" w:hanging="283"/>
            </w:pPr>
            <w:r w:rsidRPr="007364B3">
              <w:t xml:space="preserve">nella voce </w:t>
            </w:r>
            <w:r w:rsidRPr="001C09F7">
              <w:t>D.7) “</w:t>
            </w:r>
            <w:r w:rsidRPr="007364B3">
              <w:t>Debiti verso fornitori” i debiti derivanti dall</w:t>
            </w:r>
            <w:r>
              <w:t xml:space="preserve">’acquisto di certificati verdi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r>
              <w:t>OIC 7.</w:t>
            </w:r>
            <w:r w:rsidRPr="007364B3">
              <w:t>5</w:t>
            </w:r>
            <w:r>
              <w:t>6 e 57</w:t>
            </w:r>
          </w:p>
        </w:tc>
        <w:tc>
          <w:tcPr>
            <w:tcW w:w="7060" w:type="dxa"/>
            <w:tcMar>
              <w:left w:w="108" w:type="dxa"/>
            </w:tcMar>
          </w:tcPr>
          <w:p w:rsidR="00613ED3" w:rsidRPr="0042475B" w:rsidRDefault="00613ED3" w:rsidP="004E27C2">
            <w:pPr>
              <w:pStyle w:val="Rientroa"/>
              <w:numPr>
                <w:ilvl w:val="0"/>
                <w:numId w:val="84"/>
              </w:numPr>
              <w:spacing w:line="230" w:lineRule="exact"/>
              <w:ind w:left="318" w:hanging="283"/>
            </w:pPr>
            <w:r w:rsidRPr="007364B3">
              <w:t xml:space="preserve">nella voce </w:t>
            </w:r>
            <w:r w:rsidRPr="001C09F7">
              <w:t>D.14)</w:t>
            </w:r>
            <w:r w:rsidRPr="007364B3">
              <w:t xml:space="preserve"> “Altri debiti” i debiti verso il Gestore dei Servizi Energetici (GSE) derivanti da certifi</w:t>
            </w:r>
            <w:r>
              <w:t xml:space="preserve">cati verdi da consegnare ma non </w:t>
            </w:r>
            <w:r w:rsidRPr="007364B3">
              <w:t>acquistati alla data di chiusur</w:t>
            </w:r>
            <w:r>
              <w:t xml:space="preserve">a dell’esercizio di competenza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1C09F7"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r>
              <w:t>OIC 7.</w:t>
            </w:r>
            <w:r w:rsidRPr="007364B3">
              <w:t>58</w:t>
            </w:r>
          </w:p>
        </w:tc>
        <w:tc>
          <w:tcPr>
            <w:tcW w:w="7060" w:type="dxa"/>
            <w:tcMar>
              <w:left w:w="108" w:type="dxa"/>
            </w:tcMar>
          </w:tcPr>
          <w:p w:rsidR="00613ED3" w:rsidRPr="0042475B" w:rsidRDefault="00613ED3" w:rsidP="004E27C2">
            <w:pPr>
              <w:pStyle w:val="Rientroa"/>
              <w:numPr>
                <w:ilvl w:val="0"/>
                <w:numId w:val="84"/>
              </w:numPr>
              <w:spacing w:line="230" w:lineRule="exact"/>
              <w:ind w:left="318" w:hanging="283"/>
            </w:pPr>
            <w:r w:rsidRPr="007364B3">
              <w:t xml:space="preserve">nella </w:t>
            </w:r>
            <w:r w:rsidRPr="001C09F7">
              <w:t>voce B.4)</w:t>
            </w:r>
            <w:r w:rsidRPr="007364B3">
              <w:t xml:space="preserve"> “Fondi per rischi e oneri – altri” la passività verso il GSE derivanti da certificati verdi da consegnare ma non acquistati alla data di chiusura dell’esercizio di competenza, nel caso in cui alcuni dei requisiti per la rilevazione contabile di un debito non siano verificat</w:t>
            </w:r>
            <w:r>
              <w:t>i</w:t>
            </w:r>
            <w:r w:rsidRPr="007364B3">
              <w:t xml:space="preserve"> (ad es. l’ammontare non è determina</w:t>
            </w:r>
            <w:r>
              <w:t xml:space="preserve">to con certezza)?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1C09F7">
              <w:rPr>
                <w:lang w:val="it-IT"/>
              </w:rPr>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1C09F7">
              <w:rPr>
                <w:lang w:val="it-IT"/>
              </w:rPr>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1C09F7">
              <w:rPr>
                <w:lang w:val="it-IT"/>
              </w:rPr>
              <w:instrText xml:space="preserve"> FORMCHECKBOX </w:instrText>
            </w:r>
            <w:r w:rsidR="00CA1681">
              <w:fldChar w:fldCharType="separate"/>
            </w:r>
            <w:r w:rsidRPr="005D3860">
              <w:fldChar w:fldCharType="end"/>
            </w:r>
          </w:p>
        </w:tc>
      </w:tr>
      <w:tr w:rsidR="00613ED3" w:rsidRPr="00047EC0" w:rsidTr="000D7E0A">
        <w:trPr>
          <w:cantSplit/>
          <w:trHeight w:val="20"/>
        </w:trPr>
        <w:tc>
          <w:tcPr>
            <w:tcW w:w="680" w:type="dxa"/>
          </w:tcPr>
          <w:p w:rsidR="00613ED3" w:rsidRPr="00F24592" w:rsidRDefault="00613ED3" w:rsidP="000D7E0A">
            <w:pPr>
              <w:jc w:val="center"/>
              <w:rPr>
                <w:b/>
                <w:lang w:val="it-IT"/>
              </w:rPr>
            </w:pPr>
            <w:r>
              <w:rPr>
                <w:b/>
                <w:lang w:val="it-IT"/>
              </w:rPr>
              <w:t>8</w:t>
            </w:r>
            <w:r w:rsidRPr="00F24592">
              <w:rPr>
                <w:b/>
                <w:lang w:val="it-IT"/>
              </w:rPr>
              <w:t>)</w:t>
            </w:r>
          </w:p>
        </w:tc>
        <w:tc>
          <w:tcPr>
            <w:tcW w:w="851" w:type="dxa"/>
            <w:tcMar>
              <w:left w:w="108" w:type="dxa"/>
              <w:right w:w="0" w:type="dxa"/>
            </w:tcMar>
          </w:tcPr>
          <w:p w:rsidR="00613ED3" w:rsidRPr="00A627A5" w:rsidRDefault="00613ED3" w:rsidP="000D7E0A">
            <w:pPr>
              <w:pStyle w:val="PrincCont"/>
              <w:jc w:val="left"/>
              <w:rPr>
                <w:lang w:val="it-IT"/>
              </w:rPr>
            </w:pPr>
            <w:r w:rsidRPr="00A627A5">
              <w:rPr>
                <w:lang w:val="it-IT"/>
              </w:rPr>
              <w:t>OIC 7.59</w:t>
            </w:r>
          </w:p>
        </w:tc>
        <w:tc>
          <w:tcPr>
            <w:tcW w:w="7060" w:type="dxa"/>
            <w:tcMar>
              <w:left w:w="108" w:type="dxa"/>
            </w:tcMar>
          </w:tcPr>
          <w:p w:rsidR="00613ED3" w:rsidRPr="00D009FF" w:rsidRDefault="00613ED3" w:rsidP="000D7E0A">
            <w:pPr>
              <w:spacing w:line="230" w:lineRule="exact"/>
              <w:rPr>
                <w:lang w:val="it-IT"/>
              </w:rPr>
            </w:pPr>
            <w:r w:rsidRPr="00F24592">
              <w:rPr>
                <w:lang w:val="it-IT"/>
              </w:rPr>
              <w:t>I debiti derivanti dall’acquisto di certificati verdi sono iscritti in accordo con le prescrizioni dell’OIC 19 (Nota: il testo del par. 59 dell’OIC 7, che deve ancora essere rivisto, prevede “</w:t>
            </w:r>
            <w:r w:rsidRPr="00F24592">
              <w:rPr>
                <w:i/>
                <w:lang w:val="it-IT"/>
              </w:rPr>
              <w:t>secondo il valore di estinzione come previsto dall’OIC 19</w:t>
            </w:r>
            <w:r w:rsidRPr="00F24592">
              <w:rPr>
                <w:lang w:val="it-IT"/>
              </w:rPr>
              <w:t>”, wording che è da ritenersi superato)?</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047EC0">
              <w:rPr>
                <w:lang w:val="it-IT"/>
              </w:rPr>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047EC0">
              <w:rPr>
                <w:lang w:val="it-IT"/>
              </w:rPr>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047EC0">
              <w:rPr>
                <w:lang w:val="it-IT"/>
              </w:rPr>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Pr>
                <w:b/>
                <w:lang w:val="it-IT"/>
              </w:rPr>
              <w:t>9</w:t>
            </w:r>
            <w:r w:rsidRPr="00F24592">
              <w:rPr>
                <w:b/>
                <w:lang w:val="it-IT"/>
              </w:rPr>
              <w:t>)</w:t>
            </w:r>
          </w:p>
        </w:tc>
        <w:tc>
          <w:tcPr>
            <w:tcW w:w="851" w:type="dxa"/>
            <w:tcMar>
              <w:left w:w="108" w:type="dxa"/>
              <w:right w:w="0" w:type="dxa"/>
            </w:tcMar>
          </w:tcPr>
          <w:p w:rsidR="00613ED3" w:rsidRPr="00A627A5" w:rsidRDefault="00613ED3" w:rsidP="000D7E0A">
            <w:pPr>
              <w:pStyle w:val="PrincCont"/>
              <w:jc w:val="left"/>
              <w:rPr>
                <w:lang w:val="it-IT"/>
              </w:rPr>
            </w:pPr>
            <w:r w:rsidRPr="00A627A5">
              <w:rPr>
                <w:lang w:val="it-IT"/>
              </w:rPr>
              <w:t>OIC 7.60</w:t>
            </w:r>
          </w:p>
        </w:tc>
        <w:tc>
          <w:tcPr>
            <w:tcW w:w="7060" w:type="dxa"/>
            <w:tcMar>
              <w:left w:w="108" w:type="dxa"/>
            </w:tcMar>
          </w:tcPr>
          <w:p w:rsidR="00613ED3" w:rsidRPr="00D009FF" w:rsidRDefault="00613ED3" w:rsidP="000D7E0A">
            <w:pPr>
              <w:spacing w:line="230" w:lineRule="exact"/>
              <w:rPr>
                <w:lang w:val="it-IT"/>
              </w:rPr>
            </w:pPr>
            <w:r w:rsidRPr="00D009FF">
              <w:rPr>
                <w:lang w:val="it-IT"/>
              </w:rPr>
              <w:t xml:space="preserve">I debiti verso il GSE sono iscritti al valore di mercato dei certificati verdi alla data di chiusura dell’esercizio?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Pr>
                <w:b/>
                <w:lang w:val="it-IT"/>
              </w:rPr>
              <w:t>10</w:t>
            </w:r>
            <w:r w:rsidRPr="00F24592">
              <w:rPr>
                <w:b/>
                <w:lang w:val="it-IT"/>
              </w:rPr>
              <w:t>)</w:t>
            </w:r>
          </w:p>
        </w:tc>
        <w:tc>
          <w:tcPr>
            <w:tcW w:w="851" w:type="dxa"/>
            <w:tcMar>
              <w:left w:w="108" w:type="dxa"/>
              <w:right w:w="0" w:type="dxa"/>
            </w:tcMar>
          </w:tcPr>
          <w:p w:rsidR="00613ED3" w:rsidRPr="00A627A5" w:rsidRDefault="00613ED3" w:rsidP="000D7E0A">
            <w:pPr>
              <w:pStyle w:val="PrincCont"/>
              <w:jc w:val="left"/>
              <w:rPr>
                <w:lang w:val="it-IT"/>
              </w:rPr>
            </w:pPr>
            <w:r w:rsidRPr="00A627A5">
              <w:rPr>
                <w:lang w:val="it-IT"/>
              </w:rPr>
              <w:t>OIC 7.44</w:t>
            </w:r>
          </w:p>
        </w:tc>
        <w:tc>
          <w:tcPr>
            <w:tcW w:w="7060" w:type="dxa"/>
            <w:tcMar>
              <w:left w:w="108" w:type="dxa"/>
            </w:tcMar>
          </w:tcPr>
          <w:p w:rsidR="00613ED3" w:rsidRPr="00D009FF" w:rsidRDefault="00613ED3" w:rsidP="000D7E0A">
            <w:pPr>
              <w:spacing w:line="230" w:lineRule="exact"/>
              <w:rPr>
                <w:lang w:val="it-IT"/>
              </w:rPr>
            </w:pPr>
            <w:r w:rsidRPr="00D009FF">
              <w:rPr>
                <w:lang w:val="it-IT"/>
              </w:rPr>
              <w:t xml:space="preserve">I costi relativi all’obbligo di consegna al GSE dei certificati verdi sono rilevati per competenza?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Pr>
                <w:b/>
                <w:lang w:val="it-IT"/>
              </w:rPr>
              <w:t>11</w:t>
            </w:r>
            <w:r w:rsidRPr="00F24592">
              <w:rPr>
                <w:b/>
                <w:lang w:val="it-IT"/>
              </w:rPr>
              <w:t>)</w:t>
            </w:r>
          </w:p>
        </w:tc>
        <w:tc>
          <w:tcPr>
            <w:tcW w:w="851" w:type="dxa"/>
            <w:tcMar>
              <w:left w:w="108" w:type="dxa"/>
              <w:right w:w="0" w:type="dxa"/>
            </w:tcMar>
          </w:tcPr>
          <w:p w:rsidR="00613ED3" w:rsidRPr="00A627A5" w:rsidRDefault="00613ED3" w:rsidP="000D7E0A">
            <w:pPr>
              <w:pStyle w:val="PrincCont"/>
              <w:jc w:val="left"/>
              <w:rPr>
                <w:lang w:val="it-IT"/>
              </w:rPr>
            </w:pPr>
            <w:r w:rsidRPr="00A627A5">
              <w:rPr>
                <w:lang w:val="it-IT"/>
              </w:rPr>
              <w:t>OIC 7.49</w:t>
            </w:r>
          </w:p>
        </w:tc>
        <w:tc>
          <w:tcPr>
            <w:tcW w:w="7060" w:type="dxa"/>
            <w:tcMar>
              <w:left w:w="108" w:type="dxa"/>
            </w:tcMar>
          </w:tcPr>
          <w:p w:rsidR="00613ED3" w:rsidRPr="00D009FF" w:rsidRDefault="00613ED3" w:rsidP="000D7E0A">
            <w:pPr>
              <w:spacing w:line="230" w:lineRule="exact"/>
              <w:rPr>
                <w:lang w:val="it-IT"/>
              </w:rPr>
            </w:pPr>
            <w:r w:rsidRPr="00D009FF">
              <w:rPr>
                <w:lang w:val="it-IT"/>
              </w:rPr>
              <w:t xml:space="preserve">Qualora il quantitativo di certificati verdi acquistati risulti inferiore al quantitativo necessario per l’adempimento dell’obbligo di legge, è rilevato l’onere ancora da sostenere per i certificati verdi non ancora acquistati in contropartita alla passività verso il GSE?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Pr>
                <w:b/>
                <w:lang w:val="it-IT"/>
              </w:rPr>
              <w:t>12</w:t>
            </w:r>
            <w:r w:rsidRPr="00F24592">
              <w:rPr>
                <w:b/>
                <w:lang w:val="it-IT"/>
              </w:rPr>
              <w:t>)</w:t>
            </w:r>
          </w:p>
        </w:tc>
        <w:tc>
          <w:tcPr>
            <w:tcW w:w="851" w:type="dxa"/>
            <w:tcMar>
              <w:left w:w="108" w:type="dxa"/>
              <w:right w:w="0" w:type="dxa"/>
            </w:tcMar>
          </w:tcPr>
          <w:p w:rsidR="00613ED3" w:rsidRPr="00A627A5" w:rsidRDefault="00613ED3" w:rsidP="000D7E0A">
            <w:pPr>
              <w:pStyle w:val="PrincCont"/>
              <w:jc w:val="left"/>
              <w:rPr>
                <w:lang w:val="it-IT"/>
              </w:rPr>
            </w:pPr>
            <w:r w:rsidRPr="00A627A5">
              <w:rPr>
                <w:lang w:val="it-IT"/>
              </w:rPr>
              <w:t>OIC 7.49</w:t>
            </w:r>
          </w:p>
        </w:tc>
        <w:tc>
          <w:tcPr>
            <w:tcW w:w="7060" w:type="dxa"/>
            <w:tcMar>
              <w:left w:w="108" w:type="dxa"/>
            </w:tcMar>
          </w:tcPr>
          <w:p w:rsidR="00613ED3" w:rsidRPr="00D009FF" w:rsidRDefault="00613ED3" w:rsidP="000D7E0A">
            <w:pPr>
              <w:spacing w:line="230" w:lineRule="exact"/>
              <w:rPr>
                <w:lang w:val="it-IT"/>
              </w:rPr>
            </w:pPr>
            <w:r w:rsidRPr="00D009FF">
              <w:rPr>
                <w:lang w:val="it-IT"/>
              </w:rPr>
              <w:t xml:space="preserve">Qualora il quantitativo di certificati verdi acquistati risulti superiore al quantitativo necessario per l’adempimento dell’obbligo di legge, è rilevato un risconto attivo in misura pari ai costi da rettificare in quanto di competenza dell’esercizio successivo?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C242B" w:rsidTr="000D7E0A">
        <w:trPr>
          <w:cantSplit/>
          <w:trHeight w:val="20"/>
        </w:trPr>
        <w:tc>
          <w:tcPr>
            <w:tcW w:w="680" w:type="dxa"/>
          </w:tcPr>
          <w:p w:rsidR="00613ED3" w:rsidRPr="00F24592" w:rsidRDefault="00613ED3" w:rsidP="000D7E0A">
            <w:pPr>
              <w:jc w:val="center"/>
              <w:rPr>
                <w:b/>
                <w:lang w:val="it-IT"/>
              </w:rPr>
            </w:pPr>
            <w:r>
              <w:rPr>
                <w:b/>
                <w:lang w:val="it-IT"/>
              </w:rPr>
              <w:t>13</w:t>
            </w:r>
            <w:r w:rsidRPr="00F24592">
              <w:rPr>
                <w:b/>
                <w:lang w:val="it-IT"/>
              </w:rPr>
              <w:t>)</w:t>
            </w:r>
          </w:p>
        </w:tc>
        <w:tc>
          <w:tcPr>
            <w:tcW w:w="851" w:type="dxa"/>
            <w:tcMar>
              <w:left w:w="108" w:type="dxa"/>
              <w:right w:w="0" w:type="dxa"/>
            </w:tcMar>
          </w:tcPr>
          <w:p w:rsidR="00613ED3" w:rsidRPr="00A627A5" w:rsidRDefault="00613ED3" w:rsidP="000D7E0A">
            <w:pPr>
              <w:pStyle w:val="PrincCont"/>
              <w:jc w:val="left"/>
              <w:rPr>
                <w:lang w:val="it-IT"/>
              </w:rPr>
            </w:pPr>
          </w:p>
        </w:tc>
        <w:tc>
          <w:tcPr>
            <w:tcW w:w="7060" w:type="dxa"/>
            <w:tcMar>
              <w:left w:w="108" w:type="dxa"/>
            </w:tcMar>
          </w:tcPr>
          <w:p w:rsidR="00613ED3" w:rsidRPr="00A77A52" w:rsidRDefault="00613ED3" w:rsidP="000D7E0A">
            <w:pPr>
              <w:spacing w:line="230" w:lineRule="exact"/>
              <w:rPr>
                <w:lang w:val="it-IT"/>
              </w:rPr>
            </w:pPr>
            <w:r w:rsidRPr="00A77A52">
              <w:rPr>
                <w:lang w:val="it-IT"/>
              </w:rPr>
              <w:t>Nel conto economico sono stati classificati gli oneri e i proventi derivanti dai certificati verdi: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Pr="00A627A5" w:rsidRDefault="00613ED3" w:rsidP="000D7E0A">
            <w:pPr>
              <w:pStyle w:val="PrincCont"/>
              <w:jc w:val="left"/>
              <w:rPr>
                <w:lang w:val="it-IT"/>
              </w:rPr>
            </w:pPr>
            <w:r w:rsidRPr="00A627A5">
              <w:t>OIC 7.52</w:t>
            </w:r>
          </w:p>
        </w:tc>
        <w:tc>
          <w:tcPr>
            <w:tcW w:w="7060" w:type="dxa"/>
            <w:shd w:val="clear" w:color="auto" w:fill="auto"/>
            <w:tcMar>
              <w:left w:w="108" w:type="dxa"/>
            </w:tcMar>
          </w:tcPr>
          <w:p w:rsidR="00613ED3" w:rsidRPr="0042475B" w:rsidRDefault="00613ED3" w:rsidP="004E27C2">
            <w:pPr>
              <w:pStyle w:val="Rientroa"/>
              <w:numPr>
                <w:ilvl w:val="0"/>
                <w:numId w:val="85"/>
              </w:numPr>
              <w:spacing w:line="230" w:lineRule="exact"/>
              <w:ind w:left="318" w:hanging="283"/>
            </w:pPr>
            <w:r w:rsidRPr="00611B2E">
              <w:t xml:space="preserve">nella </w:t>
            </w:r>
            <w:r w:rsidRPr="001C09F7">
              <w:t>voce B.14) “</w:t>
            </w:r>
            <w:r w:rsidRPr="00611B2E">
              <w:t>Oneri diversi di gestione” i costi relativi ai certificati verd</w:t>
            </w:r>
            <w:r>
              <w:t xml:space="preserve">i di competenza dell’esercizio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Pr="00A627A5" w:rsidRDefault="00613ED3" w:rsidP="000D7E0A">
            <w:pPr>
              <w:pStyle w:val="PrincCont"/>
              <w:jc w:val="left"/>
              <w:rPr>
                <w:lang w:val="it-IT"/>
              </w:rPr>
            </w:pPr>
            <w:r w:rsidRPr="00A627A5">
              <w:t>OIC 7.54</w:t>
            </w:r>
          </w:p>
        </w:tc>
        <w:tc>
          <w:tcPr>
            <w:tcW w:w="7060" w:type="dxa"/>
            <w:shd w:val="clear" w:color="auto" w:fill="auto"/>
            <w:tcMar>
              <w:left w:w="108" w:type="dxa"/>
            </w:tcMar>
          </w:tcPr>
          <w:p w:rsidR="00613ED3" w:rsidRPr="0042475B" w:rsidRDefault="00613ED3" w:rsidP="004E27C2">
            <w:pPr>
              <w:pStyle w:val="Rientroa"/>
              <w:numPr>
                <w:ilvl w:val="0"/>
                <w:numId w:val="85"/>
              </w:numPr>
              <w:spacing w:line="230" w:lineRule="exact"/>
              <w:ind w:left="318" w:hanging="283"/>
            </w:pPr>
            <w:r w:rsidRPr="00611B2E">
              <w:t xml:space="preserve">nella </w:t>
            </w:r>
            <w:r w:rsidRPr="00E27F75">
              <w:t>voce A.5) “Altri</w:t>
            </w:r>
            <w:r w:rsidRPr="00611B2E">
              <w:t xml:space="preserve"> ricavi</w:t>
            </w:r>
            <w:r>
              <w:t xml:space="preserve"> e proventi</w:t>
            </w:r>
            <w:r w:rsidRPr="00611B2E">
              <w:t>” le sopravvenienze attive derivanti dall’acquisto dei certificati verdi successivamente alla chiusur</w:t>
            </w:r>
            <w:r>
              <w:t xml:space="preserve">a dell’esercizio di competenza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Pr="00A627A5" w:rsidRDefault="00613ED3" w:rsidP="000D7E0A">
            <w:pPr>
              <w:pStyle w:val="PrincCont"/>
              <w:jc w:val="left"/>
              <w:rPr>
                <w:lang w:val="it-IT"/>
              </w:rPr>
            </w:pPr>
            <w:r w:rsidRPr="00A627A5">
              <w:t>OIC 7.53</w:t>
            </w:r>
          </w:p>
        </w:tc>
        <w:tc>
          <w:tcPr>
            <w:tcW w:w="7060" w:type="dxa"/>
            <w:tcMar>
              <w:left w:w="108" w:type="dxa"/>
            </w:tcMar>
          </w:tcPr>
          <w:p w:rsidR="00613ED3" w:rsidRPr="0042475B" w:rsidRDefault="00613ED3" w:rsidP="004E27C2">
            <w:pPr>
              <w:pStyle w:val="Rientroa"/>
              <w:numPr>
                <w:ilvl w:val="0"/>
                <w:numId w:val="85"/>
              </w:numPr>
              <w:spacing w:line="230" w:lineRule="exact"/>
              <w:ind w:left="318" w:hanging="283"/>
            </w:pPr>
            <w:r w:rsidRPr="00611B2E">
              <w:t xml:space="preserve">nella </w:t>
            </w:r>
            <w:r w:rsidRPr="001C09F7">
              <w:t>voce B.14) “</w:t>
            </w:r>
            <w:r w:rsidRPr="00611B2E">
              <w:t>Oneri diversi di gestione” le sopravvenienze passive derivanti dall’acquisto dei certificati verdi successivamente alla chiusura dell’esercizio di competenza</w:t>
            </w:r>
            <w:r>
              <w:t xml:space="preserve">?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Pr="00A627A5" w:rsidRDefault="00613ED3" w:rsidP="000D7E0A">
            <w:pPr>
              <w:pStyle w:val="PrincCont"/>
              <w:jc w:val="left"/>
              <w:rPr>
                <w:lang w:val="it-IT"/>
              </w:rPr>
            </w:pPr>
          </w:p>
        </w:tc>
        <w:tc>
          <w:tcPr>
            <w:tcW w:w="7060" w:type="dxa"/>
            <w:tcMar>
              <w:left w:w="108" w:type="dxa"/>
            </w:tcMar>
            <w:vAlign w:val="center"/>
          </w:tcPr>
          <w:p w:rsidR="00613ED3" w:rsidRPr="00D009FF" w:rsidRDefault="00613ED3" w:rsidP="000D7E0A">
            <w:pPr>
              <w:pStyle w:val="Titolo2"/>
              <w:jc w:val="both"/>
            </w:pPr>
            <w:r w:rsidRPr="00D009FF">
              <w:t>Società trader</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C242B"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Pr="00A627A5" w:rsidRDefault="00613ED3" w:rsidP="000D7E0A">
            <w:pPr>
              <w:pStyle w:val="PrincCont"/>
              <w:jc w:val="left"/>
              <w:rPr>
                <w:lang w:val="it-IT"/>
              </w:rPr>
            </w:pPr>
          </w:p>
        </w:tc>
        <w:tc>
          <w:tcPr>
            <w:tcW w:w="7060" w:type="dxa"/>
            <w:tcMar>
              <w:left w:w="108" w:type="dxa"/>
            </w:tcMar>
          </w:tcPr>
          <w:p w:rsidR="00613ED3" w:rsidRPr="0042475B" w:rsidRDefault="00613ED3" w:rsidP="000D7E0A">
            <w:pPr>
              <w:pStyle w:val="Commentiriquadro"/>
            </w:pPr>
            <w:r w:rsidRPr="000A0ED1">
              <w:t>Per le società trader, che non svolgono attività industriali in relazioni alla quali è riconosciuta l’emissione oppure sorge l’obbligo di consegna di certificati verdi, le operazioni di compravendita dei certificati verdi rientrano nella loro attività tipica</w:t>
            </w:r>
            <w:r>
              <w:t>.</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C242B" w:rsidTr="000D7E0A">
        <w:trPr>
          <w:cantSplit/>
          <w:trHeight w:val="20"/>
        </w:trPr>
        <w:tc>
          <w:tcPr>
            <w:tcW w:w="680" w:type="dxa"/>
          </w:tcPr>
          <w:p w:rsidR="00613ED3" w:rsidRPr="00F24592" w:rsidRDefault="00613ED3" w:rsidP="000D7E0A">
            <w:pPr>
              <w:jc w:val="center"/>
              <w:rPr>
                <w:b/>
                <w:lang w:val="it-IT"/>
              </w:rPr>
            </w:pPr>
            <w:r>
              <w:rPr>
                <w:b/>
                <w:lang w:val="it-IT"/>
              </w:rPr>
              <w:t>14</w:t>
            </w:r>
            <w:r w:rsidRPr="00F24592">
              <w:rPr>
                <w:b/>
                <w:lang w:val="it-IT"/>
              </w:rPr>
              <w:t>)</w:t>
            </w:r>
          </w:p>
        </w:tc>
        <w:tc>
          <w:tcPr>
            <w:tcW w:w="851" w:type="dxa"/>
            <w:tcMar>
              <w:left w:w="108" w:type="dxa"/>
              <w:right w:w="0" w:type="dxa"/>
            </w:tcMar>
          </w:tcPr>
          <w:p w:rsidR="00613ED3" w:rsidRPr="00A627A5" w:rsidRDefault="00613ED3" w:rsidP="000D7E0A">
            <w:pPr>
              <w:pStyle w:val="PrincCont"/>
              <w:jc w:val="left"/>
              <w:rPr>
                <w:lang w:val="it-IT"/>
              </w:rPr>
            </w:pPr>
          </w:p>
        </w:tc>
        <w:tc>
          <w:tcPr>
            <w:tcW w:w="7060" w:type="dxa"/>
            <w:tcMar>
              <w:left w:w="108" w:type="dxa"/>
            </w:tcMar>
          </w:tcPr>
          <w:p w:rsidR="00613ED3" w:rsidRPr="00D009FF" w:rsidRDefault="00613ED3" w:rsidP="000D7E0A">
            <w:pPr>
              <w:spacing w:line="230" w:lineRule="exact"/>
              <w:rPr>
                <w:lang w:val="it-IT"/>
              </w:rPr>
            </w:pPr>
            <w:r w:rsidRPr="00D009FF">
              <w:rPr>
                <w:lang w:val="it-IT"/>
              </w:rPr>
              <w:t>Nello stato patrimoniale sono stati classificati: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1C09F7"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Pr="00A627A5" w:rsidRDefault="00613ED3" w:rsidP="000D7E0A">
            <w:pPr>
              <w:pStyle w:val="PrincCont"/>
              <w:jc w:val="left"/>
              <w:rPr>
                <w:lang w:val="it-IT"/>
              </w:rPr>
            </w:pPr>
            <w:r w:rsidRPr="00A627A5">
              <w:t>OIC 7.69</w:t>
            </w:r>
          </w:p>
        </w:tc>
        <w:tc>
          <w:tcPr>
            <w:tcW w:w="7060" w:type="dxa"/>
            <w:tcMar>
              <w:left w:w="108" w:type="dxa"/>
            </w:tcMar>
          </w:tcPr>
          <w:p w:rsidR="00613ED3" w:rsidRPr="0042475B" w:rsidRDefault="00613ED3" w:rsidP="004E27C2">
            <w:pPr>
              <w:pStyle w:val="Rientroa"/>
              <w:numPr>
                <w:ilvl w:val="0"/>
                <w:numId w:val="86"/>
              </w:numPr>
              <w:spacing w:line="230" w:lineRule="exact"/>
              <w:ind w:left="318" w:hanging="283"/>
            </w:pPr>
            <w:r w:rsidRPr="00611B2E">
              <w:t xml:space="preserve">nella voce </w:t>
            </w:r>
            <w:r w:rsidRPr="001C09F7">
              <w:t>C.II.1)</w:t>
            </w:r>
            <w:r w:rsidRPr="00611B2E">
              <w:t xml:space="preserve"> “Crediti verso clienti” i crediti derivanti dall</w:t>
            </w:r>
            <w:r>
              <w:t xml:space="preserve">a vendita di certificati verdi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Pr="00A627A5" w:rsidRDefault="00613ED3" w:rsidP="000D7E0A">
            <w:pPr>
              <w:pStyle w:val="PrincCont"/>
              <w:jc w:val="left"/>
              <w:rPr>
                <w:lang w:val="it-IT"/>
              </w:rPr>
            </w:pPr>
            <w:r w:rsidRPr="00A627A5">
              <w:t>OIC 7.70</w:t>
            </w:r>
          </w:p>
        </w:tc>
        <w:tc>
          <w:tcPr>
            <w:tcW w:w="7060" w:type="dxa"/>
            <w:tcMar>
              <w:left w:w="108" w:type="dxa"/>
            </w:tcMar>
          </w:tcPr>
          <w:p w:rsidR="00613ED3" w:rsidRPr="0042475B" w:rsidRDefault="00613ED3" w:rsidP="004E27C2">
            <w:pPr>
              <w:pStyle w:val="Rientroa"/>
              <w:numPr>
                <w:ilvl w:val="0"/>
                <w:numId w:val="86"/>
              </w:numPr>
              <w:spacing w:line="230" w:lineRule="exact"/>
              <w:ind w:left="318" w:hanging="283"/>
            </w:pPr>
            <w:r w:rsidRPr="00611B2E">
              <w:t xml:space="preserve">nella voce </w:t>
            </w:r>
            <w:r w:rsidRPr="0095608C">
              <w:t>C.I.4)</w:t>
            </w:r>
            <w:r w:rsidRPr="00611B2E">
              <w:t xml:space="preserve"> “Rimanenze di prodotti finiti e merci” i certificati verdi che alla fine dell’esercizio</w:t>
            </w:r>
            <w:r>
              <w:t xml:space="preserve"> risultano ancora in magazzino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Pr="00A627A5" w:rsidRDefault="00613ED3" w:rsidP="000D7E0A">
            <w:pPr>
              <w:pStyle w:val="PrincCont"/>
              <w:jc w:val="left"/>
              <w:rPr>
                <w:lang w:val="it-IT"/>
              </w:rPr>
            </w:pPr>
            <w:r w:rsidRPr="00A627A5">
              <w:t>OIC 7.68</w:t>
            </w:r>
          </w:p>
        </w:tc>
        <w:tc>
          <w:tcPr>
            <w:tcW w:w="7060" w:type="dxa"/>
            <w:tcMar>
              <w:left w:w="108" w:type="dxa"/>
            </w:tcMar>
          </w:tcPr>
          <w:p w:rsidR="00613ED3" w:rsidRPr="0042475B" w:rsidRDefault="00613ED3" w:rsidP="004E27C2">
            <w:pPr>
              <w:pStyle w:val="Rientroa"/>
              <w:numPr>
                <w:ilvl w:val="0"/>
                <w:numId w:val="86"/>
              </w:numPr>
              <w:spacing w:line="230" w:lineRule="exact"/>
              <w:ind w:left="318" w:hanging="283"/>
            </w:pPr>
            <w:r>
              <w:t xml:space="preserve">nella voce </w:t>
            </w:r>
            <w:r w:rsidRPr="001C09F7">
              <w:t>D.7)</w:t>
            </w:r>
            <w:r>
              <w:t xml:space="preserve"> “Debiti verso fornitori” i debiti derivanti dall’acquisto di certificati verdi?</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Pr>
                <w:b/>
                <w:lang w:val="it-IT"/>
              </w:rPr>
              <w:t>15</w:t>
            </w:r>
            <w:r w:rsidRPr="00F24592">
              <w:rPr>
                <w:b/>
                <w:lang w:val="it-IT"/>
              </w:rPr>
              <w:t>)</w:t>
            </w:r>
          </w:p>
        </w:tc>
        <w:tc>
          <w:tcPr>
            <w:tcW w:w="851" w:type="dxa"/>
            <w:tcMar>
              <w:left w:w="108" w:type="dxa"/>
              <w:right w:w="0" w:type="dxa"/>
            </w:tcMar>
          </w:tcPr>
          <w:p w:rsidR="00613ED3" w:rsidRDefault="00613ED3" w:rsidP="000D7E0A">
            <w:pPr>
              <w:pStyle w:val="PrincCont"/>
              <w:jc w:val="left"/>
            </w:pPr>
            <w:r>
              <w:t>Art. 2426, c.1, n.8, CC</w:t>
            </w:r>
          </w:p>
          <w:p w:rsidR="00613ED3" w:rsidRPr="00D009FF" w:rsidRDefault="00613ED3" w:rsidP="000D7E0A">
            <w:pPr>
              <w:pStyle w:val="PrincCont"/>
              <w:jc w:val="left"/>
              <w:rPr>
                <w:lang w:val="en-GB"/>
              </w:rPr>
            </w:pPr>
            <w:r>
              <w:t>OIC 7.</w:t>
            </w:r>
            <w:r w:rsidRPr="00A475F7">
              <w:t>74</w:t>
            </w:r>
          </w:p>
        </w:tc>
        <w:tc>
          <w:tcPr>
            <w:tcW w:w="7060" w:type="dxa"/>
            <w:tcMar>
              <w:left w:w="108" w:type="dxa"/>
            </w:tcMar>
          </w:tcPr>
          <w:p w:rsidR="00613ED3" w:rsidRPr="00F24592" w:rsidRDefault="00613ED3" w:rsidP="000D7E0A">
            <w:pPr>
              <w:spacing w:line="230" w:lineRule="exact"/>
              <w:rPr>
                <w:lang w:val="it-IT"/>
              </w:rPr>
            </w:pPr>
            <w:r w:rsidRPr="00F24592">
              <w:rPr>
                <w:lang w:val="it-IT"/>
              </w:rPr>
              <w:t>I crediti derivanti dalla vendita di certificati verdi sono iscritti in accordo con le prescizioni dell’OIC 15 (Nota: il testo del par. 74 dell’OIC 7, che deve ancora essere rivisto, prevede “</w:t>
            </w:r>
            <w:r w:rsidRPr="00F24592">
              <w:rPr>
                <w:i/>
                <w:lang w:val="it-IT"/>
              </w:rPr>
              <w:t>secondo il valore presumibile di realizzazione come previsto dall’OIC 15</w:t>
            </w:r>
            <w:r w:rsidRPr="00F24592">
              <w:rPr>
                <w:lang w:val="it-IT"/>
              </w:rPr>
              <w:t>”, wording che è da ritenersi superato)?</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Pr>
                <w:b/>
                <w:lang w:val="it-IT"/>
              </w:rPr>
              <w:t>16</w:t>
            </w:r>
            <w:r w:rsidRPr="00F24592">
              <w:rPr>
                <w:b/>
                <w:lang w:val="it-IT"/>
              </w:rPr>
              <w:t>)</w:t>
            </w:r>
          </w:p>
        </w:tc>
        <w:tc>
          <w:tcPr>
            <w:tcW w:w="851" w:type="dxa"/>
            <w:tcMar>
              <w:left w:w="108" w:type="dxa"/>
              <w:right w:w="0" w:type="dxa"/>
            </w:tcMar>
          </w:tcPr>
          <w:p w:rsidR="00613ED3" w:rsidRDefault="00613ED3" w:rsidP="000D7E0A">
            <w:pPr>
              <w:pStyle w:val="PrincCont"/>
              <w:jc w:val="left"/>
              <w:rPr>
                <w:lang w:val="it-IT"/>
              </w:rPr>
            </w:pPr>
            <w:r>
              <w:t>OIC 7.</w:t>
            </w:r>
            <w:r w:rsidRPr="00A475F7">
              <w:t>73</w:t>
            </w:r>
          </w:p>
        </w:tc>
        <w:tc>
          <w:tcPr>
            <w:tcW w:w="7060" w:type="dxa"/>
            <w:tcMar>
              <w:left w:w="108" w:type="dxa"/>
            </w:tcMar>
          </w:tcPr>
          <w:p w:rsidR="00613ED3" w:rsidRPr="00F24592" w:rsidRDefault="00613ED3" w:rsidP="000D7E0A">
            <w:pPr>
              <w:spacing w:line="230" w:lineRule="exact"/>
              <w:rPr>
                <w:lang w:val="it-IT"/>
              </w:rPr>
            </w:pPr>
            <w:r w:rsidRPr="00F24592">
              <w:rPr>
                <w:lang w:val="it-IT"/>
              </w:rPr>
              <w:t>I debiti derivanti dall’acquisto di certificati verdi sono iscritti in accordo con le prescrizioni dell’OIC 19 (Nota: il testo del par. 73 dell’OIC 7, che deve ancora essere rivisto, prevede “</w:t>
            </w:r>
            <w:r w:rsidRPr="00F24592">
              <w:rPr>
                <w:i/>
                <w:lang w:val="it-IT"/>
              </w:rPr>
              <w:t>secondo il valore di estinzione come previsto dall’OIC 19</w:t>
            </w:r>
            <w:r w:rsidRPr="00F24592">
              <w:rPr>
                <w:lang w:val="it-IT"/>
              </w:rPr>
              <w:t xml:space="preserve">”, wording che è da ritenersi superato)?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Pr>
                <w:b/>
                <w:lang w:val="it-IT"/>
              </w:rPr>
              <w:t>17</w:t>
            </w:r>
            <w:r w:rsidRPr="00F24592">
              <w:rPr>
                <w:b/>
                <w:lang w:val="it-IT"/>
              </w:rPr>
              <w:t>)</w:t>
            </w:r>
          </w:p>
        </w:tc>
        <w:tc>
          <w:tcPr>
            <w:tcW w:w="851" w:type="dxa"/>
            <w:tcMar>
              <w:left w:w="108" w:type="dxa"/>
              <w:right w:w="0" w:type="dxa"/>
            </w:tcMar>
          </w:tcPr>
          <w:p w:rsidR="00613ED3" w:rsidRDefault="00613ED3" w:rsidP="000D7E0A">
            <w:pPr>
              <w:pStyle w:val="PrincCont"/>
              <w:jc w:val="left"/>
            </w:pPr>
            <w:r>
              <w:t>Art. 2426, c.1, n.9, CC</w:t>
            </w:r>
          </w:p>
          <w:p w:rsidR="00613ED3" w:rsidRPr="00D009FF" w:rsidRDefault="00613ED3" w:rsidP="000D7E0A">
            <w:pPr>
              <w:pStyle w:val="PrincCont"/>
              <w:jc w:val="left"/>
              <w:rPr>
                <w:lang w:val="en-GB"/>
              </w:rPr>
            </w:pPr>
            <w:r>
              <w:t>OIC 7.</w:t>
            </w:r>
            <w:r w:rsidRPr="007223BD">
              <w:t>75</w:t>
            </w:r>
          </w:p>
        </w:tc>
        <w:tc>
          <w:tcPr>
            <w:tcW w:w="7060" w:type="dxa"/>
            <w:tcMar>
              <w:left w:w="108" w:type="dxa"/>
            </w:tcMar>
          </w:tcPr>
          <w:p w:rsidR="00613ED3" w:rsidRPr="00D009FF" w:rsidRDefault="00613ED3" w:rsidP="000D7E0A">
            <w:pPr>
              <w:spacing w:line="230" w:lineRule="exact"/>
              <w:rPr>
                <w:lang w:val="it-IT"/>
              </w:rPr>
            </w:pPr>
            <w:r w:rsidRPr="00D009FF">
              <w:rPr>
                <w:lang w:val="it-IT"/>
              </w:rPr>
              <w:t xml:space="preserve">Le rimanenze di certificati verdi sono iscritte al minore tra il costo e il valore di realizzazione desumibile dall’andamento del mercato?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Pr>
                <w:b/>
                <w:lang w:val="it-IT"/>
              </w:rPr>
              <w:t>18</w:t>
            </w:r>
            <w:r w:rsidRPr="00F24592">
              <w:rPr>
                <w:b/>
                <w:lang w:val="it-IT"/>
              </w:rPr>
              <w:t>)</w:t>
            </w:r>
          </w:p>
        </w:tc>
        <w:tc>
          <w:tcPr>
            <w:tcW w:w="851" w:type="dxa"/>
            <w:tcMar>
              <w:left w:w="108" w:type="dxa"/>
              <w:right w:w="0" w:type="dxa"/>
            </w:tcMar>
          </w:tcPr>
          <w:p w:rsidR="00613ED3" w:rsidRDefault="00613ED3" w:rsidP="000D7E0A">
            <w:pPr>
              <w:pStyle w:val="PrincCont"/>
              <w:jc w:val="left"/>
              <w:rPr>
                <w:lang w:val="it-IT"/>
              </w:rPr>
            </w:pPr>
            <w:r>
              <w:t>OIC 7.</w:t>
            </w:r>
            <w:r w:rsidRPr="007223BD">
              <w:t>75</w:t>
            </w:r>
          </w:p>
        </w:tc>
        <w:tc>
          <w:tcPr>
            <w:tcW w:w="7060" w:type="dxa"/>
            <w:tcMar>
              <w:left w:w="108" w:type="dxa"/>
            </w:tcMar>
          </w:tcPr>
          <w:p w:rsidR="00613ED3" w:rsidRPr="00D009FF" w:rsidRDefault="00613ED3" w:rsidP="000D7E0A">
            <w:pPr>
              <w:spacing w:line="230" w:lineRule="exact"/>
              <w:rPr>
                <w:lang w:val="it-IT"/>
              </w:rPr>
            </w:pPr>
            <w:r w:rsidRPr="00D009FF">
              <w:rPr>
                <w:lang w:val="it-IT"/>
              </w:rPr>
              <w:t xml:space="preserve">Nel caso siano venuti meno i motivi di una precedente svalutazione al minor valore di realizzazione, è effettuato il ripristino al valore originario?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Pr>
                <w:b/>
                <w:lang w:val="it-IT"/>
              </w:rPr>
              <w:t>19</w:t>
            </w:r>
            <w:r w:rsidRPr="00F24592">
              <w:rPr>
                <w:b/>
                <w:lang w:val="it-IT"/>
              </w:rPr>
              <w:t>)</w:t>
            </w:r>
          </w:p>
        </w:tc>
        <w:tc>
          <w:tcPr>
            <w:tcW w:w="851" w:type="dxa"/>
            <w:tcMar>
              <w:left w:w="108" w:type="dxa"/>
              <w:right w:w="0" w:type="dxa"/>
            </w:tcMar>
          </w:tcPr>
          <w:p w:rsidR="00613ED3" w:rsidRDefault="00613ED3" w:rsidP="000D7E0A">
            <w:pPr>
              <w:pStyle w:val="PrincCont"/>
              <w:jc w:val="left"/>
              <w:rPr>
                <w:lang w:val="it-IT"/>
              </w:rPr>
            </w:pPr>
            <w:r>
              <w:t>OIC 7.</w:t>
            </w:r>
            <w:r w:rsidRPr="007223BD">
              <w:t>76</w:t>
            </w:r>
          </w:p>
        </w:tc>
        <w:tc>
          <w:tcPr>
            <w:tcW w:w="7060" w:type="dxa"/>
            <w:tcMar>
              <w:left w:w="108" w:type="dxa"/>
            </w:tcMar>
          </w:tcPr>
          <w:p w:rsidR="00613ED3" w:rsidRPr="00D009FF" w:rsidRDefault="00613ED3" w:rsidP="000D7E0A">
            <w:pPr>
              <w:spacing w:line="230" w:lineRule="exact"/>
              <w:rPr>
                <w:lang w:val="it-IT"/>
              </w:rPr>
            </w:pPr>
            <w:r w:rsidRPr="00D009FF">
              <w:rPr>
                <w:lang w:val="it-IT"/>
              </w:rPr>
              <w:t xml:space="preserve">Nel caso in cui i certificati verdi in magazzino sono tenuti a fronte di vendite concluse e il prezzo pattuito è pari o superiore al loro costo le rimanenze non sono svalutate?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Pr>
                <w:b/>
                <w:lang w:val="it-IT"/>
              </w:rPr>
              <w:t>20</w:t>
            </w:r>
            <w:r w:rsidRPr="00F24592">
              <w:rPr>
                <w:b/>
                <w:lang w:val="it-IT"/>
              </w:rPr>
              <w:t>)</w:t>
            </w:r>
          </w:p>
        </w:tc>
        <w:tc>
          <w:tcPr>
            <w:tcW w:w="851" w:type="dxa"/>
            <w:tcMar>
              <w:left w:w="108" w:type="dxa"/>
              <w:right w:w="0" w:type="dxa"/>
            </w:tcMar>
          </w:tcPr>
          <w:p w:rsidR="00613ED3" w:rsidRDefault="00613ED3" w:rsidP="000D7E0A">
            <w:pPr>
              <w:pStyle w:val="PrincCont"/>
              <w:jc w:val="left"/>
              <w:rPr>
                <w:lang w:val="it-IT"/>
              </w:rPr>
            </w:pPr>
            <w:r>
              <w:t>OIC 7.</w:t>
            </w:r>
            <w:r w:rsidRPr="007223BD">
              <w:t>7</w:t>
            </w:r>
            <w:r>
              <w:t>2</w:t>
            </w:r>
          </w:p>
        </w:tc>
        <w:tc>
          <w:tcPr>
            <w:tcW w:w="7060" w:type="dxa"/>
            <w:tcMar>
              <w:left w:w="108" w:type="dxa"/>
            </w:tcMar>
          </w:tcPr>
          <w:p w:rsidR="00613ED3" w:rsidRPr="00D009FF" w:rsidRDefault="00613ED3" w:rsidP="000D7E0A">
            <w:pPr>
              <w:spacing w:line="230" w:lineRule="exact"/>
              <w:rPr>
                <w:lang w:val="it-IT"/>
              </w:rPr>
            </w:pPr>
            <w:r w:rsidRPr="00D009FF">
              <w:rPr>
                <w:lang w:val="it-IT"/>
              </w:rPr>
              <w:t xml:space="preserve">Nella determinazione del costo di acquisto sono inclusi i costi accessori?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C242B" w:rsidTr="000D7E0A">
        <w:trPr>
          <w:cantSplit/>
          <w:trHeight w:val="20"/>
        </w:trPr>
        <w:tc>
          <w:tcPr>
            <w:tcW w:w="680" w:type="dxa"/>
          </w:tcPr>
          <w:p w:rsidR="00613ED3" w:rsidRPr="00F24592" w:rsidRDefault="00613ED3" w:rsidP="000D7E0A">
            <w:pPr>
              <w:jc w:val="center"/>
              <w:rPr>
                <w:b/>
                <w:lang w:val="it-IT"/>
              </w:rPr>
            </w:pPr>
            <w:r>
              <w:rPr>
                <w:b/>
                <w:lang w:val="it-IT"/>
              </w:rPr>
              <w:t>21</w:t>
            </w:r>
            <w:r w:rsidRPr="00F24592">
              <w:rPr>
                <w:b/>
                <w:lang w:val="it-IT"/>
              </w:rPr>
              <w:t>)</w:t>
            </w:r>
          </w:p>
        </w:tc>
        <w:tc>
          <w:tcPr>
            <w:tcW w:w="851" w:type="dxa"/>
            <w:tcMar>
              <w:left w:w="108" w:type="dxa"/>
              <w:right w:w="0" w:type="dxa"/>
            </w:tcMar>
          </w:tcPr>
          <w:p w:rsidR="00613ED3" w:rsidRDefault="00613ED3" w:rsidP="000D7E0A">
            <w:pPr>
              <w:pStyle w:val="PrincCont"/>
              <w:jc w:val="left"/>
            </w:pPr>
            <w:r>
              <w:t>Art. 2426, c.</w:t>
            </w:r>
            <w:r w:rsidRPr="007A095D">
              <w:t xml:space="preserve">1, </w:t>
            </w:r>
            <w:r>
              <w:t>n.10, CC</w:t>
            </w:r>
          </w:p>
          <w:p w:rsidR="00613ED3" w:rsidRDefault="00613ED3" w:rsidP="000D7E0A">
            <w:pPr>
              <w:pStyle w:val="PrincCont"/>
              <w:jc w:val="left"/>
            </w:pPr>
            <w:r>
              <w:t xml:space="preserve">OIC 7.77 </w:t>
            </w:r>
          </w:p>
          <w:p w:rsidR="00613ED3" w:rsidRPr="00D009FF" w:rsidRDefault="00613ED3" w:rsidP="000D7E0A">
            <w:pPr>
              <w:pStyle w:val="PrincCont"/>
              <w:jc w:val="left"/>
              <w:rPr>
                <w:lang w:val="en-GB"/>
              </w:rPr>
            </w:pPr>
            <w:r>
              <w:t>OIC 7.</w:t>
            </w:r>
            <w:r w:rsidRPr="007A095D">
              <w:t>79</w:t>
            </w:r>
          </w:p>
        </w:tc>
        <w:tc>
          <w:tcPr>
            <w:tcW w:w="7060" w:type="dxa"/>
            <w:tcMar>
              <w:left w:w="108" w:type="dxa"/>
            </w:tcMar>
          </w:tcPr>
          <w:p w:rsidR="00613ED3" w:rsidRPr="00D009FF" w:rsidRDefault="00613ED3" w:rsidP="000D7E0A">
            <w:pPr>
              <w:spacing w:line="230" w:lineRule="exact"/>
              <w:rPr>
                <w:lang w:val="it-IT"/>
              </w:rPr>
            </w:pPr>
            <w:r w:rsidRPr="00D009FF">
              <w:rPr>
                <w:lang w:val="it-IT"/>
              </w:rPr>
              <w:t>Il costo delle rimanenze di certificati verdi viene calcolato con uno dei seguenti metodi alternativi: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4E27C2">
            <w:pPr>
              <w:pStyle w:val="Rientroa"/>
              <w:numPr>
                <w:ilvl w:val="0"/>
                <w:numId w:val="87"/>
              </w:numPr>
              <w:spacing w:line="230" w:lineRule="exact"/>
              <w:ind w:left="318" w:hanging="284"/>
            </w:pPr>
            <w:r w:rsidRPr="00BC64EE">
              <w:t xml:space="preserve">costo specifico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C242B"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0D7E0A">
            <w:pPr>
              <w:pStyle w:val="Commentiriquadro"/>
            </w:pPr>
            <w:r>
              <w:t>Il costo specifico viene considerata dall’OIC 7 la configurazione di costo tecnicamente più corretta.</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4E27C2">
            <w:pPr>
              <w:pStyle w:val="Rientroa"/>
              <w:numPr>
                <w:ilvl w:val="0"/>
                <w:numId w:val="87"/>
              </w:numPr>
              <w:spacing w:line="230" w:lineRule="exact"/>
              <w:ind w:left="318" w:hanging="283"/>
            </w:pPr>
            <w:r w:rsidRPr="00BC64EE">
              <w:t>media ponderata</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rPr>
                <w:b/>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4E27C2">
            <w:pPr>
              <w:pStyle w:val="Rientroa"/>
              <w:numPr>
                <w:ilvl w:val="0"/>
                <w:numId w:val="87"/>
              </w:numPr>
              <w:spacing w:line="230" w:lineRule="exact"/>
              <w:ind w:left="318" w:hanging="283"/>
            </w:pPr>
            <w:r w:rsidRPr="00BC64EE">
              <w:t>primo entrato, primo uscito (FIFO)</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4E27C2">
            <w:pPr>
              <w:pStyle w:val="Rientroa"/>
              <w:numPr>
                <w:ilvl w:val="0"/>
                <w:numId w:val="87"/>
              </w:numPr>
              <w:spacing w:line="230" w:lineRule="exact"/>
              <w:ind w:left="318" w:hanging="283"/>
            </w:pPr>
            <w:r w:rsidRPr="00BC64EE">
              <w:t>ultim</w:t>
            </w:r>
            <w:r>
              <w:t>o entrato, ultimo uscito (LIFO)</w:t>
            </w:r>
            <w:r w:rsidRPr="00BC64EE">
              <w:t>?</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C242B" w:rsidTr="000D7E0A">
        <w:trPr>
          <w:cantSplit/>
          <w:trHeight w:val="20"/>
        </w:trPr>
        <w:tc>
          <w:tcPr>
            <w:tcW w:w="680" w:type="dxa"/>
          </w:tcPr>
          <w:p w:rsidR="00613ED3" w:rsidRPr="00F24592" w:rsidRDefault="00613ED3" w:rsidP="000D7E0A">
            <w:pPr>
              <w:jc w:val="center"/>
              <w:rPr>
                <w:b/>
                <w:lang w:val="it-IT"/>
              </w:rPr>
            </w:pPr>
            <w:r>
              <w:rPr>
                <w:b/>
                <w:lang w:val="it-IT"/>
              </w:rPr>
              <w:t>22</w:t>
            </w:r>
            <w:r w:rsidRPr="00F24592">
              <w:rPr>
                <w:b/>
                <w:lang w:val="it-IT"/>
              </w:rPr>
              <w:t>)</w:t>
            </w: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A97775" w:rsidRDefault="00613ED3" w:rsidP="000D7E0A">
            <w:pPr>
              <w:spacing w:line="230" w:lineRule="exact"/>
              <w:rPr>
                <w:lang w:val="it-IT"/>
              </w:rPr>
            </w:pPr>
            <w:r w:rsidRPr="00A97775">
              <w:rPr>
                <w:lang w:val="it-IT"/>
              </w:rPr>
              <w:t>Nel conto economico sono stati classificati gli oneri e i proventi derivanti dai certificati verdi: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r>
              <w:t>OIC 7.</w:t>
            </w:r>
            <w:r w:rsidRPr="006B2715">
              <w:t>66</w:t>
            </w:r>
          </w:p>
        </w:tc>
        <w:tc>
          <w:tcPr>
            <w:tcW w:w="7060" w:type="dxa"/>
            <w:tcMar>
              <w:left w:w="108" w:type="dxa"/>
            </w:tcMar>
          </w:tcPr>
          <w:p w:rsidR="00613ED3" w:rsidRPr="0042475B" w:rsidRDefault="00613ED3" w:rsidP="004E27C2">
            <w:pPr>
              <w:pStyle w:val="Rientroa"/>
              <w:numPr>
                <w:ilvl w:val="0"/>
                <w:numId w:val="90"/>
              </w:numPr>
              <w:spacing w:line="230" w:lineRule="exact"/>
              <w:ind w:left="318" w:hanging="283"/>
            </w:pPr>
            <w:r w:rsidRPr="006B2715">
              <w:t xml:space="preserve">nella </w:t>
            </w:r>
            <w:r w:rsidRPr="0095608C">
              <w:t>voce B.6) “Costi</w:t>
            </w:r>
            <w:r w:rsidRPr="006B2715">
              <w:t xml:space="preserve"> della produzione per materie prime, sussidiarie, di consumo e </w:t>
            </w:r>
            <w:r>
              <w:t xml:space="preserve">di </w:t>
            </w:r>
            <w:r w:rsidRPr="006B2715">
              <w:t>merci” i costi sostenuti per l</w:t>
            </w:r>
            <w:r>
              <w:t xml:space="preserve">’acquisto di certificati verdi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r>
              <w:t>OIC 7.</w:t>
            </w:r>
            <w:r w:rsidRPr="006B2715">
              <w:t>67</w:t>
            </w:r>
          </w:p>
        </w:tc>
        <w:tc>
          <w:tcPr>
            <w:tcW w:w="7060" w:type="dxa"/>
            <w:tcMar>
              <w:left w:w="108" w:type="dxa"/>
            </w:tcMar>
          </w:tcPr>
          <w:p w:rsidR="00613ED3" w:rsidRPr="0042475B" w:rsidRDefault="00613ED3" w:rsidP="004E27C2">
            <w:pPr>
              <w:pStyle w:val="Rientroa"/>
              <w:numPr>
                <w:ilvl w:val="0"/>
                <w:numId w:val="90"/>
              </w:numPr>
              <w:spacing w:line="230" w:lineRule="exact"/>
              <w:ind w:left="318" w:hanging="283"/>
            </w:pPr>
            <w:r w:rsidRPr="006B2715">
              <w:t xml:space="preserve">nella </w:t>
            </w:r>
            <w:r w:rsidRPr="0095608C">
              <w:t>voce A.1) “</w:t>
            </w:r>
            <w:r w:rsidRPr="006B2715">
              <w:t>Ricavi delle vendite e delle prestazioni” i ricavi derivanti dall</w:t>
            </w:r>
            <w:r>
              <w:t xml:space="preserve">a vendita di certificati verdi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r>
              <w:t>OIC 7.</w:t>
            </w:r>
            <w:r w:rsidRPr="006B2715">
              <w:t>71</w:t>
            </w:r>
          </w:p>
        </w:tc>
        <w:tc>
          <w:tcPr>
            <w:tcW w:w="7060" w:type="dxa"/>
            <w:tcMar>
              <w:left w:w="108" w:type="dxa"/>
            </w:tcMar>
          </w:tcPr>
          <w:p w:rsidR="00613ED3" w:rsidRPr="0042475B" w:rsidRDefault="00613ED3" w:rsidP="004E27C2">
            <w:pPr>
              <w:pStyle w:val="Rientroa"/>
              <w:numPr>
                <w:ilvl w:val="0"/>
                <w:numId w:val="90"/>
              </w:numPr>
              <w:spacing w:line="230" w:lineRule="exact"/>
              <w:ind w:left="318" w:hanging="283"/>
            </w:pPr>
            <w:r w:rsidRPr="006B2715">
              <w:t xml:space="preserve">nella voce </w:t>
            </w:r>
            <w:r w:rsidRPr="0095608C">
              <w:t>B.11)</w:t>
            </w:r>
            <w:r w:rsidRPr="006B2715">
              <w:t xml:space="preserve"> “Variazioni delle rimanenze di materie prime, sussidiarie, di consumo e merci” le variazioni dell’esercizio delle rimanenze di mag</w:t>
            </w:r>
            <w:r>
              <w:t xml:space="preserve">azzino dei certificati verdi?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vAlign w:val="center"/>
          </w:tcPr>
          <w:p w:rsidR="00613ED3" w:rsidRPr="00D009FF" w:rsidRDefault="00613ED3" w:rsidP="000D7E0A">
            <w:pPr>
              <w:pStyle w:val="Titolo2"/>
            </w:pPr>
            <w:r>
              <w:t>Nota I</w:t>
            </w:r>
            <w:r w:rsidRPr="00D009FF">
              <w:t>ntegrativa</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C242B" w:rsidTr="000D7E0A">
        <w:trPr>
          <w:cantSplit/>
          <w:trHeight w:val="20"/>
        </w:trPr>
        <w:tc>
          <w:tcPr>
            <w:tcW w:w="680" w:type="dxa"/>
          </w:tcPr>
          <w:p w:rsidR="00613ED3" w:rsidRPr="00F24592" w:rsidRDefault="00613ED3" w:rsidP="000D7E0A">
            <w:pPr>
              <w:jc w:val="center"/>
              <w:rPr>
                <w:b/>
                <w:lang w:val="it-IT"/>
              </w:rPr>
            </w:pPr>
            <w:r>
              <w:rPr>
                <w:b/>
                <w:lang w:val="it-IT"/>
              </w:rPr>
              <w:t>23</w:t>
            </w:r>
            <w:r w:rsidRPr="00F24592">
              <w:rPr>
                <w:b/>
                <w:lang w:val="it-IT"/>
              </w:rPr>
              <w:t>)</w:t>
            </w: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A97775" w:rsidRDefault="00613ED3" w:rsidP="000D7E0A">
            <w:pPr>
              <w:spacing w:line="230" w:lineRule="exact"/>
              <w:rPr>
                <w:lang w:val="it-IT"/>
              </w:rPr>
            </w:pPr>
            <w:r w:rsidRPr="00A97775">
              <w:rPr>
                <w:lang w:val="it-IT"/>
              </w:rPr>
              <w:t xml:space="preserve">La </w:t>
            </w:r>
            <w:r>
              <w:rPr>
                <w:lang w:val="it-IT"/>
              </w:rPr>
              <w:t>Nota Integrativa</w:t>
            </w:r>
            <w:r w:rsidRPr="00A97775">
              <w:rPr>
                <w:lang w:val="it-IT"/>
              </w:rPr>
              <w:t xml:space="preserve"> include le seguenti informazioni: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Default="00613ED3" w:rsidP="000D7E0A">
            <w:pPr>
              <w:pStyle w:val="PrincCont"/>
              <w:jc w:val="left"/>
            </w:pPr>
            <w:r>
              <w:t>Art. 2426, CC</w:t>
            </w:r>
          </w:p>
          <w:p w:rsidR="00613ED3" w:rsidRDefault="00613ED3" w:rsidP="000D7E0A">
            <w:pPr>
              <w:pStyle w:val="PrincCont"/>
              <w:jc w:val="left"/>
              <w:rPr>
                <w:lang w:val="it-IT"/>
              </w:rPr>
            </w:pPr>
            <w:r>
              <w:t>OIC 7.</w:t>
            </w:r>
            <w:r w:rsidRPr="006B2715">
              <w:t>82</w:t>
            </w:r>
          </w:p>
        </w:tc>
        <w:tc>
          <w:tcPr>
            <w:tcW w:w="7060" w:type="dxa"/>
            <w:tcMar>
              <w:left w:w="108" w:type="dxa"/>
            </w:tcMar>
          </w:tcPr>
          <w:p w:rsidR="00613ED3" w:rsidRPr="0042475B" w:rsidRDefault="00613ED3" w:rsidP="004E27C2">
            <w:pPr>
              <w:pStyle w:val="Rientroa"/>
              <w:numPr>
                <w:ilvl w:val="0"/>
                <w:numId w:val="88"/>
              </w:numPr>
              <w:spacing w:line="230" w:lineRule="exact"/>
              <w:ind w:left="318" w:hanging="283"/>
            </w:pPr>
            <w:r w:rsidRPr="006B2715">
              <w:t>la differenza, se significativa, fra il valore a prezzi correnti ed il costo de</w:t>
            </w:r>
            <w:r>
              <w:t>i certificati verdi</w:t>
            </w:r>
            <w:r w:rsidRPr="006B2715">
              <w:t xml:space="preserve"> iscritt</w:t>
            </w:r>
            <w:r>
              <w:t>i</w:t>
            </w:r>
            <w:r w:rsidRPr="006B2715">
              <w:t xml:space="preserve"> nel bilancio d’esercizio, calcolato utilizzando il criterio della media </w:t>
            </w:r>
            <w:r>
              <w:t>ponderata, del LIFO o del FIFO</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Default="00613ED3" w:rsidP="000D7E0A">
            <w:pPr>
              <w:pStyle w:val="PrincCont"/>
              <w:jc w:val="left"/>
              <w:rPr>
                <w:lang w:val="it-IT"/>
              </w:rPr>
            </w:pPr>
            <w:r>
              <w:t>Art. 2427, c.1, n.1, CC  OIC 7.</w:t>
            </w:r>
            <w:r w:rsidRPr="006B2715">
              <w:t xml:space="preserve"> 83</w:t>
            </w:r>
          </w:p>
        </w:tc>
        <w:tc>
          <w:tcPr>
            <w:tcW w:w="7060" w:type="dxa"/>
            <w:tcMar>
              <w:left w:w="108" w:type="dxa"/>
            </w:tcMar>
          </w:tcPr>
          <w:p w:rsidR="00613ED3" w:rsidRPr="0042475B" w:rsidRDefault="00613ED3" w:rsidP="004E27C2">
            <w:pPr>
              <w:pStyle w:val="Rientroa"/>
              <w:numPr>
                <w:ilvl w:val="0"/>
                <w:numId w:val="88"/>
              </w:numPr>
              <w:spacing w:line="230" w:lineRule="exact"/>
              <w:ind w:left="318" w:hanging="283"/>
            </w:pPr>
            <w:r w:rsidRPr="006B2715">
              <w:t>i criteri applicati nelle valutazioni, nelle rettifiche di valore e nella conversione dei valori no</w:t>
            </w:r>
            <w:r>
              <w:t xml:space="preserve">n espressi all'origine in euro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Default="00613ED3" w:rsidP="000D7E0A">
            <w:pPr>
              <w:pStyle w:val="PrincCont"/>
              <w:jc w:val="left"/>
            </w:pPr>
            <w:r>
              <w:t>Art. 2427, c.1, n.4, CC</w:t>
            </w:r>
          </w:p>
          <w:p w:rsidR="00613ED3" w:rsidRPr="00D009FF" w:rsidRDefault="00613ED3" w:rsidP="000D7E0A">
            <w:pPr>
              <w:pStyle w:val="PrincCont"/>
              <w:jc w:val="left"/>
              <w:rPr>
                <w:lang w:val="en-GB"/>
              </w:rPr>
            </w:pPr>
            <w:r>
              <w:t>OIC 7.</w:t>
            </w:r>
            <w:r w:rsidRPr="006B2715">
              <w:t>83</w:t>
            </w:r>
          </w:p>
        </w:tc>
        <w:tc>
          <w:tcPr>
            <w:tcW w:w="7060" w:type="dxa"/>
            <w:tcMar>
              <w:left w:w="108" w:type="dxa"/>
            </w:tcMar>
          </w:tcPr>
          <w:p w:rsidR="00613ED3" w:rsidRPr="0042475B" w:rsidRDefault="00613ED3" w:rsidP="004E27C2">
            <w:pPr>
              <w:pStyle w:val="Rientroa"/>
              <w:numPr>
                <w:ilvl w:val="0"/>
                <w:numId w:val="88"/>
              </w:numPr>
              <w:spacing w:line="230" w:lineRule="exact"/>
              <w:ind w:left="318" w:hanging="283"/>
            </w:pPr>
            <w:r w:rsidRPr="006B2715">
              <w:t>le variazioni intervenute nella consistenza delle voci dei crediti e dei debiti ris</w:t>
            </w:r>
            <w:r>
              <w:t xml:space="preserve">petto all’esercizio precedente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Default="00613ED3" w:rsidP="000D7E0A">
            <w:pPr>
              <w:pStyle w:val="PrincCont"/>
              <w:jc w:val="left"/>
              <w:rPr>
                <w:lang w:val="it-IT"/>
              </w:rPr>
            </w:pPr>
            <w:r>
              <w:t>Art. 2427, c.1, n.7, CC      OIC 7.</w:t>
            </w:r>
            <w:r w:rsidRPr="006B2715">
              <w:t xml:space="preserve"> 83</w:t>
            </w:r>
          </w:p>
        </w:tc>
        <w:tc>
          <w:tcPr>
            <w:tcW w:w="7060" w:type="dxa"/>
            <w:tcMar>
              <w:left w:w="108" w:type="dxa"/>
            </w:tcMar>
          </w:tcPr>
          <w:p w:rsidR="00613ED3" w:rsidRPr="0042475B" w:rsidRDefault="00613ED3" w:rsidP="004E27C2">
            <w:pPr>
              <w:pStyle w:val="Rientroa"/>
              <w:numPr>
                <w:ilvl w:val="0"/>
                <w:numId w:val="88"/>
              </w:numPr>
              <w:spacing w:line="230" w:lineRule="exact"/>
              <w:ind w:left="318" w:hanging="283"/>
            </w:pPr>
            <w:r w:rsidRPr="006B2715">
              <w:t xml:space="preserve">la composizione delle voci “ratei e risconti attivi” e “ratei e risconti passivi”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Pr="00C24B90" w:rsidRDefault="00613ED3" w:rsidP="000D7E0A">
            <w:pPr>
              <w:pStyle w:val="PrincCont"/>
              <w:spacing w:before="20"/>
              <w:jc w:val="left"/>
            </w:pPr>
            <w:r w:rsidRPr="00C24B90">
              <w:t>Art. 2427, c.1, n.9, CC</w:t>
            </w:r>
          </w:p>
          <w:p w:rsidR="00613ED3" w:rsidRPr="00D009FF" w:rsidRDefault="00613ED3" w:rsidP="000D7E0A">
            <w:pPr>
              <w:pStyle w:val="PrincCont"/>
              <w:spacing w:before="20"/>
              <w:jc w:val="left"/>
              <w:rPr>
                <w:lang w:val="en-GB"/>
              </w:rPr>
            </w:pPr>
            <w:r w:rsidRPr="00C24B90">
              <w:t>OIC 7.42 e 7.83</w:t>
            </w:r>
          </w:p>
        </w:tc>
        <w:tc>
          <w:tcPr>
            <w:tcW w:w="7060" w:type="dxa"/>
            <w:tcMar>
              <w:left w:w="108" w:type="dxa"/>
            </w:tcMar>
          </w:tcPr>
          <w:p w:rsidR="00613ED3" w:rsidRPr="0042475B" w:rsidRDefault="00613ED3" w:rsidP="004E27C2">
            <w:pPr>
              <w:pStyle w:val="Rientroa"/>
              <w:numPr>
                <w:ilvl w:val="0"/>
                <w:numId w:val="88"/>
              </w:numPr>
              <w:spacing w:line="230" w:lineRule="exact"/>
              <w:ind w:left="318" w:hanging="283"/>
            </w:pPr>
            <w:r>
              <w:t>n</w:t>
            </w:r>
            <w:r w:rsidRPr="00D009FF">
              <w:t>el caso di certificati verdi emessi a preventivo, qualora si verifichi una situazione di deficit di produzione di energia elettrica da fonti rinnovabili, l’impegno in relazione ai certificati verdi ricevuti in eccesso rispetto alla produzione effettiva valutato in misura pari al valore previsto per il ritiro garantito dei cer</w:t>
            </w:r>
            <w:r>
              <w:t>tificati verdi da parte del GSE</w:t>
            </w:r>
            <w:r w:rsidRPr="00D009FF">
              <w:t>?</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Pr="00D009FF" w:rsidRDefault="00613ED3" w:rsidP="000D7E0A">
            <w:pPr>
              <w:pStyle w:val="PrincCont"/>
              <w:jc w:val="left"/>
              <w:rPr>
                <w:lang w:val="en-GB"/>
              </w:rPr>
            </w:pPr>
            <w:r>
              <w:t>Art. 2427, c.1, n.22 ter, CC OIC 7.</w:t>
            </w:r>
            <w:r w:rsidRPr="006B2715">
              <w:t>83</w:t>
            </w:r>
          </w:p>
        </w:tc>
        <w:tc>
          <w:tcPr>
            <w:tcW w:w="7060" w:type="dxa"/>
            <w:tcMar>
              <w:left w:w="108" w:type="dxa"/>
            </w:tcMar>
          </w:tcPr>
          <w:p w:rsidR="00613ED3" w:rsidRPr="0042475B" w:rsidRDefault="00613ED3" w:rsidP="004E27C2">
            <w:pPr>
              <w:pStyle w:val="Rientroa"/>
              <w:numPr>
                <w:ilvl w:val="0"/>
                <w:numId w:val="88"/>
              </w:numPr>
              <w:spacing w:line="230" w:lineRule="exact"/>
              <w:ind w:left="318" w:hanging="283"/>
            </w:pPr>
            <w:r w:rsidRPr="006B2715">
              <w:t>la natura e l'obiettivo economico di accordi non risultanti dallo stato patrimoniale, con indicazione del loro effetto patrimoniale, finanziario ed economico, a condizione che i rischi e i benefici da essi derivanti siano significativi e l'indicazione degli stessi sia necessaria per valutare la situazione patrimoniale e finanziaria e il risu</w:t>
            </w:r>
            <w:r>
              <w:t>ltato economico della società?</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C242B" w:rsidTr="000D7E0A">
        <w:trPr>
          <w:cantSplit/>
          <w:trHeight w:val="20"/>
        </w:trPr>
        <w:tc>
          <w:tcPr>
            <w:tcW w:w="680" w:type="dxa"/>
          </w:tcPr>
          <w:p w:rsidR="00613ED3" w:rsidRPr="00F24592" w:rsidRDefault="00613ED3" w:rsidP="000D7E0A">
            <w:pPr>
              <w:jc w:val="center"/>
              <w:rPr>
                <w:b/>
                <w:lang w:val="it-IT"/>
              </w:rPr>
            </w:pPr>
            <w:r>
              <w:rPr>
                <w:b/>
                <w:lang w:val="it-IT"/>
              </w:rPr>
              <w:t>24</w:t>
            </w:r>
            <w:r w:rsidRPr="00F24592">
              <w:rPr>
                <w:b/>
                <w:lang w:val="it-IT"/>
              </w:rPr>
              <w:t>)</w:t>
            </w:r>
          </w:p>
        </w:tc>
        <w:tc>
          <w:tcPr>
            <w:tcW w:w="851" w:type="dxa"/>
            <w:tcMar>
              <w:left w:w="108" w:type="dxa"/>
              <w:right w:w="0" w:type="dxa"/>
            </w:tcMar>
          </w:tcPr>
          <w:p w:rsidR="00613ED3" w:rsidRDefault="00613ED3" w:rsidP="000D7E0A">
            <w:pPr>
              <w:pStyle w:val="PrincCont"/>
              <w:jc w:val="left"/>
              <w:rPr>
                <w:lang w:val="it-IT"/>
              </w:rPr>
            </w:pPr>
            <w:r>
              <w:t>Art. 2423, c.3, CC OIC 7.</w:t>
            </w:r>
            <w:r w:rsidRPr="009D18C4">
              <w:t>84</w:t>
            </w:r>
          </w:p>
        </w:tc>
        <w:tc>
          <w:tcPr>
            <w:tcW w:w="7060" w:type="dxa"/>
            <w:tcMar>
              <w:left w:w="108" w:type="dxa"/>
            </w:tcMar>
            <w:vAlign w:val="center"/>
          </w:tcPr>
          <w:p w:rsidR="00613ED3" w:rsidRPr="00A77A52" w:rsidRDefault="00613ED3" w:rsidP="000D7E0A">
            <w:pPr>
              <w:spacing w:line="230" w:lineRule="exact"/>
              <w:rPr>
                <w:lang w:val="it-IT"/>
              </w:rPr>
            </w:pPr>
            <w:r w:rsidRPr="00A77A52">
              <w:rPr>
                <w:lang w:val="it-IT"/>
              </w:rPr>
              <w:t xml:space="preserve">La </w:t>
            </w:r>
            <w:r>
              <w:rPr>
                <w:lang w:val="it-IT"/>
              </w:rPr>
              <w:t>Nota Integrativa</w:t>
            </w:r>
            <w:r w:rsidRPr="00A77A52">
              <w:rPr>
                <w:lang w:val="it-IT"/>
              </w:rPr>
              <w:t xml:space="preserve"> fornisce inoltre le seguenti informazioni complementari: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840B93">
            <w:pPr>
              <w:pStyle w:val="rientrotrattinook"/>
            </w:pPr>
            <w:r w:rsidRPr="00323303">
              <w:t>il quantitativo dei certificati verdi maturati nell’esercizio</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840B93">
            <w:pPr>
              <w:pStyle w:val="rientrotrattinook"/>
            </w:pPr>
            <w:r w:rsidRPr="00323303">
              <w:t>il valore di mercato dei certificati verdi alla data di chiusura del bilancio d’esercizio</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840B93">
            <w:pPr>
              <w:pStyle w:val="rientrotrattinook"/>
            </w:pPr>
            <w:r w:rsidRPr="00323303">
              <w:t>il prezzo previsto per il ritiro garantito dei certificati verdi da parte del GSE</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840B93">
            <w:pPr>
              <w:pStyle w:val="rientrotrattinook"/>
            </w:pPr>
            <w:r w:rsidRPr="00323303">
              <w:t>il quantitativo di certificati verdi richiesto a preventivo</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840B93">
            <w:pPr>
              <w:pStyle w:val="rientrotrattinook"/>
            </w:pPr>
            <w:r w:rsidRPr="00323303">
              <w:t>il surplus o il deficit produttivo verificatosi nell’esercizio</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840B93">
            <w:pPr>
              <w:pStyle w:val="rientrotrattinook"/>
            </w:pPr>
            <w:r w:rsidRPr="00323303">
              <w:t>l’effetto prodotto dalla variazione delle quantità e dei prezzi sulla consistenza delle rimanenze finali di certificati verdi</w:t>
            </w:r>
            <w:r>
              <w:t xml:space="preserve">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840B93">
            <w:pPr>
              <w:pStyle w:val="rientrotrattinook"/>
            </w:pPr>
            <w:r w:rsidRPr="00F00E38">
              <w:t xml:space="preserve">l’esistenza di pegni, patti di riservato dominio o qualsiasi altro gravame riferibile ai certificati verdi posseduti?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CA1681">
              <w:fldChar w:fldCharType="separate"/>
            </w:r>
            <w:r w:rsidRPr="005D3860">
              <w:fldChar w:fldCharType="end"/>
            </w:r>
          </w:p>
        </w:tc>
      </w:tr>
    </w:tbl>
    <w:p w:rsidR="00613ED3" w:rsidRPr="00181FF6" w:rsidRDefault="00613ED3" w:rsidP="00613ED3">
      <w:pPr>
        <w:rPr>
          <w:lang w:val="it-IT"/>
        </w:rPr>
      </w:pPr>
    </w:p>
    <w:p w:rsidR="00613ED3" w:rsidRDefault="00613ED3" w:rsidP="00AD4AE2">
      <w:pPr>
        <w:rPr>
          <w:lang w:val="it-IT"/>
        </w:rPr>
        <w:sectPr w:rsidR="00613ED3" w:rsidSect="008E5F3E">
          <w:headerReference w:type="default" r:id="rId61"/>
          <w:footerReference w:type="default" r:id="rId62"/>
          <w:pgSz w:w="11906" w:h="16838" w:code="9"/>
          <w:pgMar w:top="1134" w:right="851" w:bottom="851" w:left="851" w:header="709" w:footer="567" w:gutter="0"/>
          <w:cols w:space="708"/>
          <w:docGrid w:linePitch="360"/>
        </w:sectPr>
      </w:pPr>
    </w:p>
    <w:p w:rsidR="00613ED3" w:rsidRPr="00613ED3" w:rsidRDefault="00613ED3" w:rsidP="00613ED3"/>
    <w:p w:rsidR="00613ED3" w:rsidRPr="00613ED3" w:rsidRDefault="00613ED3" w:rsidP="00613ED3">
      <w:pPr>
        <w:tabs>
          <w:tab w:val="left" w:pos="1890"/>
        </w:tabs>
        <w:spacing w:line="260" w:lineRule="exact"/>
        <w:ind w:left="990" w:hanging="990"/>
        <w:jc w:val="left"/>
        <w:rPr>
          <w:b/>
          <w:lang w:val="it-IT"/>
        </w:rPr>
      </w:pPr>
      <w:r w:rsidRPr="00613ED3">
        <w:rPr>
          <w:b/>
          <w:color w:val="0070C0"/>
          <w:sz w:val="28"/>
          <w:lang w:val="it-IT"/>
        </w:rPr>
        <w:t>Quote di emissione di gas ad effetto serra</w:t>
      </w:r>
    </w:p>
    <w:p w:rsidR="00613ED3" w:rsidRPr="00613ED3" w:rsidRDefault="00613ED3" w:rsidP="00613ED3">
      <w:pPr>
        <w:rPr>
          <w:lang w:val="it-IT"/>
        </w:rPr>
      </w:pPr>
    </w:p>
    <w:p w:rsidR="00613ED3" w:rsidRPr="00613ED3" w:rsidRDefault="00613ED3" w:rsidP="00613ED3">
      <w:pPr>
        <w:rPr>
          <w:lang w:val="it-IT"/>
        </w:rPr>
      </w:pPr>
    </w:p>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613ED3" w:rsidRPr="00613ED3" w:rsidTr="000D7E0A">
        <w:trPr>
          <w:cantSplit/>
          <w:trHeight w:val="20"/>
          <w:tblHeader/>
        </w:trPr>
        <w:tc>
          <w:tcPr>
            <w:tcW w:w="680" w:type="dxa"/>
            <w:shd w:val="clear" w:color="auto" w:fill="F2F2F2" w:themeFill="background1" w:themeFillShade="F2"/>
          </w:tcPr>
          <w:p w:rsidR="00613ED3" w:rsidRPr="00613ED3" w:rsidRDefault="00613ED3" w:rsidP="00613ED3">
            <w:pPr>
              <w:jc w:val="center"/>
              <w:rPr>
                <w:lang w:val="it-IT"/>
              </w:rPr>
            </w:pPr>
          </w:p>
        </w:tc>
        <w:tc>
          <w:tcPr>
            <w:tcW w:w="851" w:type="dxa"/>
            <w:shd w:val="clear" w:color="auto" w:fill="F2F2F2" w:themeFill="background1" w:themeFillShade="F2"/>
            <w:tcMar>
              <w:left w:w="108" w:type="dxa"/>
              <w:right w:w="0" w:type="dxa"/>
            </w:tcMar>
          </w:tcPr>
          <w:p w:rsidR="00613ED3" w:rsidRPr="00613ED3" w:rsidRDefault="00613ED3" w:rsidP="00613ED3">
            <w:pPr>
              <w:jc w:val="left"/>
              <w:rPr>
                <w:b/>
                <w:lang w:val="it-IT"/>
              </w:rPr>
            </w:pPr>
          </w:p>
        </w:tc>
        <w:tc>
          <w:tcPr>
            <w:tcW w:w="7060" w:type="dxa"/>
            <w:shd w:val="clear" w:color="auto" w:fill="F2F2F2" w:themeFill="background1" w:themeFillShade="F2"/>
            <w:tcMar>
              <w:left w:w="108" w:type="dxa"/>
            </w:tcMar>
          </w:tcPr>
          <w:p w:rsidR="00613ED3" w:rsidRPr="00613ED3" w:rsidRDefault="00613ED3" w:rsidP="00613ED3">
            <w:pPr>
              <w:jc w:val="center"/>
              <w:rPr>
                <w:b/>
                <w:lang w:val="it-IT"/>
              </w:rPr>
            </w:pPr>
          </w:p>
        </w:tc>
        <w:tc>
          <w:tcPr>
            <w:tcW w:w="586" w:type="dxa"/>
            <w:shd w:val="clear" w:color="auto" w:fill="F2F2F2" w:themeFill="background1" w:themeFillShade="F2"/>
            <w:tcMar>
              <w:left w:w="85" w:type="dxa"/>
              <w:right w:w="85" w:type="dxa"/>
            </w:tcMar>
            <w:vAlign w:val="bottom"/>
          </w:tcPr>
          <w:p w:rsidR="00613ED3" w:rsidRPr="00613ED3" w:rsidRDefault="00613ED3" w:rsidP="00613ED3">
            <w:pPr>
              <w:jc w:val="center"/>
              <w:rPr>
                <w:b/>
                <w:lang w:val="it-IT"/>
              </w:rPr>
            </w:pPr>
            <w:r w:rsidRPr="00613ED3">
              <w:rPr>
                <w:b/>
                <w:lang w:val="it-IT"/>
              </w:rPr>
              <w:t>SI</w:t>
            </w:r>
          </w:p>
        </w:tc>
        <w:tc>
          <w:tcPr>
            <w:tcW w:w="573" w:type="dxa"/>
            <w:shd w:val="clear" w:color="auto" w:fill="F2F2F2" w:themeFill="background1" w:themeFillShade="F2"/>
            <w:tcMar>
              <w:left w:w="108" w:type="dxa"/>
            </w:tcMar>
            <w:vAlign w:val="bottom"/>
          </w:tcPr>
          <w:p w:rsidR="00613ED3" w:rsidRPr="00613ED3" w:rsidRDefault="00613ED3" w:rsidP="00613ED3">
            <w:pPr>
              <w:jc w:val="center"/>
              <w:rPr>
                <w:b/>
                <w:lang w:val="it-IT"/>
              </w:rPr>
            </w:pPr>
            <w:r w:rsidRPr="00613ED3">
              <w:rPr>
                <w:b/>
                <w:lang w:val="it-IT"/>
              </w:rPr>
              <w:t>NO</w:t>
            </w:r>
          </w:p>
        </w:tc>
        <w:tc>
          <w:tcPr>
            <w:tcW w:w="570" w:type="dxa"/>
            <w:shd w:val="clear" w:color="auto" w:fill="F2F2F2" w:themeFill="background1" w:themeFillShade="F2"/>
            <w:tcMar>
              <w:left w:w="108" w:type="dxa"/>
            </w:tcMar>
            <w:vAlign w:val="bottom"/>
          </w:tcPr>
          <w:p w:rsidR="00613ED3" w:rsidRPr="00613ED3" w:rsidRDefault="00613ED3" w:rsidP="00613ED3">
            <w:pPr>
              <w:jc w:val="center"/>
              <w:rPr>
                <w:b/>
                <w:lang w:val="it-IT"/>
              </w:rPr>
            </w:pPr>
            <w:r w:rsidRPr="00613ED3">
              <w:rPr>
                <w:b/>
                <w:lang w:val="it-IT"/>
              </w:rPr>
              <w:t>N/A</w:t>
            </w:r>
          </w:p>
        </w:tc>
      </w:tr>
      <w:tr w:rsidR="00613ED3" w:rsidRPr="00CC242B"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vAlign w:val="center"/>
          </w:tcPr>
          <w:p w:rsidR="00613ED3" w:rsidRPr="00613ED3" w:rsidRDefault="00613ED3" w:rsidP="00613ED3">
            <w:pPr>
              <w:keepNext/>
              <w:overflowPunct/>
              <w:autoSpaceDE/>
              <w:autoSpaceDN/>
              <w:adjustRightInd/>
              <w:spacing w:before="0" w:after="0" w:line="240" w:lineRule="exact"/>
              <w:jc w:val="left"/>
              <w:textAlignment w:val="auto"/>
              <w:outlineLvl w:val="0"/>
              <w:rPr>
                <w:b/>
                <w:caps/>
                <w:kern w:val="28"/>
                <w:sz w:val="22"/>
                <w:szCs w:val="22"/>
                <w:lang w:val="it-IT"/>
              </w:rPr>
            </w:pPr>
            <w:r w:rsidRPr="00613ED3">
              <w:rPr>
                <w:b/>
                <w:caps/>
                <w:kern w:val="28"/>
                <w:sz w:val="22"/>
                <w:szCs w:val="22"/>
                <w:lang w:val="it-IT"/>
              </w:rPr>
              <w:t>QUOTE DI EMISSIONE DI GAS AD EFFETTO SERRA</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vAlign w:val="center"/>
          </w:tcPr>
          <w:p w:rsidR="00613ED3" w:rsidRPr="00613ED3" w:rsidRDefault="00613ED3" w:rsidP="00613ED3">
            <w:pPr>
              <w:keepNext/>
              <w:overflowPunct/>
              <w:autoSpaceDE/>
              <w:autoSpaceDN/>
              <w:adjustRightInd/>
              <w:spacing w:line="240" w:lineRule="exact"/>
              <w:jc w:val="left"/>
              <w:textAlignment w:val="auto"/>
              <w:outlineLvl w:val="1"/>
              <w:rPr>
                <w:b/>
                <w:sz w:val="22"/>
                <w:lang w:val="it-IT"/>
              </w:rPr>
            </w:pPr>
            <w:r w:rsidRPr="00613ED3">
              <w:rPr>
                <w:b/>
                <w:sz w:val="22"/>
                <w:lang w:val="it-IT"/>
              </w:rPr>
              <w:t>Definizioni</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CC242B"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8.4</w:t>
            </w:r>
          </w:p>
        </w:tc>
        <w:tc>
          <w:tcPr>
            <w:tcW w:w="7060" w:type="dxa"/>
            <w:tcMar>
              <w:left w:w="108" w:type="dxa"/>
            </w:tcMar>
          </w:tcPr>
          <w:p w:rsidR="00613ED3" w:rsidRPr="00613ED3" w:rsidRDefault="00613ED3" w:rsidP="00613ED3">
            <w:pPr>
              <w:pBdr>
                <w:top w:val="single" w:sz="4" w:space="1" w:color="auto"/>
                <w:left w:val="single" w:sz="4" w:space="4" w:color="auto"/>
                <w:bottom w:val="single" w:sz="4" w:space="1" w:color="auto"/>
                <w:right w:val="single" w:sz="4" w:space="4" w:color="auto"/>
              </w:pBdr>
              <w:spacing w:before="40" w:line="200" w:lineRule="exact"/>
              <w:ind w:left="57" w:right="57"/>
              <w:rPr>
                <w:lang w:val="it-IT"/>
              </w:rPr>
            </w:pPr>
            <w:r w:rsidRPr="00613ED3">
              <w:rPr>
                <w:sz w:val="16"/>
                <w:szCs w:val="16"/>
                <w:lang w:val="it-IT"/>
              </w:rPr>
              <w:t>Per gas ad effetto serra si intendono il biossido di carbonio (CO</w:t>
            </w:r>
            <w:r w:rsidRPr="00613ED3">
              <w:rPr>
                <w:sz w:val="14"/>
                <w:szCs w:val="14"/>
                <w:lang w:val="it-IT"/>
              </w:rPr>
              <w:t>2</w:t>
            </w:r>
            <w:r w:rsidRPr="00613ED3">
              <w:rPr>
                <w:sz w:val="16"/>
                <w:szCs w:val="16"/>
                <w:lang w:val="it-IT"/>
              </w:rPr>
              <w:t>) e gli altri gas elencati nella normativa comunitaria di riferimento.</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CC242B"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8.5</w:t>
            </w:r>
          </w:p>
        </w:tc>
        <w:tc>
          <w:tcPr>
            <w:tcW w:w="7060" w:type="dxa"/>
            <w:tcMar>
              <w:left w:w="108" w:type="dxa"/>
            </w:tcMar>
          </w:tcPr>
          <w:p w:rsidR="00613ED3" w:rsidRPr="00613ED3" w:rsidRDefault="00613ED3" w:rsidP="00613ED3">
            <w:pPr>
              <w:pBdr>
                <w:top w:val="single" w:sz="4" w:space="1" w:color="auto"/>
                <w:left w:val="single" w:sz="4" w:space="4" w:color="auto"/>
                <w:bottom w:val="single" w:sz="4" w:space="1" w:color="auto"/>
                <w:right w:val="single" w:sz="4" w:space="4" w:color="auto"/>
              </w:pBdr>
              <w:spacing w:before="40" w:line="200" w:lineRule="exact"/>
              <w:ind w:left="57" w:right="57"/>
              <w:rPr>
                <w:lang w:val="it-IT"/>
              </w:rPr>
            </w:pPr>
            <w:r w:rsidRPr="00613ED3">
              <w:rPr>
                <w:sz w:val="16"/>
                <w:szCs w:val="16"/>
                <w:lang w:val="it-IT"/>
              </w:rPr>
              <w:t xml:space="preserve">Per quote di emissione assegnate a titolo gratuito si intendono le quote rilasciate gratuitamente, all’inizio di ciascun anno, dall’autorità nazionale competente (per l’Italia, il comitato istituito presso il Ministero dell’ambiente e della tutela del territorio) alle società che rientrano nella disciplina per la riduzione delle emissioni di gas ad effetto serra. L’assegnazione si basa sulle previsioni contenute dal piano nazionale di assegnazione per il periodo di riferimento. </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CC242B"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8.6</w:t>
            </w:r>
          </w:p>
        </w:tc>
        <w:tc>
          <w:tcPr>
            <w:tcW w:w="7060" w:type="dxa"/>
            <w:tcMar>
              <w:left w:w="108" w:type="dxa"/>
            </w:tcMar>
          </w:tcPr>
          <w:p w:rsidR="00613ED3" w:rsidRPr="00613ED3" w:rsidRDefault="00613ED3" w:rsidP="00613ED3">
            <w:pPr>
              <w:pBdr>
                <w:top w:val="single" w:sz="4" w:space="1" w:color="auto"/>
                <w:left w:val="single" w:sz="4" w:space="4" w:color="auto"/>
                <w:bottom w:val="single" w:sz="4" w:space="1" w:color="auto"/>
                <w:right w:val="single" w:sz="4" w:space="4" w:color="auto"/>
              </w:pBdr>
              <w:spacing w:before="40" w:line="200" w:lineRule="exact"/>
              <w:ind w:left="57" w:right="57"/>
              <w:rPr>
                <w:lang w:val="it-IT"/>
              </w:rPr>
            </w:pPr>
            <w:r w:rsidRPr="00613ED3">
              <w:rPr>
                <w:sz w:val="16"/>
                <w:szCs w:val="16"/>
                <w:lang w:val="it-IT"/>
              </w:rPr>
              <w:t>Mediante il piano nazionale di assegnazione, soggetto all’approvazione da parte della Commissione Europea, l’ammontare complessivo delle quote di emissione spettanti a ciascuno Stato viene suddiviso tra i diversi settori industriali oggetto della disciplina. Sulla base dell’ammontare delle quote di emissione attribuite ai diversi settori viene poi individuata la quantità da assegnare gratuitamente ad ogni singolo impianto industriale preventivamente autorizzato, adottando criteri differenziati per i diversi settori.</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8.7</w:t>
            </w:r>
          </w:p>
        </w:tc>
        <w:tc>
          <w:tcPr>
            <w:tcW w:w="7060" w:type="dxa"/>
            <w:tcMar>
              <w:left w:w="108" w:type="dxa"/>
            </w:tcMar>
          </w:tcPr>
          <w:p w:rsidR="00613ED3" w:rsidRPr="00613ED3" w:rsidRDefault="00613ED3" w:rsidP="00613ED3">
            <w:pPr>
              <w:pBdr>
                <w:top w:val="single" w:sz="4" w:space="1" w:color="auto"/>
                <w:left w:val="single" w:sz="4" w:space="4" w:color="auto"/>
                <w:bottom w:val="single" w:sz="4" w:space="1" w:color="auto"/>
                <w:right w:val="single" w:sz="4" w:space="4" w:color="auto"/>
              </w:pBdr>
              <w:spacing w:before="40" w:line="200" w:lineRule="exact"/>
              <w:ind w:left="57" w:right="57"/>
            </w:pPr>
            <w:r w:rsidRPr="00613ED3">
              <w:rPr>
                <w:sz w:val="16"/>
                <w:szCs w:val="16"/>
                <w:lang w:val="it-IT"/>
              </w:rPr>
              <w:t>Per quote di emissione messe all’asta si intendono le quote rilasciate a titolo oneroso mediante specifici meccanismi d’asta organizzati dall’autorità nazionale competente alle società che rientrano nella disciplina per la riduzione delle emissioni di gas ad effetto serra. Il rilascio mediante asta rappresenta un’acquisizione a titolo oneroso.</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CC242B"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8.8</w:t>
            </w:r>
          </w:p>
        </w:tc>
        <w:tc>
          <w:tcPr>
            <w:tcW w:w="7060" w:type="dxa"/>
            <w:tcMar>
              <w:left w:w="108" w:type="dxa"/>
            </w:tcMar>
          </w:tcPr>
          <w:p w:rsidR="00613ED3" w:rsidRPr="00613ED3" w:rsidRDefault="00613ED3" w:rsidP="00613ED3">
            <w:pPr>
              <w:pBdr>
                <w:top w:val="single" w:sz="4" w:space="1" w:color="auto"/>
                <w:left w:val="single" w:sz="4" w:space="4" w:color="auto"/>
                <w:bottom w:val="single" w:sz="4" w:space="1" w:color="auto"/>
                <w:right w:val="single" w:sz="4" w:space="4" w:color="auto"/>
              </w:pBdr>
              <w:spacing w:before="40" w:line="200" w:lineRule="exact"/>
              <w:ind w:left="57" w:right="57"/>
              <w:rPr>
                <w:lang w:val="it-IT"/>
              </w:rPr>
            </w:pPr>
            <w:r w:rsidRPr="00613ED3">
              <w:rPr>
                <w:sz w:val="16"/>
                <w:szCs w:val="16"/>
                <w:lang w:val="it-IT"/>
              </w:rPr>
              <w:t>Per consegna delle quote di emissione si intende il momento in cui, entro il 30 aprile di ciascun anno, le società soggette all’obbligo sono tenute a consegnare all’autorità nazionale competente le quote di emissione relative all’obbligo dell’anno precedente.</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CC242B"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vAlign w:val="center"/>
          </w:tcPr>
          <w:p w:rsidR="00613ED3" w:rsidRPr="00613ED3" w:rsidRDefault="00613ED3" w:rsidP="00613ED3">
            <w:pPr>
              <w:keepNext/>
              <w:overflowPunct/>
              <w:autoSpaceDE/>
              <w:autoSpaceDN/>
              <w:adjustRightInd/>
              <w:spacing w:line="240" w:lineRule="exact"/>
              <w:textAlignment w:val="auto"/>
              <w:outlineLvl w:val="1"/>
              <w:rPr>
                <w:b/>
                <w:sz w:val="22"/>
                <w:lang w:val="it-IT"/>
              </w:rPr>
            </w:pPr>
            <w:r w:rsidRPr="00613ED3">
              <w:rPr>
                <w:b/>
                <w:sz w:val="22"/>
                <w:lang w:val="it-IT"/>
              </w:rPr>
              <w:t>Società che rientrano nella disciplina per la riduzione delle emissioni di gas ad effetto serra</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CC242B"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613ED3">
              <w:rPr>
                <w:sz w:val="16"/>
                <w:szCs w:val="16"/>
                <w:lang w:val="it-IT"/>
              </w:rPr>
              <w:t>Per le società che rientrano nella disciplina per la riduzione delle emissioni di gas ad effetto serra le quote di emissione rappresentano un sistema penalizzante che le obbliga ad acquistare sul mercato le quote necessarie all’adempimento degli obblighi normativi, con un aumento dei costi di produzione.</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CC242B" w:rsidTr="000D7E0A">
        <w:trPr>
          <w:cantSplit/>
          <w:trHeight w:val="20"/>
        </w:trPr>
        <w:tc>
          <w:tcPr>
            <w:tcW w:w="680" w:type="dxa"/>
          </w:tcPr>
          <w:p w:rsidR="00613ED3" w:rsidRPr="00613ED3" w:rsidRDefault="00613ED3" w:rsidP="00613ED3">
            <w:pPr>
              <w:jc w:val="center"/>
              <w:rPr>
                <w:b/>
                <w:lang w:val="it-IT"/>
              </w:rPr>
            </w:pPr>
            <w:r w:rsidRPr="00613ED3">
              <w:rPr>
                <w:b/>
                <w:lang w:val="it-IT"/>
              </w:rPr>
              <w:t>1)</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spacing w:line="230" w:lineRule="exact"/>
              <w:rPr>
                <w:lang w:val="it-IT"/>
              </w:rPr>
            </w:pPr>
            <w:r w:rsidRPr="00613ED3">
              <w:rPr>
                <w:lang w:val="it-IT"/>
              </w:rPr>
              <w:t>Nello stato patrimoniale sono stati classificati:</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613ED3" w:rsidTr="000D7E0A">
        <w:trPr>
          <w:cantSplit/>
          <w:trHeight w:val="20"/>
        </w:trPr>
        <w:tc>
          <w:tcPr>
            <w:tcW w:w="680" w:type="dxa"/>
          </w:tcPr>
          <w:p w:rsidR="00613ED3" w:rsidRPr="00613ED3" w:rsidRDefault="00613ED3" w:rsidP="00613ED3">
            <w:pPr>
              <w:jc w:val="center"/>
              <w:rPr>
                <w:b/>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8.40</w:t>
            </w:r>
          </w:p>
        </w:tc>
        <w:tc>
          <w:tcPr>
            <w:tcW w:w="7060" w:type="dxa"/>
            <w:tcMar>
              <w:left w:w="108" w:type="dxa"/>
            </w:tcMar>
          </w:tcPr>
          <w:p w:rsidR="00613ED3" w:rsidRPr="00613ED3" w:rsidRDefault="00613ED3" w:rsidP="00613ED3">
            <w:pPr>
              <w:overflowPunct/>
              <w:autoSpaceDE/>
              <w:autoSpaceDN/>
              <w:adjustRightInd/>
              <w:spacing w:line="230" w:lineRule="exact"/>
              <w:ind w:left="392" w:hanging="360"/>
              <w:textAlignment w:val="auto"/>
              <w:rPr>
                <w:lang w:val="it-IT"/>
              </w:rPr>
            </w:pPr>
            <w:r w:rsidRPr="00613ED3">
              <w:rPr>
                <w:lang w:val="it-IT"/>
              </w:rPr>
              <w:t>a)</w:t>
            </w:r>
            <w:r w:rsidRPr="00613ED3">
              <w:rPr>
                <w:lang w:val="it-IT"/>
              </w:rPr>
              <w:tab/>
              <w:t xml:space="preserve">nella voce C.II.1) “Crediti verso clienti” i crediti derivanti dalla vendita delle quote di emissione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8.39</w:t>
            </w:r>
          </w:p>
        </w:tc>
        <w:tc>
          <w:tcPr>
            <w:tcW w:w="7060" w:type="dxa"/>
            <w:tcMar>
              <w:left w:w="108" w:type="dxa"/>
            </w:tcMar>
          </w:tcPr>
          <w:p w:rsidR="00613ED3" w:rsidRPr="00613ED3" w:rsidRDefault="00613ED3" w:rsidP="00613ED3">
            <w:pPr>
              <w:overflowPunct/>
              <w:autoSpaceDE/>
              <w:autoSpaceDN/>
              <w:adjustRightInd/>
              <w:spacing w:line="230" w:lineRule="exact"/>
              <w:ind w:left="392" w:hanging="360"/>
              <w:textAlignment w:val="auto"/>
              <w:rPr>
                <w:lang w:val="it-IT"/>
              </w:rPr>
            </w:pPr>
            <w:r w:rsidRPr="00613ED3">
              <w:rPr>
                <w:lang w:val="it-IT"/>
              </w:rPr>
              <w:t>b)</w:t>
            </w:r>
            <w:r w:rsidRPr="00613ED3">
              <w:rPr>
                <w:lang w:val="it-IT"/>
              </w:rPr>
              <w:tab/>
              <w:t xml:space="preserve">nella voce D.7) “Debiti verso fornitori” i debiti derivanti dall’acquisto delle quote di emissione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8.42</w:t>
            </w:r>
          </w:p>
        </w:tc>
        <w:tc>
          <w:tcPr>
            <w:tcW w:w="7060" w:type="dxa"/>
            <w:tcMar>
              <w:left w:w="108" w:type="dxa"/>
            </w:tcMar>
          </w:tcPr>
          <w:p w:rsidR="00613ED3" w:rsidRPr="00613ED3" w:rsidRDefault="00613ED3" w:rsidP="00613ED3">
            <w:pPr>
              <w:overflowPunct/>
              <w:autoSpaceDE/>
              <w:autoSpaceDN/>
              <w:adjustRightInd/>
              <w:spacing w:line="230" w:lineRule="exact"/>
              <w:ind w:left="392" w:hanging="360"/>
              <w:textAlignment w:val="auto"/>
              <w:rPr>
                <w:lang w:val="it-IT"/>
              </w:rPr>
            </w:pPr>
            <w:r w:rsidRPr="00613ED3">
              <w:rPr>
                <w:lang w:val="it-IT"/>
              </w:rPr>
              <w:t>c)</w:t>
            </w:r>
            <w:r w:rsidRPr="00613ED3">
              <w:rPr>
                <w:lang w:val="it-IT"/>
              </w:rPr>
              <w:tab/>
              <w:t xml:space="preserve">nella voce D.14) “Altri debiti” i debiti verso l’autorità nazionale competente derivanti dal deficit di quote di emissione di competenza dell’esercizio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8.43</w:t>
            </w:r>
          </w:p>
        </w:tc>
        <w:tc>
          <w:tcPr>
            <w:tcW w:w="7060" w:type="dxa"/>
            <w:tcMar>
              <w:left w:w="108" w:type="dxa"/>
            </w:tcMar>
          </w:tcPr>
          <w:p w:rsidR="00613ED3" w:rsidRPr="00613ED3" w:rsidRDefault="00613ED3" w:rsidP="00613ED3">
            <w:pPr>
              <w:overflowPunct/>
              <w:autoSpaceDE/>
              <w:autoSpaceDN/>
              <w:adjustRightInd/>
              <w:spacing w:line="230" w:lineRule="exact"/>
              <w:ind w:left="392" w:hanging="360"/>
              <w:textAlignment w:val="auto"/>
              <w:rPr>
                <w:lang w:val="it-IT"/>
              </w:rPr>
            </w:pPr>
            <w:r w:rsidRPr="00613ED3">
              <w:rPr>
                <w:lang w:val="it-IT"/>
              </w:rPr>
              <w:t>d)</w:t>
            </w:r>
            <w:r w:rsidRPr="00613ED3">
              <w:rPr>
                <w:lang w:val="it-IT"/>
              </w:rPr>
              <w:tab/>
              <w:t xml:space="preserve">nella voce B.4) “Fondi per rischi e oneri – altri” la passività verso l’autorità nazionale competente derivante dal deficit di quote di emissione di competenza dell’esercizio, nel caso in cui alcuni dei requisiti per la rilevazione contabile di un debito non siano verificate (ad es. l’ammontare non è determinato con certezza)?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2)</w:t>
            </w:r>
          </w:p>
        </w:tc>
        <w:tc>
          <w:tcPr>
            <w:tcW w:w="851" w:type="dxa"/>
            <w:tcMar>
              <w:left w:w="108" w:type="dxa"/>
              <w:right w:w="0" w:type="dxa"/>
            </w:tcMar>
          </w:tcPr>
          <w:p w:rsidR="00613ED3" w:rsidRPr="00613ED3" w:rsidRDefault="00613ED3" w:rsidP="00613ED3">
            <w:pPr>
              <w:pageBreakBefore/>
              <w:spacing w:before="40" w:line="240" w:lineRule="auto"/>
              <w:ind w:right="28"/>
              <w:jc w:val="left"/>
              <w:rPr>
                <w:sz w:val="13"/>
                <w:szCs w:val="13"/>
                <w:lang w:val="en-US"/>
              </w:rPr>
            </w:pPr>
            <w:r w:rsidRPr="00613ED3">
              <w:rPr>
                <w:sz w:val="13"/>
                <w:szCs w:val="13"/>
                <w:lang w:val="en-US"/>
              </w:rPr>
              <w:t>Art. 2426, c.1, n. 8, CC</w:t>
            </w:r>
          </w:p>
          <w:p w:rsidR="00613ED3" w:rsidRPr="00613ED3" w:rsidRDefault="00613ED3" w:rsidP="00613ED3">
            <w:pPr>
              <w:spacing w:before="40" w:line="240" w:lineRule="auto"/>
              <w:ind w:right="28"/>
              <w:jc w:val="left"/>
              <w:rPr>
                <w:sz w:val="13"/>
                <w:szCs w:val="13"/>
                <w:lang w:val="it-IT"/>
              </w:rPr>
            </w:pPr>
            <w:r w:rsidRPr="00613ED3">
              <w:rPr>
                <w:sz w:val="13"/>
                <w:szCs w:val="13"/>
                <w:lang w:val="en-US"/>
              </w:rPr>
              <w:t>OIC 8. 46</w:t>
            </w:r>
          </w:p>
        </w:tc>
        <w:tc>
          <w:tcPr>
            <w:tcW w:w="7060" w:type="dxa"/>
            <w:tcMar>
              <w:left w:w="108" w:type="dxa"/>
            </w:tcMar>
          </w:tcPr>
          <w:p w:rsidR="00613ED3" w:rsidRPr="00613ED3" w:rsidRDefault="00613ED3" w:rsidP="00613ED3">
            <w:pPr>
              <w:spacing w:line="230" w:lineRule="exact"/>
              <w:rPr>
                <w:lang w:val="it-IT"/>
              </w:rPr>
            </w:pPr>
            <w:r w:rsidRPr="00613ED3">
              <w:rPr>
                <w:lang w:val="it-IT"/>
              </w:rPr>
              <w:t>I crediti derivanti dalla vendita delle quote di emissione sono iscritti in accordo con le prescizioni dell’OIC 15 (Nota: il testo del par. 46 dell’OIC 8, che deve ancora essere rivisto, prevede “</w:t>
            </w:r>
            <w:r w:rsidRPr="00613ED3">
              <w:rPr>
                <w:i/>
                <w:lang w:val="it-IT"/>
              </w:rPr>
              <w:t>secondo il valore presumibile di realizzazione come previsto dall’OIC 15</w:t>
            </w:r>
            <w:r w:rsidRPr="00613ED3">
              <w:rPr>
                <w:lang w:val="it-IT"/>
              </w:rPr>
              <w:t>”, wording che è da ritenersi superato)?</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3)</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8.44</w:t>
            </w:r>
          </w:p>
        </w:tc>
        <w:tc>
          <w:tcPr>
            <w:tcW w:w="7060" w:type="dxa"/>
            <w:tcMar>
              <w:left w:w="108" w:type="dxa"/>
            </w:tcMar>
          </w:tcPr>
          <w:p w:rsidR="00613ED3" w:rsidRPr="00613ED3" w:rsidRDefault="00613ED3" w:rsidP="00613ED3">
            <w:pPr>
              <w:spacing w:line="230" w:lineRule="exact"/>
              <w:rPr>
                <w:lang w:val="it-IT"/>
              </w:rPr>
            </w:pPr>
            <w:r w:rsidRPr="00613ED3">
              <w:rPr>
                <w:lang w:val="it-IT"/>
              </w:rPr>
              <w:t>I debiti derivanti dall’acquisto di quote di emissione sono iscritti in accordo con le prescrizioni dell’OIC 19 (Nota: il testo del par. 44 dell’OIC 8, che deve ancora essere rivisto, prevede “</w:t>
            </w:r>
            <w:r w:rsidRPr="00613ED3">
              <w:rPr>
                <w:i/>
                <w:lang w:val="it-IT"/>
              </w:rPr>
              <w:t>secondo il valore di estinzione come previsto dall’OIC 19</w:t>
            </w:r>
            <w:r w:rsidRPr="00613ED3">
              <w:rPr>
                <w:lang w:val="it-IT"/>
              </w:rPr>
              <w:t>”, wording che è da ritenersi superato)?</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rPr>
                <w:lang w:val="it-IT"/>
              </w:rPr>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rPr>
                <w:lang w:val="it-IT"/>
              </w:rPr>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rPr>
                <w:lang w:val="it-IT"/>
              </w:rPr>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4)</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8.45</w:t>
            </w:r>
          </w:p>
        </w:tc>
        <w:tc>
          <w:tcPr>
            <w:tcW w:w="7060" w:type="dxa"/>
            <w:tcMar>
              <w:left w:w="108" w:type="dxa"/>
            </w:tcMar>
          </w:tcPr>
          <w:p w:rsidR="00613ED3" w:rsidRPr="00613ED3" w:rsidRDefault="00613ED3" w:rsidP="00613ED3">
            <w:pPr>
              <w:spacing w:line="230" w:lineRule="exact"/>
              <w:rPr>
                <w:lang w:val="it-IT"/>
              </w:rPr>
            </w:pPr>
            <w:r w:rsidRPr="00613ED3">
              <w:rPr>
                <w:lang w:val="it-IT"/>
              </w:rPr>
              <w:t xml:space="preserve">I debiti verso l’autorità nazionale competente sono iscritti al valore di mercato delle quote di emissione alla data di chiusura dell’esercizio?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5)</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8.21</w:t>
            </w:r>
          </w:p>
        </w:tc>
        <w:tc>
          <w:tcPr>
            <w:tcW w:w="7060" w:type="dxa"/>
            <w:tcMar>
              <w:left w:w="108" w:type="dxa"/>
            </w:tcMar>
          </w:tcPr>
          <w:p w:rsidR="00613ED3" w:rsidRPr="00613ED3" w:rsidRDefault="00613ED3" w:rsidP="00613ED3">
            <w:pPr>
              <w:spacing w:line="230" w:lineRule="exact"/>
              <w:rPr>
                <w:lang w:val="it-IT"/>
              </w:rPr>
            </w:pPr>
            <w:r w:rsidRPr="00613ED3">
              <w:rPr>
                <w:lang w:val="it-IT"/>
              </w:rPr>
              <w:t xml:space="preserve">I costi relativi all’obbligo di consegna all’autorità nazionale competente delle quote di emissione sono rilevati per competenza, nell’esercizio in cui sorge l’obbligo, in proporzione alle emissioni di gas ad effetto serra prodotte nell’esercizio stesso?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6)</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8.31</w:t>
            </w:r>
          </w:p>
        </w:tc>
        <w:tc>
          <w:tcPr>
            <w:tcW w:w="7060" w:type="dxa"/>
            <w:tcMar>
              <w:left w:w="108" w:type="dxa"/>
            </w:tcMar>
          </w:tcPr>
          <w:p w:rsidR="00613ED3" w:rsidRPr="00613ED3" w:rsidRDefault="00613ED3" w:rsidP="00613ED3">
            <w:pPr>
              <w:spacing w:line="230" w:lineRule="exact"/>
              <w:rPr>
                <w:lang w:val="it-IT"/>
              </w:rPr>
            </w:pPr>
            <w:r w:rsidRPr="00613ED3">
              <w:rPr>
                <w:lang w:val="it-IT"/>
              </w:rPr>
              <w:t xml:space="preserve">Qualora, alla fine dell’esercizio, la somma algebrica delle quote assegnate/acquistate in eccesso in anni precedenti e riportate a nuovo, più le quote assegnate gratuitamente nell’anno, più/meno le quote acquistate/vendute sul mercato nell’anno stesso, risulti inferiore al quantitativo di quote necessario per l’adempimento dell’obbligo di legge (deficit di quote di emissione) è rilevato l’onere residuo da sostenere per le quote di emissione non ancora acquistate, in contropartita alla passività verso l’autorità nazionale competente?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7)</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8.32</w:t>
            </w:r>
          </w:p>
        </w:tc>
        <w:tc>
          <w:tcPr>
            <w:tcW w:w="7060" w:type="dxa"/>
            <w:tcMar>
              <w:left w:w="108" w:type="dxa"/>
            </w:tcMar>
          </w:tcPr>
          <w:p w:rsidR="00613ED3" w:rsidRPr="00613ED3" w:rsidRDefault="00613ED3" w:rsidP="00613ED3">
            <w:pPr>
              <w:spacing w:line="230" w:lineRule="exact"/>
              <w:rPr>
                <w:lang w:val="it-IT"/>
              </w:rPr>
            </w:pPr>
            <w:r w:rsidRPr="00613ED3">
              <w:rPr>
                <w:lang w:val="it-IT"/>
              </w:rPr>
              <w:t xml:space="preserve">Qualora, alla fine dell’esercizio, la somma algebrica delle quote assegnate/acquistate in eccesso in anni precedenti e riportate a nuovo, più le quote assegnate gratuitamente nell’anno, più/meno le quote acquistate/vendute sul mercato nell’anno stesso, risulti superiore al quantitativo di quote necessario per l’adempimento dell’obbligo di legge, e tale surplus si riferisce a quote acquistate in eccesso sul mercato, è rilevato un risconto attivo in misura pari ai costi da rettificare, in quanto di competenza dell’esercizio successivo?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CC242B" w:rsidTr="000D7E0A">
        <w:trPr>
          <w:cantSplit/>
          <w:trHeight w:val="20"/>
        </w:trPr>
        <w:tc>
          <w:tcPr>
            <w:tcW w:w="680" w:type="dxa"/>
          </w:tcPr>
          <w:p w:rsidR="00613ED3" w:rsidRPr="00613ED3" w:rsidRDefault="00613ED3" w:rsidP="00613ED3">
            <w:pPr>
              <w:jc w:val="center"/>
              <w:rPr>
                <w:b/>
                <w:lang w:val="it-IT"/>
              </w:rPr>
            </w:pPr>
            <w:r w:rsidRPr="00613ED3">
              <w:rPr>
                <w:b/>
                <w:lang w:val="it-IT"/>
              </w:rPr>
              <w:t>8)</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spacing w:line="230" w:lineRule="exact"/>
              <w:rPr>
                <w:lang w:val="it-IT"/>
              </w:rPr>
            </w:pPr>
            <w:r w:rsidRPr="00613ED3">
              <w:rPr>
                <w:lang w:val="it-IT"/>
              </w:rPr>
              <w:t>Nel conto economico sono stati classificati gli oneri e i proventi derivanti dalle quote di emissione:</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8.35</w:t>
            </w:r>
          </w:p>
        </w:tc>
        <w:tc>
          <w:tcPr>
            <w:tcW w:w="7060" w:type="dxa"/>
            <w:tcMar>
              <w:left w:w="108" w:type="dxa"/>
            </w:tcMar>
          </w:tcPr>
          <w:p w:rsidR="00613ED3" w:rsidRPr="00613ED3" w:rsidRDefault="00613ED3" w:rsidP="00613ED3">
            <w:pPr>
              <w:overflowPunct/>
              <w:autoSpaceDE/>
              <w:autoSpaceDN/>
              <w:adjustRightInd/>
              <w:spacing w:line="230" w:lineRule="exact"/>
              <w:ind w:left="392" w:hanging="360"/>
              <w:textAlignment w:val="auto"/>
              <w:rPr>
                <w:lang w:val="it-IT"/>
              </w:rPr>
            </w:pPr>
            <w:r w:rsidRPr="00613ED3">
              <w:rPr>
                <w:lang w:val="it-IT"/>
              </w:rPr>
              <w:t xml:space="preserve">a) </w:t>
            </w:r>
            <w:r w:rsidRPr="00613ED3">
              <w:rPr>
                <w:lang w:val="it-IT"/>
              </w:rPr>
              <w:tab/>
              <w:t xml:space="preserve">nella voce B.14) “Oneri diversi di gestione” i costi relativi alle quote di emissione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8.36</w:t>
            </w:r>
          </w:p>
        </w:tc>
        <w:tc>
          <w:tcPr>
            <w:tcW w:w="7060" w:type="dxa"/>
            <w:tcMar>
              <w:left w:w="108" w:type="dxa"/>
            </w:tcMar>
          </w:tcPr>
          <w:p w:rsidR="00613ED3" w:rsidRPr="00613ED3" w:rsidRDefault="00613ED3" w:rsidP="00613ED3">
            <w:pPr>
              <w:overflowPunct/>
              <w:autoSpaceDE/>
              <w:autoSpaceDN/>
              <w:adjustRightInd/>
              <w:spacing w:line="230" w:lineRule="exact"/>
              <w:ind w:left="392" w:hanging="360"/>
              <w:textAlignment w:val="auto"/>
              <w:rPr>
                <w:lang w:val="it-IT"/>
              </w:rPr>
            </w:pPr>
            <w:r w:rsidRPr="00613ED3">
              <w:rPr>
                <w:lang w:val="it-IT"/>
              </w:rPr>
              <w:t xml:space="preserve">b) </w:t>
            </w:r>
            <w:r w:rsidRPr="00613ED3">
              <w:rPr>
                <w:lang w:val="it-IT"/>
              </w:rPr>
              <w:tab/>
              <w:t xml:space="preserve">nella voce A.5) “Altri ricavi e proventi” i ricavi relativi alle quote di emissione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8.37</w:t>
            </w:r>
          </w:p>
        </w:tc>
        <w:tc>
          <w:tcPr>
            <w:tcW w:w="7060" w:type="dxa"/>
            <w:tcMar>
              <w:left w:w="108" w:type="dxa"/>
            </w:tcMar>
          </w:tcPr>
          <w:p w:rsidR="00613ED3" w:rsidRPr="00613ED3" w:rsidRDefault="00613ED3" w:rsidP="00613ED3">
            <w:pPr>
              <w:overflowPunct/>
              <w:autoSpaceDE/>
              <w:autoSpaceDN/>
              <w:adjustRightInd/>
              <w:spacing w:line="230" w:lineRule="exact"/>
              <w:ind w:left="392" w:hanging="360"/>
              <w:textAlignment w:val="auto"/>
              <w:rPr>
                <w:lang w:val="it-IT"/>
              </w:rPr>
            </w:pPr>
            <w:r w:rsidRPr="00613ED3">
              <w:rPr>
                <w:lang w:val="it-IT"/>
              </w:rPr>
              <w:t xml:space="preserve">c) </w:t>
            </w:r>
            <w:r w:rsidRPr="00613ED3">
              <w:rPr>
                <w:lang w:val="it-IT"/>
              </w:rPr>
              <w:tab/>
              <w:t xml:space="preserve">nella voce B.14) “Oneri diversi di gestione” le sopravvenienze passive derivanti dall’acquisto o dalla vendita delle quote di emissione successivamente alla chiusura dell’esercizio, pari alla differenza tra il valore della passività iscritta in bilancio nell’esercizio di competenza e il valore di acquisto sul mercato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8.38</w:t>
            </w:r>
          </w:p>
        </w:tc>
        <w:tc>
          <w:tcPr>
            <w:tcW w:w="7060" w:type="dxa"/>
            <w:tcMar>
              <w:left w:w="108" w:type="dxa"/>
            </w:tcMar>
          </w:tcPr>
          <w:p w:rsidR="00613ED3" w:rsidRPr="00613ED3" w:rsidRDefault="00613ED3" w:rsidP="00613ED3">
            <w:pPr>
              <w:overflowPunct/>
              <w:autoSpaceDE/>
              <w:autoSpaceDN/>
              <w:adjustRightInd/>
              <w:spacing w:line="230" w:lineRule="exact"/>
              <w:ind w:left="392" w:hanging="360"/>
              <w:textAlignment w:val="auto"/>
              <w:rPr>
                <w:lang w:val="it-IT"/>
              </w:rPr>
            </w:pPr>
            <w:r w:rsidRPr="00613ED3">
              <w:rPr>
                <w:lang w:val="it-IT"/>
              </w:rPr>
              <w:t xml:space="preserve">d) </w:t>
            </w:r>
            <w:r w:rsidRPr="00613ED3">
              <w:rPr>
                <w:lang w:val="it-IT"/>
              </w:rPr>
              <w:tab/>
              <w:t xml:space="preserve">nella voce A.5) “Altri ricavi e proventi” le sopravvenienze attive derivanti dall’acquisto o dalla vendita delle quote di emissione successivamente alla chiusura dell’esercizio, pari alla differenza tra il valore della passività iscritta in bilancio nell’esercizio di competenza e il valore di acquisto sul mercato?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vAlign w:val="center"/>
          </w:tcPr>
          <w:p w:rsidR="00613ED3" w:rsidRPr="00613ED3" w:rsidRDefault="00613ED3" w:rsidP="00613ED3">
            <w:pPr>
              <w:keepNext/>
              <w:overflowPunct/>
              <w:autoSpaceDE/>
              <w:autoSpaceDN/>
              <w:adjustRightInd/>
              <w:spacing w:line="240" w:lineRule="exact"/>
              <w:jc w:val="left"/>
              <w:textAlignment w:val="auto"/>
              <w:outlineLvl w:val="1"/>
              <w:rPr>
                <w:b/>
                <w:sz w:val="22"/>
              </w:rPr>
            </w:pPr>
            <w:r w:rsidRPr="00613ED3">
              <w:rPr>
                <w:b/>
                <w:sz w:val="22"/>
              </w:rPr>
              <w:t>Società trader</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CC242B"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613ED3">
              <w:rPr>
                <w:sz w:val="16"/>
                <w:szCs w:val="16"/>
                <w:lang w:val="it-IT"/>
              </w:rPr>
              <w:t>Per le società trader, che non svolgono attività industriali in relazioni alla quali è riconosciuto il rilascio oppure sorge l’obbligo di consegna di quote di emissione, le operazioni di compravendita delle quote di emissione rientrano nella loro attività tipica.</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CC242B" w:rsidTr="000D7E0A">
        <w:trPr>
          <w:cantSplit/>
          <w:trHeight w:val="20"/>
        </w:trPr>
        <w:tc>
          <w:tcPr>
            <w:tcW w:w="680" w:type="dxa"/>
          </w:tcPr>
          <w:p w:rsidR="00613ED3" w:rsidRPr="00613ED3" w:rsidRDefault="00613ED3" w:rsidP="00613ED3">
            <w:pPr>
              <w:jc w:val="center"/>
              <w:rPr>
                <w:b/>
                <w:lang w:val="it-IT"/>
              </w:rPr>
            </w:pPr>
            <w:r w:rsidRPr="00613ED3">
              <w:rPr>
                <w:b/>
                <w:lang w:val="it-IT"/>
              </w:rPr>
              <w:t>9)</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spacing w:line="230" w:lineRule="exact"/>
              <w:rPr>
                <w:lang w:val="it-IT"/>
              </w:rPr>
            </w:pPr>
            <w:r w:rsidRPr="00613ED3">
              <w:rPr>
                <w:lang w:val="it-IT"/>
              </w:rPr>
              <w:t>Nello stato patrimoniale sono stati classificati:</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613ED3" w:rsidTr="000D7E0A">
        <w:trPr>
          <w:cantSplit/>
          <w:trHeight w:val="20"/>
        </w:trPr>
        <w:tc>
          <w:tcPr>
            <w:tcW w:w="680" w:type="dxa"/>
          </w:tcPr>
          <w:p w:rsidR="00613ED3" w:rsidRPr="00613ED3" w:rsidRDefault="00613ED3" w:rsidP="00613ED3">
            <w:pPr>
              <w:jc w:val="center"/>
              <w:rPr>
                <w:b/>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en-US"/>
              </w:rPr>
              <w:t>OIC 8.55</w:t>
            </w:r>
          </w:p>
        </w:tc>
        <w:tc>
          <w:tcPr>
            <w:tcW w:w="7060" w:type="dxa"/>
            <w:tcMar>
              <w:left w:w="108" w:type="dxa"/>
            </w:tcMar>
          </w:tcPr>
          <w:p w:rsidR="00613ED3" w:rsidRPr="00613ED3" w:rsidRDefault="00613ED3" w:rsidP="00613ED3">
            <w:pPr>
              <w:overflowPunct/>
              <w:autoSpaceDE/>
              <w:autoSpaceDN/>
              <w:adjustRightInd/>
              <w:spacing w:line="230" w:lineRule="exact"/>
              <w:ind w:left="392" w:hanging="360"/>
              <w:textAlignment w:val="auto"/>
              <w:rPr>
                <w:lang w:val="it-IT"/>
              </w:rPr>
            </w:pPr>
            <w:r w:rsidRPr="00613ED3">
              <w:rPr>
                <w:lang w:val="it-IT"/>
              </w:rPr>
              <w:t xml:space="preserve">a) </w:t>
            </w:r>
            <w:r w:rsidRPr="00613ED3">
              <w:rPr>
                <w:lang w:val="it-IT"/>
              </w:rPr>
              <w:tab/>
              <w:t xml:space="preserve">nella voce C.II.1) “Crediti verso clienti” i crediti derivanti dalla vendita delle quote di emissione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en-US"/>
              </w:rPr>
              <w:t>OIC 8.56</w:t>
            </w:r>
          </w:p>
        </w:tc>
        <w:tc>
          <w:tcPr>
            <w:tcW w:w="7060" w:type="dxa"/>
            <w:tcMar>
              <w:left w:w="108" w:type="dxa"/>
            </w:tcMar>
          </w:tcPr>
          <w:p w:rsidR="00613ED3" w:rsidRPr="00613ED3" w:rsidRDefault="00613ED3" w:rsidP="00613ED3">
            <w:pPr>
              <w:overflowPunct/>
              <w:autoSpaceDE/>
              <w:autoSpaceDN/>
              <w:adjustRightInd/>
              <w:spacing w:line="230" w:lineRule="exact"/>
              <w:ind w:left="392" w:hanging="360"/>
              <w:textAlignment w:val="auto"/>
              <w:rPr>
                <w:lang w:val="it-IT"/>
              </w:rPr>
            </w:pPr>
            <w:r w:rsidRPr="00613ED3">
              <w:rPr>
                <w:lang w:val="it-IT"/>
              </w:rPr>
              <w:t xml:space="preserve">b) </w:t>
            </w:r>
            <w:r w:rsidRPr="00613ED3">
              <w:rPr>
                <w:lang w:val="it-IT"/>
              </w:rPr>
              <w:tab/>
              <w:t xml:space="preserve">nella voce C.I.4) “Rimanenze di prodotti finiti e merci” le quote di emissione che alla fine dell’esercizio risultano ancora in magazzino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en-US"/>
              </w:rPr>
              <w:t>OIC 8.54</w:t>
            </w:r>
          </w:p>
        </w:tc>
        <w:tc>
          <w:tcPr>
            <w:tcW w:w="7060" w:type="dxa"/>
            <w:tcMar>
              <w:left w:w="108" w:type="dxa"/>
            </w:tcMar>
          </w:tcPr>
          <w:p w:rsidR="00613ED3" w:rsidRPr="00613ED3" w:rsidRDefault="00613ED3" w:rsidP="00613ED3">
            <w:pPr>
              <w:overflowPunct/>
              <w:autoSpaceDE/>
              <w:autoSpaceDN/>
              <w:adjustRightInd/>
              <w:spacing w:line="230" w:lineRule="exact"/>
              <w:ind w:left="392" w:hanging="360"/>
              <w:textAlignment w:val="auto"/>
              <w:rPr>
                <w:lang w:val="it-IT"/>
              </w:rPr>
            </w:pPr>
            <w:r w:rsidRPr="00613ED3">
              <w:rPr>
                <w:lang w:val="it-IT"/>
              </w:rPr>
              <w:t xml:space="preserve">c) </w:t>
            </w:r>
            <w:r w:rsidRPr="00613ED3">
              <w:rPr>
                <w:lang w:val="it-IT"/>
              </w:rPr>
              <w:tab/>
              <w:t>nella voce D.7) “Debiti verso fornitori” i debiti derivanti dall’acquisto delle quote di emissione?</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10)</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8.58</w:t>
            </w:r>
          </w:p>
        </w:tc>
        <w:tc>
          <w:tcPr>
            <w:tcW w:w="7060" w:type="dxa"/>
            <w:tcMar>
              <w:left w:w="108" w:type="dxa"/>
            </w:tcMar>
          </w:tcPr>
          <w:p w:rsidR="00613ED3" w:rsidRPr="00613ED3" w:rsidRDefault="00613ED3" w:rsidP="00613ED3">
            <w:pPr>
              <w:spacing w:line="230" w:lineRule="exact"/>
              <w:rPr>
                <w:lang w:val="it-IT"/>
              </w:rPr>
            </w:pPr>
            <w:r w:rsidRPr="00613ED3">
              <w:rPr>
                <w:lang w:val="it-IT"/>
              </w:rPr>
              <w:t xml:space="preserve">Nella determinazione del costo di acquisto sono inclusi i costi accessori direttamente imputabili all’operazione di acquisto?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11)</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en-US"/>
              </w:rPr>
            </w:pPr>
            <w:r w:rsidRPr="00613ED3">
              <w:rPr>
                <w:sz w:val="13"/>
                <w:szCs w:val="13"/>
                <w:lang w:val="en-US"/>
              </w:rPr>
              <w:t>Art. 2426, c.1, n.8, CC</w:t>
            </w:r>
          </w:p>
          <w:p w:rsidR="00613ED3" w:rsidRPr="00613ED3" w:rsidRDefault="00613ED3" w:rsidP="00613ED3">
            <w:pPr>
              <w:spacing w:before="40" w:line="240" w:lineRule="auto"/>
              <w:ind w:right="28"/>
              <w:jc w:val="left"/>
              <w:rPr>
                <w:sz w:val="13"/>
                <w:szCs w:val="13"/>
              </w:rPr>
            </w:pPr>
            <w:r w:rsidRPr="00613ED3">
              <w:rPr>
                <w:sz w:val="13"/>
                <w:szCs w:val="13"/>
                <w:lang w:val="en-US"/>
              </w:rPr>
              <w:t>OIC 8.60</w:t>
            </w:r>
          </w:p>
        </w:tc>
        <w:tc>
          <w:tcPr>
            <w:tcW w:w="7060" w:type="dxa"/>
            <w:tcMar>
              <w:left w:w="108" w:type="dxa"/>
            </w:tcMar>
          </w:tcPr>
          <w:p w:rsidR="00613ED3" w:rsidRPr="00613ED3" w:rsidRDefault="00613ED3" w:rsidP="00613ED3">
            <w:pPr>
              <w:spacing w:line="230" w:lineRule="exact"/>
              <w:rPr>
                <w:lang w:val="it-IT"/>
              </w:rPr>
            </w:pPr>
            <w:r w:rsidRPr="00613ED3">
              <w:rPr>
                <w:lang w:val="it-IT"/>
              </w:rPr>
              <w:t>I crediti derivanti dalla vendita delle quote di emissione sono iscritti in accordo con le prescizioni dell’OIC 15 (Nota: il testo del par. 60 dell’OIC 8, che deve ancora essere rivisto, prevede “</w:t>
            </w:r>
            <w:r w:rsidRPr="00613ED3">
              <w:rPr>
                <w:i/>
                <w:lang w:val="it-IT"/>
              </w:rPr>
              <w:t>secondo il valore presumibile di realizzazione come previsto dall’OIC 15</w:t>
            </w:r>
            <w:r w:rsidRPr="00613ED3">
              <w:rPr>
                <w:lang w:val="it-IT"/>
              </w:rPr>
              <w:t>”, wording che è da ritenersi superato)?</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12)</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8.59</w:t>
            </w:r>
          </w:p>
        </w:tc>
        <w:tc>
          <w:tcPr>
            <w:tcW w:w="7060" w:type="dxa"/>
            <w:tcMar>
              <w:left w:w="108" w:type="dxa"/>
            </w:tcMar>
          </w:tcPr>
          <w:p w:rsidR="00613ED3" w:rsidRPr="00613ED3" w:rsidRDefault="00613ED3" w:rsidP="00613ED3">
            <w:pPr>
              <w:spacing w:line="230" w:lineRule="exact"/>
              <w:rPr>
                <w:lang w:val="it-IT"/>
              </w:rPr>
            </w:pPr>
            <w:r w:rsidRPr="00613ED3">
              <w:rPr>
                <w:lang w:val="it-IT"/>
              </w:rPr>
              <w:t>I debiti derivanti dall’acquisto di quote di emissione sono iscritti in accordo con le prescrizioni dell’OIC 19 (Nota: il testo del par. 59 dell’OIC 8, che deve ancora essere rivisto, prevede “</w:t>
            </w:r>
            <w:r w:rsidRPr="00613ED3">
              <w:rPr>
                <w:i/>
                <w:lang w:val="it-IT"/>
              </w:rPr>
              <w:t>secondo il valore di estinzione come previsto dall’OIC 19</w:t>
            </w:r>
            <w:r w:rsidRPr="00613ED3">
              <w:rPr>
                <w:lang w:val="it-IT"/>
              </w:rPr>
              <w:t>”, wording che è da ritenersi superato)?</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13)</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en-US"/>
              </w:rPr>
            </w:pPr>
            <w:r w:rsidRPr="00613ED3">
              <w:rPr>
                <w:sz w:val="13"/>
                <w:szCs w:val="13"/>
                <w:lang w:val="en-US"/>
              </w:rPr>
              <w:t>Art. 2426, c.1, n. 9, CC     OIC 8.61</w:t>
            </w:r>
          </w:p>
        </w:tc>
        <w:tc>
          <w:tcPr>
            <w:tcW w:w="7060" w:type="dxa"/>
            <w:tcMar>
              <w:left w:w="108" w:type="dxa"/>
            </w:tcMar>
          </w:tcPr>
          <w:p w:rsidR="00613ED3" w:rsidRPr="00613ED3" w:rsidRDefault="00613ED3" w:rsidP="00613ED3">
            <w:pPr>
              <w:spacing w:line="230" w:lineRule="exact"/>
              <w:rPr>
                <w:lang w:val="it-IT"/>
              </w:rPr>
            </w:pPr>
            <w:r w:rsidRPr="00613ED3">
              <w:rPr>
                <w:lang w:val="it-IT"/>
              </w:rPr>
              <w:t xml:space="preserve">Le rimanenze di quote di emissione sono iscritte al minore tra il costo e il valore di realizzazione desumibile dall’andamento del mercato?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14)</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8.61</w:t>
            </w:r>
          </w:p>
        </w:tc>
        <w:tc>
          <w:tcPr>
            <w:tcW w:w="7060" w:type="dxa"/>
            <w:tcMar>
              <w:left w:w="108" w:type="dxa"/>
            </w:tcMar>
          </w:tcPr>
          <w:p w:rsidR="00613ED3" w:rsidRPr="00613ED3" w:rsidRDefault="00613ED3" w:rsidP="00613ED3">
            <w:pPr>
              <w:spacing w:line="230" w:lineRule="exact"/>
              <w:rPr>
                <w:lang w:val="it-IT"/>
              </w:rPr>
            </w:pPr>
            <w:r w:rsidRPr="00613ED3">
              <w:rPr>
                <w:lang w:val="it-IT"/>
              </w:rPr>
              <w:t xml:space="preserve">Nel caso siano venuti meno i motivi di una precedente svalutazione al minor valore di realizzazione, è effettuato il ripristino al valore originario?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15)</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8.62</w:t>
            </w:r>
          </w:p>
        </w:tc>
        <w:tc>
          <w:tcPr>
            <w:tcW w:w="7060" w:type="dxa"/>
            <w:tcMar>
              <w:left w:w="108" w:type="dxa"/>
            </w:tcMar>
          </w:tcPr>
          <w:p w:rsidR="00613ED3" w:rsidRPr="00613ED3" w:rsidRDefault="00613ED3" w:rsidP="00613ED3">
            <w:pPr>
              <w:spacing w:line="230" w:lineRule="exact"/>
              <w:rPr>
                <w:lang w:val="it-IT"/>
              </w:rPr>
            </w:pPr>
            <w:r w:rsidRPr="00613ED3">
              <w:rPr>
                <w:lang w:val="it-IT"/>
              </w:rPr>
              <w:t xml:space="preserve">Nel caso in cui le quote di emissione in magazzino sono tenute a fronte di vendite concluse e il prezzo pattuito è pari o superiore al loro costo le rimanenze non sono svalutate?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CC242B" w:rsidTr="000D7E0A">
        <w:trPr>
          <w:cantSplit/>
          <w:trHeight w:val="20"/>
        </w:trPr>
        <w:tc>
          <w:tcPr>
            <w:tcW w:w="680" w:type="dxa"/>
          </w:tcPr>
          <w:p w:rsidR="00613ED3" w:rsidRPr="00613ED3" w:rsidRDefault="00613ED3" w:rsidP="00613ED3">
            <w:pPr>
              <w:jc w:val="center"/>
              <w:rPr>
                <w:b/>
                <w:lang w:val="it-IT"/>
              </w:rPr>
            </w:pPr>
            <w:r w:rsidRPr="00613ED3">
              <w:rPr>
                <w:b/>
                <w:lang w:val="it-IT"/>
              </w:rPr>
              <w:t>16)</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en-US"/>
              </w:rPr>
            </w:pPr>
            <w:r w:rsidRPr="00613ED3">
              <w:rPr>
                <w:sz w:val="13"/>
                <w:szCs w:val="13"/>
                <w:lang w:val="en-US"/>
              </w:rPr>
              <w:t>Art. 2426, c.1, n.10, CC    OIC 8.63    OIC 8.65</w:t>
            </w:r>
          </w:p>
        </w:tc>
        <w:tc>
          <w:tcPr>
            <w:tcW w:w="7060" w:type="dxa"/>
            <w:tcMar>
              <w:left w:w="108" w:type="dxa"/>
            </w:tcMar>
          </w:tcPr>
          <w:p w:rsidR="00613ED3" w:rsidRPr="00613ED3" w:rsidRDefault="00613ED3" w:rsidP="00613ED3">
            <w:pPr>
              <w:spacing w:line="230" w:lineRule="exact"/>
              <w:rPr>
                <w:lang w:val="it-IT"/>
              </w:rPr>
            </w:pPr>
            <w:r w:rsidRPr="00613ED3">
              <w:rPr>
                <w:lang w:val="it-IT"/>
              </w:rPr>
              <w:t>Il costo delle rimanenze di quote di emissione viene calcolato con uno dei seguenti metodi alternativi:</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8C675D" w:rsidP="008C675D">
            <w:pPr>
              <w:overflowPunct/>
              <w:autoSpaceDE/>
              <w:autoSpaceDN/>
              <w:adjustRightInd/>
              <w:spacing w:line="230" w:lineRule="exact"/>
              <w:ind w:left="460" w:hanging="425"/>
              <w:textAlignment w:val="auto"/>
              <w:rPr>
                <w:lang w:val="it-IT"/>
              </w:rPr>
            </w:pPr>
            <w:r>
              <w:rPr>
                <w:lang w:val="it-IT"/>
              </w:rPr>
              <w:t>a)</w:t>
            </w:r>
            <w:r>
              <w:rPr>
                <w:lang w:val="it-IT"/>
              </w:rPr>
              <w:tab/>
            </w:r>
            <w:r w:rsidR="00613ED3" w:rsidRPr="00613ED3">
              <w:rPr>
                <w:lang w:val="it-IT"/>
              </w:rPr>
              <w:t xml:space="preserve">costo specifico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CC242B"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613ED3">
              <w:rPr>
                <w:sz w:val="16"/>
                <w:szCs w:val="16"/>
                <w:lang w:val="it-IT"/>
              </w:rPr>
              <w:t>Il costo specifico viene considerata dall’OIC 8 la configurazione di costo tecnicamente più corretta.</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8C675D" w:rsidP="008C675D">
            <w:pPr>
              <w:overflowPunct/>
              <w:autoSpaceDE/>
              <w:autoSpaceDN/>
              <w:adjustRightInd/>
              <w:spacing w:line="230" w:lineRule="exact"/>
              <w:ind w:left="460" w:hanging="425"/>
              <w:textAlignment w:val="auto"/>
              <w:rPr>
                <w:lang w:val="it-IT"/>
              </w:rPr>
            </w:pPr>
            <w:r>
              <w:rPr>
                <w:lang w:val="it-IT"/>
              </w:rPr>
              <w:t>b)</w:t>
            </w:r>
            <w:r>
              <w:rPr>
                <w:lang w:val="it-IT"/>
              </w:rPr>
              <w:tab/>
            </w:r>
            <w:r w:rsidR="00613ED3" w:rsidRPr="00613ED3">
              <w:rPr>
                <w:lang w:val="it-IT"/>
              </w:rPr>
              <w:t>media ponderata</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8C675D" w:rsidP="008C675D">
            <w:pPr>
              <w:overflowPunct/>
              <w:autoSpaceDE/>
              <w:autoSpaceDN/>
              <w:adjustRightInd/>
              <w:spacing w:line="230" w:lineRule="exact"/>
              <w:ind w:left="460" w:hanging="425"/>
              <w:textAlignment w:val="auto"/>
              <w:rPr>
                <w:lang w:val="it-IT"/>
              </w:rPr>
            </w:pPr>
            <w:r>
              <w:rPr>
                <w:lang w:val="it-IT"/>
              </w:rPr>
              <w:t>c)</w:t>
            </w:r>
            <w:r>
              <w:rPr>
                <w:lang w:val="it-IT"/>
              </w:rPr>
              <w:tab/>
            </w:r>
            <w:r w:rsidR="00613ED3" w:rsidRPr="00613ED3">
              <w:rPr>
                <w:lang w:val="it-IT"/>
              </w:rPr>
              <w:t>primo entrato, primo uscito (FIFO)</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8C675D" w:rsidP="008C675D">
            <w:pPr>
              <w:overflowPunct/>
              <w:autoSpaceDE/>
              <w:autoSpaceDN/>
              <w:adjustRightInd/>
              <w:spacing w:line="230" w:lineRule="exact"/>
              <w:ind w:left="460" w:hanging="425"/>
              <w:textAlignment w:val="auto"/>
              <w:rPr>
                <w:lang w:val="it-IT"/>
              </w:rPr>
            </w:pPr>
            <w:r>
              <w:rPr>
                <w:lang w:val="it-IT"/>
              </w:rPr>
              <w:t>d)</w:t>
            </w:r>
            <w:r>
              <w:rPr>
                <w:lang w:val="it-IT"/>
              </w:rPr>
              <w:tab/>
            </w:r>
            <w:r w:rsidR="00613ED3" w:rsidRPr="00613ED3">
              <w:rPr>
                <w:lang w:val="it-IT"/>
              </w:rPr>
              <w:t>ultimo entrato, ultimo uscito (LIFO)?</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CC242B" w:rsidTr="000D7E0A">
        <w:trPr>
          <w:cantSplit/>
          <w:trHeight w:val="20"/>
        </w:trPr>
        <w:tc>
          <w:tcPr>
            <w:tcW w:w="680" w:type="dxa"/>
          </w:tcPr>
          <w:p w:rsidR="00613ED3" w:rsidRPr="00613ED3" w:rsidRDefault="00613ED3" w:rsidP="00613ED3">
            <w:pPr>
              <w:jc w:val="center"/>
              <w:rPr>
                <w:b/>
                <w:lang w:val="it-IT"/>
              </w:rPr>
            </w:pPr>
            <w:r w:rsidRPr="00613ED3">
              <w:rPr>
                <w:b/>
                <w:lang w:val="it-IT"/>
              </w:rPr>
              <w:t>17)</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spacing w:line="230" w:lineRule="exact"/>
              <w:rPr>
                <w:lang w:val="it-IT"/>
              </w:rPr>
            </w:pPr>
            <w:r w:rsidRPr="00613ED3">
              <w:rPr>
                <w:lang w:val="it-IT"/>
              </w:rPr>
              <w:t>Nel conto economico sono stati classificati gli oneri e i proventi derivanti dalle quote di emissione:</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613ED3" w:rsidTr="000D7E0A">
        <w:trPr>
          <w:cantSplit/>
          <w:trHeight w:val="20"/>
        </w:trPr>
        <w:tc>
          <w:tcPr>
            <w:tcW w:w="680" w:type="dxa"/>
          </w:tcPr>
          <w:p w:rsidR="00613ED3" w:rsidRPr="00613ED3" w:rsidRDefault="00613ED3" w:rsidP="00613ED3">
            <w:pPr>
              <w:jc w:val="center"/>
              <w:rPr>
                <w:b/>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8.52</w:t>
            </w:r>
          </w:p>
        </w:tc>
        <w:tc>
          <w:tcPr>
            <w:tcW w:w="7060" w:type="dxa"/>
            <w:tcMar>
              <w:left w:w="108" w:type="dxa"/>
            </w:tcMar>
          </w:tcPr>
          <w:p w:rsidR="00613ED3" w:rsidRPr="00613ED3" w:rsidRDefault="00613ED3" w:rsidP="004E27C2">
            <w:pPr>
              <w:numPr>
                <w:ilvl w:val="0"/>
                <w:numId w:val="89"/>
              </w:numPr>
              <w:spacing w:line="230" w:lineRule="exact"/>
              <w:ind w:left="351" w:hanging="351"/>
              <w:rPr>
                <w:lang w:val="it-IT"/>
              </w:rPr>
            </w:pPr>
            <w:r w:rsidRPr="00613ED3">
              <w:rPr>
                <w:lang w:val="it-IT"/>
              </w:rPr>
              <w:t xml:space="preserve">nella voce B.6) “Costi della produzione per materie prime, sussidiarie, di consumo e merci” i costi sostenuti per l’acquisto delle quote di emissione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8.53</w:t>
            </w:r>
          </w:p>
        </w:tc>
        <w:tc>
          <w:tcPr>
            <w:tcW w:w="7060" w:type="dxa"/>
            <w:tcMar>
              <w:left w:w="108" w:type="dxa"/>
            </w:tcMar>
          </w:tcPr>
          <w:p w:rsidR="00613ED3" w:rsidRPr="00613ED3" w:rsidRDefault="00613ED3" w:rsidP="004E27C2">
            <w:pPr>
              <w:numPr>
                <w:ilvl w:val="0"/>
                <w:numId w:val="89"/>
              </w:numPr>
              <w:spacing w:line="230" w:lineRule="exact"/>
              <w:ind w:left="351" w:hanging="351"/>
              <w:rPr>
                <w:lang w:val="it-IT"/>
              </w:rPr>
            </w:pPr>
            <w:r w:rsidRPr="00613ED3">
              <w:rPr>
                <w:lang w:val="it-IT"/>
              </w:rPr>
              <w:t xml:space="preserve">nella voce A.1) “Ricavi delle vendite e delle prestazioni” i ricavi derivanti dalla vendita delle quote di emissione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8.57</w:t>
            </w:r>
          </w:p>
        </w:tc>
        <w:tc>
          <w:tcPr>
            <w:tcW w:w="7060" w:type="dxa"/>
            <w:tcMar>
              <w:left w:w="108" w:type="dxa"/>
            </w:tcMar>
          </w:tcPr>
          <w:p w:rsidR="00613ED3" w:rsidRPr="00613ED3" w:rsidRDefault="00613ED3" w:rsidP="004E27C2">
            <w:pPr>
              <w:numPr>
                <w:ilvl w:val="0"/>
                <w:numId w:val="89"/>
              </w:numPr>
              <w:spacing w:line="230" w:lineRule="exact"/>
              <w:ind w:left="351" w:hanging="351"/>
              <w:rPr>
                <w:lang w:val="it-IT"/>
              </w:rPr>
            </w:pPr>
            <w:r w:rsidRPr="00613ED3">
              <w:rPr>
                <w:lang w:val="it-IT"/>
              </w:rPr>
              <w:t xml:space="preserve">nella voce B.11) “Variazioni delle rimanenze di materie prime, sussidiarie, di consumo e merci” le variazioni dell’esercizio delle rimanenze di magazzino delle quote di emissione?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vAlign w:val="center"/>
          </w:tcPr>
          <w:p w:rsidR="00613ED3" w:rsidRPr="00613ED3" w:rsidRDefault="00613ED3" w:rsidP="00613ED3">
            <w:pPr>
              <w:keepNext/>
              <w:overflowPunct/>
              <w:autoSpaceDE/>
              <w:autoSpaceDN/>
              <w:adjustRightInd/>
              <w:spacing w:line="240" w:lineRule="exact"/>
              <w:jc w:val="left"/>
              <w:textAlignment w:val="auto"/>
              <w:outlineLvl w:val="1"/>
              <w:rPr>
                <w:b/>
                <w:sz w:val="22"/>
              </w:rPr>
            </w:pPr>
            <w:r w:rsidRPr="00613ED3">
              <w:rPr>
                <w:b/>
                <w:sz w:val="22"/>
              </w:rPr>
              <w:t>Nota Integrativa</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CC242B" w:rsidTr="000D7E0A">
        <w:trPr>
          <w:cantSplit/>
          <w:trHeight w:val="20"/>
        </w:trPr>
        <w:tc>
          <w:tcPr>
            <w:tcW w:w="680" w:type="dxa"/>
          </w:tcPr>
          <w:p w:rsidR="00613ED3" w:rsidRPr="00613ED3" w:rsidRDefault="00613ED3" w:rsidP="00613ED3">
            <w:pPr>
              <w:jc w:val="center"/>
              <w:rPr>
                <w:b/>
                <w:lang w:val="it-IT"/>
              </w:rPr>
            </w:pPr>
            <w:r w:rsidRPr="00613ED3">
              <w:rPr>
                <w:b/>
                <w:lang w:val="it-IT"/>
              </w:rPr>
              <w:t>18)</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spacing w:line="230" w:lineRule="exact"/>
              <w:rPr>
                <w:lang w:val="it-IT"/>
              </w:rPr>
            </w:pPr>
            <w:r w:rsidRPr="00613ED3">
              <w:rPr>
                <w:lang w:val="it-IT"/>
              </w:rPr>
              <w:t>La Nota Integrativa include le seguenti informazioni:</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Art. 2426, CC  OIC 8.68</w:t>
            </w:r>
          </w:p>
        </w:tc>
        <w:tc>
          <w:tcPr>
            <w:tcW w:w="7060" w:type="dxa"/>
            <w:tcMar>
              <w:left w:w="108" w:type="dxa"/>
            </w:tcMar>
          </w:tcPr>
          <w:p w:rsidR="00613ED3" w:rsidRPr="00613ED3" w:rsidRDefault="00613ED3" w:rsidP="004E27C2">
            <w:pPr>
              <w:numPr>
                <w:ilvl w:val="0"/>
                <w:numId w:val="91"/>
              </w:numPr>
              <w:overflowPunct/>
              <w:autoSpaceDE/>
              <w:autoSpaceDN/>
              <w:adjustRightInd/>
              <w:spacing w:line="230" w:lineRule="exact"/>
              <w:textAlignment w:val="auto"/>
              <w:rPr>
                <w:lang w:val="it-IT"/>
              </w:rPr>
            </w:pPr>
            <w:r w:rsidRPr="00613ED3">
              <w:rPr>
                <w:lang w:val="it-IT"/>
              </w:rPr>
              <w:t xml:space="preserve">la differenza, se significativa, fra il valore a prezzi correnti ed il costo delle quote di emissione iscritto nel bilancio d’esercizio, calcolato utilizzando il criterio della media ponderata, del LIFO o del FIFO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en-US"/>
              </w:rPr>
            </w:pPr>
            <w:r w:rsidRPr="00613ED3">
              <w:rPr>
                <w:sz w:val="13"/>
                <w:szCs w:val="13"/>
                <w:lang w:val="en-US"/>
              </w:rPr>
              <w:t>Art. 2427, c. 1, n.1, CC</w:t>
            </w:r>
          </w:p>
          <w:p w:rsidR="00613ED3" w:rsidRPr="00613ED3" w:rsidRDefault="00613ED3" w:rsidP="00613ED3">
            <w:pPr>
              <w:spacing w:before="40" w:line="240" w:lineRule="auto"/>
              <w:ind w:right="28"/>
              <w:jc w:val="left"/>
              <w:rPr>
                <w:sz w:val="13"/>
                <w:szCs w:val="13"/>
              </w:rPr>
            </w:pPr>
            <w:r w:rsidRPr="00613ED3">
              <w:rPr>
                <w:sz w:val="13"/>
                <w:szCs w:val="13"/>
                <w:lang w:val="en-US"/>
              </w:rPr>
              <w:t>OIC 8.69</w:t>
            </w:r>
          </w:p>
        </w:tc>
        <w:tc>
          <w:tcPr>
            <w:tcW w:w="7060" w:type="dxa"/>
            <w:tcMar>
              <w:left w:w="108" w:type="dxa"/>
            </w:tcMar>
          </w:tcPr>
          <w:p w:rsidR="00613ED3" w:rsidRPr="00613ED3" w:rsidRDefault="00613ED3" w:rsidP="004E27C2">
            <w:pPr>
              <w:numPr>
                <w:ilvl w:val="0"/>
                <w:numId w:val="91"/>
              </w:numPr>
              <w:overflowPunct/>
              <w:autoSpaceDE/>
              <w:autoSpaceDN/>
              <w:adjustRightInd/>
              <w:spacing w:line="230" w:lineRule="exact"/>
              <w:textAlignment w:val="auto"/>
              <w:rPr>
                <w:lang w:val="it-IT"/>
              </w:rPr>
            </w:pPr>
            <w:r w:rsidRPr="00613ED3">
              <w:rPr>
                <w:lang w:val="it-IT"/>
              </w:rPr>
              <w:t xml:space="preserve">i criteri applicati nelle valutazioni, nelle rettifiche di valore e nella conversione dei valori non espressi all'origine in euro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en-US"/>
              </w:rPr>
            </w:pPr>
            <w:r w:rsidRPr="00613ED3">
              <w:rPr>
                <w:sz w:val="13"/>
                <w:szCs w:val="13"/>
                <w:lang w:val="en-US"/>
              </w:rPr>
              <w:t>Art. 2427, c. 1, n.4, CC</w:t>
            </w:r>
          </w:p>
          <w:p w:rsidR="00613ED3" w:rsidRPr="00613ED3" w:rsidRDefault="00613ED3" w:rsidP="00613ED3">
            <w:pPr>
              <w:spacing w:before="40" w:line="240" w:lineRule="auto"/>
              <w:ind w:right="28"/>
              <w:jc w:val="left"/>
              <w:rPr>
                <w:sz w:val="13"/>
                <w:szCs w:val="13"/>
              </w:rPr>
            </w:pPr>
            <w:r w:rsidRPr="00613ED3">
              <w:rPr>
                <w:sz w:val="13"/>
                <w:szCs w:val="13"/>
                <w:lang w:val="en-US"/>
              </w:rPr>
              <w:t xml:space="preserve"> OIC 8.69</w:t>
            </w:r>
          </w:p>
        </w:tc>
        <w:tc>
          <w:tcPr>
            <w:tcW w:w="7060" w:type="dxa"/>
            <w:tcMar>
              <w:left w:w="108" w:type="dxa"/>
            </w:tcMar>
          </w:tcPr>
          <w:p w:rsidR="00613ED3" w:rsidRPr="00613ED3" w:rsidRDefault="00613ED3" w:rsidP="004E27C2">
            <w:pPr>
              <w:numPr>
                <w:ilvl w:val="0"/>
                <w:numId w:val="91"/>
              </w:numPr>
              <w:overflowPunct/>
              <w:autoSpaceDE/>
              <w:autoSpaceDN/>
              <w:adjustRightInd/>
              <w:spacing w:line="230" w:lineRule="exact"/>
              <w:textAlignment w:val="auto"/>
              <w:rPr>
                <w:lang w:val="it-IT"/>
              </w:rPr>
            </w:pPr>
            <w:r w:rsidRPr="00613ED3">
              <w:rPr>
                <w:lang w:val="it-IT"/>
              </w:rPr>
              <w:t xml:space="preserve">e variazioni intervenute nella consistenza delle voci dei crediti e dei debiti rispetto all’esercizio precedente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en-US"/>
              </w:rPr>
            </w:pPr>
            <w:r w:rsidRPr="00613ED3">
              <w:rPr>
                <w:sz w:val="13"/>
                <w:szCs w:val="13"/>
                <w:lang w:val="en-US"/>
              </w:rPr>
              <w:t>Art. 2427, c. 1, n.7, CC</w:t>
            </w:r>
          </w:p>
          <w:p w:rsidR="00613ED3" w:rsidRPr="00613ED3" w:rsidRDefault="00613ED3" w:rsidP="00613ED3">
            <w:pPr>
              <w:spacing w:before="40" w:line="240" w:lineRule="auto"/>
              <w:ind w:right="28"/>
              <w:jc w:val="left"/>
              <w:rPr>
                <w:sz w:val="13"/>
                <w:szCs w:val="13"/>
              </w:rPr>
            </w:pPr>
            <w:r w:rsidRPr="00613ED3">
              <w:rPr>
                <w:sz w:val="13"/>
                <w:szCs w:val="13"/>
                <w:lang w:val="en-US"/>
              </w:rPr>
              <w:t>OIC 8.69</w:t>
            </w:r>
          </w:p>
        </w:tc>
        <w:tc>
          <w:tcPr>
            <w:tcW w:w="7060" w:type="dxa"/>
            <w:tcMar>
              <w:left w:w="108" w:type="dxa"/>
            </w:tcMar>
          </w:tcPr>
          <w:p w:rsidR="00613ED3" w:rsidRPr="00613ED3" w:rsidRDefault="00613ED3" w:rsidP="004E27C2">
            <w:pPr>
              <w:numPr>
                <w:ilvl w:val="0"/>
                <w:numId w:val="91"/>
              </w:numPr>
              <w:overflowPunct/>
              <w:autoSpaceDE/>
              <w:autoSpaceDN/>
              <w:adjustRightInd/>
              <w:spacing w:line="230" w:lineRule="exact"/>
              <w:textAlignment w:val="auto"/>
              <w:rPr>
                <w:lang w:val="it-IT"/>
              </w:rPr>
            </w:pPr>
            <w:r w:rsidRPr="00613ED3">
              <w:rPr>
                <w:lang w:val="it-IT"/>
              </w:rPr>
              <w:t xml:space="preserve">la composizione delle voci “ratei e risconti attivi” e “ratei e risconti passivi”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en-US"/>
              </w:rPr>
            </w:pPr>
            <w:r w:rsidRPr="00613ED3">
              <w:rPr>
                <w:sz w:val="13"/>
                <w:szCs w:val="13"/>
                <w:lang w:val="en-US"/>
              </w:rPr>
              <w:t>Art. 2427, c. 1, n.9, CC      OIC 8.69</w:t>
            </w:r>
          </w:p>
        </w:tc>
        <w:tc>
          <w:tcPr>
            <w:tcW w:w="7060" w:type="dxa"/>
            <w:tcMar>
              <w:left w:w="108" w:type="dxa"/>
            </w:tcMar>
          </w:tcPr>
          <w:p w:rsidR="00613ED3" w:rsidRPr="00613ED3" w:rsidRDefault="00613ED3" w:rsidP="004E27C2">
            <w:pPr>
              <w:numPr>
                <w:ilvl w:val="0"/>
                <w:numId w:val="91"/>
              </w:numPr>
              <w:overflowPunct/>
              <w:autoSpaceDE/>
              <w:autoSpaceDN/>
              <w:adjustRightInd/>
              <w:spacing w:line="230" w:lineRule="exact"/>
              <w:textAlignment w:val="auto"/>
              <w:rPr>
                <w:lang w:val="it-IT"/>
              </w:rPr>
            </w:pPr>
            <w:r w:rsidRPr="00613ED3">
              <w:rPr>
                <w:lang w:val="it-IT"/>
              </w:rPr>
              <w:t>l’importo complessivo degli impegni, delle garanzie e delle passività potenziali non risultanti dallo stato patrimoniale, con indicazione della natura delle garanzie reali prestate</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en-US"/>
              </w:rPr>
            </w:pPr>
            <w:r w:rsidRPr="00613ED3">
              <w:rPr>
                <w:sz w:val="13"/>
                <w:szCs w:val="13"/>
                <w:lang w:val="en-US"/>
              </w:rPr>
              <w:t>Art. 2427, c. 1, n.22- ter, CC</w:t>
            </w:r>
          </w:p>
          <w:p w:rsidR="00613ED3" w:rsidRPr="00613ED3" w:rsidRDefault="00613ED3" w:rsidP="00613ED3">
            <w:pPr>
              <w:spacing w:before="40" w:line="240" w:lineRule="auto"/>
              <w:ind w:right="28"/>
              <w:jc w:val="left"/>
              <w:rPr>
                <w:sz w:val="13"/>
                <w:szCs w:val="13"/>
              </w:rPr>
            </w:pPr>
            <w:r w:rsidRPr="00613ED3">
              <w:rPr>
                <w:sz w:val="13"/>
                <w:szCs w:val="13"/>
                <w:lang w:val="en-US"/>
              </w:rPr>
              <w:t>OIC 8.69</w:t>
            </w:r>
          </w:p>
        </w:tc>
        <w:tc>
          <w:tcPr>
            <w:tcW w:w="7060" w:type="dxa"/>
            <w:tcMar>
              <w:left w:w="108" w:type="dxa"/>
            </w:tcMar>
          </w:tcPr>
          <w:p w:rsidR="00613ED3" w:rsidRPr="00613ED3" w:rsidRDefault="00613ED3" w:rsidP="004E27C2">
            <w:pPr>
              <w:numPr>
                <w:ilvl w:val="0"/>
                <w:numId w:val="91"/>
              </w:numPr>
              <w:overflowPunct/>
              <w:autoSpaceDE/>
              <w:autoSpaceDN/>
              <w:adjustRightInd/>
              <w:spacing w:line="230" w:lineRule="exact"/>
              <w:textAlignment w:val="auto"/>
              <w:rPr>
                <w:lang w:val="it-IT"/>
              </w:rPr>
            </w:pPr>
            <w:r w:rsidRPr="00613ED3">
              <w:rPr>
                <w:lang w:val="it-IT"/>
              </w:rPr>
              <w:t xml:space="preserve">la natura e l'obiettivo economico di accordi non risultanti dallo stato patrimoniale, con indicazione del loro effetto patrimoniale, finanziario ed economico, a condizione che i rischi e i benefici da essi derivanti siano significativi e l'indicazione degli stessi sia necessaria per valutare la situazione patrimoniale e finanziaria e il risultato economico della società?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CC242B" w:rsidTr="000D7E0A">
        <w:trPr>
          <w:cantSplit/>
          <w:trHeight w:val="20"/>
        </w:trPr>
        <w:tc>
          <w:tcPr>
            <w:tcW w:w="680" w:type="dxa"/>
          </w:tcPr>
          <w:p w:rsidR="00613ED3" w:rsidRPr="00613ED3" w:rsidRDefault="00613ED3" w:rsidP="00613ED3">
            <w:pPr>
              <w:jc w:val="center"/>
              <w:rPr>
                <w:b/>
                <w:lang w:val="it-IT"/>
              </w:rPr>
            </w:pPr>
            <w:r w:rsidRPr="00613ED3">
              <w:rPr>
                <w:b/>
                <w:lang w:val="it-IT"/>
              </w:rPr>
              <w:t>19)</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en-US"/>
              </w:rPr>
              <w:t>Art. 2423, c.3, CC             OIC 8.70</w:t>
            </w:r>
          </w:p>
        </w:tc>
        <w:tc>
          <w:tcPr>
            <w:tcW w:w="7060" w:type="dxa"/>
            <w:tcMar>
              <w:left w:w="108" w:type="dxa"/>
            </w:tcMar>
            <w:vAlign w:val="center"/>
          </w:tcPr>
          <w:p w:rsidR="00613ED3" w:rsidRPr="00613ED3" w:rsidRDefault="00613ED3" w:rsidP="00613ED3">
            <w:pPr>
              <w:spacing w:line="230" w:lineRule="exact"/>
              <w:rPr>
                <w:lang w:val="it-IT"/>
              </w:rPr>
            </w:pPr>
            <w:r w:rsidRPr="00613ED3">
              <w:rPr>
                <w:lang w:val="it-IT"/>
              </w:rPr>
              <w:t>La Nota Integrativa fornisce le seguenti informazioni complementari:</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613ED3">
              <w:rPr>
                <w:lang w:val="it-IT"/>
              </w:rPr>
              <w:t>il quantitativo delle quote di emissione maturate nell’esercizio</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613ED3">
              <w:rPr>
                <w:lang w:val="it-IT"/>
              </w:rPr>
              <w:t>il valore di mercato delle quote di emissione alla data di chiusura del bilancio d’esercizio</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613ED3">
              <w:rPr>
                <w:lang w:val="it-IT"/>
              </w:rPr>
              <w:t>il quantitativo delle quote di emissione assegnato dall’autorità nazionale competente</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613ED3">
              <w:rPr>
                <w:lang w:val="it-IT"/>
              </w:rPr>
              <w:t>il surplus o il deficit verificatosi nell’esercizio</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613ED3">
              <w:rPr>
                <w:lang w:val="it-IT"/>
              </w:rPr>
              <w:t>l’effetto prodotto dalla variazione delle quantità e dei prezzi sulla consistenza delle rimanenze finali di quote di emissione</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613ED3">
              <w:rPr>
                <w:lang w:val="it-IT"/>
              </w:rPr>
              <w:t xml:space="preserve">l’esistenza di pegni, patti di riservato dominio o qualsiasi altro gravame riferibile alle quote di emissione possedute?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CA1681">
              <w:fldChar w:fldCharType="separate"/>
            </w:r>
            <w:r w:rsidRPr="00613ED3">
              <w:fldChar w:fldCharType="end"/>
            </w:r>
          </w:p>
        </w:tc>
      </w:tr>
    </w:tbl>
    <w:p w:rsidR="00613ED3" w:rsidRPr="00613ED3" w:rsidRDefault="00613ED3" w:rsidP="00613ED3">
      <w:pPr>
        <w:rPr>
          <w:lang w:val="it-IT"/>
        </w:rPr>
      </w:pPr>
    </w:p>
    <w:p w:rsidR="004E44D8" w:rsidRPr="00181FF6" w:rsidRDefault="004E44D8" w:rsidP="00AD4AE2">
      <w:pPr>
        <w:rPr>
          <w:lang w:val="it-IT"/>
        </w:rPr>
      </w:pPr>
    </w:p>
    <w:sectPr w:rsidR="004E44D8" w:rsidRPr="00181FF6" w:rsidSect="008E5F3E">
      <w:headerReference w:type="default" r:id="rId63"/>
      <w:footerReference w:type="default" r:id="rId64"/>
      <w:pgSz w:w="11906" w:h="16838" w:code="9"/>
      <w:pgMar w:top="1134" w:right="851" w:bottom="851" w:left="851"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69A" w:rsidRDefault="0080669A">
      <w:r>
        <w:separator/>
      </w:r>
    </w:p>
    <w:p w:rsidR="0080669A" w:rsidRDefault="0080669A"/>
  </w:endnote>
  <w:endnote w:type="continuationSeparator" w:id="0">
    <w:p w:rsidR="0080669A" w:rsidRDefault="0080669A">
      <w:r>
        <w:continuationSeparator/>
      </w:r>
    </w:p>
    <w:p w:rsidR="0080669A" w:rsidRDefault="008066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embedRegular r:id="rId1" w:subsetted="1" w:fontKey="{6282C16A-E83E-403E-8CCF-D016C47F92A9}"/>
  </w:font>
  <w:font w:name="Arial Narrow">
    <w:panose1 w:val="020B0606020202030204"/>
    <w:charset w:val="00"/>
    <w:family w:val="swiss"/>
    <w:pitch w:val="variable"/>
    <w:sig w:usb0="00000287" w:usb1="00000800" w:usb2="00000000" w:usb3="00000000" w:csb0="0000009F" w:csb1="00000000"/>
    <w:embedRegular r:id="rId2" w:fontKey="{B3F5FAFA-2870-4C65-A965-5D7C5AF37EF7}"/>
    <w:embedBold r:id="rId3" w:fontKey="{616E08E4-F3F5-4B46-8AE5-FC72880CB5C3}"/>
    <w:embedItalic r:id="rId4" w:fontKey="{8AED1939-6BEC-4656-919C-EAE9ED766872}"/>
    <w:embedBoldItalic r:id="rId5" w:fontKey="{F359C222-F781-46BC-BE9F-9E7FEB5B6334}"/>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embedRegular r:id="rId6" w:fontKey="{A06A26D5-776D-4E30-AE29-5DF71D334E47}"/>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Y Gothic Comp BookPS">
    <w:altName w:val="Arial"/>
    <w:panose1 w:val="00000000000000000000"/>
    <w:charset w:val="00"/>
    <w:family w:val="swiss"/>
    <w:notTrueType/>
    <w:pitch w:val="variable"/>
    <w:sig w:usb0="00000083" w:usb1="00000000" w:usb2="00000000" w:usb3="00000000" w:csb0="00000009"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Univers 45 Light">
    <w:charset w:val="00"/>
    <w:family w:val="auto"/>
    <w:pitch w:val="variable"/>
    <w:sig w:usb0="8000002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3771B5" w:rsidRDefault="00A707D4" w:rsidP="00BD1D5C">
    <w:pPr>
      <w:tabs>
        <w:tab w:val="right" w:pos="10204"/>
      </w:tabs>
      <w:rPr>
        <w:lang w:val="it-IT"/>
      </w:rPr>
    </w:pPr>
    <w:r w:rsidRPr="003771B5">
      <w:rPr>
        <w:lang w:val="it-IT"/>
      </w:rPr>
      <w:t xml:space="preserve">BILANCIO </w:t>
    </w:r>
    <w:r>
      <w:rPr>
        <w:lang w:val="it-IT"/>
      </w:rPr>
      <w:t>CONSOLIDATO</w:t>
    </w:r>
    <w:r w:rsidRPr="003771B5">
      <w:rPr>
        <w:lang w:val="it-IT"/>
      </w:rPr>
      <w:t xml:space="preserve"> – LISTA DI CONTROLLO DEI PRINCIPI DI REDAZIONE 201</w:t>
    </w:r>
    <w:r>
      <w:rPr>
        <w:lang w:val="it-IT"/>
      </w:rPr>
      <w:t>6</w:t>
    </w:r>
    <w:r w:rsidRPr="003771B5">
      <w:rPr>
        <w:lang w:val="it-IT"/>
      </w:rPr>
      <w:tab/>
    </w:r>
    <w:r>
      <w:fldChar w:fldCharType="begin"/>
    </w:r>
    <w:r w:rsidRPr="003771B5">
      <w:rPr>
        <w:lang w:val="it-IT"/>
      </w:rPr>
      <w:instrText xml:space="preserve"> PAGE </w:instrText>
    </w:r>
    <w:r>
      <w:fldChar w:fldCharType="separate"/>
    </w:r>
    <w:r w:rsidR="008A1A8C">
      <w:rPr>
        <w:noProof/>
        <w:lang w:val="it-IT"/>
      </w:rPr>
      <w:t>2</w:t>
    </w:r>
    <w:r>
      <w:rPr>
        <w:noProof/>
      </w:rPr>
      <w:fldChar w:fldCharType="end"/>
    </w:r>
    <w:r w:rsidRPr="003771B5">
      <w:rPr>
        <w:lang w:val="it-IT"/>
      </w:rPr>
      <w:t xml:space="preserve"> di </w:t>
    </w:r>
    <w:r>
      <w:fldChar w:fldCharType="begin"/>
    </w:r>
    <w:r w:rsidRPr="003771B5">
      <w:rPr>
        <w:lang w:val="it-IT"/>
      </w:rPr>
      <w:instrText xml:space="preserve"> NUMPAGES  </w:instrText>
    </w:r>
    <w:r>
      <w:fldChar w:fldCharType="separate"/>
    </w:r>
    <w:r w:rsidR="008A1A8C">
      <w:rPr>
        <w:noProof/>
        <w:lang w:val="it-IT"/>
      </w:rPr>
      <w:t>18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Default="00A707D4" w:rsidP="004F7C72">
    <w:pPr>
      <w:pStyle w:val="Pidipagina"/>
      <w:pBdr>
        <w:top w:val="none" w:sz="0" w:space="0" w:color="auto"/>
      </w:pBd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 xml:space="preserve">BILANCIO </w:t>
    </w:r>
    <w:r>
      <w:rPr>
        <w:lang w:val="it-IT"/>
      </w:rPr>
      <w:t>CONSOLIDATO</w:t>
    </w:r>
    <w:r w:rsidRPr="004A0402">
      <w:rPr>
        <w:lang w:val="it-IT"/>
      </w:rPr>
      <w:t xml:space="preserve"> – LISTA DI CONTROLLO DEI PRINCIPI DI REDAZIONE </w:t>
    </w:r>
    <w:r w:rsidRPr="007E004E">
      <w:rPr>
        <w:lang w:val="it-IT"/>
      </w:rPr>
      <w:t>2016</w:t>
    </w:r>
    <w:r w:rsidRPr="00B267A4">
      <w:rPr>
        <w:lang w:val="it-IT"/>
      </w:rPr>
      <w:tab/>
    </w:r>
    <w:r>
      <w:fldChar w:fldCharType="begin"/>
    </w:r>
    <w:r w:rsidRPr="0097153D">
      <w:rPr>
        <w:lang w:val="it-IT"/>
      </w:rPr>
      <w:instrText xml:space="preserve"> PAGE </w:instrText>
    </w:r>
    <w:r>
      <w:fldChar w:fldCharType="separate"/>
    </w:r>
    <w:r w:rsidR="00CA1681">
      <w:rPr>
        <w:lang w:val="it-IT"/>
      </w:rPr>
      <w:t>5</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CA1681">
      <w:rPr>
        <w:lang w:val="it-IT"/>
      </w:rPr>
      <w:t>112</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 xml:space="preserve">BILANCIO </w:t>
    </w:r>
    <w:r>
      <w:rPr>
        <w:lang w:val="it-IT"/>
      </w:rPr>
      <w:t>CONSOLIDATO</w:t>
    </w:r>
    <w:r w:rsidRPr="004A0402">
      <w:rPr>
        <w:lang w:val="it-IT"/>
      </w:rPr>
      <w:t xml:space="preserve"> – LISTA DI CONTROLLO DEI PRINCIPI DI REDAZIONE </w:t>
    </w:r>
    <w:r w:rsidRPr="004F1C30">
      <w:rPr>
        <w:lang w:val="it-IT"/>
      </w:rPr>
      <w:t>2016</w:t>
    </w:r>
    <w:r w:rsidRPr="00B267A4">
      <w:rPr>
        <w:lang w:val="it-IT"/>
      </w:rPr>
      <w:tab/>
    </w:r>
    <w:r>
      <w:fldChar w:fldCharType="begin"/>
    </w:r>
    <w:r w:rsidRPr="0097153D">
      <w:rPr>
        <w:lang w:val="it-IT"/>
      </w:rPr>
      <w:instrText xml:space="preserve"> PAGE </w:instrText>
    </w:r>
    <w:r>
      <w:fldChar w:fldCharType="separate"/>
    </w:r>
    <w:r w:rsidR="00594562">
      <w:rPr>
        <w:lang w:val="it-IT"/>
      </w:rPr>
      <w:t>40</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594562">
      <w:rPr>
        <w:lang w:val="it-IT"/>
      </w:rPr>
      <w:t>40</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 xml:space="preserve">BILANCIO </w:t>
    </w:r>
    <w:r>
      <w:rPr>
        <w:lang w:val="it-IT"/>
      </w:rPr>
      <w:t>CONSOLIDATO</w:t>
    </w:r>
    <w:r w:rsidRPr="004A0402">
      <w:rPr>
        <w:lang w:val="it-IT"/>
      </w:rPr>
      <w:t xml:space="preserve"> – LISTA DI CONTROLLO DEI PRINCIPI DI REDAZIONE </w:t>
    </w:r>
    <w:r w:rsidRPr="00FA1215">
      <w:rPr>
        <w:lang w:val="it-IT"/>
      </w:rPr>
      <w:t>2016</w:t>
    </w:r>
    <w:r w:rsidRPr="00B267A4">
      <w:rPr>
        <w:lang w:val="it-IT"/>
      </w:rPr>
      <w:tab/>
    </w:r>
    <w:r>
      <w:fldChar w:fldCharType="begin"/>
    </w:r>
    <w:r w:rsidRPr="0097153D">
      <w:rPr>
        <w:lang w:val="it-IT"/>
      </w:rPr>
      <w:instrText xml:space="preserve"> PAGE </w:instrText>
    </w:r>
    <w:r>
      <w:fldChar w:fldCharType="separate"/>
    </w:r>
    <w:r w:rsidR="00CA1681">
      <w:rPr>
        <w:lang w:val="it-IT"/>
      </w:rPr>
      <w:t>50</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CA1681">
      <w:rPr>
        <w:lang w:val="it-IT"/>
      </w:rPr>
      <w:t>50</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 xml:space="preserve">BILANCIO </w:t>
    </w:r>
    <w:r>
      <w:rPr>
        <w:lang w:val="it-IT"/>
      </w:rPr>
      <w:t>CONSOLIDATO</w:t>
    </w:r>
    <w:r w:rsidRPr="004A0402">
      <w:rPr>
        <w:lang w:val="it-IT"/>
      </w:rPr>
      <w:t xml:space="preserve"> – LISTA DI CONTROLLO DEI PRINCIPI DI REDAZIONE </w:t>
    </w:r>
    <w:r w:rsidRPr="00FA1215">
      <w:rPr>
        <w:lang w:val="it-IT"/>
      </w:rPr>
      <w:t>2016</w:t>
    </w:r>
    <w:r w:rsidRPr="00B267A4">
      <w:rPr>
        <w:lang w:val="it-IT"/>
      </w:rPr>
      <w:tab/>
    </w:r>
    <w:r>
      <w:fldChar w:fldCharType="begin"/>
    </w:r>
    <w:r w:rsidRPr="0097153D">
      <w:rPr>
        <w:lang w:val="it-IT"/>
      </w:rPr>
      <w:instrText xml:space="preserve"> PAGE </w:instrText>
    </w:r>
    <w:r>
      <w:fldChar w:fldCharType="separate"/>
    </w:r>
    <w:r w:rsidR="00CA1681">
      <w:rPr>
        <w:lang w:val="it-IT"/>
      </w:rPr>
      <w:t>61</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CA1681">
      <w:rPr>
        <w:lang w:val="it-IT"/>
      </w:rPr>
      <w:t>61</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 xml:space="preserve">BILANCIO </w:t>
    </w:r>
    <w:r>
      <w:rPr>
        <w:lang w:val="it-IT"/>
      </w:rPr>
      <w:t>CONSOLIDATO</w:t>
    </w:r>
    <w:r w:rsidRPr="004A0402">
      <w:rPr>
        <w:lang w:val="it-IT"/>
      </w:rPr>
      <w:t xml:space="preserve"> – LISTA DI CONTROLLO DEI PRINCIPI DI REDAZIONE </w:t>
    </w:r>
    <w:r w:rsidRPr="00FA1215">
      <w:rPr>
        <w:lang w:val="it-IT"/>
      </w:rPr>
      <w:t>2016</w:t>
    </w:r>
    <w:r w:rsidRPr="00B267A4">
      <w:rPr>
        <w:lang w:val="it-IT"/>
      </w:rPr>
      <w:tab/>
    </w:r>
    <w:r>
      <w:fldChar w:fldCharType="begin"/>
    </w:r>
    <w:r w:rsidRPr="0097153D">
      <w:rPr>
        <w:lang w:val="it-IT"/>
      </w:rPr>
      <w:instrText xml:space="preserve"> PAGE </w:instrText>
    </w:r>
    <w:r>
      <w:fldChar w:fldCharType="separate"/>
    </w:r>
    <w:r w:rsidR="00CA1681">
      <w:rPr>
        <w:lang w:val="it-IT"/>
      </w:rPr>
      <w:t>66</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CA1681">
      <w:rPr>
        <w:lang w:val="it-IT"/>
      </w:rPr>
      <w:t>66</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 xml:space="preserve">BILANCIO </w:t>
    </w:r>
    <w:r>
      <w:rPr>
        <w:lang w:val="it-IT"/>
      </w:rPr>
      <w:t>CONSOLIDATO</w:t>
    </w:r>
    <w:r w:rsidRPr="004A0402">
      <w:rPr>
        <w:lang w:val="it-IT"/>
      </w:rPr>
      <w:t xml:space="preserve"> – LISTA DI CONTROLLO DEI PRINCIPI DI REDAZIONE </w:t>
    </w:r>
    <w:r w:rsidRPr="000B0A9B">
      <w:rPr>
        <w:lang w:val="it-IT"/>
      </w:rPr>
      <w:t>2016</w:t>
    </w:r>
    <w:r w:rsidRPr="00B267A4">
      <w:rPr>
        <w:lang w:val="it-IT"/>
      </w:rPr>
      <w:tab/>
    </w:r>
    <w:r>
      <w:fldChar w:fldCharType="begin"/>
    </w:r>
    <w:r w:rsidRPr="0097153D">
      <w:rPr>
        <w:lang w:val="it-IT"/>
      </w:rPr>
      <w:instrText xml:space="preserve"> PAGE </w:instrText>
    </w:r>
    <w:r>
      <w:fldChar w:fldCharType="separate"/>
    </w:r>
    <w:r w:rsidR="00CA1681">
      <w:rPr>
        <w:lang w:val="it-IT"/>
      </w:rPr>
      <w:t>76</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CA1681">
      <w:rPr>
        <w:lang w:val="it-IT"/>
      </w:rPr>
      <w:t>76</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 xml:space="preserve">BILANCIO </w:t>
    </w:r>
    <w:r>
      <w:rPr>
        <w:lang w:val="it-IT"/>
      </w:rPr>
      <w:t>CONSOLIDATO</w:t>
    </w:r>
    <w:r w:rsidRPr="004A0402">
      <w:rPr>
        <w:lang w:val="it-IT"/>
      </w:rPr>
      <w:t xml:space="preserve"> – LISTA DI CONTROLLO DEI PRINCIPI DI REDAZIONE </w:t>
    </w:r>
    <w:r w:rsidRPr="00683726">
      <w:rPr>
        <w:lang w:val="it-IT"/>
      </w:rPr>
      <w:t>2016</w:t>
    </w:r>
    <w:r w:rsidRPr="00B267A4">
      <w:rPr>
        <w:lang w:val="it-IT"/>
      </w:rPr>
      <w:tab/>
    </w:r>
    <w:r>
      <w:fldChar w:fldCharType="begin"/>
    </w:r>
    <w:r w:rsidRPr="0097153D">
      <w:rPr>
        <w:lang w:val="it-IT"/>
      </w:rPr>
      <w:instrText xml:space="preserve"> PAGE </w:instrText>
    </w:r>
    <w:r>
      <w:fldChar w:fldCharType="separate"/>
    </w:r>
    <w:r w:rsidR="00CA1681">
      <w:rPr>
        <w:lang w:val="it-IT"/>
      </w:rPr>
      <w:t>83</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CA1681">
      <w:rPr>
        <w:lang w:val="it-IT"/>
      </w:rPr>
      <w:t>83</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 xml:space="preserve">BILANCIO </w:t>
    </w:r>
    <w:r>
      <w:rPr>
        <w:lang w:val="it-IT"/>
      </w:rPr>
      <w:t>CONSOLIDATO</w:t>
    </w:r>
    <w:r w:rsidRPr="004A0402">
      <w:rPr>
        <w:lang w:val="it-IT"/>
      </w:rPr>
      <w:t xml:space="preserve"> – LISTA DI CONTROLLO DEI PRINCIPI DI REDAZIONE </w:t>
    </w:r>
    <w:r w:rsidRPr="00683726">
      <w:rPr>
        <w:lang w:val="it-IT"/>
      </w:rPr>
      <w:t>2016</w:t>
    </w:r>
    <w:r w:rsidRPr="00B267A4">
      <w:rPr>
        <w:lang w:val="it-IT"/>
      </w:rPr>
      <w:tab/>
    </w:r>
    <w:r>
      <w:fldChar w:fldCharType="begin"/>
    </w:r>
    <w:r w:rsidRPr="0097153D">
      <w:rPr>
        <w:lang w:val="it-IT"/>
      </w:rPr>
      <w:instrText xml:space="preserve"> PAGE </w:instrText>
    </w:r>
    <w:r>
      <w:fldChar w:fldCharType="separate"/>
    </w:r>
    <w:r w:rsidR="00CA1681">
      <w:rPr>
        <w:lang w:val="it-IT"/>
      </w:rPr>
      <w:t>87</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CA1681">
      <w:rPr>
        <w:lang w:val="it-IT"/>
      </w:rPr>
      <w:t>87</w:t>
    </w:r>
    <w: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 xml:space="preserve">BILANCIO </w:t>
    </w:r>
    <w:r>
      <w:rPr>
        <w:lang w:val="it-IT"/>
      </w:rPr>
      <w:t>CONSOLIDATO</w:t>
    </w:r>
    <w:r w:rsidRPr="004A0402">
      <w:rPr>
        <w:lang w:val="it-IT"/>
      </w:rPr>
      <w:t xml:space="preserve"> – LISTA DI CONTROLLO DEI PRINCIPI DI REDAZIONE </w:t>
    </w:r>
    <w:r w:rsidRPr="008A0F72">
      <w:rPr>
        <w:lang w:val="it-IT"/>
      </w:rPr>
      <w:t>2016</w:t>
    </w:r>
    <w:r w:rsidRPr="00B267A4">
      <w:rPr>
        <w:lang w:val="it-IT"/>
      </w:rPr>
      <w:tab/>
    </w:r>
    <w:r>
      <w:fldChar w:fldCharType="begin"/>
    </w:r>
    <w:r w:rsidRPr="0097153D">
      <w:rPr>
        <w:lang w:val="it-IT"/>
      </w:rPr>
      <w:instrText xml:space="preserve"> PAGE </w:instrText>
    </w:r>
    <w:r>
      <w:fldChar w:fldCharType="separate"/>
    </w:r>
    <w:r w:rsidR="00CA1681">
      <w:rPr>
        <w:lang w:val="it-IT"/>
      </w:rPr>
      <w:t>92</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CA1681">
      <w:rPr>
        <w:lang w:val="it-IT"/>
      </w:rPr>
      <w:t>92</w:t>
    </w:r>
    <w: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BILANCIO</w:t>
    </w:r>
    <w:r w:rsidRPr="004E4F4E">
      <w:rPr>
        <w:lang w:val="it-IT"/>
      </w:rPr>
      <w:t xml:space="preserve"> </w:t>
    </w:r>
    <w:r>
      <w:rPr>
        <w:lang w:val="it-IT"/>
      </w:rPr>
      <w:t>CONSOLIDATO</w:t>
    </w:r>
    <w:r w:rsidRPr="004A0402">
      <w:rPr>
        <w:lang w:val="it-IT"/>
      </w:rPr>
      <w:t xml:space="preserve"> – LISTA DI CONTROLLO DEI PRINCIPI DI REDAZIONE </w:t>
    </w:r>
    <w:r w:rsidRPr="00436F28">
      <w:rPr>
        <w:lang w:val="it-IT"/>
      </w:rPr>
      <w:t>2016</w:t>
    </w:r>
    <w:r w:rsidRPr="00B267A4">
      <w:rPr>
        <w:lang w:val="it-IT"/>
      </w:rPr>
      <w:tab/>
    </w:r>
    <w:r>
      <w:fldChar w:fldCharType="begin"/>
    </w:r>
    <w:r w:rsidRPr="0097153D">
      <w:rPr>
        <w:lang w:val="it-IT"/>
      </w:rPr>
      <w:instrText xml:space="preserve"> PAGE </w:instrText>
    </w:r>
    <w:r>
      <w:fldChar w:fldCharType="separate"/>
    </w:r>
    <w:r w:rsidR="00CA1681">
      <w:rPr>
        <w:lang w:val="it-IT"/>
      </w:rPr>
      <w:t>100</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CA1681">
      <w:rPr>
        <w:lang w:val="it-IT"/>
      </w:rPr>
      <w:t>100</w:t>
    </w:r>
    <w: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 xml:space="preserve">BILANCIO </w:t>
    </w:r>
    <w:r>
      <w:rPr>
        <w:lang w:val="it-IT"/>
      </w:rPr>
      <w:t>CONSOLIDATO</w:t>
    </w:r>
    <w:r w:rsidRPr="004A0402">
      <w:rPr>
        <w:lang w:val="it-IT"/>
      </w:rPr>
      <w:t xml:space="preserve"> – LISTA DI CONTROLLO DEI PRINCIPI DI REDAZIONE </w:t>
    </w:r>
    <w:r w:rsidRPr="00F35590">
      <w:rPr>
        <w:lang w:val="it-IT"/>
      </w:rPr>
      <w:t>2016</w:t>
    </w:r>
    <w:r w:rsidRPr="00B267A4">
      <w:rPr>
        <w:lang w:val="it-IT"/>
      </w:rPr>
      <w:tab/>
    </w:r>
    <w:r>
      <w:fldChar w:fldCharType="begin"/>
    </w:r>
    <w:r w:rsidRPr="0097153D">
      <w:rPr>
        <w:lang w:val="it-IT"/>
      </w:rPr>
      <w:instrText xml:space="preserve"> PAGE </w:instrText>
    </w:r>
    <w:r>
      <w:fldChar w:fldCharType="separate"/>
    </w:r>
    <w:r w:rsidR="00CA1681">
      <w:rPr>
        <w:lang w:val="it-IT"/>
      </w:rPr>
      <w:t>110</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CA1681">
      <w:rPr>
        <w:lang w:val="it-IT"/>
      </w:rPr>
      <w:t>110</w:t>
    </w:r>
    <w: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 xml:space="preserve">BILANCIO </w:t>
    </w:r>
    <w:r>
      <w:rPr>
        <w:lang w:val="it-IT"/>
      </w:rPr>
      <w:t>CONSOLIDATO</w:t>
    </w:r>
    <w:r w:rsidRPr="004A0402">
      <w:rPr>
        <w:lang w:val="it-IT"/>
      </w:rPr>
      <w:t xml:space="preserve"> – LISTA DI CONTROLLO DEI PRINCIPI DI REDAZIONE </w:t>
    </w:r>
    <w:r w:rsidRPr="00D801FA">
      <w:rPr>
        <w:lang w:val="it-IT"/>
      </w:rPr>
      <w:t>2016</w:t>
    </w:r>
    <w:r w:rsidRPr="00B267A4">
      <w:rPr>
        <w:lang w:val="it-IT"/>
      </w:rPr>
      <w:tab/>
    </w:r>
    <w:r>
      <w:fldChar w:fldCharType="begin"/>
    </w:r>
    <w:r w:rsidRPr="0097153D">
      <w:rPr>
        <w:lang w:val="it-IT"/>
      </w:rPr>
      <w:instrText xml:space="preserve"> PAGE </w:instrText>
    </w:r>
    <w:r>
      <w:fldChar w:fldCharType="separate"/>
    </w:r>
    <w:r w:rsidR="00CA1681">
      <w:rPr>
        <w:lang w:val="it-IT"/>
      </w:rPr>
      <w:t>112</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CA1681">
      <w:rPr>
        <w:lang w:val="it-IT"/>
      </w:rPr>
      <w:t>112</w:t>
    </w:r>
    <w: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 xml:space="preserve">BILANCIO </w:t>
    </w:r>
    <w:r>
      <w:rPr>
        <w:lang w:val="it-IT"/>
      </w:rPr>
      <w:t>CONSOLIDATO</w:t>
    </w:r>
    <w:r w:rsidRPr="004A0402">
      <w:rPr>
        <w:lang w:val="it-IT"/>
      </w:rPr>
      <w:t xml:space="preserve"> – LISTA DI CONTROLLO DEI PRINCIPI DI REDAZIONE </w:t>
    </w:r>
    <w:r w:rsidRPr="00DE5DB6">
      <w:rPr>
        <w:lang w:val="it-IT"/>
      </w:rPr>
      <w:t>2016</w:t>
    </w:r>
    <w:r w:rsidRPr="00B267A4">
      <w:rPr>
        <w:lang w:val="it-IT"/>
      </w:rPr>
      <w:tab/>
    </w:r>
    <w:r>
      <w:fldChar w:fldCharType="begin"/>
    </w:r>
    <w:r w:rsidRPr="0097153D">
      <w:rPr>
        <w:lang w:val="it-IT"/>
      </w:rPr>
      <w:instrText xml:space="preserve"> PAGE </w:instrText>
    </w:r>
    <w:r>
      <w:fldChar w:fldCharType="separate"/>
    </w:r>
    <w:r w:rsidR="00CA1681">
      <w:rPr>
        <w:lang w:val="it-IT"/>
      </w:rPr>
      <w:t>115</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CA1681">
      <w:rPr>
        <w:lang w:val="it-IT"/>
      </w:rPr>
      <w:t>115</w:t>
    </w:r>
    <w: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 xml:space="preserve">BILANCIO </w:t>
    </w:r>
    <w:r>
      <w:rPr>
        <w:lang w:val="it-IT"/>
      </w:rPr>
      <w:t>CONSOLIDATO</w:t>
    </w:r>
    <w:r w:rsidRPr="004A0402">
      <w:rPr>
        <w:lang w:val="it-IT"/>
      </w:rPr>
      <w:t xml:space="preserve"> – LISTA DI CONTROLLO DEI PRINCIPI DI REDAZIONE </w:t>
    </w:r>
    <w:r w:rsidRPr="005B6D1E">
      <w:rPr>
        <w:lang w:val="it-IT"/>
      </w:rPr>
      <w:t>2016</w:t>
    </w:r>
    <w:r w:rsidRPr="00B267A4">
      <w:rPr>
        <w:lang w:val="it-IT"/>
      </w:rPr>
      <w:tab/>
    </w:r>
    <w:r>
      <w:fldChar w:fldCharType="begin"/>
    </w:r>
    <w:r w:rsidRPr="0097153D">
      <w:rPr>
        <w:lang w:val="it-IT"/>
      </w:rPr>
      <w:instrText xml:space="preserve"> PAGE </w:instrText>
    </w:r>
    <w:r>
      <w:fldChar w:fldCharType="separate"/>
    </w:r>
    <w:r w:rsidR="00CA1681">
      <w:rPr>
        <w:lang w:val="it-IT"/>
      </w:rPr>
      <w:t>121</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CA1681">
      <w:rPr>
        <w:lang w:val="it-IT"/>
      </w:rPr>
      <w:t>121</w:t>
    </w:r>
    <w:r>
      <w:fldChar w:fldCharType="end"/>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 xml:space="preserve">BILANCIO </w:t>
    </w:r>
    <w:r>
      <w:rPr>
        <w:lang w:val="it-IT"/>
      </w:rPr>
      <w:t>CONSOLIDATO</w:t>
    </w:r>
    <w:r w:rsidRPr="004A0402">
      <w:rPr>
        <w:lang w:val="it-IT"/>
      </w:rPr>
      <w:t xml:space="preserve"> – LISTA DI CONTROLLO DEI PRINCIPI DI REDAZIONE </w:t>
    </w:r>
    <w:r w:rsidRPr="004A068D">
      <w:rPr>
        <w:lang w:val="it-IT"/>
      </w:rPr>
      <w:t>2016</w:t>
    </w:r>
    <w:r w:rsidRPr="00B267A4">
      <w:rPr>
        <w:lang w:val="it-IT"/>
      </w:rPr>
      <w:tab/>
    </w:r>
    <w:r>
      <w:fldChar w:fldCharType="begin"/>
    </w:r>
    <w:r w:rsidRPr="0097153D">
      <w:rPr>
        <w:lang w:val="it-IT"/>
      </w:rPr>
      <w:instrText xml:space="preserve"> PAGE </w:instrText>
    </w:r>
    <w:r>
      <w:fldChar w:fldCharType="separate"/>
    </w:r>
    <w:r w:rsidR="00CA1681">
      <w:rPr>
        <w:lang w:val="it-IT"/>
      </w:rPr>
      <w:t>122</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CA1681">
      <w:rPr>
        <w:lang w:val="it-IT"/>
      </w:rPr>
      <w:t>122</w:t>
    </w:r>
    <w: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 xml:space="preserve">BILANCIO </w:t>
    </w:r>
    <w:r>
      <w:rPr>
        <w:lang w:val="it-IT"/>
      </w:rPr>
      <w:t>CONSOLIDATO</w:t>
    </w:r>
    <w:r w:rsidRPr="004A0402">
      <w:rPr>
        <w:lang w:val="it-IT"/>
      </w:rPr>
      <w:t xml:space="preserve"> – LISTA DI CONTROLLO DEI PRINCIPI DI REDAZIONE </w:t>
    </w:r>
    <w:r w:rsidRPr="00F35590">
      <w:rPr>
        <w:lang w:val="it-IT"/>
      </w:rPr>
      <w:t>2016</w:t>
    </w:r>
    <w:r w:rsidRPr="00B267A4">
      <w:rPr>
        <w:lang w:val="it-IT"/>
      </w:rPr>
      <w:tab/>
    </w:r>
    <w:r>
      <w:fldChar w:fldCharType="begin"/>
    </w:r>
    <w:r w:rsidRPr="0097153D">
      <w:rPr>
        <w:lang w:val="it-IT"/>
      </w:rPr>
      <w:instrText xml:space="preserve"> PAGE </w:instrText>
    </w:r>
    <w:r>
      <w:fldChar w:fldCharType="separate"/>
    </w:r>
    <w:r w:rsidR="001704BF">
      <w:rPr>
        <w:lang w:val="it-IT"/>
      </w:rPr>
      <w:t>138</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8A1A8C">
      <w:rPr>
        <w:lang w:val="it-IT"/>
      </w:rPr>
      <w:t>1</w:t>
    </w:r>
    <w:r>
      <w:fldChar w:fldCharType="end"/>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 xml:space="preserve">BILANCIO </w:t>
    </w:r>
    <w:r>
      <w:rPr>
        <w:lang w:val="it-IT"/>
      </w:rPr>
      <w:t>CONSOLIDATO</w:t>
    </w:r>
    <w:r w:rsidRPr="004A0402">
      <w:rPr>
        <w:lang w:val="it-IT"/>
      </w:rPr>
      <w:t xml:space="preserve"> – LISTA DI CONTROLLO DEI PRINCIPI DI REDAZIONE 201</w:t>
    </w:r>
    <w:r>
      <w:rPr>
        <w:lang w:val="it-IT"/>
      </w:rPr>
      <w:t>6</w:t>
    </w:r>
    <w:r w:rsidRPr="00B267A4">
      <w:rPr>
        <w:lang w:val="it-IT"/>
      </w:rPr>
      <w:tab/>
    </w:r>
    <w:r>
      <w:fldChar w:fldCharType="begin"/>
    </w:r>
    <w:r w:rsidRPr="0097153D">
      <w:rPr>
        <w:lang w:val="it-IT"/>
      </w:rPr>
      <w:instrText xml:space="preserve"> PAGE </w:instrText>
    </w:r>
    <w:r>
      <w:fldChar w:fldCharType="separate"/>
    </w:r>
    <w:r w:rsidR="001704BF">
      <w:rPr>
        <w:lang w:val="it-IT"/>
      </w:rPr>
      <w:t>152</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8A1A8C">
      <w:rPr>
        <w:lang w:val="it-IT"/>
      </w:rPr>
      <w:t>1</w:t>
    </w:r>
    <w:r>
      <w:fldChar w:fldCharType="end"/>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 xml:space="preserve">BILANCIO </w:t>
    </w:r>
    <w:r>
      <w:rPr>
        <w:lang w:val="it-IT"/>
      </w:rPr>
      <w:t>CONSOLIDATO</w:t>
    </w:r>
    <w:r w:rsidRPr="004A0402">
      <w:rPr>
        <w:lang w:val="it-IT"/>
      </w:rPr>
      <w:t xml:space="preserve"> – LISTA DI CONTROLLO DEI PRINCIPI DI REDAZIONE </w:t>
    </w:r>
    <w:r w:rsidRPr="006A6A71">
      <w:rPr>
        <w:lang w:val="it-IT"/>
      </w:rPr>
      <w:t>2016</w:t>
    </w:r>
    <w:r w:rsidRPr="00B267A4">
      <w:rPr>
        <w:lang w:val="it-IT"/>
      </w:rPr>
      <w:tab/>
    </w:r>
    <w:r>
      <w:fldChar w:fldCharType="begin"/>
    </w:r>
    <w:r w:rsidRPr="0097153D">
      <w:rPr>
        <w:lang w:val="it-IT"/>
      </w:rPr>
      <w:instrText xml:space="preserve"> PAGE </w:instrText>
    </w:r>
    <w:r>
      <w:fldChar w:fldCharType="separate"/>
    </w:r>
    <w:r w:rsidR="001704BF">
      <w:rPr>
        <w:lang w:val="it-IT"/>
      </w:rPr>
      <w:t>156</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8A1A8C">
      <w:rPr>
        <w:lang w:val="it-IT"/>
      </w:rPr>
      <w:t>1</w:t>
    </w:r>
    <w:r>
      <w:fldChar w:fldCharType="end"/>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 xml:space="preserve">BILANCIO </w:t>
    </w:r>
    <w:r>
      <w:rPr>
        <w:lang w:val="it-IT"/>
      </w:rPr>
      <w:t>CONSOLIDATO</w:t>
    </w:r>
    <w:r w:rsidRPr="004A0402">
      <w:rPr>
        <w:lang w:val="it-IT"/>
      </w:rPr>
      <w:t xml:space="preserve"> – LISTA DI CONTROLLO DEI PRINCIPI DI REDAZIONE </w:t>
    </w:r>
    <w:r w:rsidRPr="00541DE6">
      <w:rPr>
        <w:lang w:val="it-IT"/>
      </w:rPr>
      <w:t>2016</w:t>
    </w:r>
    <w:r w:rsidRPr="00B267A4">
      <w:rPr>
        <w:lang w:val="it-IT"/>
      </w:rPr>
      <w:tab/>
    </w:r>
    <w:r>
      <w:fldChar w:fldCharType="begin"/>
    </w:r>
    <w:r w:rsidRPr="0097153D">
      <w:rPr>
        <w:lang w:val="it-IT"/>
      </w:rPr>
      <w:instrText xml:space="preserve"> PAGE </w:instrText>
    </w:r>
    <w:r>
      <w:fldChar w:fldCharType="separate"/>
    </w:r>
    <w:r w:rsidR="001704BF">
      <w:rPr>
        <w:lang w:val="it-IT"/>
      </w:rPr>
      <w:t>165</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8A1A8C">
      <w:rPr>
        <w:lang w:val="it-IT"/>
      </w:rPr>
      <w:t>1</w:t>
    </w:r>
    <w:r>
      <w:fldChar w:fldCharType="end"/>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 xml:space="preserve">BILANCIO </w:t>
    </w:r>
    <w:r>
      <w:rPr>
        <w:lang w:val="it-IT"/>
      </w:rPr>
      <w:t>CONSOLIDATO</w:t>
    </w:r>
    <w:r w:rsidRPr="004A0402">
      <w:rPr>
        <w:lang w:val="it-IT"/>
      </w:rPr>
      <w:t xml:space="preserve">– LISTA DI CONTROLLO DEI PRINCIPI DI REDAZIONE </w:t>
    </w:r>
    <w:r w:rsidRPr="0092014C">
      <w:rPr>
        <w:lang w:val="it-IT"/>
      </w:rPr>
      <w:t>2016</w:t>
    </w:r>
    <w:r w:rsidRPr="00B267A4">
      <w:rPr>
        <w:lang w:val="it-IT"/>
      </w:rPr>
      <w:tab/>
    </w:r>
    <w:r>
      <w:fldChar w:fldCharType="begin"/>
    </w:r>
    <w:r w:rsidRPr="0097153D">
      <w:rPr>
        <w:lang w:val="it-IT"/>
      </w:rPr>
      <w:instrText xml:space="preserve"> PAGE </w:instrText>
    </w:r>
    <w:r>
      <w:fldChar w:fldCharType="separate"/>
    </w:r>
    <w:r w:rsidR="001704BF">
      <w:rPr>
        <w:lang w:val="it-IT"/>
      </w:rPr>
      <w:t>166</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8A1A8C">
      <w:rPr>
        <w:lang w:val="it-IT"/>
      </w:rPr>
      <w:t>1</w:t>
    </w:r>
    <w:r>
      <w:fldChar w:fldCharType="end"/>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 xml:space="preserve">BILANCIO </w:t>
    </w:r>
    <w:r>
      <w:rPr>
        <w:lang w:val="it-IT"/>
      </w:rPr>
      <w:t>CONSOLIDATO</w:t>
    </w:r>
    <w:r w:rsidRPr="004A0402">
      <w:rPr>
        <w:lang w:val="it-IT"/>
      </w:rPr>
      <w:t xml:space="preserve"> – LISTA DI CONTROLLO DEI PRINCIPI DI REDAZIONE </w:t>
    </w:r>
    <w:r w:rsidRPr="0092014C">
      <w:rPr>
        <w:lang w:val="it-IT"/>
      </w:rPr>
      <w:t>2016</w:t>
    </w:r>
    <w:r w:rsidRPr="00B267A4">
      <w:rPr>
        <w:lang w:val="it-IT"/>
      </w:rPr>
      <w:tab/>
    </w:r>
    <w:r>
      <w:fldChar w:fldCharType="begin"/>
    </w:r>
    <w:r w:rsidRPr="0097153D">
      <w:rPr>
        <w:lang w:val="it-IT"/>
      </w:rPr>
      <w:instrText xml:space="preserve"> PAGE </w:instrText>
    </w:r>
    <w:r>
      <w:fldChar w:fldCharType="separate"/>
    </w:r>
    <w:r w:rsidR="001704BF">
      <w:rPr>
        <w:lang w:val="it-IT"/>
      </w:rPr>
      <w:t>167</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8A1A8C">
      <w:rPr>
        <w:lang w:val="it-IT"/>
      </w:rPr>
      <w:t>1</w:t>
    </w:r>
    <w:r>
      <w:fldChar w:fldCharType="end"/>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 xml:space="preserve">BILANCIO </w:t>
    </w:r>
    <w:r>
      <w:rPr>
        <w:lang w:val="it-IT"/>
      </w:rPr>
      <w:t>CONSOLIDATO</w:t>
    </w:r>
    <w:r w:rsidRPr="004A0402">
      <w:rPr>
        <w:lang w:val="it-IT"/>
      </w:rPr>
      <w:t xml:space="preserve"> – LISTA DI CONTROLLO DEI PRINCIPI DI REDAZIONE </w:t>
    </w:r>
    <w:r w:rsidRPr="0092014C">
      <w:rPr>
        <w:lang w:val="it-IT"/>
      </w:rPr>
      <w:t>2016</w:t>
    </w:r>
    <w:r w:rsidRPr="00B267A4">
      <w:rPr>
        <w:lang w:val="it-IT"/>
      </w:rPr>
      <w:tab/>
    </w:r>
    <w:r>
      <w:fldChar w:fldCharType="begin"/>
    </w:r>
    <w:r w:rsidRPr="0097153D">
      <w:rPr>
        <w:lang w:val="it-IT"/>
      </w:rPr>
      <w:instrText xml:space="preserve"> PAGE </w:instrText>
    </w:r>
    <w:r>
      <w:fldChar w:fldCharType="separate"/>
    </w:r>
    <w:r w:rsidR="001704BF">
      <w:rPr>
        <w:lang w:val="it-IT"/>
      </w:rPr>
      <w:t>170</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8A1A8C">
      <w:rPr>
        <w:lang w:val="it-IT"/>
      </w:rPr>
      <w:t>1</w:t>
    </w:r>
    <w:r>
      <w:fldChar w:fldCharType="end"/>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710C" w:rsidRDefault="00A707D4" w:rsidP="008E710C">
    <w:pPr>
      <w:pStyle w:val="Intestazione"/>
      <w:pBdr>
        <w:bottom w:val="none" w:sz="0" w:space="0" w:color="auto"/>
      </w:pBdr>
      <w:tabs>
        <w:tab w:val="clear" w:pos="9072"/>
        <w:tab w:val="right" w:pos="10206"/>
      </w:tabs>
      <w:jc w:val="left"/>
      <w:rPr>
        <w:lang w:val="it-IT"/>
      </w:rPr>
    </w:pPr>
    <w:r w:rsidRPr="004A0402">
      <w:rPr>
        <w:lang w:val="it-IT"/>
      </w:rPr>
      <w:t xml:space="preserve">BILANCIO </w:t>
    </w:r>
    <w:r>
      <w:rPr>
        <w:lang w:val="it-IT"/>
      </w:rPr>
      <w:t>CONSOLIDATO</w:t>
    </w:r>
    <w:r w:rsidRPr="004A0402">
      <w:rPr>
        <w:lang w:val="it-IT"/>
      </w:rPr>
      <w:t xml:space="preserve"> – LISTA DI CONTROLLO DEI PRINCIPI DI REDAZIONE </w:t>
    </w:r>
    <w:r w:rsidRPr="0092014C">
      <w:rPr>
        <w:lang w:val="it-IT"/>
      </w:rPr>
      <w:t>2016</w:t>
    </w:r>
    <w:r w:rsidRPr="00B267A4">
      <w:rPr>
        <w:lang w:val="it-IT"/>
      </w:rPr>
      <w:tab/>
    </w:r>
    <w:r>
      <w:fldChar w:fldCharType="begin"/>
    </w:r>
    <w:r w:rsidRPr="0097153D">
      <w:rPr>
        <w:lang w:val="it-IT"/>
      </w:rPr>
      <w:instrText xml:space="preserve"> PAGE </w:instrText>
    </w:r>
    <w:r>
      <w:fldChar w:fldCharType="separate"/>
    </w:r>
    <w:r w:rsidR="001704BF">
      <w:rPr>
        <w:lang w:val="it-IT"/>
      </w:rPr>
      <w:t>173</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8A1A8C">
      <w:rPr>
        <w:lang w:val="it-IT"/>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69A" w:rsidRDefault="0080669A">
      <w:r>
        <w:separator/>
      </w:r>
    </w:p>
    <w:p w:rsidR="0080669A" w:rsidRDefault="0080669A"/>
  </w:footnote>
  <w:footnote w:type="continuationSeparator" w:id="0">
    <w:p w:rsidR="0080669A" w:rsidRDefault="0080669A">
      <w:r>
        <w:continuationSeparator/>
      </w:r>
    </w:p>
    <w:p w:rsidR="0080669A" w:rsidRDefault="0080669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9450DD" w:rsidRDefault="00A707D4" w:rsidP="000D7E0A">
    <w:pPr>
      <w:pStyle w:val="Intestazione"/>
      <w:pBdr>
        <w:bottom w:val="none" w:sz="0" w:space="0" w:color="auto"/>
      </w:pBdr>
      <w:tabs>
        <w:tab w:val="left" w:pos="7815"/>
        <w:tab w:val="right" w:pos="10204"/>
      </w:tabs>
      <w:jc w:val="left"/>
      <w:rPr>
        <w:b/>
      </w:rPr>
    </w:pPr>
    <w:r w:rsidRPr="009450DD">
      <w:rPr>
        <w:b/>
        <w:lang w:val="it-IT" w:eastAsia="it-IT"/>
      </w:rPr>
      <w:drawing>
        <wp:anchor distT="0" distB="0" distL="114300" distR="114300" simplePos="0" relativeHeight="251671040" behindDoc="0" locked="0" layoutInCell="1" allowOverlap="1" wp14:anchorId="019D16C3" wp14:editId="027EECCB">
          <wp:simplePos x="0" y="0"/>
          <wp:positionH relativeFrom="column">
            <wp:posOffset>28575</wp:posOffset>
          </wp:positionH>
          <wp:positionV relativeFrom="paragraph">
            <wp:posOffset>10795</wp:posOffset>
          </wp:positionV>
          <wp:extent cx="919480" cy="151130"/>
          <wp:effectExtent l="0" t="0" r="0" b="1270"/>
          <wp:wrapNone/>
          <wp:docPr id="14" name="Immagine 14"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919480" cy="151130"/>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9450DD" w:rsidRDefault="00A707D4" w:rsidP="00871879">
    <w:pPr>
      <w:pStyle w:val="Intestazione"/>
      <w:pBdr>
        <w:bottom w:val="none" w:sz="0" w:space="0" w:color="auto"/>
      </w:pBdr>
      <w:rPr>
        <w:b/>
      </w:rPr>
    </w:pPr>
    <w:r w:rsidRPr="009450DD">
      <w:rPr>
        <w:b/>
        <w:lang w:val="it-IT" w:eastAsia="it-IT"/>
      </w:rPr>
      <w:drawing>
        <wp:anchor distT="0" distB="0" distL="114300" distR="114300" simplePos="0" relativeHeight="251672064" behindDoc="0" locked="0" layoutInCell="1" allowOverlap="1" wp14:anchorId="5A4ED2D4" wp14:editId="1CFB055D">
          <wp:simplePos x="0" y="0"/>
          <wp:positionH relativeFrom="column">
            <wp:posOffset>-19685</wp:posOffset>
          </wp:positionH>
          <wp:positionV relativeFrom="paragraph">
            <wp:posOffset>108585</wp:posOffset>
          </wp:positionV>
          <wp:extent cx="920750" cy="152400"/>
          <wp:effectExtent l="19050" t="0" r="0" b="0"/>
          <wp:wrapNone/>
          <wp:docPr id="25"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920750" cy="152400"/>
                  </a:xfrm>
                  <a:prstGeom prst="rect">
                    <a:avLst/>
                  </a:prstGeom>
                  <a:noFill/>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21B32" w:rsidRDefault="00A707D4" w:rsidP="009C08EC">
    <w:pPr>
      <w:tabs>
        <w:tab w:val="right" w:pos="10206"/>
      </w:tabs>
      <w:spacing w:line="180" w:lineRule="exact"/>
      <w:ind w:left="992" w:hanging="992"/>
      <w:jc w:val="left"/>
      <w:rPr>
        <w:color w:val="0070C0"/>
        <w:sz w:val="16"/>
        <w:szCs w:val="16"/>
        <w:lang w:val="it-IT"/>
      </w:rPr>
    </w:pPr>
    <w:r w:rsidRPr="009450DD">
      <w:rPr>
        <w:b/>
        <w:noProof/>
        <w:lang w:val="it-IT" w:eastAsia="it-IT"/>
      </w:rPr>
      <w:drawing>
        <wp:anchor distT="0" distB="0" distL="114300" distR="114300" simplePos="0" relativeHeight="251646464" behindDoc="0" locked="0" layoutInCell="1" allowOverlap="1" wp14:anchorId="6509930E" wp14:editId="3B5B6ADC">
          <wp:simplePos x="0" y="0"/>
          <wp:positionH relativeFrom="column">
            <wp:posOffset>-27940</wp:posOffset>
          </wp:positionH>
          <wp:positionV relativeFrom="paragraph">
            <wp:posOffset>-11653</wp:posOffset>
          </wp:positionV>
          <wp:extent cx="919480" cy="151130"/>
          <wp:effectExtent l="0" t="0" r="0" b="1270"/>
          <wp:wrapNone/>
          <wp:docPr id="5"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r>
      <w:rPr>
        <w:b/>
        <w:lang w:val="it-IT"/>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E0D" w:rsidRDefault="00A707D4" w:rsidP="00FE034F">
    <w:pPr>
      <w:tabs>
        <w:tab w:val="right" w:pos="10206"/>
      </w:tabs>
      <w:spacing w:before="0" w:line="160" w:lineRule="exact"/>
      <w:ind w:left="992" w:hanging="992"/>
      <w:jc w:val="right"/>
      <w:rPr>
        <w:color w:val="0070C0"/>
        <w:sz w:val="16"/>
        <w:szCs w:val="16"/>
      </w:rPr>
    </w:pPr>
    <w:r w:rsidRPr="009450DD">
      <w:rPr>
        <w:b/>
        <w:noProof/>
        <w:lang w:val="it-IT" w:eastAsia="it-IT"/>
      </w:rPr>
      <w:drawing>
        <wp:anchor distT="0" distB="0" distL="114300" distR="114300" simplePos="0" relativeHeight="251674112" behindDoc="0" locked="0" layoutInCell="1" allowOverlap="1" wp14:anchorId="5BBD7F34" wp14:editId="0FC5D9DE">
          <wp:simplePos x="0" y="0"/>
          <wp:positionH relativeFrom="column">
            <wp:posOffset>-27940</wp:posOffset>
          </wp:positionH>
          <wp:positionV relativeFrom="paragraph">
            <wp:posOffset>110329</wp:posOffset>
          </wp:positionV>
          <wp:extent cx="919480" cy="151130"/>
          <wp:effectExtent l="0" t="0" r="0" b="1270"/>
          <wp:wrapNone/>
          <wp:docPr id="26"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14:sizeRelH relativeFrom="margin">
            <wp14:pctWidth>0</wp14:pctWidth>
          </wp14:sizeRelH>
          <wp14:sizeRelV relativeFrom="margin">
            <wp14:pctHeight>0</wp14:pctHeight>
          </wp14:sizeRelV>
        </wp:anchor>
      </w:drawing>
    </w:r>
    <w:r>
      <w:rPr>
        <w:b/>
        <w:lang w:val="it-IT"/>
      </w:rPr>
      <w:tab/>
    </w:r>
    <w:r>
      <w:rPr>
        <w:b/>
        <w:lang w:val="it-IT"/>
      </w:rPr>
      <w:tab/>
    </w:r>
    <w:r w:rsidR="005B7E0D" w:rsidRPr="006C1B60">
      <w:rPr>
        <w:color w:val="0070C0"/>
        <w:sz w:val="16"/>
        <w:szCs w:val="16"/>
      </w:rPr>
      <w:t>OIC</w:t>
    </w:r>
    <w:r w:rsidR="005B7E0D">
      <w:rPr>
        <w:color w:val="0070C0"/>
        <w:sz w:val="16"/>
        <w:szCs w:val="16"/>
      </w:rPr>
      <w:t>10</w:t>
    </w:r>
    <w:r w:rsidR="005B7E0D" w:rsidRPr="003E329F">
      <w:rPr>
        <w:color w:val="0070C0"/>
        <w:sz w:val="16"/>
        <w:szCs w:val="16"/>
      </w:rPr>
      <w:t xml:space="preserve"> </w:t>
    </w:r>
    <w:r w:rsidR="005B7E0D">
      <w:rPr>
        <w:color w:val="0070C0"/>
        <w:sz w:val="16"/>
        <w:szCs w:val="16"/>
      </w:rPr>
      <w:t>Rendiconto finanziario</w:t>
    </w:r>
  </w:p>
  <w:p w:rsidR="005B7E0D" w:rsidRDefault="005B7E0D" w:rsidP="00FE034F">
    <w:pPr>
      <w:tabs>
        <w:tab w:val="right" w:pos="10206"/>
      </w:tabs>
      <w:spacing w:before="0" w:line="160" w:lineRule="exact"/>
      <w:ind w:left="992" w:hanging="992"/>
      <w:jc w:val="right"/>
      <w:rPr>
        <w:color w:val="0070C0"/>
        <w:sz w:val="16"/>
        <w:szCs w:val="16"/>
      </w:rPr>
    </w:pPr>
    <w:r w:rsidRPr="006C1B60">
      <w:rPr>
        <w:color w:val="0070C0"/>
        <w:sz w:val="16"/>
        <w:szCs w:val="16"/>
      </w:rPr>
      <w:t>OIC</w:t>
    </w:r>
    <w:r>
      <w:rPr>
        <w:color w:val="0070C0"/>
        <w:sz w:val="16"/>
        <w:szCs w:val="16"/>
      </w:rPr>
      <w:t>12</w:t>
    </w:r>
    <w:r w:rsidRPr="003E329F">
      <w:rPr>
        <w:color w:val="0070C0"/>
        <w:sz w:val="16"/>
        <w:szCs w:val="16"/>
      </w:rPr>
      <w:t xml:space="preserve"> </w:t>
    </w:r>
    <w:r>
      <w:rPr>
        <w:color w:val="0070C0"/>
        <w:sz w:val="16"/>
        <w:szCs w:val="16"/>
      </w:rPr>
      <w:t>Bilancio d’esercizio</w:t>
    </w:r>
  </w:p>
  <w:p w:rsidR="00A707D4" w:rsidRDefault="00FE034F" w:rsidP="005B7E0D">
    <w:pPr>
      <w:tabs>
        <w:tab w:val="right" w:pos="10206"/>
      </w:tabs>
      <w:spacing w:before="0" w:after="120" w:line="160" w:lineRule="exact"/>
      <w:ind w:left="992" w:hanging="992"/>
      <w:jc w:val="right"/>
      <w:rPr>
        <w:color w:val="0070C0"/>
        <w:sz w:val="16"/>
        <w:szCs w:val="16"/>
        <w:lang w:val="it-IT"/>
      </w:rPr>
    </w:pPr>
    <w:r w:rsidRPr="006C1B60">
      <w:rPr>
        <w:color w:val="0070C0"/>
        <w:sz w:val="16"/>
        <w:szCs w:val="16"/>
      </w:rPr>
      <w:t>OIC</w:t>
    </w:r>
    <w:r w:rsidRPr="003E329F">
      <w:rPr>
        <w:color w:val="0070C0"/>
        <w:sz w:val="16"/>
        <w:szCs w:val="16"/>
      </w:rPr>
      <w:t>17 Sezione del bilancio consolidato</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693B33" w:rsidRDefault="00A707D4" w:rsidP="00D73E98">
    <w:pPr>
      <w:tabs>
        <w:tab w:val="left" w:pos="1890"/>
        <w:tab w:val="left" w:pos="6379"/>
      </w:tabs>
      <w:spacing w:line="180" w:lineRule="exact"/>
      <w:ind w:left="992" w:hanging="992"/>
      <w:jc w:val="left"/>
      <w:rPr>
        <w:color w:val="0070C0"/>
        <w:sz w:val="16"/>
        <w:szCs w:val="16"/>
        <w:lang w:val="it-IT"/>
      </w:rPr>
    </w:pPr>
    <w:r w:rsidRPr="009450DD">
      <w:rPr>
        <w:b/>
        <w:noProof/>
        <w:lang w:val="it-IT" w:eastAsia="it-IT"/>
      </w:rPr>
      <w:drawing>
        <wp:anchor distT="0" distB="0" distL="114300" distR="114300" simplePos="0" relativeHeight="251647488" behindDoc="0" locked="0" layoutInCell="1" allowOverlap="1" wp14:anchorId="64D0BB86" wp14:editId="36B702FC">
          <wp:simplePos x="0" y="0"/>
          <wp:positionH relativeFrom="column">
            <wp:posOffset>-27940</wp:posOffset>
          </wp:positionH>
          <wp:positionV relativeFrom="paragraph">
            <wp:posOffset>106985</wp:posOffset>
          </wp:positionV>
          <wp:extent cx="919480" cy="151130"/>
          <wp:effectExtent l="0" t="0" r="0" b="1270"/>
          <wp:wrapNone/>
          <wp:docPr id="3" name="Immagine 3"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p>
  <w:p w:rsidR="00A707D4" w:rsidRDefault="00A707D4" w:rsidP="00D73E98">
    <w:pPr>
      <w:tabs>
        <w:tab w:val="left" w:pos="5812"/>
        <w:tab w:val="right" w:pos="10206"/>
      </w:tabs>
      <w:spacing w:after="120" w:line="140" w:lineRule="exact"/>
      <w:ind w:left="992" w:hanging="992"/>
      <w:rPr>
        <w:color w:val="0070C0"/>
        <w:sz w:val="16"/>
        <w:szCs w:val="16"/>
        <w:lang w:val="it-IT"/>
      </w:rPr>
    </w:pPr>
    <w:r w:rsidRPr="00973011">
      <w:rPr>
        <w:b/>
        <w:lang w:val="it-IT"/>
      </w:rPr>
      <w:tab/>
    </w:r>
    <w:r>
      <w:rPr>
        <w:b/>
        <w:lang w:val="it-IT"/>
      </w:rPr>
      <w:tab/>
    </w:r>
    <w:r>
      <w:rPr>
        <w:color w:val="0070C0"/>
        <w:sz w:val="16"/>
        <w:szCs w:val="16"/>
        <w:lang w:val="it-IT"/>
      </w:rPr>
      <w:t xml:space="preserve">OIC 29 </w:t>
    </w:r>
    <w:r w:rsidRPr="00693B33">
      <w:rPr>
        <w:color w:val="0070C0"/>
        <w:sz w:val="16"/>
        <w:szCs w:val="16"/>
        <w:lang w:val="it-IT"/>
      </w:rPr>
      <w:t>Cambiamenti di principi contabili, cambiamenti di stime c</w:t>
    </w:r>
    <w:r>
      <w:rPr>
        <w:color w:val="0070C0"/>
        <w:sz w:val="16"/>
        <w:szCs w:val="16"/>
        <w:lang w:val="it-IT"/>
      </w:rPr>
      <w:t>ontabili,</w:t>
    </w:r>
    <w:r>
      <w:rPr>
        <w:color w:val="0070C0"/>
        <w:sz w:val="16"/>
        <w:szCs w:val="16"/>
        <w:lang w:val="it-IT"/>
      </w:rPr>
      <w:br/>
    </w:r>
    <w:r>
      <w:rPr>
        <w:color w:val="0070C0"/>
        <w:sz w:val="16"/>
        <w:szCs w:val="16"/>
        <w:lang w:val="it-IT"/>
      </w:rPr>
      <w:tab/>
    </w:r>
    <w:r>
      <w:rPr>
        <w:color w:val="0070C0"/>
        <w:sz w:val="16"/>
        <w:szCs w:val="16"/>
        <w:lang w:val="it-IT"/>
      </w:rPr>
      <w:tab/>
      <w:t xml:space="preserve">correzione di </w:t>
    </w:r>
    <w:r w:rsidRPr="00693B33">
      <w:rPr>
        <w:color w:val="0070C0"/>
        <w:sz w:val="16"/>
        <w:szCs w:val="16"/>
        <w:lang w:val="it-IT"/>
      </w:rPr>
      <w:t>errori, fatti intervenuti dopo la chiusura dell’esercizio</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9450DD" w:rsidRDefault="00A707D4" w:rsidP="00D73E98">
    <w:pPr>
      <w:pStyle w:val="Intestazione"/>
      <w:pBdr>
        <w:bottom w:val="none" w:sz="0" w:space="0" w:color="auto"/>
      </w:pBdr>
      <w:tabs>
        <w:tab w:val="clear" w:pos="9072"/>
        <w:tab w:val="left" w:pos="8080"/>
        <w:tab w:val="right" w:pos="10204"/>
      </w:tabs>
      <w:jc w:val="left"/>
      <w:rPr>
        <w:b/>
      </w:rPr>
    </w:pPr>
    <w:r w:rsidRPr="00E20497">
      <w:rPr>
        <w:color w:val="0070C0"/>
        <w:sz w:val="16"/>
        <w:szCs w:val="16"/>
      </w:rPr>
      <w:t xml:space="preserve">OIC 24 </w:t>
    </w:r>
    <w:r w:rsidRPr="00E20497">
      <w:rPr>
        <w:color w:val="0070C0"/>
        <w:sz w:val="16"/>
        <w:szCs w:val="16"/>
      </w:rPr>
      <w:tab/>
    </w:r>
    <w:r>
      <w:rPr>
        <w:color w:val="0070C0"/>
        <w:sz w:val="16"/>
        <w:szCs w:val="16"/>
      </w:rPr>
      <w:tab/>
      <w:t xml:space="preserve">OIC 24 </w:t>
    </w:r>
    <w:r w:rsidRPr="00E20497">
      <w:rPr>
        <w:color w:val="0070C0"/>
        <w:sz w:val="16"/>
        <w:szCs w:val="16"/>
      </w:rPr>
      <w:t>Immobilizzazioni immateriali</w:t>
    </w:r>
    <w:r w:rsidRPr="009450DD">
      <w:rPr>
        <w:b/>
        <w:lang w:val="it-IT" w:eastAsia="it-IT"/>
      </w:rPr>
      <w:drawing>
        <wp:anchor distT="0" distB="0" distL="114300" distR="114300" simplePos="0" relativeHeight="251649536" behindDoc="0" locked="0" layoutInCell="1" allowOverlap="1" wp14:anchorId="01612007" wp14:editId="06165ADA">
          <wp:simplePos x="0" y="0"/>
          <wp:positionH relativeFrom="column">
            <wp:posOffset>-27940</wp:posOffset>
          </wp:positionH>
          <wp:positionV relativeFrom="paragraph">
            <wp:posOffset>1270</wp:posOffset>
          </wp:positionV>
          <wp:extent cx="919480" cy="151130"/>
          <wp:effectExtent l="19050" t="0" r="0" b="0"/>
          <wp:wrapNone/>
          <wp:docPr id="6"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9450DD" w:rsidRDefault="00A707D4" w:rsidP="00D73E98">
    <w:pPr>
      <w:pStyle w:val="Intestazione"/>
      <w:pBdr>
        <w:bottom w:val="none" w:sz="0" w:space="0" w:color="auto"/>
      </w:pBdr>
      <w:tabs>
        <w:tab w:val="clear" w:pos="9072"/>
        <w:tab w:val="right" w:pos="10204"/>
      </w:tabs>
      <w:rPr>
        <w:b/>
      </w:rPr>
    </w:pPr>
    <w:r>
      <w:rPr>
        <w:color w:val="0070C0"/>
        <w:sz w:val="16"/>
        <w:szCs w:val="16"/>
      </w:rPr>
      <w:t xml:space="preserve">OIC 16 </w:t>
    </w:r>
    <w:r>
      <w:rPr>
        <w:color w:val="0070C0"/>
        <w:sz w:val="16"/>
        <w:szCs w:val="16"/>
      </w:rPr>
      <w:tab/>
      <w:t xml:space="preserve">OIC 16 </w:t>
    </w:r>
    <w:r w:rsidRPr="00D66047">
      <w:rPr>
        <w:color w:val="0070C0"/>
        <w:sz w:val="16"/>
        <w:szCs w:val="16"/>
      </w:rPr>
      <w:t>Immobilizzazioni materiali</w:t>
    </w:r>
    <w:r w:rsidRPr="009450DD">
      <w:rPr>
        <w:b/>
        <w:lang w:val="it-IT" w:eastAsia="it-IT"/>
      </w:rPr>
      <w:t xml:space="preserve"> </w:t>
    </w:r>
    <w:r w:rsidRPr="009450DD">
      <w:rPr>
        <w:b/>
        <w:lang w:val="it-IT" w:eastAsia="it-IT"/>
      </w:rPr>
      <w:drawing>
        <wp:anchor distT="0" distB="0" distL="114300" distR="114300" simplePos="0" relativeHeight="251648512" behindDoc="0" locked="0" layoutInCell="1" allowOverlap="1" wp14:anchorId="1C08F136" wp14:editId="1E1A54B9">
          <wp:simplePos x="0" y="0"/>
          <wp:positionH relativeFrom="column">
            <wp:posOffset>-27940</wp:posOffset>
          </wp:positionH>
          <wp:positionV relativeFrom="paragraph">
            <wp:posOffset>1270</wp:posOffset>
          </wp:positionV>
          <wp:extent cx="919480" cy="151130"/>
          <wp:effectExtent l="19050" t="0" r="0" b="0"/>
          <wp:wrapNone/>
          <wp:docPr id="4"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5677F2" w:rsidRDefault="00A707D4" w:rsidP="00D73E98">
    <w:pPr>
      <w:pStyle w:val="Intestazione"/>
      <w:pBdr>
        <w:bottom w:val="none" w:sz="0" w:space="0" w:color="auto"/>
      </w:pBdr>
      <w:ind w:right="-2"/>
      <w:jc w:val="right"/>
      <w:rPr>
        <w:sz w:val="16"/>
        <w:szCs w:val="16"/>
        <w:lang w:val="it-IT"/>
      </w:rPr>
    </w:pPr>
    <w:r w:rsidRPr="00E766F4">
      <w:rPr>
        <w:color w:val="0070C0"/>
        <w:sz w:val="16"/>
        <w:szCs w:val="16"/>
        <w:lang w:val="it-IT"/>
      </w:rPr>
      <w:t>OIC 9 Svalutazioni per perdite durevoli di valore delle immobilizzazioni materiali e immateriali</w:t>
    </w:r>
    <w:r w:rsidRPr="00E766F4">
      <w:rPr>
        <w:sz w:val="16"/>
        <w:szCs w:val="16"/>
        <w:lang w:val="it-IT" w:eastAsia="it-IT"/>
      </w:rPr>
      <w:drawing>
        <wp:anchor distT="0" distB="0" distL="114300" distR="114300" simplePos="0" relativeHeight="251650560" behindDoc="0" locked="0" layoutInCell="1" allowOverlap="1" wp14:anchorId="366C237F" wp14:editId="6D9A9347">
          <wp:simplePos x="0" y="0"/>
          <wp:positionH relativeFrom="column">
            <wp:posOffset>-27940</wp:posOffset>
          </wp:positionH>
          <wp:positionV relativeFrom="paragraph">
            <wp:posOffset>1270</wp:posOffset>
          </wp:positionV>
          <wp:extent cx="919480" cy="151130"/>
          <wp:effectExtent l="19050" t="0" r="0" b="0"/>
          <wp:wrapNone/>
          <wp:docPr id="1"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9450DD" w:rsidRDefault="00A707D4" w:rsidP="00D73E98">
    <w:pPr>
      <w:tabs>
        <w:tab w:val="left" w:pos="1890"/>
      </w:tabs>
      <w:spacing w:line="260" w:lineRule="exact"/>
      <w:ind w:left="990" w:hanging="990"/>
      <w:jc w:val="left"/>
    </w:pPr>
    <w:r w:rsidRPr="009450DD">
      <w:rPr>
        <w:b/>
        <w:noProof/>
        <w:lang w:val="it-IT" w:eastAsia="it-IT"/>
      </w:rPr>
      <w:drawing>
        <wp:anchor distT="0" distB="0" distL="114300" distR="114300" simplePos="0" relativeHeight="251651584" behindDoc="0" locked="0" layoutInCell="1" allowOverlap="1" wp14:anchorId="2C67CBC1" wp14:editId="25007F56">
          <wp:simplePos x="0" y="0"/>
          <wp:positionH relativeFrom="column">
            <wp:posOffset>-27940</wp:posOffset>
          </wp:positionH>
          <wp:positionV relativeFrom="paragraph">
            <wp:posOffset>6086</wp:posOffset>
          </wp:positionV>
          <wp:extent cx="919480" cy="151130"/>
          <wp:effectExtent l="0" t="0" r="0" b="1270"/>
          <wp:wrapNone/>
          <wp:docPr id="2"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14:sizeRelH relativeFrom="margin">
            <wp14:pctWidth>0</wp14:pctWidth>
          </wp14:sizeRelH>
          <wp14:sizeRelV relativeFrom="margin">
            <wp14:pctHeight>0</wp14:pctHeight>
          </wp14:sizeRelV>
        </wp:anchor>
      </w:drawing>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color w:val="0070C0"/>
        <w:sz w:val="16"/>
        <w:szCs w:val="16"/>
      </w:rPr>
      <w:t xml:space="preserve">OIC 20 </w:t>
    </w:r>
    <w:r w:rsidRPr="008D5932">
      <w:rPr>
        <w:color w:val="0070C0"/>
        <w:sz w:val="16"/>
        <w:szCs w:val="16"/>
      </w:rPr>
      <w:t>Titoli di debito</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D36B1E" w:rsidRDefault="00A707D4" w:rsidP="00D36B1E">
    <w:pPr>
      <w:tabs>
        <w:tab w:val="left" w:pos="1890"/>
        <w:tab w:val="right" w:pos="10206"/>
        <w:tab w:val="left" w:pos="10410"/>
      </w:tabs>
      <w:spacing w:line="260" w:lineRule="exact"/>
      <w:ind w:left="990" w:hanging="990"/>
      <w:jc w:val="left"/>
      <w:rPr>
        <w:color w:val="0070C0"/>
        <w:sz w:val="16"/>
        <w:szCs w:val="16"/>
      </w:rPr>
    </w:pPr>
    <w:r w:rsidRPr="009450DD">
      <w:rPr>
        <w:b/>
        <w:noProof/>
        <w:lang w:val="it-IT" w:eastAsia="it-IT"/>
      </w:rPr>
      <w:drawing>
        <wp:anchor distT="0" distB="0" distL="114300" distR="114300" simplePos="0" relativeHeight="251652608" behindDoc="0" locked="0" layoutInCell="1" allowOverlap="1" wp14:anchorId="3B30FAEF" wp14:editId="6117655C">
          <wp:simplePos x="0" y="0"/>
          <wp:positionH relativeFrom="column">
            <wp:posOffset>-27305</wp:posOffset>
          </wp:positionH>
          <wp:positionV relativeFrom="paragraph">
            <wp:posOffset>46025</wp:posOffset>
          </wp:positionV>
          <wp:extent cx="919480" cy="151130"/>
          <wp:effectExtent l="0" t="0" r="0" b="1270"/>
          <wp:wrapNone/>
          <wp:docPr id="7"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14:sizeRelH relativeFrom="margin">
            <wp14:pctWidth>0</wp14:pctWidth>
          </wp14:sizeRelH>
          <wp14:sizeRelV relativeFrom="margin">
            <wp14:pctHeight>0</wp14:pctHeight>
          </wp14:sizeRelV>
        </wp:anchor>
      </w:drawing>
    </w:r>
    <w:r>
      <w:rPr>
        <w:b/>
      </w:rPr>
      <w:tab/>
    </w:r>
    <w:r>
      <w:rPr>
        <w:b/>
      </w:rPr>
      <w:tab/>
    </w:r>
    <w:r>
      <w:rPr>
        <w:b/>
      </w:rPr>
      <w:tab/>
    </w:r>
    <w:r w:rsidRPr="004C0C7A">
      <w:rPr>
        <w:color w:val="0070C0"/>
        <w:sz w:val="16"/>
        <w:szCs w:val="16"/>
      </w:rPr>
      <w:t>OIC 21 Partecipazioni</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21103" w:rsidRDefault="00A707D4" w:rsidP="00D73E98">
    <w:pPr>
      <w:tabs>
        <w:tab w:val="right" w:pos="10206"/>
      </w:tabs>
      <w:spacing w:line="260" w:lineRule="exact"/>
      <w:ind w:left="990" w:hanging="990"/>
      <w:rPr>
        <w:color w:val="0070C0"/>
        <w:sz w:val="16"/>
        <w:szCs w:val="16"/>
        <w:lang w:val="it-IT"/>
      </w:rPr>
    </w:pPr>
    <w:r w:rsidRPr="009450DD">
      <w:rPr>
        <w:b/>
        <w:noProof/>
        <w:lang w:val="it-IT" w:eastAsia="it-IT"/>
      </w:rPr>
      <w:drawing>
        <wp:anchor distT="0" distB="0" distL="114300" distR="114300" simplePos="0" relativeHeight="251653632" behindDoc="0" locked="0" layoutInCell="1" allowOverlap="1" wp14:anchorId="59985FA6" wp14:editId="459A4C5B">
          <wp:simplePos x="0" y="0"/>
          <wp:positionH relativeFrom="column">
            <wp:posOffset>-27940</wp:posOffset>
          </wp:positionH>
          <wp:positionV relativeFrom="paragraph">
            <wp:posOffset>-6046</wp:posOffset>
          </wp:positionV>
          <wp:extent cx="919480" cy="151130"/>
          <wp:effectExtent l="0" t="0" r="0" b="1270"/>
          <wp:wrapNone/>
          <wp:docPr id="8"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r>
      <w:rPr>
        <w:b/>
        <w:lang w:val="it-IT"/>
      </w:rPr>
      <w:tab/>
    </w:r>
    <w:r w:rsidRPr="00F402E2">
      <w:rPr>
        <w:color w:val="0070C0"/>
        <w:sz w:val="16"/>
        <w:szCs w:val="16"/>
        <w:lang w:val="it-IT"/>
      </w:rPr>
      <w:t xml:space="preserve">OIC </w:t>
    </w:r>
    <w:r w:rsidRPr="00F402E2">
      <w:rPr>
        <w:color w:val="0070C0"/>
        <w:sz w:val="16"/>
        <w:szCs w:val="16"/>
        <w:lang w:val="it-IT"/>
      </w:rPr>
      <w:tab/>
    </w:r>
    <w:r>
      <w:rPr>
        <w:color w:val="0070C0"/>
        <w:sz w:val="16"/>
        <w:szCs w:val="16"/>
        <w:lang w:val="it-IT"/>
      </w:rPr>
      <w:t xml:space="preserve">OIC 17 </w:t>
    </w:r>
    <w:r w:rsidRPr="00F402E2">
      <w:rPr>
        <w:color w:val="0070C0"/>
        <w:sz w:val="16"/>
        <w:szCs w:val="16"/>
        <w:lang w:val="it-IT"/>
      </w:rPr>
      <w:t>Bilancio cons</w:t>
    </w:r>
    <w:r>
      <w:rPr>
        <w:color w:val="0070C0"/>
        <w:sz w:val="16"/>
        <w:szCs w:val="16"/>
        <w:lang w:val="it-IT"/>
      </w:rPr>
      <w:t xml:space="preserve">olidato e metodo del patrimonio </w:t>
    </w:r>
    <w:r w:rsidRPr="00F402E2">
      <w:rPr>
        <w:color w:val="0070C0"/>
        <w:sz w:val="16"/>
        <w:szCs w:val="16"/>
        <w:lang w:val="it-IT"/>
      </w:rPr>
      <w:t>netto</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E590F" w:rsidRDefault="00A707D4" w:rsidP="00D73E98">
    <w:pPr>
      <w:tabs>
        <w:tab w:val="left" w:pos="1890"/>
      </w:tabs>
      <w:spacing w:line="260" w:lineRule="exact"/>
      <w:ind w:left="990" w:hanging="990"/>
      <w:jc w:val="left"/>
      <w:rPr>
        <w:color w:val="0070C0"/>
        <w:sz w:val="16"/>
        <w:szCs w:val="16"/>
      </w:rPr>
    </w:pPr>
    <w:r w:rsidRPr="009450DD">
      <w:rPr>
        <w:b/>
        <w:noProof/>
        <w:lang w:val="it-IT" w:eastAsia="it-IT"/>
      </w:rPr>
      <w:drawing>
        <wp:anchor distT="0" distB="0" distL="114300" distR="114300" simplePos="0" relativeHeight="251654656" behindDoc="0" locked="0" layoutInCell="1" allowOverlap="1" wp14:anchorId="4B700BDC" wp14:editId="2483D7BB">
          <wp:simplePos x="0" y="0"/>
          <wp:positionH relativeFrom="column">
            <wp:posOffset>12700</wp:posOffset>
          </wp:positionH>
          <wp:positionV relativeFrom="paragraph">
            <wp:posOffset>22530</wp:posOffset>
          </wp:positionV>
          <wp:extent cx="835025" cy="136525"/>
          <wp:effectExtent l="0" t="0" r="0" b="0"/>
          <wp:wrapNone/>
          <wp:docPr id="9"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835025" cy="136525"/>
                  </a:xfrm>
                  <a:prstGeom prst="rect">
                    <a:avLst/>
                  </a:prstGeom>
                  <a:noFill/>
                </pic:spPr>
              </pic:pic>
            </a:graphicData>
          </a:graphic>
          <wp14:sizeRelH relativeFrom="margin">
            <wp14:pctWidth>0</wp14:pctWidth>
          </wp14:sizeRelH>
          <wp14:sizeRelV relativeFrom="margin">
            <wp14:pctHeight>0</wp14:pctHeight>
          </wp14:sizeRelV>
        </wp:anchor>
      </w:drawing>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sidRPr="004E1529">
      <w:rPr>
        <w:color w:val="0070C0"/>
        <w:sz w:val="16"/>
        <w:szCs w:val="16"/>
      </w:rPr>
      <w:t>OIC 13 R</w:t>
    </w:r>
    <w:r w:rsidRPr="004E1529">
      <w:rPr>
        <w:color w:val="0070C0"/>
        <w:sz w:val="16"/>
        <w:szCs w:val="16"/>
        <w:lang w:val="it-IT"/>
      </w:rPr>
      <w:t>imanenze</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7A10E8" w:rsidRDefault="00A707D4" w:rsidP="00D73E98">
    <w:pPr>
      <w:tabs>
        <w:tab w:val="left" w:pos="1890"/>
      </w:tabs>
      <w:spacing w:line="260" w:lineRule="exact"/>
      <w:ind w:left="990" w:hanging="990"/>
      <w:jc w:val="left"/>
      <w:rPr>
        <w:color w:val="0070C0"/>
        <w:sz w:val="16"/>
        <w:szCs w:val="16"/>
        <w:lang w:val="it-IT"/>
      </w:rPr>
    </w:pPr>
    <w:r>
      <w:rPr>
        <w:noProof/>
        <w:lang w:val="it-IT" w:eastAsia="it-IT"/>
      </w:rPr>
      <w:drawing>
        <wp:anchor distT="0" distB="0" distL="114300" distR="114300" simplePos="0" relativeHeight="251655680" behindDoc="0" locked="0" layoutInCell="1" allowOverlap="1" wp14:anchorId="0684B099" wp14:editId="2B77982D">
          <wp:simplePos x="0" y="0"/>
          <wp:positionH relativeFrom="column">
            <wp:posOffset>-27940</wp:posOffset>
          </wp:positionH>
          <wp:positionV relativeFrom="paragraph">
            <wp:posOffset>23969</wp:posOffset>
          </wp:positionV>
          <wp:extent cx="919480" cy="151130"/>
          <wp:effectExtent l="0" t="0" r="0" b="1270"/>
          <wp:wrapNone/>
          <wp:docPr id="10" name="Immagine 10"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919480" cy="151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7A10E8">
      <w:rPr>
        <w:color w:val="0070C0"/>
        <w:sz w:val="16"/>
        <w:szCs w:val="16"/>
        <w:lang w:val="it-IT"/>
      </w:rPr>
      <w:t xml:space="preserve">OIC 23 </w:t>
    </w:r>
    <w:r w:rsidRPr="007A10E8">
      <w:rPr>
        <w:color w:val="0070C0"/>
        <w:sz w:val="16"/>
        <w:szCs w:val="16"/>
        <w:lang w:val="it-IT"/>
      </w:rPr>
      <w:tab/>
      <w:t xml:space="preserve">Lavori in corso su ordinazione </w:t>
    </w:r>
  </w:p>
  <w:p w:rsidR="00A707D4" w:rsidRPr="00445361" w:rsidRDefault="00A707D4" w:rsidP="00D73E98">
    <w:pPr>
      <w:pStyle w:val="Intestazione"/>
      <w:pBdr>
        <w:bottom w:val="none" w:sz="0" w:space="0" w:color="auto"/>
      </w:pBdr>
      <w:tabs>
        <w:tab w:val="left" w:pos="8433"/>
        <w:tab w:val="right" w:pos="10204"/>
      </w:tabs>
      <w:jc w:val="left"/>
      <w:rPr>
        <w:b/>
        <w:lang w:val="it-IT"/>
      </w:rPr>
    </w:pPr>
    <w:r w:rsidRPr="00FC7162">
      <w:rPr>
        <w:b/>
        <w:lang w:val="it-IT"/>
      </w:rPr>
      <w:tab/>
    </w:r>
    <w:r w:rsidRPr="00FC7162">
      <w:rPr>
        <w:b/>
        <w:lang w:val="it-IT"/>
      </w:rPr>
      <w:tab/>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9450DD" w:rsidRDefault="00A707D4" w:rsidP="00D73E98">
    <w:pPr>
      <w:tabs>
        <w:tab w:val="left" w:pos="1890"/>
        <w:tab w:val="right" w:pos="10065"/>
      </w:tabs>
      <w:spacing w:line="260" w:lineRule="exact"/>
      <w:ind w:left="990" w:hanging="990"/>
      <w:jc w:val="left"/>
    </w:pPr>
    <w:r w:rsidRPr="009450DD">
      <w:rPr>
        <w:b/>
        <w:noProof/>
        <w:lang w:val="it-IT" w:eastAsia="it-IT"/>
      </w:rPr>
      <w:drawing>
        <wp:anchor distT="0" distB="0" distL="114300" distR="114300" simplePos="0" relativeHeight="251656704" behindDoc="0" locked="0" layoutInCell="1" allowOverlap="1" wp14:anchorId="070D5E70" wp14:editId="26ECA7DC">
          <wp:simplePos x="0" y="0"/>
          <wp:positionH relativeFrom="column">
            <wp:posOffset>-27940</wp:posOffset>
          </wp:positionH>
          <wp:positionV relativeFrom="paragraph">
            <wp:posOffset>2209</wp:posOffset>
          </wp:positionV>
          <wp:extent cx="919480" cy="151130"/>
          <wp:effectExtent l="0" t="0" r="0" b="1270"/>
          <wp:wrapNone/>
          <wp:docPr id="11"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r>
      <w:rPr>
        <w:b/>
      </w:rPr>
      <w:tab/>
    </w:r>
    <w:r>
      <w:rPr>
        <w:b/>
      </w:rPr>
      <w:tab/>
    </w:r>
    <w:r>
      <w:rPr>
        <w:b/>
      </w:rPr>
      <w:tab/>
    </w:r>
    <w:r w:rsidRPr="005F166B">
      <w:rPr>
        <w:color w:val="0070C0"/>
        <w:sz w:val="16"/>
        <w:szCs w:val="16"/>
      </w:rPr>
      <w:t>OIC 15  Crediti</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A52F91" w:rsidRDefault="00A707D4" w:rsidP="00D73E98">
    <w:pPr>
      <w:tabs>
        <w:tab w:val="left" w:pos="1890"/>
        <w:tab w:val="right" w:pos="10206"/>
      </w:tabs>
      <w:spacing w:line="260" w:lineRule="exact"/>
      <w:ind w:left="990" w:hanging="990"/>
      <w:jc w:val="left"/>
      <w:rPr>
        <w:color w:val="0070C0"/>
        <w:sz w:val="16"/>
        <w:szCs w:val="16"/>
      </w:rPr>
    </w:pPr>
    <w:r w:rsidRPr="009450DD">
      <w:rPr>
        <w:b/>
        <w:noProof/>
        <w:lang w:val="it-IT" w:eastAsia="it-IT"/>
      </w:rPr>
      <w:drawing>
        <wp:anchor distT="0" distB="0" distL="114300" distR="114300" simplePos="0" relativeHeight="251657728" behindDoc="0" locked="0" layoutInCell="1" allowOverlap="1" wp14:anchorId="7890E44E" wp14:editId="69937853">
          <wp:simplePos x="0" y="0"/>
          <wp:positionH relativeFrom="column">
            <wp:posOffset>-27940</wp:posOffset>
          </wp:positionH>
          <wp:positionV relativeFrom="paragraph">
            <wp:posOffset>6350</wp:posOffset>
          </wp:positionV>
          <wp:extent cx="919480" cy="151130"/>
          <wp:effectExtent l="0" t="0" r="0" b="1270"/>
          <wp:wrapNone/>
          <wp:docPr id="12"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14:sizeRelH relativeFrom="margin">
            <wp14:pctWidth>0</wp14:pctWidth>
          </wp14:sizeRelH>
          <wp14:sizeRelV relativeFrom="margin">
            <wp14:pctHeight>0</wp14:pctHeight>
          </wp14:sizeRelV>
        </wp:anchor>
      </w:drawing>
    </w:r>
    <w:r>
      <w:rPr>
        <w:b/>
      </w:rPr>
      <w:tab/>
    </w:r>
    <w:r>
      <w:rPr>
        <w:b/>
      </w:rPr>
      <w:tab/>
    </w:r>
    <w:r>
      <w:rPr>
        <w:b/>
      </w:rPr>
      <w:tab/>
    </w:r>
    <w:r>
      <w:rPr>
        <w:color w:val="0070C0"/>
        <w:sz w:val="16"/>
        <w:szCs w:val="16"/>
      </w:rPr>
      <w:t xml:space="preserve">OIC 18 </w:t>
    </w:r>
    <w:r w:rsidRPr="004A18FC">
      <w:rPr>
        <w:color w:val="0070C0"/>
        <w:sz w:val="16"/>
        <w:szCs w:val="16"/>
      </w:rPr>
      <w:t>R</w:t>
    </w:r>
    <w:r w:rsidRPr="004A18FC">
      <w:rPr>
        <w:color w:val="0070C0"/>
        <w:sz w:val="16"/>
        <w:szCs w:val="16"/>
        <w:lang w:val="it-IT"/>
      </w:rPr>
      <w:t>atei e risconti</w:t>
    </w:r>
    <w:r>
      <w:rPr>
        <w:b/>
      </w:rPr>
      <w:tab/>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01441D" w:rsidRDefault="00A707D4" w:rsidP="00D73E98">
    <w:pPr>
      <w:tabs>
        <w:tab w:val="left" w:pos="1890"/>
      </w:tabs>
      <w:spacing w:line="260" w:lineRule="exact"/>
      <w:ind w:left="990" w:hanging="990"/>
      <w:jc w:val="left"/>
      <w:rPr>
        <w:color w:val="0070C0"/>
        <w:sz w:val="16"/>
        <w:szCs w:val="16"/>
      </w:rPr>
    </w:pPr>
    <w:r w:rsidRPr="009450DD">
      <w:rPr>
        <w:b/>
        <w:noProof/>
        <w:lang w:val="it-IT" w:eastAsia="it-IT"/>
      </w:rPr>
      <w:drawing>
        <wp:anchor distT="0" distB="0" distL="114300" distR="114300" simplePos="0" relativeHeight="251658752" behindDoc="0" locked="0" layoutInCell="1" allowOverlap="1" wp14:anchorId="0047AA08" wp14:editId="5852B4AB">
          <wp:simplePos x="0" y="0"/>
          <wp:positionH relativeFrom="column">
            <wp:posOffset>-27940</wp:posOffset>
          </wp:positionH>
          <wp:positionV relativeFrom="paragraph">
            <wp:posOffset>16984</wp:posOffset>
          </wp:positionV>
          <wp:extent cx="919480" cy="151130"/>
          <wp:effectExtent l="0" t="0" r="0" b="1270"/>
          <wp:wrapNone/>
          <wp:docPr id="13"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sidRPr="00A542EC">
      <w:rPr>
        <w:color w:val="0070C0"/>
        <w:sz w:val="16"/>
        <w:szCs w:val="16"/>
      </w:rPr>
      <w:t xml:space="preserve">OIC 14 </w:t>
    </w:r>
    <w:r w:rsidRPr="00A542EC">
      <w:rPr>
        <w:color w:val="0070C0"/>
        <w:sz w:val="16"/>
        <w:szCs w:val="16"/>
      </w:rPr>
      <w:tab/>
      <w:t>Disponibilità liquide</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9450DD" w:rsidRDefault="00A707D4" w:rsidP="009450DD">
    <w:pPr>
      <w:pStyle w:val="Intestazione"/>
      <w:pBdr>
        <w:bottom w:val="none" w:sz="0" w:space="0" w:color="auto"/>
      </w:pBdr>
      <w:jc w:val="right"/>
      <w:rPr>
        <w:b/>
      </w:rPr>
    </w:pPr>
    <w:r>
      <w:rPr>
        <w:color w:val="0070C0"/>
        <w:sz w:val="16"/>
      </w:rPr>
      <w:t>OIC</w:t>
    </w:r>
    <w:r w:rsidRPr="001B31C0">
      <w:rPr>
        <w:color w:val="0070C0"/>
        <w:sz w:val="16"/>
      </w:rPr>
      <w:tab/>
    </w:r>
    <w:r>
      <w:rPr>
        <w:color w:val="0070C0"/>
        <w:sz w:val="16"/>
      </w:rPr>
      <w:t>OIC 28</w:t>
    </w:r>
    <w:r w:rsidRPr="001B31C0">
      <w:rPr>
        <w:color w:val="0070C0"/>
        <w:sz w:val="16"/>
      </w:rPr>
      <w:t xml:space="preserve"> </w:t>
    </w:r>
    <w:r w:rsidRPr="009450DD">
      <w:rPr>
        <w:b/>
        <w:lang w:val="it-IT" w:eastAsia="it-IT"/>
      </w:rPr>
      <w:drawing>
        <wp:anchor distT="0" distB="0" distL="114300" distR="114300" simplePos="0" relativeHeight="251659776" behindDoc="0" locked="0" layoutInCell="1" allowOverlap="1" wp14:anchorId="0579C612" wp14:editId="2BB05511">
          <wp:simplePos x="0" y="0"/>
          <wp:positionH relativeFrom="column">
            <wp:posOffset>-27940</wp:posOffset>
          </wp:positionH>
          <wp:positionV relativeFrom="paragraph">
            <wp:posOffset>1270</wp:posOffset>
          </wp:positionV>
          <wp:extent cx="919480" cy="151130"/>
          <wp:effectExtent l="19050" t="0" r="0" b="0"/>
          <wp:wrapNone/>
          <wp:docPr id="15"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r>
      <w:rPr>
        <w:color w:val="0070C0"/>
        <w:sz w:val="16"/>
      </w:rPr>
      <w:t>Patrimonio netto</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BC17DD" w:rsidRDefault="00A707D4" w:rsidP="009450DD">
    <w:pPr>
      <w:pStyle w:val="Intestazione"/>
      <w:pBdr>
        <w:bottom w:val="none" w:sz="0" w:space="0" w:color="auto"/>
      </w:pBdr>
      <w:jc w:val="right"/>
      <w:rPr>
        <w:color w:val="0070C0"/>
        <w:sz w:val="16"/>
        <w:szCs w:val="16"/>
        <w:lang w:val="it-IT"/>
      </w:rPr>
    </w:pPr>
    <w:r>
      <w:rPr>
        <w:color w:val="0070C0"/>
        <w:sz w:val="16"/>
        <w:szCs w:val="16"/>
        <w:lang w:val="it-IT" w:eastAsia="it-IT"/>
      </w:rPr>
      <w:drawing>
        <wp:anchor distT="0" distB="0" distL="114300" distR="114300" simplePos="0" relativeHeight="251660800" behindDoc="0" locked="0" layoutInCell="1" allowOverlap="1" wp14:anchorId="7378C483" wp14:editId="7B17CBC0">
          <wp:simplePos x="0" y="0"/>
          <wp:positionH relativeFrom="column">
            <wp:posOffset>-27940</wp:posOffset>
          </wp:positionH>
          <wp:positionV relativeFrom="paragraph">
            <wp:posOffset>1270</wp:posOffset>
          </wp:positionV>
          <wp:extent cx="919480" cy="151130"/>
          <wp:effectExtent l="0" t="0" r="0" b="1270"/>
          <wp:wrapNone/>
          <wp:docPr id="16" name="Immagine 16"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919480" cy="151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17DD">
      <w:rPr>
        <w:color w:val="0070C0"/>
        <w:sz w:val="16"/>
        <w:szCs w:val="16"/>
        <w:lang w:val="it-IT"/>
      </w:rPr>
      <w:t>OIC 31 Fondi per rischi e oneri</w:t>
    </w:r>
    <w:r>
      <w:rPr>
        <w:color w:val="0070C0"/>
        <w:sz w:val="16"/>
        <w:szCs w:val="16"/>
        <w:lang w:val="it-IT"/>
      </w:rPr>
      <w:t xml:space="preserve"> </w:t>
    </w:r>
    <w:r w:rsidRPr="006A4EB5">
      <w:rPr>
        <w:color w:val="0070C0"/>
        <w:sz w:val="16"/>
        <w:szCs w:val="16"/>
        <w:lang w:val="it-IT"/>
      </w:rPr>
      <w:t>e trattamento di fine rapporto</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4065D1" w:rsidRDefault="00A707D4" w:rsidP="000D7E0A">
    <w:pPr>
      <w:spacing w:line="260" w:lineRule="exact"/>
      <w:ind w:left="990" w:hanging="990"/>
      <w:jc w:val="left"/>
      <w:rPr>
        <w:color w:val="0070C0"/>
        <w:sz w:val="18"/>
        <w:szCs w:val="18"/>
        <w:lang w:val="it-IT"/>
      </w:rPr>
    </w:pPr>
    <w:r w:rsidRPr="009450DD">
      <w:rPr>
        <w:b/>
        <w:noProof/>
        <w:lang w:val="it-IT" w:eastAsia="it-IT"/>
      </w:rPr>
      <w:drawing>
        <wp:anchor distT="0" distB="0" distL="114300" distR="114300" simplePos="0" relativeHeight="251661824" behindDoc="0" locked="0" layoutInCell="1" allowOverlap="1" wp14:anchorId="794E1620" wp14:editId="43B3C0E9">
          <wp:simplePos x="0" y="0"/>
          <wp:positionH relativeFrom="column">
            <wp:posOffset>-27940</wp:posOffset>
          </wp:positionH>
          <wp:positionV relativeFrom="paragraph">
            <wp:posOffset>6824</wp:posOffset>
          </wp:positionV>
          <wp:extent cx="919480" cy="151130"/>
          <wp:effectExtent l="0" t="0" r="0" b="1270"/>
          <wp:wrapNone/>
          <wp:docPr id="17"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14:sizeRelH relativeFrom="margin">
            <wp14:pctWidth>0</wp14:pctWidth>
          </wp14:sizeRelH>
          <wp14:sizeRelV relativeFrom="margin">
            <wp14:pctHeight>0</wp14:pctHeight>
          </wp14:sizeRelV>
        </wp:anchor>
      </w:drawing>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sidRPr="006B5EA0">
      <w:rPr>
        <w:color w:val="0070C0"/>
        <w:sz w:val="16"/>
        <w:szCs w:val="18"/>
        <w:lang w:val="it-IT"/>
      </w:rPr>
      <w:t>OIC 19 Debiti</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1B31C0" w:rsidRDefault="00A707D4" w:rsidP="000D7E0A">
    <w:pPr>
      <w:pStyle w:val="Intestazione"/>
      <w:pBdr>
        <w:bottom w:val="none" w:sz="0" w:space="0" w:color="auto"/>
      </w:pBdr>
      <w:tabs>
        <w:tab w:val="clear" w:pos="9072"/>
        <w:tab w:val="left" w:pos="1397"/>
      </w:tabs>
      <w:ind w:right="-2"/>
      <w:jc w:val="right"/>
    </w:pPr>
    <w:r>
      <w:rPr>
        <w:lang w:val="it-IT" w:eastAsia="it-IT"/>
      </w:rPr>
      <w:drawing>
        <wp:anchor distT="0" distB="0" distL="114300" distR="114300" simplePos="0" relativeHeight="251662848" behindDoc="0" locked="0" layoutInCell="1" allowOverlap="1" wp14:anchorId="61FC8B13" wp14:editId="30704F57">
          <wp:simplePos x="0" y="0"/>
          <wp:positionH relativeFrom="column">
            <wp:posOffset>-27940</wp:posOffset>
          </wp:positionH>
          <wp:positionV relativeFrom="paragraph">
            <wp:posOffset>1270</wp:posOffset>
          </wp:positionV>
          <wp:extent cx="919480" cy="151130"/>
          <wp:effectExtent l="19050" t="0" r="0" b="0"/>
          <wp:wrapNone/>
          <wp:docPr id="18"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Pr="001B31C0">
      <w:rPr>
        <w:color w:val="0070C0"/>
        <w:sz w:val="16"/>
      </w:rPr>
      <w:t xml:space="preserve">OIC 32 </w:t>
    </w:r>
    <w:r w:rsidRPr="001B31C0">
      <w:rPr>
        <w:color w:val="0070C0"/>
        <w:sz w:val="16"/>
      </w:rPr>
      <w:tab/>
      <w:t xml:space="preserve"> Strumenti finanziari derivati</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764A71" w:rsidRDefault="00A707D4" w:rsidP="009450DD">
    <w:pPr>
      <w:pStyle w:val="Intestazione"/>
      <w:pBdr>
        <w:bottom w:val="none" w:sz="0" w:space="0" w:color="auto"/>
      </w:pBdr>
      <w:jc w:val="right"/>
      <w:rPr>
        <w:sz w:val="16"/>
        <w:szCs w:val="16"/>
        <w:lang w:val="it-IT"/>
      </w:rPr>
    </w:pPr>
    <w:r w:rsidRPr="005040A1">
      <w:rPr>
        <w:color w:val="0070C0"/>
        <w:sz w:val="16"/>
        <w:szCs w:val="16"/>
        <w:lang w:val="it-IT" w:eastAsia="it-IT"/>
      </w:rPr>
      <w:drawing>
        <wp:anchor distT="0" distB="0" distL="114300" distR="114300" simplePos="0" relativeHeight="251663872" behindDoc="0" locked="0" layoutInCell="1" allowOverlap="1" wp14:anchorId="480C9894" wp14:editId="26463BC9">
          <wp:simplePos x="0" y="0"/>
          <wp:positionH relativeFrom="column">
            <wp:posOffset>-27940</wp:posOffset>
          </wp:positionH>
          <wp:positionV relativeFrom="paragraph">
            <wp:posOffset>1270</wp:posOffset>
          </wp:positionV>
          <wp:extent cx="919480" cy="151130"/>
          <wp:effectExtent l="19050" t="0" r="0" b="0"/>
          <wp:wrapNone/>
          <wp:docPr id="19"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r w:rsidRPr="00764A71">
      <w:rPr>
        <w:color w:val="0070C0"/>
        <w:sz w:val="16"/>
        <w:szCs w:val="16"/>
        <w:lang w:val="it-IT"/>
      </w:rPr>
      <w:t>OIC 26 Operazioni, attività e passività in valuta estera</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9450DD" w:rsidRDefault="00A707D4" w:rsidP="000D7E0A">
    <w:pPr>
      <w:pStyle w:val="Intestazione"/>
      <w:pBdr>
        <w:bottom w:val="none" w:sz="0" w:space="0" w:color="auto"/>
      </w:pBdr>
      <w:tabs>
        <w:tab w:val="left" w:pos="8640"/>
        <w:tab w:val="right" w:pos="10204"/>
      </w:tabs>
      <w:jc w:val="left"/>
      <w:rPr>
        <w:b/>
      </w:rPr>
    </w:pPr>
    <w:r>
      <w:rPr>
        <w:b/>
      </w:rPr>
      <w:tab/>
    </w:r>
    <w:r>
      <w:rPr>
        <w:b/>
      </w:rPr>
      <w:tab/>
    </w:r>
    <w:r>
      <w:rPr>
        <w:color w:val="0070C0"/>
        <w:sz w:val="16"/>
        <w:szCs w:val="16"/>
      </w:rPr>
      <w:t xml:space="preserve">OIC 25 </w:t>
    </w:r>
    <w:r w:rsidRPr="002C1CAB">
      <w:rPr>
        <w:color w:val="0070C0"/>
        <w:sz w:val="16"/>
        <w:szCs w:val="16"/>
      </w:rPr>
      <w:t>Imposte sul reddito</w:t>
    </w:r>
    <w:r w:rsidRPr="009450DD">
      <w:rPr>
        <w:b/>
        <w:lang w:val="it-IT" w:eastAsia="it-IT"/>
      </w:rPr>
      <w:t xml:space="preserve"> </w:t>
    </w:r>
    <w:r w:rsidRPr="009450DD">
      <w:rPr>
        <w:b/>
        <w:lang w:val="it-IT" w:eastAsia="it-IT"/>
      </w:rPr>
      <w:drawing>
        <wp:anchor distT="0" distB="0" distL="114300" distR="114300" simplePos="0" relativeHeight="251664896" behindDoc="0" locked="0" layoutInCell="1" allowOverlap="1" wp14:anchorId="30124FFB" wp14:editId="49931AE3">
          <wp:simplePos x="0" y="0"/>
          <wp:positionH relativeFrom="column">
            <wp:posOffset>-27940</wp:posOffset>
          </wp:positionH>
          <wp:positionV relativeFrom="paragraph">
            <wp:posOffset>1270</wp:posOffset>
          </wp:positionV>
          <wp:extent cx="919480" cy="151130"/>
          <wp:effectExtent l="19050" t="0" r="0" b="0"/>
          <wp:wrapNone/>
          <wp:docPr id="20"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212232" w:rsidRDefault="00A707D4" w:rsidP="000D7E0A">
    <w:pPr>
      <w:tabs>
        <w:tab w:val="left" w:pos="1890"/>
      </w:tabs>
      <w:spacing w:line="260" w:lineRule="exact"/>
      <w:ind w:left="990" w:hanging="990"/>
      <w:jc w:val="left"/>
      <w:rPr>
        <w:color w:val="0070C0"/>
        <w:sz w:val="16"/>
        <w:szCs w:val="16"/>
        <w:lang w:val="it-IT"/>
      </w:rPr>
    </w:pPr>
    <w:r>
      <w:rPr>
        <w:noProof/>
        <w:lang w:val="it-IT" w:eastAsia="it-IT"/>
      </w:rPr>
      <w:drawing>
        <wp:anchor distT="0" distB="0" distL="114300" distR="114300" simplePos="0" relativeHeight="251665920" behindDoc="0" locked="0" layoutInCell="1" allowOverlap="1" wp14:anchorId="623C93E9" wp14:editId="49032F61">
          <wp:simplePos x="0" y="0"/>
          <wp:positionH relativeFrom="column">
            <wp:posOffset>-27940</wp:posOffset>
          </wp:positionH>
          <wp:positionV relativeFrom="paragraph">
            <wp:posOffset>1682</wp:posOffset>
          </wp:positionV>
          <wp:extent cx="919480" cy="151130"/>
          <wp:effectExtent l="0" t="0" r="0" b="1270"/>
          <wp:wrapNone/>
          <wp:docPr id="21" name="Immagine 2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919480" cy="151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454676">
      <w:rPr>
        <w:color w:val="0070C0"/>
        <w:sz w:val="16"/>
        <w:szCs w:val="16"/>
        <w:lang w:val="it-IT"/>
      </w:rPr>
      <w:t>OIC 2 Patrimoni destinati ad uno specifico affare</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871FBE" w:rsidRDefault="00A707D4" w:rsidP="000D7E0A">
    <w:pPr>
      <w:tabs>
        <w:tab w:val="left" w:pos="1890"/>
        <w:tab w:val="right" w:pos="10206"/>
      </w:tabs>
      <w:spacing w:line="260" w:lineRule="exact"/>
      <w:rPr>
        <w:color w:val="0070C0"/>
        <w:sz w:val="16"/>
        <w:szCs w:val="16"/>
      </w:rPr>
    </w:pPr>
    <w:r w:rsidRPr="009450DD">
      <w:rPr>
        <w:b/>
        <w:noProof/>
        <w:lang w:val="it-IT" w:eastAsia="it-IT"/>
      </w:rPr>
      <w:drawing>
        <wp:anchor distT="0" distB="0" distL="114300" distR="114300" simplePos="0" relativeHeight="251666944" behindDoc="0" locked="0" layoutInCell="1" allowOverlap="1" wp14:anchorId="1A3D7EFF" wp14:editId="443DBF8C">
          <wp:simplePos x="0" y="0"/>
          <wp:positionH relativeFrom="column">
            <wp:posOffset>-27940</wp:posOffset>
          </wp:positionH>
          <wp:positionV relativeFrom="paragraph">
            <wp:posOffset>50961</wp:posOffset>
          </wp:positionV>
          <wp:extent cx="918845" cy="150495"/>
          <wp:effectExtent l="0" t="0" r="0" b="1905"/>
          <wp:wrapNone/>
          <wp:docPr id="22"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8845" cy="150495"/>
                  </a:xfrm>
                  <a:prstGeom prst="rect">
                    <a:avLst/>
                  </a:prstGeom>
                  <a:noFill/>
                </pic:spPr>
              </pic:pic>
            </a:graphicData>
          </a:graphic>
          <wp14:sizeRelH relativeFrom="margin">
            <wp14:pctWidth>0</wp14:pctWidth>
          </wp14:sizeRelH>
          <wp14:sizeRelV relativeFrom="margin">
            <wp14:pctHeight>0</wp14:pctHeight>
          </wp14:sizeRelV>
        </wp:anchor>
      </w:drawing>
    </w:r>
    <w:r>
      <w:rPr>
        <w:color w:val="0070C0"/>
        <w:sz w:val="16"/>
        <w:szCs w:val="16"/>
      </w:rPr>
      <w:tab/>
    </w:r>
    <w:r>
      <w:rPr>
        <w:color w:val="0070C0"/>
        <w:sz w:val="16"/>
        <w:szCs w:val="16"/>
      </w:rPr>
      <w:tab/>
      <w:t xml:space="preserve">OIC 4 </w:t>
    </w:r>
    <w:r w:rsidRPr="00A238D4">
      <w:rPr>
        <w:color w:val="0070C0"/>
        <w:sz w:val="16"/>
        <w:szCs w:val="16"/>
      </w:rPr>
      <w:t>Fusione e scissione</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DA4837" w:rsidRDefault="00A707D4" w:rsidP="000D7E0A">
    <w:pPr>
      <w:tabs>
        <w:tab w:val="left" w:pos="1752"/>
        <w:tab w:val="left" w:pos="1890"/>
      </w:tabs>
      <w:spacing w:line="260" w:lineRule="exact"/>
      <w:ind w:left="990" w:hanging="990"/>
      <w:jc w:val="left"/>
      <w:rPr>
        <w:color w:val="0070C0"/>
        <w:sz w:val="16"/>
        <w:szCs w:val="16"/>
      </w:rPr>
    </w:pPr>
    <w:r w:rsidRPr="009450DD">
      <w:rPr>
        <w:b/>
        <w:noProof/>
        <w:lang w:val="it-IT" w:eastAsia="it-IT"/>
      </w:rPr>
      <w:drawing>
        <wp:anchor distT="0" distB="0" distL="114300" distR="114300" simplePos="0" relativeHeight="251667968" behindDoc="0" locked="0" layoutInCell="1" allowOverlap="1" wp14:anchorId="40EBB205" wp14:editId="2D19453B">
          <wp:simplePos x="0" y="0"/>
          <wp:positionH relativeFrom="column">
            <wp:posOffset>-27940</wp:posOffset>
          </wp:positionH>
          <wp:positionV relativeFrom="paragraph">
            <wp:posOffset>7459</wp:posOffset>
          </wp:positionV>
          <wp:extent cx="919480" cy="151130"/>
          <wp:effectExtent l="0" t="0" r="0" b="1270"/>
          <wp:wrapNone/>
          <wp:docPr id="23"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color w:val="0070C0"/>
        <w:sz w:val="16"/>
        <w:szCs w:val="16"/>
      </w:rPr>
      <w:t xml:space="preserve">OIC 7 </w:t>
    </w:r>
    <w:r w:rsidRPr="00F24592">
      <w:rPr>
        <w:color w:val="0070C0"/>
        <w:sz w:val="16"/>
        <w:szCs w:val="16"/>
      </w:rPr>
      <w:t>Certificati verdi</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7D4" w:rsidRPr="004E6585" w:rsidRDefault="00A707D4" w:rsidP="000D7E0A">
    <w:pPr>
      <w:tabs>
        <w:tab w:val="left" w:pos="1890"/>
      </w:tabs>
      <w:spacing w:line="260" w:lineRule="exact"/>
      <w:ind w:left="990" w:hanging="990"/>
      <w:jc w:val="left"/>
      <w:rPr>
        <w:sz w:val="16"/>
        <w:szCs w:val="16"/>
        <w:lang w:val="it-IT"/>
      </w:rPr>
    </w:pPr>
    <w:r w:rsidRPr="009450DD">
      <w:rPr>
        <w:b/>
        <w:noProof/>
        <w:lang w:val="it-IT" w:eastAsia="it-IT"/>
      </w:rPr>
      <w:drawing>
        <wp:anchor distT="0" distB="0" distL="114300" distR="114300" simplePos="0" relativeHeight="251668992" behindDoc="0" locked="0" layoutInCell="1" allowOverlap="1" wp14:anchorId="030E743C" wp14:editId="5C8DCC0E">
          <wp:simplePos x="0" y="0"/>
          <wp:positionH relativeFrom="column">
            <wp:posOffset>-27940</wp:posOffset>
          </wp:positionH>
          <wp:positionV relativeFrom="paragraph">
            <wp:posOffset>9195</wp:posOffset>
          </wp:positionV>
          <wp:extent cx="919480" cy="151130"/>
          <wp:effectExtent l="0" t="0" r="0" b="1270"/>
          <wp:wrapNone/>
          <wp:docPr id="24"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Pr>
        <w:color w:val="0070C0"/>
        <w:sz w:val="16"/>
        <w:szCs w:val="16"/>
        <w:lang w:val="it-IT"/>
      </w:rPr>
      <w:t xml:space="preserve">OIC 8 </w:t>
    </w:r>
    <w:r w:rsidRPr="00452C40">
      <w:rPr>
        <w:color w:val="0070C0"/>
        <w:sz w:val="16"/>
        <w:szCs w:val="16"/>
        <w:lang w:val="it-IT"/>
      </w:rPr>
      <w:t>Quote di emissione di gas ad effetto serra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DBD2C496"/>
    <w:lvl w:ilvl="0">
      <w:start w:val="1"/>
      <w:numFmt w:val="decimal"/>
      <w:pStyle w:val="Numeroelenco"/>
      <w:lvlText w:val="%1)"/>
      <w:lvlJc w:val="left"/>
      <w:pPr>
        <w:ind w:left="644" w:hanging="360"/>
      </w:pPr>
      <w:rPr>
        <w:rFonts w:hint="default"/>
        <w:b/>
        <w:color w:val="auto"/>
      </w:rPr>
    </w:lvl>
  </w:abstractNum>
  <w:abstractNum w:abstractNumId="1">
    <w:nsid w:val="003A704B"/>
    <w:multiLevelType w:val="hybridMultilevel"/>
    <w:tmpl w:val="675E1C74"/>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2">
    <w:nsid w:val="01066EDE"/>
    <w:multiLevelType w:val="hybridMultilevel"/>
    <w:tmpl w:val="3AB24B7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3673A1B"/>
    <w:multiLevelType w:val="hybridMultilevel"/>
    <w:tmpl w:val="65D2A59E"/>
    <w:lvl w:ilvl="0" w:tplc="FE243E3E">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4">
    <w:nsid w:val="073D50C8"/>
    <w:multiLevelType w:val="hybridMultilevel"/>
    <w:tmpl w:val="303264BC"/>
    <w:lvl w:ilvl="0" w:tplc="714E38DE">
      <w:start w:val="1"/>
      <w:numFmt w:val="lowerLetter"/>
      <w:lvlText w:val="(%1)"/>
      <w:lvlJc w:val="left"/>
      <w:pPr>
        <w:ind w:left="417" w:hanging="360"/>
      </w:pPr>
      <w:rPr>
        <w:rFonts w:hint="default"/>
      </w:rPr>
    </w:lvl>
    <w:lvl w:ilvl="1" w:tplc="04100019" w:tentative="1">
      <w:start w:val="1"/>
      <w:numFmt w:val="lowerLetter"/>
      <w:lvlText w:val="%2."/>
      <w:lvlJc w:val="left"/>
      <w:pPr>
        <w:ind w:left="1137" w:hanging="360"/>
      </w:pPr>
    </w:lvl>
    <w:lvl w:ilvl="2" w:tplc="0410001B" w:tentative="1">
      <w:start w:val="1"/>
      <w:numFmt w:val="lowerRoman"/>
      <w:lvlText w:val="%3."/>
      <w:lvlJc w:val="right"/>
      <w:pPr>
        <w:ind w:left="1857" w:hanging="180"/>
      </w:pPr>
    </w:lvl>
    <w:lvl w:ilvl="3" w:tplc="0410000F" w:tentative="1">
      <w:start w:val="1"/>
      <w:numFmt w:val="decimal"/>
      <w:lvlText w:val="%4."/>
      <w:lvlJc w:val="left"/>
      <w:pPr>
        <w:ind w:left="2577" w:hanging="360"/>
      </w:pPr>
    </w:lvl>
    <w:lvl w:ilvl="4" w:tplc="04100019" w:tentative="1">
      <w:start w:val="1"/>
      <w:numFmt w:val="lowerLetter"/>
      <w:lvlText w:val="%5."/>
      <w:lvlJc w:val="left"/>
      <w:pPr>
        <w:ind w:left="3297" w:hanging="360"/>
      </w:pPr>
    </w:lvl>
    <w:lvl w:ilvl="5" w:tplc="0410001B" w:tentative="1">
      <w:start w:val="1"/>
      <w:numFmt w:val="lowerRoman"/>
      <w:lvlText w:val="%6."/>
      <w:lvlJc w:val="right"/>
      <w:pPr>
        <w:ind w:left="4017" w:hanging="180"/>
      </w:pPr>
    </w:lvl>
    <w:lvl w:ilvl="6" w:tplc="0410000F" w:tentative="1">
      <w:start w:val="1"/>
      <w:numFmt w:val="decimal"/>
      <w:lvlText w:val="%7."/>
      <w:lvlJc w:val="left"/>
      <w:pPr>
        <w:ind w:left="4737" w:hanging="360"/>
      </w:pPr>
    </w:lvl>
    <w:lvl w:ilvl="7" w:tplc="04100019" w:tentative="1">
      <w:start w:val="1"/>
      <w:numFmt w:val="lowerLetter"/>
      <w:lvlText w:val="%8."/>
      <w:lvlJc w:val="left"/>
      <w:pPr>
        <w:ind w:left="5457" w:hanging="360"/>
      </w:pPr>
    </w:lvl>
    <w:lvl w:ilvl="8" w:tplc="0410001B" w:tentative="1">
      <w:start w:val="1"/>
      <w:numFmt w:val="lowerRoman"/>
      <w:lvlText w:val="%9."/>
      <w:lvlJc w:val="right"/>
      <w:pPr>
        <w:ind w:left="6177" w:hanging="180"/>
      </w:pPr>
    </w:lvl>
  </w:abstractNum>
  <w:abstractNum w:abstractNumId="5">
    <w:nsid w:val="083A4356"/>
    <w:multiLevelType w:val="hybridMultilevel"/>
    <w:tmpl w:val="C48A9CC4"/>
    <w:lvl w:ilvl="0" w:tplc="D93C8826">
      <w:start w:val="1"/>
      <w:numFmt w:val="lowerRoman"/>
      <w:lvlText w:val="%1."/>
      <w:lvlJc w:val="left"/>
      <w:pPr>
        <w:ind w:left="1177" w:hanging="720"/>
      </w:pPr>
      <w:rPr>
        <w:rFonts w:hint="default"/>
      </w:rPr>
    </w:lvl>
    <w:lvl w:ilvl="1" w:tplc="04100019" w:tentative="1">
      <w:start w:val="1"/>
      <w:numFmt w:val="lowerLetter"/>
      <w:lvlText w:val="%2."/>
      <w:lvlJc w:val="left"/>
      <w:pPr>
        <w:ind w:left="1537" w:hanging="360"/>
      </w:pPr>
    </w:lvl>
    <w:lvl w:ilvl="2" w:tplc="0410001B" w:tentative="1">
      <w:start w:val="1"/>
      <w:numFmt w:val="lowerRoman"/>
      <w:lvlText w:val="%3."/>
      <w:lvlJc w:val="right"/>
      <w:pPr>
        <w:ind w:left="2257" w:hanging="180"/>
      </w:pPr>
    </w:lvl>
    <w:lvl w:ilvl="3" w:tplc="0410000F" w:tentative="1">
      <w:start w:val="1"/>
      <w:numFmt w:val="decimal"/>
      <w:lvlText w:val="%4."/>
      <w:lvlJc w:val="left"/>
      <w:pPr>
        <w:ind w:left="2977" w:hanging="360"/>
      </w:pPr>
    </w:lvl>
    <w:lvl w:ilvl="4" w:tplc="04100019" w:tentative="1">
      <w:start w:val="1"/>
      <w:numFmt w:val="lowerLetter"/>
      <w:lvlText w:val="%5."/>
      <w:lvlJc w:val="left"/>
      <w:pPr>
        <w:ind w:left="3697" w:hanging="360"/>
      </w:pPr>
    </w:lvl>
    <w:lvl w:ilvl="5" w:tplc="0410001B" w:tentative="1">
      <w:start w:val="1"/>
      <w:numFmt w:val="lowerRoman"/>
      <w:lvlText w:val="%6."/>
      <w:lvlJc w:val="right"/>
      <w:pPr>
        <w:ind w:left="4417" w:hanging="180"/>
      </w:pPr>
    </w:lvl>
    <w:lvl w:ilvl="6" w:tplc="0410000F" w:tentative="1">
      <w:start w:val="1"/>
      <w:numFmt w:val="decimal"/>
      <w:lvlText w:val="%7."/>
      <w:lvlJc w:val="left"/>
      <w:pPr>
        <w:ind w:left="5137" w:hanging="360"/>
      </w:pPr>
    </w:lvl>
    <w:lvl w:ilvl="7" w:tplc="04100019" w:tentative="1">
      <w:start w:val="1"/>
      <w:numFmt w:val="lowerLetter"/>
      <w:lvlText w:val="%8."/>
      <w:lvlJc w:val="left"/>
      <w:pPr>
        <w:ind w:left="5857" w:hanging="360"/>
      </w:pPr>
    </w:lvl>
    <w:lvl w:ilvl="8" w:tplc="0410001B" w:tentative="1">
      <w:start w:val="1"/>
      <w:numFmt w:val="lowerRoman"/>
      <w:lvlText w:val="%9."/>
      <w:lvlJc w:val="right"/>
      <w:pPr>
        <w:ind w:left="6577" w:hanging="180"/>
      </w:pPr>
    </w:lvl>
  </w:abstractNum>
  <w:abstractNum w:abstractNumId="6">
    <w:nsid w:val="08711909"/>
    <w:multiLevelType w:val="multilevel"/>
    <w:tmpl w:val="0410001D"/>
    <w:styleLink w:val="Rientro1"/>
    <w:lvl w:ilvl="0">
      <w:start w:val="1"/>
      <w:numFmt w:val="decimal"/>
      <w:lvlText w:val="%1)"/>
      <w:lvlJc w:val="left"/>
      <w:pPr>
        <w:ind w:left="360" w:hanging="360"/>
      </w:pPr>
    </w:lvl>
    <w:lvl w:ilvl="1">
      <w:start w:val="1"/>
      <w:numFmt w:val="lowerLetter"/>
      <w:lvlText w:val="%2)"/>
      <w:lvlJc w:val="left"/>
      <w:pPr>
        <w:ind w:left="720" w:hanging="360"/>
      </w:pPr>
      <w:rPr>
        <w:rFonts w:ascii="Arial Narrow" w:hAnsi="Arial Narrow"/>
        <w:sz w:val="18"/>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08927B50"/>
    <w:multiLevelType w:val="hybridMultilevel"/>
    <w:tmpl w:val="E1CABA32"/>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8">
    <w:nsid w:val="094A7F38"/>
    <w:multiLevelType w:val="hybridMultilevel"/>
    <w:tmpl w:val="FF9229AC"/>
    <w:lvl w:ilvl="0" w:tplc="D0C22DD0">
      <w:start w:val="18"/>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0A447F78"/>
    <w:multiLevelType w:val="hybridMultilevel"/>
    <w:tmpl w:val="E43E9C34"/>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10">
    <w:nsid w:val="0A8A0234"/>
    <w:multiLevelType w:val="hybridMultilevel"/>
    <w:tmpl w:val="9AB20412"/>
    <w:lvl w:ilvl="0" w:tplc="67E0726A">
      <w:start w:val="3"/>
      <w:numFmt w:val="bullet"/>
      <w:lvlText w:val="-"/>
      <w:lvlJc w:val="left"/>
      <w:pPr>
        <w:ind w:left="820" w:hanging="360"/>
      </w:pPr>
      <w:rPr>
        <w:rFonts w:ascii="Arial Narrow" w:eastAsia="Times New Roman" w:hAnsi="Arial Narrow" w:cs="Times New Roman" w:hint="default"/>
      </w:rPr>
    </w:lvl>
    <w:lvl w:ilvl="1" w:tplc="04100003" w:tentative="1">
      <w:start w:val="1"/>
      <w:numFmt w:val="bullet"/>
      <w:lvlText w:val="o"/>
      <w:lvlJc w:val="left"/>
      <w:pPr>
        <w:ind w:left="1540" w:hanging="360"/>
      </w:pPr>
      <w:rPr>
        <w:rFonts w:ascii="Courier New" w:hAnsi="Courier New" w:cs="Courier New" w:hint="default"/>
      </w:rPr>
    </w:lvl>
    <w:lvl w:ilvl="2" w:tplc="04100005" w:tentative="1">
      <w:start w:val="1"/>
      <w:numFmt w:val="bullet"/>
      <w:lvlText w:val=""/>
      <w:lvlJc w:val="left"/>
      <w:pPr>
        <w:ind w:left="2260" w:hanging="360"/>
      </w:pPr>
      <w:rPr>
        <w:rFonts w:ascii="Wingdings" w:hAnsi="Wingdings" w:hint="default"/>
      </w:rPr>
    </w:lvl>
    <w:lvl w:ilvl="3" w:tplc="04100001" w:tentative="1">
      <w:start w:val="1"/>
      <w:numFmt w:val="bullet"/>
      <w:lvlText w:val=""/>
      <w:lvlJc w:val="left"/>
      <w:pPr>
        <w:ind w:left="2980" w:hanging="360"/>
      </w:pPr>
      <w:rPr>
        <w:rFonts w:ascii="Symbol" w:hAnsi="Symbol" w:hint="default"/>
      </w:rPr>
    </w:lvl>
    <w:lvl w:ilvl="4" w:tplc="04100003" w:tentative="1">
      <w:start w:val="1"/>
      <w:numFmt w:val="bullet"/>
      <w:lvlText w:val="o"/>
      <w:lvlJc w:val="left"/>
      <w:pPr>
        <w:ind w:left="3700" w:hanging="360"/>
      </w:pPr>
      <w:rPr>
        <w:rFonts w:ascii="Courier New" w:hAnsi="Courier New" w:cs="Courier New" w:hint="default"/>
      </w:rPr>
    </w:lvl>
    <w:lvl w:ilvl="5" w:tplc="04100005" w:tentative="1">
      <w:start w:val="1"/>
      <w:numFmt w:val="bullet"/>
      <w:lvlText w:val=""/>
      <w:lvlJc w:val="left"/>
      <w:pPr>
        <w:ind w:left="4420" w:hanging="360"/>
      </w:pPr>
      <w:rPr>
        <w:rFonts w:ascii="Wingdings" w:hAnsi="Wingdings" w:hint="default"/>
      </w:rPr>
    </w:lvl>
    <w:lvl w:ilvl="6" w:tplc="04100001" w:tentative="1">
      <w:start w:val="1"/>
      <w:numFmt w:val="bullet"/>
      <w:lvlText w:val=""/>
      <w:lvlJc w:val="left"/>
      <w:pPr>
        <w:ind w:left="5140" w:hanging="360"/>
      </w:pPr>
      <w:rPr>
        <w:rFonts w:ascii="Symbol" w:hAnsi="Symbol" w:hint="default"/>
      </w:rPr>
    </w:lvl>
    <w:lvl w:ilvl="7" w:tplc="04100003" w:tentative="1">
      <w:start w:val="1"/>
      <w:numFmt w:val="bullet"/>
      <w:lvlText w:val="o"/>
      <w:lvlJc w:val="left"/>
      <w:pPr>
        <w:ind w:left="5860" w:hanging="360"/>
      </w:pPr>
      <w:rPr>
        <w:rFonts w:ascii="Courier New" w:hAnsi="Courier New" w:cs="Courier New" w:hint="default"/>
      </w:rPr>
    </w:lvl>
    <w:lvl w:ilvl="8" w:tplc="04100005" w:tentative="1">
      <w:start w:val="1"/>
      <w:numFmt w:val="bullet"/>
      <w:lvlText w:val=""/>
      <w:lvlJc w:val="left"/>
      <w:pPr>
        <w:ind w:left="6580" w:hanging="360"/>
      </w:pPr>
      <w:rPr>
        <w:rFonts w:ascii="Wingdings" w:hAnsi="Wingdings" w:hint="default"/>
      </w:rPr>
    </w:lvl>
  </w:abstractNum>
  <w:abstractNum w:abstractNumId="11">
    <w:nsid w:val="0C89103C"/>
    <w:multiLevelType w:val="hybridMultilevel"/>
    <w:tmpl w:val="D1761CC6"/>
    <w:lvl w:ilvl="0" w:tplc="564C2AB8">
      <w:start w:val="1"/>
      <w:numFmt w:val="bullet"/>
      <w:pStyle w:val="Puntoelenco"/>
      <w:lvlText w:val="-"/>
      <w:lvlJc w:val="left"/>
      <w:pPr>
        <w:tabs>
          <w:tab w:val="num" w:pos="704"/>
        </w:tabs>
        <w:ind w:left="704" w:hanging="420"/>
      </w:pPr>
      <w:rPr>
        <w:rFonts w:ascii="Arial Narrow" w:hAnsi="Arial Narrow" w:hint="default"/>
        <w:b w:val="0"/>
        <w:i w:val="0"/>
        <w:sz w:val="20"/>
        <w:u w:val="no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B15EFA"/>
    <w:multiLevelType w:val="hybridMultilevel"/>
    <w:tmpl w:val="C140334A"/>
    <w:lvl w:ilvl="0" w:tplc="04100013">
      <w:start w:val="1"/>
      <w:numFmt w:val="upperRoman"/>
      <w:lvlText w:val="%1."/>
      <w:lvlJc w:val="right"/>
      <w:pPr>
        <w:tabs>
          <w:tab w:val="num" w:pos="780"/>
        </w:tabs>
        <w:ind w:left="780" w:hanging="420"/>
      </w:pPr>
      <w:rPr>
        <w:rFonts w:hint="default"/>
        <w:b w:val="0"/>
        <w:i w:val="0"/>
        <w:sz w:val="20"/>
        <w:u w:val="no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E53281D"/>
    <w:multiLevelType w:val="hybridMultilevel"/>
    <w:tmpl w:val="20E8EC94"/>
    <w:lvl w:ilvl="0" w:tplc="8DCC3FFA">
      <w:start w:val="1"/>
      <w:numFmt w:val="decimal"/>
      <w:pStyle w:val="Rientro10"/>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0E592C41"/>
    <w:multiLevelType w:val="hybridMultilevel"/>
    <w:tmpl w:val="F5508B54"/>
    <w:lvl w:ilvl="0" w:tplc="9EF0E486">
      <w:start w:val="1"/>
      <w:numFmt w:val="bullet"/>
      <w:pStyle w:val="Puntoelenco2"/>
      <w:lvlText w:val="."/>
      <w:lvlJc w:val="left"/>
      <w:pPr>
        <w:ind w:left="1003" w:hanging="360"/>
      </w:pPr>
      <w:rPr>
        <w:rFonts w:ascii="Times New Roman" w:hAnsi="Times New Roman" w:cs="Times New Roman" w:hint="default"/>
        <w:sz w:val="16"/>
      </w:rPr>
    </w:lvl>
    <w:lvl w:ilvl="1" w:tplc="04100003" w:tentative="1">
      <w:start w:val="1"/>
      <w:numFmt w:val="bullet"/>
      <w:lvlText w:val="o"/>
      <w:lvlJc w:val="left"/>
      <w:pPr>
        <w:ind w:left="1723" w:hanging="360"/>
      </w:pPr>
      <w:rPr>
        <w:rFonts w:ascii="Courier New" w:hAnsi="Courier New" w:cs="Courier New" w:hint="default"/>
      </w:rPr>
    </w:lvl>
    <w:lvl w:ilvl="2" w:tplc="04100005" w:tentative="1">
      <w:start w:val="1"/>
      <w:numFmt w:val="bullet"/>
      <w:lvlText w:val=""/>
      <w:lvlJc w:val="left"/>
      <w:pPr>
        <w:ind w:left="2443" w:hanging="360"/>
      </w:pPr>
      <w:rPr>
        <w:rFonts w:ascii="Wingdings" w:hAnsi="Wingdings" w:hint="default"/>
      </w:rPr>
    </w:lvl>
    <w:lvl w:ilvl="3" w:tplc="04100001" w:tentative="1">
      <w:start w:val="1"/>
      <w:numFmt w:val="bullet"/>
      <w:lvlText w:val=""/>
      <w:lvlJc w:val="left"/>
      <w:pPr>
        <w:ind w:left="3163" w:hanging="360"/>
      </w:pPr>
      <w:rPr>
        <w:rFonts w:ascii="Symbol" w:hAnsi="Symbol" w:hint="default"/>
      </w:rPr>
    </w:lvl>
    <w:lvl w:ilvl="4" w:tplc="04100003" w:tentative="1">
      <w:start w:val="1"/>
      <w:numFmt w:val="bullet"/>
      <w:lvlText w:val="o"/>
      <w:lvlJc w:val="left"/>
      <w:pPr>
        <w:ind w:left="3883" w:hanging="360"/>
      </w:pPr>
      <w:rPr>
        <w:rFonts w:ascii="Courier New" w:hAnsi="Courier New" w:cs="Courier New" w:hint="default"/>
      </w:rPr>
    </w:lvl>
    <w:lvl w:ilvl="5" w:tplc="04100005" w:tentative="1">
      <w:start w:val="1"/>
      <w:numFmt w:val="bullet"/>
      <w:lvlText w:val=""/>
      <w:lvlJc w:val="left"/>
      <w:pPr>
        <w:ind w:left="4603" w:hanging="360"/>
      </w:pPr>
      <w:rPr>
        <w:rFonts w:ascii="Wingdings" w:hAnsi="Wingdings" w:hint="default"/>
      </w:rPr>
    </w:lvl>
    <w:lvl w:ilvl="6" w:tplc="04100001" w:tentative="1">
      <w:start w:val="1"/>
      <w:numFmt w:val="bullet"/>
      <w:lvlText w:val=""/>
      <w:lvlJc w:val="left"/>
      <w:pPr>
        <w:ind w:left="5323" w:hanging="360"/>
      </w:pPr>
      <w:rPr>
        <w:rFonts w:ascii="Symbol" w:hAnsi="Symbol" w:hint="default"/>
      </w:rPr>
    </w:lvl>
    <w:lvl w:ilvl="7" w:tplc="04100003" w:tentative="1">
      <w:start w:val="1"/>
      <w:numFmt w:val="bullet"/>
      <w:lvlText w:val="o"/>
      <w:lvlJc w:val="left"/>
      <w:pPr>
        <w:ind w:left="6043" w:hanging="360"/>
      </w:pPr>
      <w:rPr>
        <w:rFonts w:ascii="Courier New" w:hAnsi="Courier New" w:cs="Courier New" w:hint="default"/>
      </w:rPr>
    </w:lvl>
    <w:lvl w:ilvl="8" w:tplc="04100005" w:tentative="1">
      <w:start w:val="1"/>
      <w:numFmt w:val="bullet"/>
      <w:lvlText w:val=""/>
      <w:lvlJc w:val="left"/>
      <w:pPr>
        <w:ind w:left="6763" w:hanging="360"/>
      </w:pPr>
      <w:rPr>
        <w:rFonts w:ascii="Wingdings" w:hAnsi="Wingdings" w:hint="default"/>
      </w:rPr>
    </w:lvl>
  </w:abstractNum>
  <w:abstractNum w:abstractNumId="15">
    <w:nsid w:val="130E2EA8"/>
    <w:multiLevelType w:val="multilevel"/>
    <w:tmpl w:val="E7F66776"/>
    <w:lvl w:ilvl="0">
      <w:start w:val="1"/>
      <w:numFmt w:val="lowerRoman"/>
      <w:pStyle w:val="Rientroi"/>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14647304"/>
    <w:multiLevelType w:val="hybridMultilevel"/>
    <w:tmpl w:val="89F61524"/>
    <w:lvl w:ilvl="0" w:tplc="04100017">
      <w:start w:val="1"/>
      <w:numFmt w:val="lowerLetter"/>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7">
    <w:nsid w:val="14B34525"/>
    <w:multiLevelType w:val="hybridMultilevel"/>
    <w:tmpl w:val="49E8C6B6"/>
    <w:lvl w:ilvl="0" w:tplc="8F96EBAA">
      <w:start w:val="1"/>
      <w:numFmt w:val="lowerLetter"/>
      <w:lvlText w:val="%1)"/>
      <w:lvlJc w:val="left"/>
      <w:pPr>
        <w:ind w:left="360" w:hanging="360"/>
      </w:pPr>
      <w:rPr>
        <w:rFonts w:hint="default"/>
      </w:rPr>
    </w:lvl>
    <w:lvl w:ilvl="1" w:tplc="56F8029C" w:tentative="1">
      <w:start w:val="1"/>
      <w:numFmt w:val="lowerLetter"/>
      <w:lvlText w:val="%2."/>
      <w:lvlJc w:val="left"/>
      <w:pPr>
        <w:ind w:left="1080" w:hanging="360"/>
      </w:pPr>
    </w:lvl>
    <w:lvl w:ilvl="2" w:tplc="5D9E1488" w:tentative="1">
      <w:start w:val="1"/>
      <w:numFmt w:val="lowerRoman"/>
      <w:lvlText w:val="%3."/>
      <w:lvlJc w:val="right"/>
      <w:pPr>
        <w:ind w:left="1800" w:hanging="180"/>
      </w:pPr>
    </w:lvl>
    <w:lvl w:ilvl="3" w:tplc="0A6880FE" w:tentative="1">
      <w:start w:val="1"/>
      <w:numFmt w:val="decimal"/>
      <w:lvlText w:val="%4."/>
      <w:lvlJc w:val="left"/>
      <w:pPr>
        <w:ind w:left="2520" w:hanging="360"/>
      </w:pPr>
    </w:lvl>
    <w:lvl w:ilvl="4" w:tplc="10D41538" w:tentative="1">
      <w:start w:val="1"/>
      <w:numFmt w:val="lowerLetter"/>
      <w:lvlText w:val="%5."/>
      <w:lvlJc w:val="left"/>
      <w:pPr>
        <w:ind w:left="3240" w:hanging="360"/>
      </w:pPr>
    </w:lvl>
    <w:lvl w:ilvl="5" w:tplc="59F8DA72" w:tentative="1">
      <w:start w:val="1"/>
      <w:numFmt w:val="lowerRoman"/>
      <w:lvlText w:val="%6."/>
      <w:lvlJc w:val="right"/>
      <w:pPr>
        <w:ind w:left="3960" w:hanging="180"/>
      </w:pPr>
    </w:lvl>
    <w:lvl w:ilvl="6" w:tplc="CEEA98B2" w:tentative="1">
      <w:start w:val="1"/>
      <w:numFmt w:val="decimal"/>
      <w:lvlText w:val="%7."/>
      <w:lvlJc w:val="left"/>
      <w:pPr>
        <w:ind w:left="4680" w:hanging="360"/>
      </w:pPr>
    </w:lvl>
    <w:lvl w:ilvl="7" w:tplc="75E2E53A" w:tentative="1">
      <w:start w:val="1"/>
      <w:numFmt w:val="lowerLetter"/>
      <w:lvlText w:val="%8."/>
      <w:lvlJc w:val="left"/>
      <w:pPr>
        <w:ind w:left="5400" w:hanging="360"/>
      </w:pPr>
    </w:lvl>
    <w:lvl w:ilvl="8" w:tplc="70B8C5BA" w:tentative="1">
      <w:start w:val="1"/>
      <w:numFmt w:val="lowerRoman"/>
      <w:lvlText w:val="%9."/>
      <w:lvlJc w:val="right"/>
      <w:pPr>
        <w:ind w:left="6120" w:hanging="180"/>
      </w:pPr>
    </w:lvl>
  </w:abstractNum>
  <w:abstractNum w:abstractNumId="18">
    <w:nsid w:val="15650B07"/>
    <w:multiLevelType w:val="hybridMultilevel"/>
    <w:tmpl w:val="7DDCBFFC"/>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19">
    <w:nsid w:val="160878A3"/>
    <w:multiLevelType w:val="hybridMultilevel"/>
    <w:tmpl w:val="0FAA3EB8"/>
    <w:lvl w:ilvl="0" w:tplc="BDCE18A6">
      <w:start w:val="1"/>
      <w:numFmt w:val="bullet"/>
      <w:lvlText w:val="-"/>
      <w:lvlJc w:val="left"/>
      <w:pPr>
        <w:ind w:left="417" w:hanging="360"/>
      </w:pPr>
      <w:rPr>
        <w:rFonts w:ascii="Arial Narrow" w:eastAsia="Times New Roman" w:hAnsi="Arial Narrow" w:cs="Times New Roman" w:hint="default"/>
      </w:rPr>
    </w:lvl>
    <w:lvl w:ilvl="1" w:tplc="04100003" w:tentative="1">
      <w:start w:val="1"/>
      <w:numFmt w:val="bullet"/>
      <w:lvlText w:val="o"/>
      <w:lvlJc w:val="left"/>
      <w:pPr>
        <w:ind w:left="1137" w:hanging="360"/>
      </w:pPr>
      <w:rPr>
        <w:rFonts w:ascii="Courier New" w:hAnsi="Courier New" w:cs="Courier New" w:hint="default"/>
      </w:rPr>
    </w:lvl>
    <w:lvl w:ilvl="2" w:tplc="04100005" w:tentative="1">
      <w:start w:val="1"/>
      <w:numFmt w:val="bullet"/>
      <w:lvlText w:val=""/>
      <w:lvlJc w:val="left"/>
      <w:pPr>
        <w:ind w:left="1857" w:hanging="360"/>
      </w:pPr>
      <w:rPr>
        <w:rFonts w:ascii="Wingdings" w:hAnsi="Wingdings" w:hint="default"/>
      </w:rPr>
    </w:lvl>
    <w:lvl w:ilvl="3" w:tplc="04100001" w:tentative="1">
      <w:start w:val="1"/>
      <w:numFmt w:val="bullet"/>
      <w:lvlText w:val=""/>
      <w:lvlJc w:val="left"/>
      <w:pPr>
        <w:ind w:left="2577" w:hanging="360"/>
      </w:pPr>
      <w:rPr>
        <w:rFonts w:ascii="Symbol" w:hAnsi="Symbol" w:hint="default"/>
      </w:rPr>
    </w:lvl>
    <w:lvl w:ilvl="4" w:tplc="04100003" w:tentative="1">
      <w:start w:val="1"/>
      <w:numFmt w:val="bullet"/>
      <w:lvlText w:val="o"/>
      <w:lvlJc w:val="left"/>
      <w:pPr>
        <w:ind w:left="3297" w:hanging="360"/>
      </w:pPr>
      <w:rPr>
        <w:rFonts w:ascii="Courier New" w:hAnsi="Courier New" w:cs="Courier New" w:hint="default"/>
      </w:rPr>
    </w:lvl>
    <w:lvl w:ilvl="5" w:tplc="04100005" w:tentative="1">
      <w:start w:val="1"/>
      <w:numFmt w:val="bullet"/>
      <w:lvlText w:val=""/>
      <w:lvlJc w:val="left"/>
      <w:pPr>
        <w:ind w:left="4017" w:hanging="360"/>
      </w:pPr>
      <w:rPr>
        <w:rFonts w:ascii="Wingdings" w:hAnsi="Wingdings" w:hint="default"/>
      </w:rPr>
    </w:lvl>
    <w:lvl w:ilvl="6" w:tplc="04100001" w:tentative="1">
      <w:start w:val="1"/>
      <w:numFmt w:val="bullet"/>
      <w:lvlText w:val=""/>
      <w:lvlJc w:val="left"/>
      <w:pPr>
        <w:ind w:left="4737" w:hanging="360"/>
      </w:pPr>
      <w:rPr>
        <w:rFonts w:ascii="Symbol" w:hAnsi="Symbol" w:hint="default"/>
      </w:rPr>
    </w:lvl>
    <w:lvl w:ilvl="7" w:tplc="04100003" w:tentative="1">
      <w:start w:val="1"/>
      <w:numFmt w:val="bullet"/>
      <w:lvlText w:val="o"/>
      <w:lvlJc w:val="left"/>
      <w:pPr>
        <w:ind w:left="5457" w:hanging="360"/>
      </w:pPr>
      <w:rPr>
        <w:rFonts w:ascii="Courier New" w:hAnsi="Courier New" w:cs="Courier New" w:hint="default"/>
      </w:rPr>
    </w:lvl>
    <w:lvl w:ilvl="8" w:tplc="04100005" w:tentative="1">
      <w:start w:val="1"/>
      <w:numFmt w:val="bullet"/>
      <w:lvlText w:val=""/>
      <w:lvlJc w:val="left"/>
      <w:pPr>
        <w:ind w:left="6177" w:hanging="360"/>
      </w:pPr>
      <w:rPr>
        <w:rFonts w:ascii="Wingdings" w:hAnsi="Wingdings" w:hint="default"/>
      </w:rPr>
    </w:lvl>
  </w:abstractNum>
  <w:abstractNum w:abstractNumId="20">
    <w:nsid w:val="16C71445"/>
    <w:multiLevelType w:val="multilevel"/>
    <w:tmpl w:val="0FE42276"/>
    <w:styleLink w:val="Stile1"/>
    <w:lvl w:ilvl="0">
      <w:start w:val="1"/>
      <w:numFmt w:val="lowerLetter"/>
      <w:lvlText w:val="%1."/>
      <w:lvlJc w:val="left"/>
      <w:pPr>
        <w:ind w:left="284" w:hanging="284"/>
      </w:pPr>
      <w:rPr>
        <w:rFonts w:ascii="Arial Narrow" w:hAnsi="Arial Narrow" w:hint="default"/>
        <w:sz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19CC6FA2"/>
    <w:multiLevelType w:val="hybridMultilevel"/>
    <w:tmpl w:val="F9060A76"/>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22">
    <w:nsid w:val="1D94703D"/>
    <w:multiLevelType w:val="hybridMultilevel"/>
    <w:tmpl w:val="5776E0DA"/>
    <w:lvl w:ilvl="0" w:tplc="06C062F8">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1EDC0E48"/>
    <w:multiLevelType w:val="hybridMultilevel"/>
    <w:tmpl w:val="1E10D1C6"/>
    <w:lvl w:ilvl="0" w:tplc="BFA2603A">
      <w:start w:val="1"/>
      <w:numFmt w:val="lowerLetter"/>
      <w:lvlText w:val="%1)"/>
      <w:lvlJc w:val="left"/>
      <w:pPr>
        <w:ind w:left="417" w:hanging="360"/>
      </w:pPr>
      <w:rPr>
        <w:rFonts w:hint="default"/>
      </w:rPr>
    </w:lvl>
    <w:lvl w:ilvl="1" w:tplc="04100019" w:tentative="1">
      <w:start w:val="1"/>
      <w:numFmt w:val="lowerLetter"/>
      <w:lvlText w:val="%2."/>
      <w:lvlJc w:val="left"/>
      <w:pPr>
        <w:ind w:left="1137" w:hanging="360"/>
      </w:pPr>
    </w:lvl>
    <w:lvl w:ilvl="2" w:tplc="0410001B" w:tentative="1">
      <w:start w:val="1"/>
      <w:numFmt w:val="lowerRoman"/>
      <w:lvlText w:val="%3."/>
      <w:lvlJc w:val="right"/>
      <w:pPr>
        <w:ind w:left="1857" w:hanging="180"/>
      </w:pPr>
    </w:lvl>
    <w:lvl w:ilvl="3" w:tplc="0410000F" w:tentative="1">
      <w:start w:val="1"/>
      <w:numFmt w:val="decimal"/>
      <w:lvlText w:val="%4."/>
      <w:lvlJc w:val="left"/>
      <w:pPr>
        <w:ind w:left="2577" w:hanging="360"/>
      </w:pPr>
    </w:lvl>
    <w:lvl w:ilvl="4" w:tplc="04100019" w:tentative="1">
      <w:start w:val="1"/>
      <w:numFmt w:val="lowerLetter"/>
      <w:lvlText w:val="%5."/>
      <w:lvlJc w:val="left"/>
      <w:pPr>
        <w:ind w:left="3297" w:hanging="360"/>
      </w:pPr>
    </w:lvl>
    <w:lvl w:ilvl="5" w:tplc="0410001B" w:tentative="1">
      <w:start w:val="1"/>
      <w:numFmt w:val="lowerRoman"/>
      <w:lvlText w:val="%6."/>
      <w:lvlJc w:val="right"/>
      <w:pPr>
        <w:ind w:left="4017" w:hanging="180"/>
      </w:pPr>
    </w:lvl>
    <w:lvl w:ilvl="6" w:tplc="0410000F" w:tentative="1">
      <w:start w:val="1"/>
      <w:numFmt w:val="decimal"/>
      <w:lvlText w:val="%7."/>
      <w:lvlJc w:val="left"/>
      <w:pPr>
        <w:ind w:left="4737" w:hanging="360"/>
      </w:pPr>
    </w:lvl>
    <w:lvl w:ilvl="7" w:tplc="04100019" w:tentative="1">
      <w:start w:val="1"/>
      <w:numFmt w:val="lowerLetter"/>
      <w:lvlText w:val="%8."/>
      <w:lvlJc w:val="left"/>
      <w:pPr>
        <w:ind w:left="5457" w:hanging="360"/>
      </w:pPr>
    </w:lvl>
    <w:lvl w:ilvl="8" w:tplc="0410001B" w:tentative="1">
      <w:start w:val="1"/>
      <w:numFmt w:val="lowerRoman"/>
      <w:lvlText w:val="%9."/>
      <w:lvlJc w:val="right"/>
      <w:pPr>
        <w:ind w:left="6177" w:hanging="180"/>
      </w:pPr>
    </w:lvl>
  </w:abstractNum>
  <w:abstractNum w:abstractNumId="24">
    <w:nsid w:val="1F7F03BF"/>
    <w:multiLevelType w:val="hybridMultilevel"/>
    <w:tmpl w:val="CE22A3A8"/>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25">
    <w:nsid w:val="215E501B"/>
    <w:multiLevelType w:val="hybridMultilevel"/>
    <w:tmpl w:val="D9DA2C82"/>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26">
    <w:nsid w:val="231C1B53"/>
    <w:multiLevelType w:val="hybridMultilevel"/>
    <w:tmpl w:val="EB663B52"/>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27">
    <w:nsid w:val="25E333B0"/>
    <w:multiLevelType w:val="hybridMultilevel"/>
    <w:tmpl w:val="0E18F0C2"/>
    <w:lvl w:ilvl="0" w:tplc="7D189FC6">
      <w:start w:val="1"/>
      <w:numFmt w:val="decimal"/>
      <w:lvlText w:val="%1)"/>
      <w:lvlJc w:val="left"/>
      <w:pPr>
        <w:ind w:left="1440" w:hanging="360"/>
      </w:pPr>
      <w:rPr>
        <w:rFonts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8">
    <w:nsid w:val="2915344C"/>
    <w:multiLevelType w:val="hybridMultilevel"/>
    <w:tmpl w:val="EAA8E956"/>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29">
    <w:nsid w:val="293D4D44"/>
    <w:multiLevelType w:val="hybridMultilevel"/>
    <w:tmpl w:val="75B6535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29821F24"/>
    <w:multiLevelType w:val="hybridMultilevel"/>
    <w:tmpl w:val="FFC029DA"/>
    <w:lvl w:ilvl="0" w:tplc="FB2EAAD6">
      <w:start w:val="1"/>
      <w:numFmt w:val="lowerRoman"/>
      <w:lvlText w:val="%1)"/>
      <w:lvlJc w:val="left"/>
      <w:pPr>
        <w:ind w:left="1004" w:hanging="720"/>
      </w:pPr>
      <w:rPr>
        <w:rFonts w:ascii="Arial Narrow" w:hAnsi="Arial Narrow"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1">
    <w:nsid w:val="2A8B6276"/>
    <w:multiLevelType w:val="hybridMultilevel"/>
    <w:tmpl w:val="427873DE"/>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32">
    <w:nsid w:val="30946C79"/>
    <w:multiLevelType w:val="hybridMultilevel"/>
    <w:tmpl w:val="0F80EB14"/>
    <w:lvl w:ilvl="0" w:tplc="3020AAB2">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33">
    <w:nsid w:val="30C06F6C"/>
    <w:multiLevelType w:val="hybridMultilevel"/>
    <w:tmpl w:val="881C3AAA"/>
    <w:lvl w:ilvl="0" w:tplc="12EE8256">
      <w:start w:val="1"/>
      <w:numFmt w:val="lowerRoman"/>
      <w:pStyle w:val="Puntoroman"/>
      <w:lvlText w:val="%1)"/>
      <w:lvlJc w:val="left"/>
      <w:pPr>
        <w:tabs>
          <w:tab w:val="num" w:pos="780"/>
        </w:tabs>
        <w:ind w:left="780" w:hanging="420"/>
      </w:pPr>
      <w:rPr>
        <w:rFonts w:hint="default"/>
        <w:b w:val="0"/>
        <w:i w:val="0"/>
        <w:sz w:val="20"/>
        <w:u w:val="no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31216ACF"/>
    <w:multiLevelType w:val="hybridMultilevel"/>
    <w:tmpl w:val="9154C25A"/>
    <w:lvl w:ilvl="0" w:tplc="CA3CF196">
      <w:start w:val="1"/>
      <w:numFmt w:val="lowerLetter"/>
      <w:lvlText w:val="%1)"/>
      <w:lvlJc w:val="left"/>
      <w:pPr>
        <w:ind w:left="417" w:hanging="360"/>
      </w:pPr>
      <w:rPr>
        <w:rFonts w:hint="default"/>
      </w:rPr>
    </w:lvl>
    <w:lvl w:ilvl="1" w:tplc="04100019" w:tentative="1">
      <w:start w:val="1"/>
      <w:numFmt w:val="lowerLetter"/>
      <w:lvlText w:val="%2."/>
      <w:lvlJc w:val="left"/>
      <w:pPr>
        <w:ind w:left="1137" w:hanging="360"/>
      </w:pPr>
    </w:lvl>
    <w:lvl w:ilvl="2" w:tplc="0410001B" w:tentative="1">
      <w:start w:val="1"/>
      <w:numFmt w:val="lowerRoman"/>
      <w:lvlText w:val="%3."/>
      <w:lvlJc w:val="right"/>
      <w:pPr>
        <w:ind w:left="1857" w:hanging="180"/>
      </w:pPr>
    </w:lvl>
    <w:lvl w:ilvl="3" w:tplc="0410000F" w:tentative="1">
      <w:start w:val="1"/>
      <w:numFmt w:val="decimal"/>
      <w:lvlText w:val="%4."/>
      <w:lvlJc w:val="left"/>
      <w:pPr>
        <w:ind w:left="2577" w:hanging="360"/>
      </w:pPr>
    </w:lvl>
    <w:lvl w:ilvl="4" w:tplc="04100019" w:tentative="1">
      <w:start w:val="1"/>
      <w:numFmt w:val="lowerLetter"/>
      <w:lvlText w:val="%5."/>
      <w:lvlJc w:val="left"/>
      <w:pPr>
        <w:ind w:left="3297" w:hanging="360"/>
      </w:pPr>
    </w:lvl>
    <w:lvl w:ilvl="5" w:tplc="0410001B" w:tentative="1">
      <w:start w:val="1"/>
      <w:numFmt w:val="lowerRoman"/>
      <w:lvlText w:val="%6."/>
      <w:lvlJc w:val="right"/>
      <w:pPr>
        <w:ind w:left="4017" w:hanging="180"/>
      </w:pPr>
    </w:lvl>
    <w:lvl w:ilvl="6" w:tplc="0410000F" w:tentative="1">
      <w:start w:val="1"/>
      <w:numFmt w:val="decimal"/>
      <w:lvlText w:val="%7."/>
      <w:lvlJc w:val="left"/>
      <w:pPr>
        <w:ind w:left="4737" w:hanging="360"/>
      </w:pPr>
    </w:lvl>
    <w:lvl w:ilvl="7" w:tplc="04100019" w:tentative="1">
      <w:start w:val="1"/>
      <w:numFmt w:val="lowerLetter"/>
      <w:lvlText w:val="%8."/>
      <w:lvlJc w:val="left"/>
      <w:pPr>
        <w:ind w:left="5457" w:hanging="360"/>
      </w:pPr>
    </w:lvl>
    <w:lvl w:ilvl="8" w:tplc="0410001B" w:tentative="1">
      <w:start w:val="1"/>
      <w:numFmt w:val="lowerRoman"/>
      <w:lvlText w:val="%9."/>
      <w:lvlJc w:val="right"/>
      <w:pPr>
        <w:ind w:left="6177" w:hanging="180"/>
      </w:pPr>
    </w:lvl>
  </w:abstractNum>
  <w:abstractNum w:abstractNumId="35">
    <w:nsid w:val="321C0FA3"/>
    <w:multiLevelType w:val="multilevel"/>
    <w:tmpl w:val="65D2A59E"/>
    <w:lvl w:ilvl="0">
      <w:start w:val="1"/>
      <w:numFmt w:val="lowerLetter"/>
      <w:lvlText w:val="%1)"/>
      <w:lvlJc w:val="left"/>
      <w:pPr>
        <w:ind w:left="392" w:hanging="360"/>
      </w:pPr>
      <w:rPr>
        <w:rFonts w:hint="default"/>
      </w:rPr>
    </w:lvl>
    <w:lvl w:ilvl="1" w:tentative="1">
      <w:start w:val="1"/>
      <w:numFmt w:val="lowerLetter"/>
      <w:lvlText w:val="%2."/>
      <w:lvlJc w:val="left"/>
      <w:pPr>
        <w:ind w:left="1112" w:hanging="360"/>
      </w:pPr>
    </w:lvl>
    <w:lvl w:ilvl="2" w:tentative="1">
      <w:start w:val="1"/>
      <w:numFmt w:val="lowerRoman"/>
      <w:lvlText w:val="%3."/>
      <w:lvlJc w:val="right"/>
      <w:pPr>
        <w:ind w:left="1832" w:hanging="180"/>
      </w:pPr>
    </w:lvl>
    <w:lvl w:ilvl="3" w:tentative="1">
      <w:start w:val="1"/>
      <w:numFmt w:val="decimal"/>
      <w:lvlText w:val="%4."/>
      <w:lvlJc w:val="left"/>
      <w:pPr>
        <w:ind w:left="2552" w:hanging="360"/>
      </w:pPr>
    </w:lvl>
    <w:lvl w:ilvl="4" w:tentative="1">
      <w:start w:val="1"/>
      <w:numFmt w:val="lowerLetter"/>
      <w:lvlText w:val="%5."/>
      <w:lvlJc w:val="left"/>
      <w:pPr>
        <w:ind w:left="3272" w:hanging="360"/>
      </w:pPr>
    </w:lvl>
    <w:lvl w:ilvl="5" w:tentative="1">
      <w:start w:val="1"/>
      <w:numFmt w:val="lowerRoman"/>
      <w:lvlText w:val="%6."/>
      <w:lvlJc w:val="right"/>
      <w:pPr>
        <w:ind w:left="3992" w:hanging="180"/>
      </w:pPr>
    </w:lvl>
    <w:lvl w:ilvl="6" w:tentative="1">
      <w:start w:val="1"/>
      <w:numFmt w:val="decimal"/>
      <w:lvlText w:val="%7."/>
      <w:lvlJc w:val="left"/>
      <w:pPr>
        <w:ind w:left="4712" w:hanging="360"/>
      </w:pPr>
    </w:lvl>
    <w:lvl w:ilvl="7" w:tentative="1">
      <w:start w:val="1"/>
      <w:numFmt w:val="lowerLetter"/>
      <w:lvlText w:val="%8."/>
      <w:lvlJc w:val="left"/>
      <w:pPr>
        <w:ind w:left="5432" w:hanging="360"/>
      </w:pPr>
    </w:lvl>
    <w:lvl w:ilvl="8" w:tentative="1">
      <w:start w:val="1"/>
      <w:numFmt w:val="lowerRoman"/>
      <w:lvlText w:val="%9."/>
      <w:lvlJc w:val="right"/>
      <w:pPr>
        <w:ind w:left="6152" w:hanging="180"/>
      </w:pPr>
    </w:lvl>
  </w:abstractNum>
  <w:abstractNum w:abstractNumId="36">
    <w:nsid w:val="32220B39"/>
    <w:multiLevelType w:val="hybridMultilevel"/>
    <w:tmpl w:val="63EE2B74"/>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37">
    <w:nsid w:val="37770B9A"/>
    <w:multiLevelType w:val="hybridMultilevel"/>
    <w:tmpl w:val="967EEEFA"/>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38">
    <w:nsid w:val="384C6AF3"/>
    <w:multiLevelType w:val="hybridMultilevel"/>
    <w:tmpl w:val="AE044250"/>
    <w:lvl w:ilvl="0" w:tplc="04100017">
      <w:start w:val="1"/>
      <w:numFmt w:val="low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9">
    <w:nsid w:val="3AA62A75"/>
    <w:multiLevelType w:val="hybridMultilevel"/>
    <w:tmpl w:val="1BDC40A0"/>
    <w:lvl w:ilvl="0" w:tplc="3AFC5780">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3BBE2D2B"/>
    <w:multiLevelType w:val="hybridMultilevel"/>
    <w:tmpl w:val="4D6C7C30"/>
    <w:lvl w:ilvl="0" w:tplc="04100017">
      <w:start w:val="1"/>
      <w:numFmt w:val="low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1">
    <w:nsid w:val="3BDC38D6"/>
    <w:multiLevelType w:val="hybridMultilevel"/>
    <w:tmpl w:val="F880DBF4"/>
    <w:lvl w:ilvl="0" w:tplc="F05474BE">
      <w:numFmt w:val="bullet"/>
      <w:lvlText w:val="-"/>
      <w:lvlJc w:val="left"/>
      <w:pPr>
        <w:ind w:left="417" w:hanging="360"/>
      </w:pPr>
      <w:rPr>
        <w:rFonts w:ascii="Arial Narrow" w:eastAsia="Times New Roman" w:hAnsi="Arial Narrow" w:cs="Times New Roman" w:hint="default"/>
      </w:rPr>
    </w:lvl>
    <w:lvl w:ilvl="1" w:tplc="04100003" w:tentative="1">
      <w:start w:val="1"/>
      <w:numFmt w:val="bullet"/>
      <w:lvlText w:val="o"/>
      <w:lvlJc w:val="left"/>
      <w:pPr>
        <w:ind w:left="1137" w:hanging="360"/>
      </w:pPr>
      <w:rPr>
        <w:rFonts w:ascii="Courier New" w:hAnsi="Courier New" w:cs="Courier New" w:hint="default"/>
      </w:rPr>
    </w:lvl>
    <w:lvl w:ilvl="2" w:tplc="04100005" w:tentative="1">
      <w:start w:val="1"/>
      <w:numFmt w:val="bullet"/>
      <w:lvlText w:val=""/>
      <w:lvlJc w:val="left"/>
      <w:pPr>
        <w:ind w:left="1857" w:hanging="360"/>
      </w:pPr>
      <w:rPr>
        <w:rFonts w:ascii="Wingdings" w:hAnsi="Wingdings" w:hint="default"/>
      </w:rPr>
    </w:lvl>
    <w:lvl w:ilvl="3" w:tplc="04100001" w:tentative="1">
      <w:start w:val="1"/>
      <w:numFmt w:val="bullet"/>
      <w:lvlText w:val=""/>
      <w:lvlJc w:val="left"/>
      <w:pPr>
        <w:ind w:left="2577" w:hanging="360"/>
      </w:pPr>
      <w:rPr>
        <w:rFonts w:ascii="Symbol" w:hAnsi="Symbol" w:hint="default"/>
      </w:rPr>
    </w:lvl>
    <w:lvl w:ilvl="4" w:tplc="04100003" w:tentative="1">
      <w:start w:val="1"/>
      <w:numFmt w:val="bullet"/>
      <w:lvlText w:val="o"/>
      <w:lvlJc w:val="left"/>
      <w:pPr>
        <w:ind w:left="3297" w:hanging="360"/>
      </w:pPr>
      <w:rPr>
        <w:rFonts w:ascii="Courier New" w:hAnsi="Courier New" w:cs="Courier New" w:hint="default"/>
      </w:rPr>
    </w:lvl>
    <w:lvl w:ilvl="5" w:tplc="04100005" w:tentative="1">
      <w:start w:val="1"/>
      <w:numFmt w:val="bullet"/>
      <w:lvlText w:val=""/>
      <w:lvlJc w:val="left"/>
      <w:pPr>
        <w:ind w:left="4017" w:hanging="360"/>
      </w:pPr>
      <w:rPr>
        <w:rFonts w:ascii="Wingdings" w:hAnsi="Wingdings" w:hint="default"/>
      </w:rPr>
    </w:lvl>
    <w:lvl w:ilvl="6" w:tplc="04100001" w:tentative="1">
      <w:start w:val="1"/>
      <w:numFmt w:val="bullet"/>
      <w:lvlText w:val=""/>
      <w:lvlJc w:val="left"/>
      <w:pPr>
        <w:ind w:left="4737" w:hanging="360"/>
      </w:pPr>
      <w:rPr>
        <w:rFonts w:ascii="Symbol" w:hAnsi="Symbol" w:hint="default"/>
      </w:rPr>
    </w:lvl>
    <w:lvl w:ilvl="7" w:tplc="04100003" w:tentative="1">
      <w:start w:val="1"/>
      <w:numFmt w:val="bullet"/>
      <w:lvlText w:val="o"/>
      <w:lvlJc w:val="left"/>
      <w:pPr>
        <w:ind w:left="5457" w:hanging="360"/>
      </w:pPr>
      <w:rPr>
        <w:rFonts w:ascii="Courier New" w:hAnsi="Courier New" w:cs="Courier New" w:hint="default"/>
      </w:rPr>
    </w:lvl>
    <w:lvl w:ilvl="8" w:tplc="04100005" w:tentative="1">
      <w:start w:val="1"/>
      <w:numFmt w:val="bullet"/>
      <w:lvlText w:val=""/>
      <w:lvlJc w:val="left"/>
      <w:pPr>
        <w:ind w:left="6177" w:hanging="360"/>
      </w:pPr>
      <w:rPr>
        <w:rFonts w:ascii="Wingdings" w:hAnsi="Wingdings" w:hint="default"/>
      </w:rPr>
    </w:lvl>
  </w:abstractNum>
  <w:abstractNum w:abstractNumId="42">
    <w:nsid w:val="3C670526"/>
    <w:multiLevelType w:val="hybridMultilevel"/>
    <w:tmpl w:val="7976FF72"/>
    <w:lvl w:ilvl="0" w:tplc="B3D0BDD8">
      <w:numFmt w:val="bullet"/>
      <w:lvlText w:val="-"/>
      <w:lvlJc w:val="left"/>
      <w:pPr>
        <w:ind w:left="417" w:hanging="360"/>
      </w:pPr>
      <w:rPr>
        <w:rFonts w:ascii="Arial Narrow" w:eastAsia="Times New Roman" w:hAnsi="Arial Narrow" w:cs="Times New Roman" w:hint="default"/>
      </w:rPr>
    </w:lvl>
    <w:lvl w:ilvl="1" w:tplc="04100003" w:tentative="1">
      <w:start w:val="1"/>
      <w:numFmt w:val="bullet"/>
      <w:lvlText w:val="o"/>
      <w:lvlJc w:val="left"/>
      <w:pPr>
        <w:ind w:left="1137" w:hanging="360"/>
      </w:pPr>
      <w:rPr>
        <w:rFonts w:ascii="Courier New" w:hAnsi="Courier New" w:cs="Courier New" w:hint="default"/>
      </w:rPr>
    </w:lvl>
    <w:lvl w:ilvl="2" w:tplc="04100005" w:tentative="1">
      <w:start w:val="1"/>
      <w:numFmt w:val="bullet"/>
      <w:lvlText w:val=""/>
      <w:lvlJc w:val="left"/>
      <w:pPr>
        <w:ind w:left="1857" w:hanging="360"/>
      </w:pPr>
      <w:rPr>
        <w:rFonts w:ascii="Wingdings" w:hAnsi="Wingdings" w:hint="default"/>
      </w:rPr>
    </w:lvl>
    <w:lvl w:ilvl="3" w:tplc="04100001" w:tentative="1">
      <w:start w:val="1"/>
      <w:numFmt w:val="bullet"/>
      <w:lvlText w:val=""/>
      <w:lvlJc w:val="left"/>
      <w:pPr>
        <w:ind w:left="2577" w:hanging="360"/>
      </w:pPr>
      <w:rPr>
        <w:rFonts w:ascii="Symbol" w:hAnsi="Symbol" w:hint="default"/>
      </w:rPr>
    </w:lvl>
    <w:lvl w:ilvl="4" w:tplc="04100003" w:tentative="1">
      <w:start w:val="1"/>
      <w:numFmt w:val="bullet"/>
      <w:lvlText w:val="o"/>
      <w:lvlJc w:val="left"/>
      <w:pPr>
        <w:ind w:left="3297" w:hanging="360"/>
      </w:pPr>
      <w:rPr>
        <w:rFonts w:ascii="Courier New" w:hAnsi="Courier New" w:cs="Courier New" w:hint="default"/>
      </w:rPr>
    </w:lvl>
    <w:lvl w:ilvl="5" w:tplc="04100005" w:tentative="1">
      <w:start w:val="1"/>
      <w:numFmt w:val="bullet"/>
      <w:lvlText w:val=""/>
      <w:lvlJc w:val="left"/>
      <w:pPr>
        <w:ind w:left="4017" w:hanging="360"/>
      </w:pPr>
      <w:rPr>
        <w:rFonts w:ascii="Wingdings" w:hAnsi="Wingdings" w:hint="default"/>
      </w:rPr>
    </w:lvl>
    <w:lvl w:ilvl="6" w:tplc="04100001" w:tentative="1">
      <w:start w:val="1"/>
      <w:numFmt w:val="bullet"/>
      <w:lvlText w:val=""/>
      <w:lvlJc w:val="left"/>
      <w:pPr>
        <w:ind w:left="4737" w:hanging="360"/>
      </w:pPr>
      <w:rPr>
        <w:rFonts w:ascii="Symbol" w:hAnsi="Symbol" w:hint="default"/>
      </w:rPr>
    </w:lvl>
    <w:lvl w:ilvl="7" w:tplc="04100003" w:tentative="1">
      <w:start w:val="1"/>
      <w:numFmt w:val="bullet"/>
      <w:lvlText w:val="o"/>
      <w:lvlJc w:val="left"/>
      <w:pPr>
        <w:ind w:left="5457" w:hanging="360"/>
      </w:pPr>
      <w:rPr>
        <w:rFonts w:ascii="Courier New" w:hAnsi="Courier New" w:cs="Courier New" w:hint="default"/>
      </w:rPr>
    </w:lvl>
    <w:lvl w:ilvl="8" w:tplc="04100005" w:tentative="1">
      <w:start w:val="1"/>
      <w:numFmt w:val="bullet"/>
      <w:lvlText w:val=""/>
      <w:lvlJc w:val="left"/>
      <w:pPr>
        <w:ind w:left="6177" w:hanging="360"/>
      </w:pPr>
      <w:rPr>
        <w:rFonts w:ascii="Wingdings" w:hAnsi="Wingdings" w:hint="default"/>
      </w:rPr>
    </w:lvl>
  </w:abstractNum>
  <w:abstractNum w:abstractNumId="43">
    <w:nsid w:val="3DAA5CBB"/>
    <w:multiLevelType w:val="hybridMultilevel"/>
    <w:tmpl w:val="B94C10FA"/>
    <w:lvl w:ilvl="0" w:tplc="C68A4822">
      <w:start w:val="1"/>
      <w:numFmt w:val="lowerLetter"/>
      <w:lvlText w:val="%1)"/>
      <w:lvlJc w:val="left"/>
      <w:pPr>
        <w:ind w:left="417" w:hanging="360"/>
      </w:pPr>
      <w:rPr>
        <w:rFonts w:hint="default"/>
      </w:rPr>
    </w:lvl>
    <w:lvl w:ilvl="1" w:tplc="04100019" w:tentative="1">
      <w:start w:val="1"/>
      <w:numFmt w:val="lowerLetter"/>
      <w:lvlText w:val="%2."/>
      <w:lvlJc w:val="left"/>
      <w:pPr>
        <w:ind w:left="1137" w:hanging="360"/>
      </w:pPr>
    </w:lvl>
    <w:lvl w:ilvl="2" w:tplc="0410001B" w:tentative="1">
      <w:start w:val="1"/>
      <w:numFmt w:val="lowerRoman"/>
      <w:lvlText w:val="%3."/>
      <w:lvlJc w:val="right"/>
      <w:pPr>
        <w:ind w:left="1857" w:hanging="180"/>
      </w:pPr>
    </w:lvl>
    <w:lvl w:ilvl="3" w:tplc="0410000F" w:tentative="1">
      <w:start w:val="1"/>
      <w:numFmt w:val="decimal"/>
      <w:lvlText w:val="%4."/>
      <w:lvlJc w:val="left"/>
      <w:pPr>
        <w:ind w:left="2577" w:hanging="360"/>
      </w:pPr>
    </w:lvl>
    <w:lvl w:ilvl="4" w:tplc="04100019" w:tentative="1">
      <w:start w:val="1"/>
      <w:numFmt w:val="lowerLetter"/>
      <w:lvlText w:val="%5."/>
      <w:lvlJc w:val="left"/>
      <w:pPr>
        <w:ind w:left="3297" w:hanging="360"/>
      </w:pPr>
    </w:lvl>
    <w:lvl w:ilvl="5" w:tplc="0410001B" w:tentative="1">
      <w:start w:val="1"/>
      <w:numFmt w:val="lowerRoman"/>
      <w:lvlText w:val="%6."/>
      <w:lvlJc w:val="right"/>
      <w:pPr>
        <w:ind w:left="4017" w:hanging="180"/>
      </w:pPr>
    </w:lvl>
    <w:lvl w:ilvl="6" w:tplc="0410000F" w:tentative="1">
      <w:start w:val="1"/>
      <w:numFmt w:val="decimal"/>
      <w:lvlText w:val="%7."/>
      <w:lvlJc w:val="left"/>
      <w:pPr>
        <w:ind w:left="4737" w:hanging="360"/>
      </w:pPr>
    </w:lvl>
    <w:lvl w:ilvl="7" w:tplc="04100019" w:tentative="1">
      <w:start w:val="1"/>
      <w:numFmt w:val="lowerLetter"/>
      <w:lvlText w:val="%8."/>
      <w:lvlJc w:val="left"/>
      <w:pPr>
        <w:ind w:left="5457" w:hanging="360"/>
      </w:pPr>
    </w:lvl>
    <w:lvl w:ilvl="8" w:tplc="0410001B" w:tentative="1">
      <w:start w:val="1"/>
      <w:numFmt w:val="lowerRoman"/>
      <w:lvlText w:val="%9."/>
      <w:lvlJc w:val="right"/>
      <w:pPr>
        <w:ind w:left="6177" w:hanging="180"/>
      </w:pPr>
    </w:lvl>
  </w:abstractNum>
  <w:abstractNum w:abstractNumId="44">
    <w:nsid w:val="3FE14B90"/>
    <w:multiLevelType w:val="hybridMultilevel"/>
    <w:tmpl w:val="A5ECD2F6"/>
    <w:lvl w:ilvl="0" w:tplc="591CFED4">
      <w:numFmt w:val="bullet"/>
      <w:lvlText w:val="-"/>
      <w:lvlJc w:val="left"/>
      <w:pPr>
        <w:ind w:left="417" w:hanging="360"/>
      </w:pPr>
      <w:rPr>
        <w:rFonts w:ascii="Arial Narrow" w:eastAsia="Times New Roman" w:hAnsi="Arial Narrow" w:cs="Times New Roman" w:hint="default"/>
      </w:rPr>
    </w:lvl>
    <w:lvl w:ilvl="1" w:tplc="04100003" w:tentative="1">
      <w:start w:val="1"/>
      <w:numFmt w:val="bullet"/>
      <w:lvlText w:val="o"/>
      <w:lvlJc w:val="left"/>
      <w:pPr>
        <w:ind w:left="1137" w:hanging="360"/>
      </w:pPr>
      <w:rPr>
        <w:rFonts w:ascii="Courier New" w:hAnsi="Courier New" w:cs="Courier New" w:hint="default"/>
      </w:rPr>
    </w:lvl>
    <w:lvl w:ilvl="2" w:tplc="04100005" w:tentative="1">
      <w:start w:val="1"/>
      <w:numFmt w:val="bullet"/>
      <w:lvlText w:val=""/>
      <w:lvlJc w:val="left"/>
      <w:pPr>
        <w:ind w:left="1857" w:hanging="360"/>
      </w:pPr>
      <w:rPr>
        <w:rFonts w:ascii="Wingdings" w:hAnsi="Wingdings" w:hint="default"/>
      </w:rPr>
    </w:lvl>
    <w:lvl w:ilvl="3" w:tplc="04100001" w:tentative="1">
      <w:start w:val="1"/>
      <w:numFmt w:val="bullet"/>
      <w:lvlText w:val=""/>
      <w:lvlJc w:val="left"/>
      <w:pPr>
        <w:ind w:left="2577" w:hanging="360"/>
      </w:pPr>
      <w:rPr>
        <w:rFonts w:ascii="Symbol" w:hAnsi="Symbol" w:hint="default"/>
      </w:rPr>
    </w:lvl>
    <w:lvl w:ilvl="4" w:tplc="04100003" w:tentative="1">
      <w:start w:val="1"/>
      <w:numFmt w:val="bullet"/>
      <w:lvlText w:val="o"/>
      <w:lvlJc w:val="left"/>
      <w:pPr>
        <w:ind w:left="3297" w:hanging="360"/>
      </w:pPr>
      <w:rPr>
        <w:rFonts w:ascii="Courier New" w:hAnsi="Courier New" w:cs="Courier New" w:hint="default"/>
      </w:rPr>
    </w:lvl>
    <w:lvl w:ilvl="5" w:tplc="04100005" w:tentative="1">
      <w:start w:val="1"/>
      <w:numFmt w:val="bullet"/>
      <w:lvlText w:val=""/>
      <w:lvlJc w:val="left"/>
      <w:pPr>
        <w:ind w:left="4017" w:hanging="360"/>
      </w:pPr>
      <w:rPr>
        <w:rFonts w:ascii="Wingdings" w:hAnsi="Wingdings" w:hint="default"/>
      </w:rPr>
    </w:lvl>
    <w:lvl w:ilvl="6" w:tplc="04100001" w:tentative="1">
      <w:start w:val="1"/>
      <w:numFmt w:val="bullet"/>
      <w:lvlText w:val=""/>
      <w:lvlJc w:val="left"/>
      <w:pPr>
        <w:ind w:left="4737" w:hanging="360"/>
      </w:pPr>
      <w:rPr>
        <w:rFonts w:ascii="Symbol" w:hAnsi="Symbol" w:hint="default"/>
      </w:rPr>
    </w:lvl>
    <w:lvl w:ilvl="7" w:tplc="04100003" w:tentative="1">
      <w:start w:val="1"/>
      <w:numFmt w:val="bullet"/>
      <w:lvlText w:val="o"/>
      <w:lvlJc w:val="left"/>
      <w:pPr>
        <w:ind w:left="5457" w:hanging="360"/>
      </w:pPr>
      <w:rPr>
        <w:rFonts w:ascii="Courier New" w:hAnsi="Courier New" w:cs="Courier New" w:hint="default"/>
      </w:rPr>
    </w:lvl>
    <w:lvl w:ilvl="8" w:tplc="04100005" w:tentative="1">
      <w:start w:val="1"/>
      <w:numFmt w:val="bullet"/>
      <w:lvlText w:val=""/>
      <w:lvlJc w:val="left"/>
      <w:pPr>
        <w:ind w:left="6177" w:hanging="360"/>
      </w:pPr>
      <w:rPr>
        <w:rFonts w:ascii="Wingdings" w:hAnsi="Wingdings" w:hint="default"/>
      </w:rPr>
    </w:lvl>
  </w:abstractNum>
  <w:abstractNum w:abstractNumId="45">
    <w:nsid w:val="400F2F5D"/>
    <w:multiLevelType w:val="hybridMultilevel"/>
    <w:tmpl w:val="15ACCF4E"/>
    <w:lvl w:ilvl="0" w:tplc="573E6206">
      <w:start w:val="1"/>
      <w:numFmt w:val="lowerLetter"/>
      <w:lvlText w:val="%1)"/>
      <w:lvlJc w:val="left"/>
      <w:pPr>
        <w:ind w:left="417" w:hanging="360"/>
      </w:pPr>
      <w:rPr>
        <w:rFonts w:hint="default"/>
      </w:rPr>
    </w:lvl>
    <w:lvl w:ilvl="1" w:tplc="04100019" w:tentative="1">
      <w:start w:val="1"/>
      <w:numFmt w:val="lowerLetter"/>
      <w:lvlText w:val="%2."/>
      <w:lvlJc w:val="left"/>
      <w:pPr>
        <w:ind w:left="1137" w:hanging="360"/>
      </w:pPr>
    </w:lvl>
    <w:lvl w:ilvl="2" w:tplc="0410001B" w:tentative="1">
      <w:start w:val="1"/>
      <w:numFmt w:val="lowerRoman"/>
      <w:lvlText w:val="%3."/>
      <w:lvlJc w:val="right"/>
      <w:pPr>
        <w:ind w:left="1857" w:hanging="180"/>
      </w:pPr>
    </w:lvl>
    <w:lvl w:ilvl="3" w:tplc="0410000F" w:tentative="1">
      <w:start w:val="1"/>
      <w:numFmt w:val="decimal"/>
      <w:lvlText w:val="%4."/>
      <w:lvlJc w:val="left"/>
      <w:pPr>
        <w:ind w:left="2577" w:hanging="360"/>
      </w:pPr>
    </w:lvl>
    <w:lvl w:ilvl="4" w:tplc="04100019" w:tentative="1">
      <w:start w:val="1"/>
      <w:numFmt w:val="lowerLetter"/>
      <w:lvlText w:val="%5."/>
      <w:lvlJc w:val="left"/>
      <w:pPr>
        <w:ind w:left="3297" w:hanging="360"/>
      </w:pPr>
    </w:lvl>
    <w:lvl w:ilvl="5" w:tplc="0410001B" w:tentative="1">
      <w:start w:val="1"/>
      <w:numFmt w:val="lowerRoman"/>
      <w:lvlText w:val="%6."/>
      <w:lvlJc w:val="right"/>
      <w:pPr>
        <w:ind w:left="4017" w:hanging="180"/>
      </w:pPr>
    </w:lvl>
    <w:lvl w:ilvl="6" w:tplc="0410000F" w:tentative="1">
      <w:start w:val="1"/>
      <w:numFmt w:val="decimal"/>
      <w:lvlText w:val="%7."/>
      <w:lvlJc w:val="left"/>
      <w:pPr>
        <w:ind w:left="4737" w:hanging="360"/>
      </w:pPr>
    </w:lvl>
    <w:lvl w:ilvl="7" w:tplc="04100019" w:tentative="1">
      <w:start w:val="1"/>
      <w:numFmt w:val="lowerLetter"/>
      <w:lvlText w:val="%8."/>
      <w:lvlJc w:val="left"/>
      <w:pPr>
        <w:ind w:left="5457" w:hanging="360"/>
      </w:pPr>
    </w:lvl>
    <w:lvl w:ilvl="8" w:tplc="0410001B" w:tentative="1">
      <w:start w:val="1"/>
      <w:numFmt w:val="lowerRoman"/>
      <w:lvlText w:val="%9."/>
      <w:lvlJc w:val="right"/>
      <w:pPr>
        <w:ind w:left="6177" w:hanging="180"/>
      </w:pPr>
    </w:lvl>
  </w:abstractNum>
  <w:abstractNum w:abstractNumId="46">
    <w:nsid w:val="41ED5E80"/>
    <w:multiLevelType w:val="hybridMultilevel"/>
    <w:tmpl w:val="B87E6C0A"/>
    <w:lvl w:ilvl="0" w:tplc="1952E646">
      <w:start w:val="1"/>
      <w:numFmt w:val="lowerRoman"/>
      <w:lvlText w:val="%1)"/>
      <w:lvlJc w:val="left"/>
      <w:pPr>
        <w:ind w:left="1440" w:hanging="72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7">
    <w:nsid w:val="42F3270E"/>
    <w:multiLevelType w:val="hybridMultilevel"/>
    <w:tmpl w:val="6FD01020"/>
    <w:lvl w:ilvl="0" w:tplc="89DAF576">
      <w:start w:val="1"/>
      <w:numFmt w:val="lowerRoman"/>
      <w:lvlText w:val="%1)"/>
      <w:lvlJc w:val="left"/>
      <w:pPr>
        <w:ind w:left="1080" w:hanging="720"/>
      </w:pPr>
      <w:rPr>
        <w:rFonts w:hint="default"/>
      </w:rPr>
    </w:lvl>
    <w:lvl w:ilvl="1" w:tplc="756C463E" w:tentative="1">
      <w:start w:val="1"/>
      <w:numFmt w:val="lowerLetter"/>
      <w:lvlText w:val="%2."/>
      <w:lvlJc w:val="left"/>
      <w:pPr>
        <w:ind w:left="1440" w:hanging="360"/>
      </w:pPr>
    </w:lvl>
    <w:lvl w:ilvl="2" w:tplc="4CF4BCAC" w:tentative="1">
      <w:start w:val="1"/>
      <w:numFmt w:val="lowerRoman"/>
      <w:lvlText w:val="%3."/>
      <w:lvlJc w:val="right"/>
      <w:pPr>
        <w:ind w:left="2160" w:hanging="180"/>
      </w:pPr>
    </w:lvl>
    <w:lvl w:ilvl="3" w:tplc="BF4AEA50" w:tentative="1">
      <w:start w:val="1"/>
      <w:numFmt w:val="decimal"/>
      <w:lvlText w:val="%4."/>
      <w:lvlJc w:val="left"/>
      <w:pPr>
        <w:ind w:left="2880" w:hanging="360"/>
      </w:pPr>
    </w:lvl>
    <w:lvl w:ilvl="4" w:tplc="C7221038" w:tentative="1">
      <w:start w:val="1"/>
      <w:numFmt w:val="lowerLetter"/>
      <w:lvlText w:val="%5."/>
      <w:lvlJc w:val="left"/>
      <w:pPr>
        <w:ind w:left="3600" w:hanging="360"/>
      </w:pPr>
    </w:lvl>
    <w:lvl w:ilvl="5" w:tplc="963035F0" w:tentative="1">
      <w:start w:val="1"/>
      <w:numFmt w:val="lowerRoman"/>
      <w:lvlText w:val="%6."/>
      <w:lvlJc w:val="right"/>
      <w:pPr>
        <w:ind w:left="4320" w:hanging="180"/>
      </w:pPr>
    </w:lvl>
    <w:lvl w:ilvl="6" w:tplc="9AE4AA82" w:tentative="1">
      <w:start w:val="1"/>
      <w:numFmt w:val="decimal"/>
      <w:lvlText w:val="%7."/>
      <w:lvlJc w:val="left"/>
      <w:pPr>
        <w:ind w:left="5040" w:hanging="360"/>
      </w:pPr>
    </w:lvl>
    <w:lvl w:ilvl="7" w:tplc="D7DA6B12" w:tentative="1">
      <w:start w:val="1"/>
      <w:numFmt w:val="lowerLetter"/>
      <w:lvlText w:val="%8."/>
      <w:lvlJc w:val="left"/>
      <w:pPr>
        <w:ind w:left="5760" w:hanging="360"/>
      </w:pPr>
    </w:lvl>
    <w:lvl w:ilvl="8" w:tplc="09F0976E" w:tentative="1">
      <w:start w:val="1"/>
      <w:numFmt w:val="lowerRoman"/>
      <w:lvlText w:val="%9."/>
      <w:lvlJc w:val="right"/>
      <w:pPr>
        <w:ind w:left="6480" w:hanging="180"/>
      </w:pPr>
    </w:lvl>
  </w:abstractNum>
  <w:abstractNum w:abstractNumId="48">
    <w:nsid w:val="42F629A5"/>
    <w:multiLevelType w:val="hybridMultilevel"/>
    <w:tmpl w:val="C492B8B4"/>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49">
    <w:nsid w:val="43803B37"/>
    <w:multiLevelType w:val="hybridMultilevel"/>
    <w:tmpl w:val="C822690A"/>
    <w:lvl w:ilvl="0" w:tplc="04100011">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50">
    <w:nsid w:val="44F93994"/>
    <w:multiLevelType w:val="hybridMultilevel"/>
    <w:tmpl w:val="E4F8A1B8"/>
    <w:lvl w:ilvl="0" w:tplc="D410F65C">
      <w:start w:val="1"/>
      <w:numFmt w:val="lowerLetter"/>
      <w:pStyle w:val="Rientroa"/>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51">
    <w:nsid w:val="45F76517"/>
    <w:multiLevelType w:val="hybridMultilevel"/>
    <w:tmpl w:val="DCCAB9AE"/>
    <w:lvl w:ilvl="0" w:tplc="DE200832">
      <w:start w:val="1"/>
      <w:numFmt w:val="decimal"/>
      <w:lvlText w:val="%1)"/>
      <w:lvlJc w:val="left"/>
      <w:pPr>
        <w:ind w:left="535" w:hanging="360"/>
      </w:pPr>
      <w:rPr>
        <w:rFonts w:hint="default"/>
      </w:rPr>
    </w:lvl>
    <w:lvl w:ilvl="1" w:tplc="04100019" w:tentative="1">
      <w:start w:val="1"/>
      <w:numFmt w:val="lowerLetter"/>
      <w:lvlText w:val="%2."/>
      <w:lvlJc w:val="left"/>
      <w:pPr>
        <w:ind w:left="1255" w:hanging="360"/>
      </w:pPr>
    </w:lvl>
    <w:lvl w:ilvl="2" w:tplc="0410001B" w:tentative="1">
      <w:start w:val="1"/>
      <w:numFmt w:val="lowerRoman"/>
      <w:lvlText w:val="%3."/>
      <w:lvlJc w:val="right"/>
      <w:pPr>
        <w:ind w:left="1975" w:hanging="180"/>
      </w:pPr>
    </w:lvl>
    <w:lvl w:ilvl="3" w:tplc="0410000F" w:tentative="1">
      <w:start w:val="1"/>
      <w:numFmt w:val="decimal"/>
      <w:lvlText w:val="%4."/>
      <w:lvlJc w:val="left"/>
      <w:pPr>
        <w:ind w:left="2695" w:hanging="360"/>
      </w:pPr>
    </w:lvl>
    <w:lvl w:ilvl="4" w:tplc="04100019" w:tentative="1">
      <w:start w:val="1"/>
      <w:numFmt w:val="lowerLetter"/>
      <w:lvlText w:val="%5."/>
      <w:lvlJc w:val="left"/>
      <w:pPr>
        <w:ind w:left="3415" w:hanging="360"/>
      </w:pPr>
    </w:lvl>
    <w:lvl w:ilvl="5" w:tplc="0410001B" w:tentative="1">
      <w:start w:val="1"/>
      <w:numFmt w:val="lowerRoman"/>
      <w:lvlText w:val="%6."/>
      <w:lvlJc w:val="right"/>
      <w:pPr>
        <w:ind w:left="4135" w:hanging="180"/>
      </w:pPr>
    </w:lvl>
    <w:lvl w:ilvl="6" w:tplc="0410000F" w:tentative="1">
      <w:start w:val="1"/>
      <w:numFmt w:val="decimal"/>
      <w:lvlText w:val="%7."/>
      <w:lvlJc w:val="left"/>
      <w:pPr>
        <w:ind w:left="4855" w:hanging="360"/>
      </w:pPr>
    </w:lvl>
    <w:lvl w:ilvl="7" w:tplc="04100019" w:tentative="1">
      <w:start w:val="1"/>
      <w:numFmt w:val="lowerLetter"/>
      <w:lvlText w:val="%8."/>
      <w:lvlJc w:val="left"/>
      <w:pPr>
        <w:ind w:left="5575" w:hanging="360"/>
      </w:pPr>
    </w:lvl>
    <w:lvl w:ilvl="8" w:tplc="0410001B" w:tentative="1">
      <w:start w:val="1"/>
      <w:numFmt w:val="lowerRoman"/>
      <w:lvlText w:val="%9."/>
      <w:lvlJc w:val="right"/>
      <w:pPr>
        <w:ind w:left="6295" w:hanging="180"/>
      </w:pPr>
    </w:lvl>
  </w:abstractNum>
  <w:abstractNum w:abstractNumId="52">
    <w:nsid w:val="47A019F2"/>
    <w:multiLevelType w:val="hybridMultilevel"/>
    <w:tmpl w:val="EE5CE788"/>
    <w:lvl w:ilvl="0" w:tplc="58D20172">
      <w:numFmt w:val="bullet"/>
      <w:lvlText w:val="-"/>
      <w:lvlJc w:val="left"/>
      <w:pPr>
        <w:ind w:left="417" w:hanging="360"/>
      </w:pPr>
      <w:rPr>
        <w:rFonts w:ascii="Arial Narrow" w:eastAsia="Times New Roman" w:hAnsi="Arial Narrow" w:cs="Times New Roman" w:hint="default"/>
      </w:rPr>
    </w:lvl>
    <w:lvl w:ilvl="1" w:tplc="04100003" w:tentative="1">
      <w:start w:val="1"/>
      <w:numFmt w:val="bullet"/>
      <w:lvlText w:val="o"/>
      <w:lvlJc w:val="left"/>
      <w:pPr>
        <w:ind w:left="1137" w:hanging="360"/>
      </w:pPr>
      <w:rPr>
        <w:rFonts w:ascii="Courier New" w:hAnsi="Courier New" w:cs="Courier New" w:hint="default"/>
      </w:rPr>
    </w:lvl>
    <w:lvl w:ilvl="2" w:tplc="04100005" w:tentative="1">
      <w:start w:val="1"/>
      <w:numFmt w:val="bullet"/>
      <w:lvlText w:val=""/>
      <w:lvlJc w:val="left"/>
      <w:pPr>
        <w:ind w:left="1857" w:hanging="360"/>
      </w:pPr>
      <w:rPr>
        <w:rFonts w:ascii="Wingdings" w:hAnsi="Wingdings" w:hint="default"/>
      </w:rPr>
    </w:lvl>
    <w:lvl w:ilvl="3" w:tplc="04100001" w:tentative="1">
      <w:start w:val="1"/>
      <w:numFmt w:val="bullet"/>
      <w:lvlText w:val=""/>
      <w:lvlJc w:val="left"/>
      <w:pPr>
        <w:ind w:left="2577" w:hanging="360"/>
      </w:pPr>
      <w:rPr>
        <w:rFonts w:ascii="Symbol" w:hAnsi="Symbol" w:hint="default"/>
      </w:rPr>
    </w:lvl>
    <w:lvl w:ilvl="4" w:tplc="04100003" w:tentative="1">
      <w:start w:val="1"/>
      <w:numFmt w:val="bullet"/>
      <w:lvlText w:val="o"/>
      <w:lvlJc w:val="left"/>
      <w:pPr>
        <w:ind w:left="3297" w:hanging="360"/>
      </w:pPr>
      <w:rPr>
        <w:rFonts w:ascii="Courier New" w:hAnsi="Courier New" w:cs="Courier New" w:hint="default"/>
      </w:rPr>
    </w:lvl>
    <w:lvl w:ilvl="5" w:tplc="04100005" w:tentative="1">
      <w:start w:val="1"/>
      <w:numFmt w:val="bullet"/>
      <w:lvlText w:val=""/>
      <w:lvlJc w:val="left"/>
      <w:pPr>
        <w:ind w:left="4017" w:hanging="360"/>
      </w:pPr>
      <w:rPr>
        <w:rFonts w:ascii="Wingdings" w:hAnsi="Wingdings" w:hint="default"/>
      </w:rPr>
    </w:lvl>
    <w:lvl w:ilvl="6" w:tplc="04100001" w:tentative="1">
      <w:start w:val="1"/>
      <w:numFmt w:val="bullet"/>
      <w:lvlText w:val=""/>
      <w:lvlJc w:val="left"/>
      <w:pPr>
        <w:ind w:left="4737" w:hanging="360"/>
      </w:pPr>
      <w:rPr>
        <w:rFonts w:ascii="Symbol" w:hAnsi="Symbol" w:hint="default"/>
      </w:rPr>
    </w:lvl>
    <w:lvl w:ilvl="7" w:tplc="04100003" w:tentative="1">
      <w:start w:val="1"/>
      <w:numFmt w:val="bullet"/>
      <w:lvlText w:val="o"/>
      <w:lvlJc w:val="left"/>
      <w:pPr>
        <w:ind w:left="5457" w:hanging="360"/>
      </w:pPr>
      <w:rPr>
        <w:rFonts w:ascii="Courier New" w:hAnsi="Courier New" w:cs="Courier New" w:hint="default"/>
      </w:rPr>
    </w:lvl>
    <w:lvl w:ilvl="8" w:tplc="04100005" w:tentative="1">
      <w:start w:val="1"/>
      <w:numFmt w:val="bullet"/>
      <w:lvlText w:val=""/>
      <w:lvlJc w:val="left"/>
      <w:pPr>
        <w:ind w:left="6177" w:hanging="360"/>
      </w:pPr>
      <w:rPr>
        <w:rFonts w:ascii="Wingdings" w:hAnsi="Wingdings" w:hint="default"/>
      </w:rPr>
    </w:lvl>
  </w:abstractNum>
  <w:abstractNum w:abstractNumId="53">
    <w:nsid w:val="494061D4"/>
    <w:multiLevelType w:val="hybridMultilevel"/>
    <w:tmpl w:val="C48A9CC4"/>
    <w:lvl w:ilvl="0" w:tplc="D93C8826">
      <w:start w:val="1"/>
      <w:numFmt w:val="lowerRoman"/>
      <w:lvlText w:val="%1."/>
      <w:lvlJc w:val="left"/>
      <w:pPr>
        <w:ind w:left="1177" w:hanging="720"/>
      </w:pPr>
      <w:rPr>
        <w:rFonts w:hint="default"/>
      </w:rPr>
    </w:lvl>
    <w:lvl w:ilvl="1" w:tplc="04100019" w:tentative="1">
      <w:start w:val="1"/>
      <w:numFmt w:val="lowerLetter"/>
      <w:lvlText w:val="%2."/>
      <w:lvlJc w:val="left"/>
      <w:pPr>
        <w:ind w:left="1537" w:hanging="360"/>
      </w:pPr>
    </w:lvl>
    <w:lvl w:ilvl="2" w:tplc="0410001B" w:tentative="1">
      <w:start w:val="1"/>
      <w:numFmt w:val="lowerRoman"/>
      <w:lvlText w:val="%3."/>
      <w:lvlJc w:val="right"/>
      <w:pPr>
        <w:ind w:left="2257" w:hanging="180"/>
      </w:pPr>
    </w:lvl>
    <w:lvl w:ilvl="3" w:tplc="0410000F" w:tentative="1">
      <w:start w:val="1"/>
      <w:numFmt w:val="decimal"/>
      <w:lvlText w:val="%4."/>
      <w:lvlJc w:val="left"/>
      <w:pPr>
        <w:ind w:left="2977" w:hanging="360"/>
      </w:pPr>
    </w:lvl>
    <w:lvl w:ilvl="4" w:tplc="04100019" w:tentative="1">
      <w:start w:val="1"/>
      <w:numFmt w:val="lowerLetter"/>
      <w:lvlText w:val="%5."/>
      <w:lvlJc w:val="left"/>
      <w:pPr>
        <w:ind w:left="3697" w:hanging="360"/>
      </w:pPr>
    </w:lvl>
    <w:lvl w:ilvl="5" w:tplc="0410001B" w:tentative="1">
      <w:start w:val="1"/>
      <w:numFmt w:val="lowerRoman"/>
      <w:lvlText w:val="%6."/>
      <w:lvlJc w:val="right"/>
      <w:pPr>
        <w:ind w:left="4417" w:hanging="180"/>
      </w:pPr>
    </w:lvl>
    <w:lvl w:ilvl="6" w:tplc="0410000F" w:tentative="1">
      <w:start w:val="1"/>
      <w:numFmt w:val="decimal"/>
      <w:lvlText w:val="%7."/>
      <w:lvlJc w:val="left"/>
      <w:pPr>
        <w:ind w:left="5137" w:hanging="360"/>
      </w:pPr>
    </w:lvl>
    <w:lvl w:ilvl="7" w:tplc="04100019" w:tentative="1">
      <w:start w:val="1"/>
      <w:numFmt w:val="lowerLetter"/>
      <w:lvlText w:val="%8."/>
      <w:lvlJc w:val="left"/>
      <w:pPr>
        <w:ind w:left="5857" w:hanging="360"/>
      </w:pPr>
    </w:lvl>
    <w:lvl w:ilvl="8" w:tplc="0410001B" w:tentative="1">
      <w:start w:val="1"/>
      <w:numFmt w:val="lowerRoman"/>
      <w:lvlText w:val="%9."/>
      <w:lvlJc w:val="right"/>
      <w:pPr>
        <w:ind w:left="6577" w:hanging="180"/>
      </w:pPr>
    </w:lvl>
  </w:abstractNum>
  <w:abstractNum w:abstractNumId="54">
    <w:nsid w:val="4B0844E2"/>
    <w:multiLevelType w:val="hybridMultilevel"/>
    <w:tmpl w:val="0736E554"/>
    <w:lvl w:ilvl="0" w:tplc="EFF4EEF4">
      <w:start w:val="1"/>
      <w:numFmt w:val="lowerLetter"/>
      <w:lvlText w:val="%1)"/>
      <w:lvlJc w:val="left"/>
      <w:pPr>
        <w:ind w:left="360" w:hanging="360"/>
      </w:pPr>
      <w:rPr>
        <w:rFonts w:hint="default"/>
      </w:rPr>
    </w:lvl>
    <w:lvl w:ilvl="1" w:tplc="86526980" w:tentative="1">
      <w:start w:val="1"/>
      <w:numFmt w:val="lowerLetter"/>
      <w:lvlText w:val="%2."/>
      <w:lvlJc w:val="left"/>
      <w:pPr>
        <w:ind w:left="1080" w:hanging="360"/>
      </w:pPr>
    </w:lvl>
    <w:lvl w:ilvl="2" w:tplc="B77E04E4" w:tentative="1">
      <w:start w:val="1"/>
      <w:numFmt w:val="lowerRoman"/>
      <w:lvlText w:val="%3."/>
      <w:lvlJc w:val="right"/>
      <w:pPr>
        <w:ind w:left="1800" w:hanging="180"/>
      </w:pPr>
    </w:lvl>
    <w:lvl w:ilvl="3" w:tplc="F5A44D32" w:tentative="1">
      <w:start w:val="1"/>
      <w:numFmt w:val="decimal"/>
      <w:lvlText w:val="%4."/>
      <w:lvlJc w:val="left"/>
      <w:pPr>
        <w:ind w:left="2520" w:hanging="360"/>
      </w:pPr>
    </w:lvl>
    <w:lvl w:ilvl="4" w:tplc="D82EE042" w:tentative="1">
      <w:start w:val="1"/>
      <w:numFmt w:val="lowerLetter"/>
      <w:lvlText w:val="%5."/>
      <w:lvlJc w:val="left"/>
      <w:pPr>
        <w:ind w:left="3240" w:hanging="360"/>
      </w:pPr>
    </w:lvl>
    <w:lvl w:ilvl="5" w:tplc="C52019A4" w:tentative="1">
      <w:start w:val="1"/>
      <w:numFmt w:val="lowerRoman"/>
      <w:lvlText w:val="%6."/>
      <w:lvlJc w:val="right"/>
      <w:pPr>
        <w:ind w:left="3960" w:hanging="180"/>
      </w:pPr>
    </w:lvl>
    <w:lvl w:ilvl="6" w:tplc="EB8018DA" w:tentative="1">
      <w:start w:val="1"/>
      <w:numFmt w:val="decimal"/>
      <w:lvlText w:val="%7."/>
      <w:lvlJc w:val="left"/>
      <w:pPr>
        <w:ind w:left="4680" w:hanging="360"/>
      </w:pPr>
    </w:lvl>
    <w:lvl w:ilvl="7" w:tplc="E312DDA6" w:tentative="1">
      <w:start w:val="1"/>
      <w:numFmt w:val="lowerLetter"/>
      <w:lvlText w:val="%8."/>
      <w:lvlJc w:val="left"/>
      <w:pPr>
        <w:ind w:left="5400" w:hanging="360"/>
      </w:pPr>
    </w:lvl>
    <w:lvl w:ilvl="8" w:tplc="CEFAEE48" w:tentative="1">
      <w:start w:val="1"/>
      <w:numFmt w:val="lowerRoman"/>
      <w:lvlText w:val="%9."/>
      <w:lvlJc w:val="right"/>
      <w:pPr>
        <w:ind w:left="6120" w:hanging="180"/>
      </w:pPr>
    </w:lvl>
  </w:abstractNum>
  <w:abstractNum w:abstractNumId="55">
    <w:nsid w:val="4E1A7E20"/>
    <w:multiLevelType w:val="hybridMultilevel"/>
    <w:tmpl w:val="F0A8185C"/>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56">
    <w:nsid w:val="4EE860A0"/>
    <w:multiLevelType w:val="hybridMultilevel"/>
    <w:tmpl w:val="3EC80BA2"/>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57">
    <w:nsid w:val="4FCB6B85"/>
    <w:multiLevelType w:val="hybridMultilevel"/>
    <w:tmpl w:val="65D8A36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8">
    <w:nsid w:val="513950D0"/>
    <w:multiLevelType w:val="hybridMultilevel"/>
    <w:tmpl w:val="F454CEB8"/>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59">
    <w:nsid w:val="53DF61F6"/>
    <w:multiLevelType w:val="hybridMultilevel"/>
    <w:tmpl w:val="EADEFD8E"/>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60">
    <w:nsid w:val="57244A05"/>
    <w:multiLevelType w:val="hybridMultilevel"/>
    <w:tmpl w:val="C48A9CC4"/>
    <w:lvl w:ilvl="0" w:tplc="D93C8826">
      <w:start w:val="1"/>
      <w:numFmt w:val="lowerRoman"/>
      <w:lvlText w:val="%1."/>
      <w:lvlJc w:val="left"/>
      <w:pPr>
        <w:ind w:left="1177" w:hanging="720"/>
      </w:pPr>
      <w:rPr>
        <w:rFonts w:hint="default"/>
      </w:rPr>
    </w:lvl>
    <w:lvl w:ilvl="1" w:tplc="04100019" w:tentative="1">
      <w:start w:val="1"/>
      <w:numFmt w:val="lowerLetter"/>
      <w:lvlText w:val="%2."/>
      <w:lvlJc w:val="left"/>
      <w:pPr>
        <w:ind w:left="1537" w:hanging="360"/>
      </w:pPr>
    </w:lvl>
    <w:lvl w:ilvl="2" w:tplc="0410001B" w:tentative="1">
      <w:start w:val="1"/>
      <w:numFmt w:val="lowerRoman"/>
      <w:lvlText w:val="%3."/>
      <w:lvlJc w:val="right"/>
      <w:pPr>
        <w:ind w:left="2257" w:hanging="180"/>
      </w:pPr>
    </w:lvl>
    <w:lvl w:ilvl="3" w:tplc="0410000F" w:tentative="1">
      <w:start w:val="1"/>
      <w:numFmt w:val="decimal"/>
      <w:lvlText w:val="%4."/>
      <w:lvlJc w:val="left"/>
      <w:pPr>
        <w:ind w:left="2977" w:hanging="360"/>
      </w:pPr>
    </w:lvl>
    <w:lvl w:ilvl="4" w:tplc="04100019" w:tentative="1">
      <w:start w:val="1"/>
      <w:numFmt w:val="lowerLetter"/>
      <w:lvlText w:val="%5."/>
      <w:lvlJc w:val="left"/>
      <w:pPr>
        <w:ind w:left="3697" w:hanging="360"/>
      </w:pPr>
    </w:lvl>
    <w:lvl w:ilvl="5" w:tplc="0410001B" w:tentative="1">
      <w:start w:val="1"/>
      <w:numFmt w:val="lowerRoman"/>
      <w:lvlText w:val="%6."/>
      <w:lvlJc w:val="right"/>
      <w:pPr>
        <w:ind w:left="4417" w:hanging="180"/>
      </w:pPr>
    </w:lvl>
    <w:lvl w:ilvl="6" w:tplc="0410000F" w:tentative="1">
      <w:start w:val="1"/>
      <w:numFmt w:val="decimal"/>
      <w:lvlText w:val="%7."/>
      <w:lvlJc w:val="left"/>
      <w:pPr>
        <w:ind w:left="5137" w:hanging="360"/>
      </w:pPr>
    </w:lvl>
    <w:lvl w:ilvl="7" w:tplc="04100019" w:tentative="1">
      <w:start w:val="1"/>
      <w:numFmt w:val="lowerLetter"/>
      <w:lvlText w:val="%8."/>
      <w:lvlJc w:val="left"/>
      <w:pPr>
        <w:ind w:left="5857" w:hanging="360"/>
      </w:pPr>
    </w:lvl>
    <w:lvl w:ilvl="8" w:tplc="0410001B" w:tentative="1">
      <w:start w:val="1"/>
      <w:numFmt w:val="lowerRoman"/>
      <w:lvlText w:val="%9."/>
      <w:lvlJc w:val="right"/>
      <w:pPr>
        <w:ind w:left="6577" w:hanging="180"/>
      </w:pPr>
    </w:lvl>
  </w:abstractNum>
  <w:abstractNum w:abstractNumId="61">
    <w:nsid w:val="596F331E"/>
    <w:multiLevelType w:val="hybridMultilevel"/>
    <w:tmpl w:val="8AE4B6F2"/>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62">
    <w:nsid w:val="5BFA3D14"/>
    <w:multiLevelType w:val="hybridMultilevel"/>
    <w:tmpl w:val="51F23FB0"/>
    <w:lvl w:ilvl="0" w:tplc="05C6F876">
      <w:start w:val="1"/>
      <w:numFmt w:val="lowerRoman"/>
      <w:lvlText w:val="%1)"/>
      <w:lvlJc w:val="left"/>
      <w:pPr>
        <w:ind w:left="765" w:hanging="720"/>
      </w:pPr>
      <w:rPr>
        <w:rFonts w:hint="default"/>
      </w:rPr>
    </w:lvl>
    <w:lvl w:ilvl="1" w:tplc="04100019" w:tentative="1">
      <w:start w:val="1"/>
      <w:numFmt w:val="lowerLetter"/>
      <w:lvlText w:val="%2."/>
      <w:lvlJc w:val="left"/>
      <w:pPr>
        <w:ind w:left="1125" w:hanging="360"/>
      </w:pPr>
    </w:lvl>
    <w:lvl w:ilvl="2" w:tplc="0410001B" w:tentative="1">
      <w:start w:val="1"/>
      <w:numFmt w:val="lowerRoman"/>
      <w:lvlText w:val="%3."/>
      <w:lvlJc w:val="right"/>
      <w:pPr>
        <w:ind w:left="1845" w:hanging="180"/>
      </w:pPr>
    </w:lvl>
    <w:lvl w:ilvl="3" w:tplc="0410000F" w:tentative="1">
      <w:start w:val="1"/>
      <w:numFmt w:val="decimal"/>
      <w:lvlText w:val="%4."/>
      <w:lvlJc w:val="left"/>
      <w:pPr>
        <w:ind w:left="2565" w:hanging="360"/>
      </w:pPr>
    </w:lvl>
    <w:lvl w:ilvl="4" w:tplc="04100019" w:tentative="1">
      <w:start w:val="1"/>
      <w:numFmt w:val="lowerLetter"/>
      <w:lvlText w:val="%5."/>
      <w:lvlJc w:val="left"/>
      <w:pPr>
        <w:ind w:left="3285" w:hanging="360"/>
      </w:pPr>
    </w:lvl>
    <w:lvl w:ilvl="5" w:tplc="0410001B" w:tentative="1">
      <w:start w:val="1"/>
      <w:numFmt w:val="lowerRoman"/>
      <w:lvlText w:val="%6."/>
      <w:lvlJc w:val="right"/>
      <w:pPr>
        <w:ind w:left="4005" w:hanging="180"/>
      </w:pPr>
    </w:lvl>
    <w:lvl w:ilvl="6" w:tplc="0410000F" w:tentative="1">
      <w:start w:val="1"/>
      <w:numFmt w:val="decimal"/>
      <w:lvlText w:val="%7."/>
      <w:lvlJc w:val="left"/>
      <w:pPr>
        <w:ind w:left="4725" w:hanging="360"/>
      </w:pPr>
    </w:lvl>
    <w:lvl w:ilvl="7" w:tplc="04100019" w:tentative="1">
      <w:start w:val="1"/>
      <w:numFmt w:val="lowerLetter"/>
      <w:lvlText w:val="%8."/>
      <w:lvlJc w:val="left"/>
      <w:pPr>
        <w:ind w:left="5445" w:hanging="360"/>
      </w:pPr>
    </w:lvl>
    <w:lvl w:ilvl="8" w:tplc="0410001B" w:tentative="1">
      <w:start w:val="1"/>
      <w:numFmt w:val="lowerRoman"/>
      <w:lvlText w:val="%9."/>
      <w:lvlJc w:val="right"/>
      <w:pPr>
        <w:ind w:left="6165" w:hanging="180"/>
      </w:pPr>
    </w:lvl>
  </w:abstractNum>
  <w:abstractNum w:abstractNumId="63">
    <w:nsid w:val="5F591E55"/>
    <w:multiLevelType w:val="hybridMultilevel"/>
    <w:tmpl w:val="D2465604"/>
    <w:lvl w:ilvl="0" w:tplc="4FDE7AF6">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64">
    <w:nsid w:val="61913FD1"/>
    <w:multiLevelType w:val="hybridMultilevel"/>
    <w:tmpl w:val="1E78512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5">
    <w:nsid w:val="620A5AC0"/>
    <w:multiLevelType w:val="hybridMultilevel"/>
    <w:tmpl w:val="05585EC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6">
    <w:nsid w:val="655F3160"/>
    <w:multiLevelType w:val="hybridMultilevel"/>
    <w:tmpl w:val="FFEE0BEC"/>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67">
    <w:nsid w:val="664070C1"/>
    <w:multiLevelType w:val="hybridMultilevel"/>
    <w:tmpl w:val="FDE2713C"/>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68">
    <w:nsid w:val="66620EBD"/>
    <w:multiLevelType w:val="hybridMultilevel"/>
    <w:tmpl w:val="26AE6636"/>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69">
    <w:nsid w:val="6E44050D"/>
    <w:multiLevelType w:val="hybridMultilevel"/>
    <w:tmpl w:val="8D823C3A"/>
    <w:lvl w:ilvl="0" w:tplc="BF4677F8">
      <w:start w:val="1"/>
      <w:numFmt w:val="decimal"/>
      <w:lvlText w:val="%1)"/>
      <w:lvlJc w:val="left"/>
      <w:pPr>
        <w:ind w:left="814" w:hanging="360"/>
      </w:pPr>
      <w:rPr>
        <w:rFonts w:hint="default"/>
        <w:i w:val="0"/>
      </w:rPr>
    </w:lvl>
    <w:lvl w:ilvl="1" w:tplc="04100019" w:tentative="1">
      <w:start w:val="1"/>
      <w:numFmt w:val="lowerLetter"/>
      <w:lvlText w:val="%2."/>
      <w:lvlJc w:val="left"/>
      <w:pPr>
        <w:ind w:left="1861" w:hanging="360"/>
      </w:pPr>
    </w:lvl>
    <w:lvl w:ilvl="2" w:tplc="0410001B" w:tentative="1">
      <w:start w:val="1"/>
      <w:numFmt w:val="lowerRoman"/>
      <w:lvlText w:val="%3."/>
      <w:lvlJc w:val="right"/>
      <w:pPr>
        <w:ind w:left="2581" w:hanging="180"/>
      </w:pPr>
    </w:lvl>
    <w:lvl w:ilvl="3" w:tplc="0410000F" w:tentative="1">
      <w:start w:val="1"/>
      <w:numFmt w:val="decimal"/>
      <w:lvlText w:val="%4."/>
      <w:lvlJc w:val="left"/>
      <w:pPr>
        <w:ind w:left="3301" w:hanging="360"/>
      </w:pPr>
    </w:lvl>
    <w:lvl w:ilvl="4" w:tplc="04100019" w:tentative="1">
      <w:start w:val="1"/>
      <w:numFmt w:val="lowerLetter"/>
      <w:lvlText w:val="%5."/>
      <w:lvlJc w:val="left"/>
      <w:pPr>
        <w:ind w:left="4021" w:hanging="360"/>
      </w:pPr>
    </w:lvl>
    <w:lvl w:ilvl="5" w:tplc="0410001B" w:tentative="1">
      <w:start w:val="1"/>
      <w:numFmt w:val="lowerRoman"/>
      <w:lvlText w:val="%6."/>
      <w:lvlJc w:val="right"/>
      <w:pPr>
        <w:ind w:left="4741" w:hanging="180"/>
      </w:pPr>
    </w:lvl>
    <w:lvl w:ilvl="6" w:tplc="0410000F" w:tentative="1">
      <w:start w:val="1"/>
      <w:numFmt w:val="decimal"/>
      <w:lvlText w:val="%7."/>
      <w:lvlJc w:val="left"/>
      <w:pPr>
        <w:ind w:left="5461" w:hanging="360"/>
      </w:pPr>
    </w:lvl>
    <w:lvl w:ilvl="7" w:tplc="04100019" w:tentative="1">
      <w:start w:val="1"/>
      <w:numFmt w:val="lowerLetter"/>
      <w:lvlText w:val="%8."/>
      <w:lvlJc w:val="left"/>
      <w:pPr>
        <w:ind w:left="6181" w:hanging="360"/>
      </w:pPr>
    </w:lvl>
    <w:lvl w:ilvl="8" w:tplc="0410001B" w:tentative="1">
      <w:start w:val="1"/>
      <w:numFmt w:val="lowerRoman"/>
      <w:lvlText w:val="%9."/>
      <w:lvlJc w:val="right"/>
      <w:pPr>
        <w:ind w:left="6901" w:hanging="180"/>
      </w:pPr>
    </w:lvl>
  </w:abstractNum>
  <w:abstractNum w:abstractNumId="70">
    <w:nsid w:val="6F2A00B5"/>
    <w:multiLevelType w:val="hybridMultilevel"/>
    <w:tmpl w:val="1EA4D2EA"/>
    <w:lvl w:ilvl="0" w:tplc="A2A2B4F2">
      <w:start w:val="1"/>
      <w:numFmt w:val="lowerLetter"/>
      <w:lvlText w:val="%1)"/>
      <w:lvlJc w:val="left"/>
      <w:pPr>
        <w:ind w:left="417" w:hanging="360"/>
      </w:pPr>
      <w:rPr>
        <w:rFonts w:hint="default"/>
      </w:rPr>
    </w:lvl>
    <w:lvl w:ilvl="1" w:tplc="04100019" w:tentative="1">
      <w:start w:val="1"/>
      <w:numFmt w:val="lowerLetter"/>
      <w:lvlText w:val="%2."/>
      <w:lvlJc w:val="left"/>
      <w:pPr>
        <w:ind w:left="1137" w:hanging="360"/>
      </w:pPr>
    </w:lvl>
    <w:lvl w:ilvl="2" w:tplc="0410001B" w:tentative="1">
      <w:start w:val="1"/>
      <w:numFmt w:val="lowerRoman"/>
      <w:lvlText w:val="%3."/>
      <w:lvlJc w:val="right"/>
      <w:pPr>
        <w:ind w:left="1857" w:hanging="180"/>
      </w:pPr>
    </w:lvl>
    <w:lvl w:ilvl="3" w:tplc="0410000F" w:tentative="1">
      <w:start w:val="1"/>
      <w:numFmt w:val="decimal"/>
      <w:lvlText w:val="%4."/>
      <w:lvlJc w:val="left"/>
      <w:pPr>
        <w:ind w:left="2577" w:hanging="360"/>
      </w:pPr>
    </w:lvl>
    <w:lvl w:ilvl="4" w:tplc="04100019" w:tentative="1">
      <w:start w:val="1"/>
      <w:numFmt w:val="lowerLetter"/>
      <w:lvlText w:val="%5."/>
      <w:lvlJc w:val="left"/>
      <w:pPr>
        <w:ind w:left="3297" w:hanging="360"/>
      </w:pPr>
    </w:lvl>
    <w:lvl w:ilvl="5" w:tplc="0410001B" w:tentative="1">
      <w:start w:val="1"/>
      <w:numFmt w:val="lowerRoman"/>
      <w:lvlText w:val="%6."/>
      <w:lvlJc w:val="right"/>
      <w:pPr>
        <w:ind w:left="4017" w:hanging="180"/>
      </w:pPr>
    </w:lvl>
    <w:lvl w:ilvl="6" w:tplc="0410000F" w:tentative="1">
      <w:start w:val="1"/>
      <w:numFmt w:val="decimal"/>
      <w:lvlText w:val="%7."/>
      <w:lvlJc w:val="left"/>
      <w:pPr>
        <w:ind w:left="4737" w:hanging="360"/>
      </w:pPr>
    </w:lvl>
    <w:lvl w:ilvl="7" w:tplc="04100019" w:tentative="1">
      <w:start w:val="1"/>
      <w:numFmt w:val="lowerLetter"/>
      <w:lvlText w:val="%8."/>
      <w:lvlJc w:val="left"/>
      <w:pPr>
        <w:ind w:left="5457" w:hanging="360"/>
      </w:pPr>
    </w:lvl>
    <w:lvl w:ilvl="8" w:tplc="0410001B" w:tentative="1">
      <w:start w:val="1"/>
      <w:numFmt w:val="lowerRoman"/>
      <w:lvlText w:val="%9."/>
      <w:lvlJc w:val="right"/>
      <w:pPr>
        <w:ind w:left="6177" w:hanging="180"/>
      </w:pPr>
    </w:lvl>
  </w:abstractNum>
  <w:abstractNum w:abstractNumId="71">
    <w:nsid w:val="70ED03F7"/>
    <w:multiLevelType w:val="hybridMultilevel"/>
    <w:tmpl w:val="FE1AF94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2">
    <w:nsid w:val="71A22387"/>
    <w:multiLevelType w:val="hybridMultilevel"/>
    <w:tmpl w:val="64826360"/>
    <w:lvl w:ilvl="0" w:tplc="04100017">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3">
    <w:nsid w:val="72656C07"/>
    <w:multiLevelType w:val="hybridMultilevel"/>
    <w:tmpl w:val="3E18767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4">
    <w:nsid w:val="72865F39"/>
    <w:multiLevelType w:val="multilevel"/>
    <w:tmpl w:val="0410001D"/>
    <w:styleLink w:val="Stile2"/>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Arial Narrow" w:hAnsi="Arial Narrow"/>
        <w:sz w:val="20"/>
        <w:u w:val="none"/>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nsid w:val="76156366"/>
    <w:multiLevelType w:val="hybridMultilevel"/>
    <w:tmpl w:val="31DC477C"/>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76">
    <w:nsid w:val="76491677"/>
    <w:multiLevelType w:val="hybridMultilevel"/>
    <w:tmpl w:val="C4CE9DC0"/>
    <w:lvl w:ilvl="0" w:tplc="D850F064">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77">
    <w:nsid w:val="76B14645"/>
    <w:multiLevelType w:val="hybridMultilevel"/>
    <w:tmpl w:val="5776E0DA"/>
    <w:lvl w:ilvl="0" w:tplc="06C062F8">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8">
    <w:nsid w:val="77CD3390"/>
    <w:multiLevelType w:val="hybridMultilevel"/>
    <w:tmpl w:val="AF54BDC4"/>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79">
    <w:nsid w:val="7A073CA3"/>
    <w:multiLevelType w:val="hybridMultilevel"/>
    <w:tmpl w:val="06A2C204"/>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80">
    <w:nsid w:val="7B06716D"/>
    <w:multiLevelType w:val="hybridMultilevel"/>
    <w:tmpl w:val="6FD01020"/>
    <w:lvl w:ilvl="0" w:tplc="04100017">
      <w:start w:val="1"/>
      <w:numFmt w:val="low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1">
    <w:nsid w:val="7B217193"/>
    <w:multiLevelType w:val="hybridMultilevel"/>
    <w:tmpl w:val="ECB0B478"/>
    <w:lvl w:ilvl="0" w:tplc="E370C402">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82">
    <w:nsid w:val="7B80268F"/>
    <w:multiLevelType w:val="multilevel"/>
    <w:tmpl w:val="FDFA23CA"/>
    <w:lvl w:ilvl="0">
      <w:start w:val="1"/>
      <w:numFmt w:val="decimal"/>
      <w:pStyle w:val="PARAGRAFO"/>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nsid w:val="7BDB5005"/>
    <w:multiLevelType w:val="hybridMultilevel"/>
    <w:tmpl w:val="2612E78A"/>
    <w:lvl w:ilvl="0" w:tplc="FAAC4644">
      <w:start w:val="14"/>
      <w:numFmt w:val="bullet"/>
      <w:lvlText w:val="-"/>
      <w:lvlJc w:val="left"/>
      <w:pPr>
        <w:ind w:left="720" w:hanging="360"/>
      </w:pPr>
      <w:rPr>
        <w:rFonts w:ascii="Arial Narrow" w:eastAsia="Times New Roman" w:hAnsi="Arial Narrow"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50"/>
  </w:num>
  <w:num w:numId="4">
    <w:abstractNumId w:val="33"/>
  </w:num>
  <w:num w:numId="5">
    <w:abstractNumId w:val="14"/>
  </w:num>
  <w:num w:numId="6">
    <w:abstractNumId w:val="15"/>
  </w:num>
  <w:num w:numId="7">
    <w:abstractNumId w:val="13"/>
  </w:num>
  <w:num w:numId="8">
    <w:abstractNumId w:val="20"/>
  </w:num>
  <w:num w:numId="9">
    <w:abstractNumId w:val="6"/>
  </w:num>
  <w:num w:numId="10">
    <w:abstractNumId w:val="74"/>
  </w:num>
  <w:num w:numId="11">
    <w:abstractNumId w:val="3"/>
  </w:num>
  <w:num w:numId="12">
    <w:abstractNumId w:val="50"/>
    <w:lvlOverride w:ilvl="0">
      <w:startOverride w:val="1"/>
    </w:lvlOverride>
  </w:num>
  <w:num w:numId="13">
    <w:abstractNumId w:val="70"/>
  </w:num>
  <w:num w:numId="14">
    <w:abstractNumId w:val="35"/>
  </w:num>
  <w:num w:numId="15">
    <w:abstractNumId w:val="10"/>
  </w:num>
  <w:num w:numId="16">
    <w:abstractNumId w:val="73"/>
  </w:num>
  <w:num w:numId="17">
    <w:abstractNumId w:val="69"/>
  </w:num>
  <w:num w:numId="18">
    <w:abstractNumId w:val="39"/>
  </w:num>
  <w:num w:numId="19">
    <w:abstractNumId w:val="2"/>
  </w:num>
  <w:num w:numId="20">
    <w:abstractNumId w:val="30"/>
  </w:num>
  <w:num w:numId="21">
    <w:abstractNumId w:val="71"/>
  </w:num>
  <w:num w:numId="22">
    <w:abstractNumId w:val="45"/>
  </w:num>
  <w:num w:numId="23">
    <w:abstractNumId w:val="46"/>
  </w:num>
  <w:num w:numId="24">
    <w:abstractNumId w:val="72"/>
  </w:num>
  <w:num w:numId="25">
    <w:abstractNumId w:val="27"/>
  </w:num>
  <w:num w:numId="26">
    <w:abstractNumId w:val="49"/>
  </w:num>
  <w:num w:numId="27">
    <w:abstractNumId w:val="40"/>
  </w:num>
  <w:num w:numId="28">
    <w:abstractNumId w:val="42"/>
  </w:num>
  <w:num w:numId="29">
    <w:abstractNumId w:val="63"/>
  </w:num>
  <w:num w:numId="30">
    <w:abstractNumId w:val="76"/>
  </w:num>
  <w:num w:numId="31">
    <w:abstractNumId w:val="76"/>
    <w:lvlOverride w:ilvl="0">
      <w:startOverride w:val="1"/>
    </w:lvlOverride>
  </w:num>
  <w:num w:numId="32">
    <w:abstractNumId w:val="81"/>
  </w:num>
  <w:num w:numId="33">
    <w:abstractNumId w:val="44"/>
  </w:num>
  <w:num w:numId="34">
    <w:abstractNumId w:val="4"/>
  </w:num>
  <w:num w:numId="35">
    <w:abstractNumId w:val="34"/>
  </w:num>
  <w:num w:numId="36">
    <w:abstractNumId w:val="16"/>
  </w:num>
  <w:num w:numId="37">
    <w:abstractNumId w:val="29"/>
  </w:num>
  <w:num w:numId="38">
    <w:abstractNumId w:val="51"/>
  </w:num>
  <w:num w:numId="39">
    <w:abstractNumId w:val="83"/>
  </w:num>
  <w:num w:numId="40">
    <w:abstractNumId w:val="8"/>
  </w:num>
  <w:num w:numId="41">
    <w:abstractNumId w:val="12"/>
  </w:num>
  <w:num w:numId="42">
    <w:abstractNumId w:val="64"/>
  </w:num>
  <w:num w:numId="43">
    <w:abstractNumId w:val="19"/>
  </w:num>
  <w:num w:numId="44">
    <w:abstractNumId w:val="41"/>
  </w:num>
  <w:num w:numId="45">
    <w:abstractNumId w:val="23"/>
  </w:num>
  <w:num w:numId="46">
    <w:abstractNumId w:val="43"/>
  </w:num>
  <w:num w:numId="47">
    <w:abstractNumId w:val="5"/>
  </w:num>
  <w:num w:numId="48">
    <w:abstractNumId w:val="60"/>
  </w:num>
  <w:num w:numId="49">
    <w:abstractNumId w:val="53"/>
  </w:num>
  <w:num w:numId="50">
    <w:abstractNumId w:val="1"/>
  </w:num>
  <w:num w:numId="51">
    <w:abstractNumId w:val="21"/>
  </w:num>
  <w:num w:numId="52">
    <w:abstractNumId w:val="28"/>
  </w:num>
  <w:num w:numId="53">
    <w:abstractNumId w:val="75"/>
  </w:num>
  <w:num w:numId="54">
    <w:abstractNumId w:val="59"/>
  </w:num>
  <w:num w:numId="55">
    <w:abstractNumId w:val="79"/>
  </w:num>
  <w:num w:numId="56">
    <w:abstractNumId w:val="36"/>
  </w:num>
  <w:num w:numId="57">
    <w:abstractNumId w:val="24"/>
  </w:num>
  <w:num w:numId="58">
    <w:abstractNumId w:val="9"/>
  </w:num>
  <w:num w:numId="59">
    <w:abstractNumId w:val="58"/>
  </w:num>
  <w:num w:numId="60">
    <w:abstractNumId w:val="48"/>
  </w:num>
  <w:num w:numId="61">
    <w:abstractNumId w:val="18"/>
  </w:num>
  <w:num w:numId="62">
    <w:abstractNumId w:val="31"/>
  </w:num>
  <w:num w:numId="63">
    <w:abstractNumId w:val="7"/>
  </w:num>
  <w:num w:numId="64">
    <w:abstractNumId w:val="37"/>
  </w:num>
  <w:num w:numId="65">
    <w:abstractNumId w:val="55"/>
  </w:num>
  <w:num w:numId="66">
    <w:abstractNumId w:val="56"/>
  </w:num>
  <w:num w:numId="67">
    <w:abstractNumId w:val="67"/>
  </w:num>
  <w:num w:numId="68">
    <w:abstractNumId w:val="78"/>
  </w:num>
  <w:num w:numId="69">
    <w:abstractNumId w:val="68"/>
  </w:num>
  <w:num w:numId="70">
    <w:abstractNumId w:val="25"/>
  </w:num>
  <w:num w:numId="71">
    <w:abstractNumId w:val="26"/>
  </w:num>
  <w:num w:numId="72">
    <w:abstractNumId w:val="61"/>
  </w:num>
  <w:num w:numId="73">
    <w:abstractNumId w:val="17"/>
  </w:num>
  <w:num w:numId="74">
    <w:abstractNumId w:val="80"/>
  </w:num>
  <w:num w:numId="75">
    <w:abstractNumId w:val="54"/>
  </w:num>
  <w:num w:numId="76">
    <w:abstractNumId w:val="47"/>
  </w:num>
  <w:num w:numId="77">
    <w:abstractNumId w:val="38"/>
  </w:num>
  <w:num w:numId="78">
    <w:abstractNumId w:val="65"/>
  </w:num>
  <w:num w:numId="79">
    <w:abstractNumId w:val="62"/>
  </w:num>
  <w:num w:numId="80">
    <w:abstractNumId w:val="52"/>
  </w:num>
  <w:num w:numId="81">
    <w:abstractNumId w:val="77"/>
  </w:num>
  <w:num w:numId="82">
    <w:abstractNumId w:val="77"/>
    <w:lvlOverride w:ilvl="0">
      <w:startOverride w:val="1"/>
    </w:lvlOverride>
  </w:num>
  <w:num w:numId="83">
    <w:abstractNumId w:val="77"/>
    <w:lvlOverride w:ilvl="0">
      <w:startOverride w:val="1"/>
    </w:lvlOverride>
  </w:num>
  <w:num w:numId="84">
    <w:abstractNumId w:val="77"/>
    <w:lvlOverride w:ilvl="0">
      <w:startOverride w:val="1"/>
    </w:lvlOverride>
  </w:num>
  <w:num w:numId="85">
    <w:abstractNumId w:val="77"/>
    <w:lvlOverride w:ilvl="0">
      <w:startOverride w:val="1"/>
    </w:lvlOverride>
  </w:num>
  <w:num w:numId="86">
    <w:abstractNumId w:val="77"/>
    <w:lvlOverride w:ilvl="0">
      <w:startOverride w:val="1"/>
    </w:lvlOverride>
  </w:num>
  <w:num w:numId="87">
    <w:abstractNumId w:val="77"/>
    <w:lvlOverride w:ilvl="0">
      <w:startOverride w:val="1"/>
    </w:lvlOverride>
  </w:num>
  <w:num w:numId="88">
    <w:abstractNumId w:val="77"/>
    <w:lvlOverride w:ilvl="0">
      <w:startOverride w:val="1"/>
    </w:lvlOverride>
  </w:num>
  <w:num w:numId="89">
    <w:abstractNumId w:val="57"/>
  </w:num>
  <w:num w:numId="90">
    <w:abstractNumId w:val="22"/>
  </w:num>
  <w:num w:numId="91">
    <w:abstractNumId w:val="66"/>
  </w:num>
  <w:num w:numId="9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TrueTypeFonts/>
  <w:embedSystemFonts/>
  <w:saveSubsetFonts/>
  <w:hideSpellingErrors/>
  <w:hideGrammaticalErrors/>
  <w:activeWritingStyle w:appName="MSWord" w:lang="en-GB" w:vendorID="64" w:dllVersion="131078" w:nlCheck="1" w:checkStyle="0"/>
  <w:activeWritingStyle w:appName="MSWord" w:lang="en-US" w:vendorID="64" w:dllVersion="131078" w:nlCheck="1" w:checkStyle="0"/>
  <w:activeWritingStyle w:appName="MSWord" w:lang="de-CH" w:vendorID="64" w:dllVersion="131078" w:nlCheck="1" w:checkStyle="1"/>
  <w:activeWritingStyle w:appName="MSWord" w:lang="en-ZW" w:vendorID="64" w:dllVersion="131078" w:nlCheck="1" w:checkStyle="1"/>
  <w:activeWritingStyle w:appName="MSWord" w:lang="fr-LU" w:vendorID="64" w:dllVersion="131078" w:nlCheck="1" w:checkStyle="1"/>
  <w:activeWritingStyle w:appName="MSWord" w:lang="fr-FR" w:vendorID="64" w:dllVersion="131078" w:nlCheck="1" w:checkStyle="1"/>
  <w:activeWritingStyle w:appName="MSWord" w:lang="de-DE" w:vendorID="64" w:dllVersion="131078" w:nlCheck="1" w:checkStyle="1"/>
  <w:activeWritingStyle w:appName="MSWord" w:lang="it-IT" w:vendorID="64" w:dllVersion="131078" w:nlCheck="1" w:checkStyle="0"/>
  <w:activeWritingStyle w:appName="MSWord" w:lang="it-IT" w:vendorID="3" w:dllVersion="517" w:checkStyle="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forms" w:enforcement="1" w:cryptProviderType="rsaFull" w:cryptAlgorithmClass="hash" w:cryptAlgorithmType="typeAny" w:cryptAlgorithmSid="4" w:cryptSpinCount="100000" w:hash="Y6r3sRbb/l577gd2SCdc/uRO9As=" w:salt="8dV0p7sWLrA+Tpj0Ps5FVQ=="/>
  <w:defaultTabStop w:val="227"/>
  <w:hyphenationZone w:val="283"/>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F14"/>
    <w:rsid w:val="000002BC"/>
    <w:rsid w:val="00000781"/>
    <w:rsid w:val="00000D9A"/>
    <w:rsid w:val="000011DF"/>
    <w:rsid w:val="000014A0"/>
    <w:rsid w:val="00001777"/>
    <w:rsid w:val="000019EF"/>
    <w:rsid w:val="00001EE7"/>
    <w:rsid w:val="00002A4D"/>
    <w:rsid w:val="00002AE3"/>
    <w:rsid w:val="00002AF7"/>
    <w:rsid w:val="00002EF4"/>
    <w:rsid w:val="000032B9"/>
    <w:rsid w:val="00003592"/>
    <w:rsid w:val="000038B2"/>
    <w:rsid w:val="00003C7E"/>
    <w:rsid w:val="00003FC1"/>
    <w:rsid w:val="00004502"/>
    <w:rsid w:val="00004D95"/>
    <w:rsid w:val="000055CA"/>
    <w:rsid w:val="00005609"/>
    <w:rsid w:val="000056C6"/>
    <w:rsid w:val="00005EB3"/>
    <w:rsid w:val="00006B95"/>
    <w:rsid w:val="000078B1"/>
    <w:rsid w:val="00010382"/>
    <w:rsid w:val="000105CF"/>
    <w:rsid w:val="000106DC"/>
    <w:rsid w:val="000119BE"/>
    <w:rsid w:val="00011E8E"/>
    <w:rsid w:val="00012B44"/>
    <w:rsid w:val="00012BED"/>
    <w:rsid w:val="0001301C"/>
    <w:rsid w:val="00013200"/>
    <w:rsid w:val="00013795"/>
    <w:rsid w:val="00013CFD"/>
    <w:rsid w:val="00013D53"/>
    <w:rsid w:val="0001400E"/>
    <w:rsid w:val="0001430F"/>
    <w:rsid w:val="0001437D"/>
    <w:rsid w:val="00014899"/>
    <w:rsid w:val="00014F5F"/>
    <w:rsid w:val="000153AE"/>
    <w:rsid w:val="00015917"/>
    <w:rsid w:val="00015DEC"/>
    <w:rsid w:val="0001601F"/>
    <w:rsid w:val="000169AB"/>
    <w:rsid w:val="00016E89"/>
    <w:rsid w:val="000170F3"/>
    <w:rsid w:val="00020758"/>
    <w:rsid w:val="000209C8"/>
    <w:rsid w:val="00020C54"/>
    <w:rsid w:val="0002208E"/>
    <w:rsid w:val="0002227D"/>
    <w:rsid w:val="00022451"/>
    <w:rsid w:val="000226DA"/>
    <w:rsid w:val="000226E9"/>
    <w:rsid w:val="000229CF"/>
    <w:rsid w:val="00022F7E"/>
    <w:rsid w:val="000236CF"/>
    <w:rsid w:val="00023A68"/>
    <w:rsid w:val="00023D7B"/>
    <w:rsid w:val="00023E10"/>
    <w:rsid w:val="000242D8"/>
    <w:rsid w:val="000246A1"/>
    <w:rsid w:val="00024A9C"/>
    <w:rsid w:val="00024CCF"/>
    <w:rsid w:val="00024F9E"/>
    <w:rsid w:val="00024FAD"/>
    <w:rsid w:val="000251BC"/>
    <w:rsid w:val="00025372"/>
    <w:rsid w:val="000255B6"/>
    <w:rsid w:val="00025981"/>
    <w:rsid w:val="00025E1D"/>
    <w:rsid w:val="00026587"/>
    <w:rsid w:val="00026C03"/>
    <w:rsid w:val="00026FEE"/>
    <w:rsid w:val="000274B1"/>
    <w:rsid w:val="00027CD4"/>
    <w:rsid w:val="00030207"/>
    <w:rsid w:val="0003055F"/>
    <w:rsid w:val="000306F6"/>
    <w:rsid w:val="0003081D"/>
    <w:rsid w:val="000310C0"/>
    <w:rsid w:val="00031EB4"/>
    <w:rsid w:val="00032188"/>
    <w:rsid w:val="00032398"/>
    <w:rsid w:val="00032689"/>
    <w:rsid w:val="000327E4"/>
    <w:rsid w:val="00032976"/>
    <w:rsid w:val="00032BB2"/>
    <w:rsid w:val="00032CA4"/>
    <w:rsid w:val="00033270"/>
    <w:rsid w:val="000339EB"/>
    <w:rsid w:val="0003405B"/>
    <w:rsid w:val="0003448E"/>
    <w:rsid w:val="0003478B"/>
    <w:rsid w:val="00035B49"/>
    <w:rsid w:val="00035D80"/>
    <w:rsid w:val="0003631D"/>
    <w:rsid w:val="000364DC"/>
    <w:rsid w:val="00036F0B"/>
    <w:rsid w:val="0003705A"/>
    <w:rsid w:val="0003749F"/>
    <w:rsid w:val="00037845"/>
    <w:rsid w:val="000378B6"/>
    <w:rsid w:val="00037CA6"/>
    <w:rsid w:val="00037CDB"/>
    <w:rsid w:val="00040C22"/>
    <w:rsid w:val="00040D1C"/>
    <w:rsid w:val="00040D7E"/>
    <w:rsid w:val="00041401"/>
    <w:rsid w:val="00042090"/>
    <w:rsid w:val="00042137"/>
    <w:rsid w:val="000421BF"/>
    <w:rsid w:val="000421FF"/>
    <w:rsid w:val="00042597"/>
    <w:rsid w:val="000428E3"/>
    <w:rsid w:val="00042A99"/>
    <w:rsid w:val="0004301F"/>
    <w:rsid w:val="000430AF"/>
    <w:rsid w:val="000431B7"/>
    <w:rsid w:val="0004321A"/>
    <w:rsid w:val="000434D8"/>
    <w:rsid w:val="000436C1"/>
    <w:rsid w:val="00043732"/>
    <w:rsid w:val="0004394B"/>
    <w:rsid w:val="00043B31"/>
    <w:rsid w:val="00043CC9"/>
    <w:rsid w:val="000442B0"/>
    <w:rsid w:val="000443ED"/>
    <w:rsid w:val="00045B73"/>
    <w:rsid w:val="00045FDA"/>
    <w:rsid w:val="00046108"/>
    <w:rsid w:val="000462CA"/>
    <w:rsid w:val="00046704"/>
    <w:rsid w:val="00046890"/>
    <w:rsid w:val="00047639"/>
    <w:rsid w:val="000509E0"/>
    <w:rsid w:val="00050CAC"/>
    <w:rsid w:val="00050DC2"/>
    <w:rsid w:val="000517CC"/>
    <w:rsid w:val="00051BF0"/>
    <w:rsid w:val="00051D51"/>
    <w:rsid w:val="00051D65"/>
    <w:rsid w:val="00052340"/>
    <w:rsid w:val="000523C1"/>
    <w:rsid w:val="000527D2"/>
    <w:rsid w:val="000527FC"/>
    <w:rsid w:val="000529FB"/>
    <w:rsid w:val="00052AE7"/>
    <w:rsid w:val="000533D8"/>
    <w:rsid w:val="000540E9"/>
    <w:rsid w:val="000541CB"/>
    <w:rsid w:val="0005422C"/>
    <w:rsid w:val="00054236"/>
    <w:rsid w:val="000543EC"/>
    <w:rsid w:val="00054452"/>
    <w:rsid w:val="00054A36"/>
    <w:rsid w:val="00054B11"/>
    <w:rsid w:val="00054B4E"/>
    <w:rsid w:val="0005561D"/>
    <w:rsid w:val="000557E1"/>
    <w:rsid w:val="00055B57"/>
    <w:rsid w:val="00055CBF"/>
    <w:rsid w:val="00055F9F"/>
    <w:rsid w:val="000562E3"/>
    <w:rsid w:val="0005724E"/>
    <w:rsid w:val="00057C21"/>
    <w:rsid w:val="00057E91"/>
    <w:rsid w:val="000602B0"/>
    <w:rsid w:val="00060951"/>
    <w:rsid w:val="00060F48"/>
    <w:rsid w:val="00061281"/>
    <w:rsid w:val="00061FCC"/>
    <w:rsid w:val="000625C4"/>
    <w:rsid w:val="00062784"/>
    <w:rsid w:val="00062A74"/>
    <w:rsid w:val="0006320C"/>
    <w:rsid w:val="00063296"/>
    <w:rsid w:val="00063645"/>
    <w:rsid w:val="00063717"/>
    <w:rsid w:val="00064021"/>
    <w:rsid w:val="000641C5"/>
    <w:rsid w:val="0006452A"/>
    <w:rsid w:val="00064610"/>
    <w:rsid w:val="000646D9"/>
    <w:rsid w:val="00064DCF"/>
    <w:rsid w:val="0006556D"/>
    <w:rsid w:val="00065B82"/>
    <w:rsid w:val="00066B85"/>
    <w:rsid w:val="00066BA5"/>
    <w:rsid w:val="00066E91"/>
    <w:rsid w:val="00066F3F"/>
    <w:rsid w:val="0006778C"/>
    <w:rsid w:val="00067CE7"/>
    <w:rsid w:val="00070C8F"/>
    <w:rsid w:val="00070F2D"/>
    <w:rsid w:val="0007168C"/>
    <w:rsid w:val="000719FB"/>
    <w:rsid w:val="00071C2A"/>
    <w:rsid w:val="00071D6E"/>
    <w:rsid w:val="00071DEC"/>
    <w:rsid w:val="00071E65"/>
    <w:rsid w:val="00071EFB"/>
    <w:rsid w:val="00072272"/>
    <w:rsid w:val="000729C2"/>
    <w:rsid w:val="00072C0E"/>
    <w:rsid w:val="00072E60"/>
    <w:rsid w:val="00072E9B"/>
    <w:rsid w:val="000731F2"/>
    <w:rsid w:val="00073433"/>
    <w:rsid w:val="000737E8"/>
    <w:rsid w:val="00073F4F"/>
    <w:rsid w:val="00074284"/>
    <w:rsid w:val="000747A7"/>
    <w:rsid w:val="000750E2"/>
    <w:rsid w:val="0007511D"/>
    <w:rsid w:val="000751A3"/>
    <w:rsid w:val="000751BA"/>
    <w:rsid w:val="0007520B"/>
    <w:rsid w:val="00075536"/>
    <w:rsid w:val="000758EC"/>
    <w:rsid w:val="00075AF6"/>
    <w:rsid w:val="00075D24"/>
    <w:rsid w:val="000761C4"/>
    <w:rsid w:val="0007634A"/>
    <w:rsid w:val="00076365"/>
    <w:rsid w:val="000764C2"/>
    <w:rsid w:val="000769E1"/>
    <w:rsid w:val="00076D19"/>
    <w:rsid w:val="00076DA0"/>
    <w:rsid w:val="00076DF9"/>
    <w:rsid w:val="00076FF5"/>
    <w:rsid w:val="0007779A"/>
    <w:rsid w:val="00077918"/>
    <w:rsid w:val="00077993"/>
    <w:rsid w:val="00077A17"/>
    <w:rsid w:val="000802A7"/>
    <w:rsid w:val="00080398"/>
    <w:rsid w:val="00080674"/>
    <w:rsid w:val="00080DE8"/>
    <w:rsid w:val="00080EE8"/>
    <w:rsid w:val="00080F91"/>
    <w:rsid w:val="0008107F"/>
    <w:rsid w:val="000815CF"/>
    <w:rsid w:val="00081766"/>
    <w:rsid w:val="00081AB0"/>
    <w:rsid w:val="00081B19"/>
    <w:rsid w:val="00081C9A"/>
    <w:rsid w:val="00082229"/>
    <w:rsid w:val="00082857"/>
    <w:rsid w:val="00082AF5"/>
    <w:rsid w:val="00083086"/>
    <w:rsid w:val="0008357A"/>
    <w:rsid w:val="000837D5"/>
    <w:rsid w:val="00083947"/>
    <w:rsid w:val="00083F16"/>
    <w:rsid w:val="00083FD1"/>
    <w:rsid w:val="00084006"/>
    <w:rsid w:val="0008408A"/>
    <w:rsid w:val="000846DC"/>
    <w:rsid w:val="0008528D"/>
    <w:rsid w:val="0008534F"/>
    <w:rsid w:val="00085454"/>
    <w:rsid w:val="0008570C"/>
    <w:rsid w:val="000858F0"/>
    <w:rsid w:val="00085B40"/>
    <w:rsid w:val="00085C1B"/>
    <w:rsid w:val="00085C2E"/>
    <w:rsid w:val="00085DDD"/>
    <w:rsid w:val="000864C6"/>
    <w:rsid w:val="00086588"/>
    <w:rsid w:val="000879D3"/>
    <w:rsid w:val="00087AA8"/>
    <w:rsid w:val="0009007B"/>
    <w:rsid w:val="00090541"/>
    <w:rsid w:val="0009080C"/>
    <w:rsid w:val="00090AE5"/>
    <w:rsid w:val="00090BE7"/>
    <w:rsid w:val="000916B1"/>
    <w:rsid w:val="00091934"/>
    <w:rsid w:val="00091D80"/>
    <w:rsid w:val="00091D84"/>
    <w:rsid w:val="00091E22"/>
    <w:rsid w:val="00091FC5"/>
    <w:rsid w:val="00092472"/>
    <w:rsid w:val="00092504"/>
    <w:rsid w:val="00092899"/>
    <w:rsid w:val="00092FF8"/>
    <w:rsid w:val="0009350D"/>
    <w:rsid w:val="0009377D"/>
    <w:rsid w:val="00093963"/>
    <w:rsid w:val="00093C7C"/>
    <w:rsid w:val="000944F1"/>
    <w:rsid w:val="00094718"/>
    <w:rsid w:val="00094936"/>
    <w:rsid w:val="00094A1A"/>
    <w:rsid w:val="00094E08"/>
    <w:rsid w:val="00094E97"/>
    <w:rsid w:val="00095B50"/>
    <w:rsid w:val="00096070"/>
    <w:rsid w:val="00096A70"/>
    <w:rsid w:val="00096C17"/>
    <w:rsid w:val="00096D5A"/>
    <w:rsid w:val="0009716A"/>
    <w:rsid w:val="00097292"/>
    <w:rsid w:val="0009771A"/>
    <w:rsid w:val="00097C05"/>
    <w:rsid w:val="00097DD2"/>
    <w:rsid w:val="000A013D"/>
    <w:rsid w:val="000A05E0"/>
    <w:rsid w:val="000A0D66"/>
    <w:rsid w:val="000A1191"/>
    <w:rsid w:val="000A173E"/>
    <w:rsid w:val="000A1B95"/>
    <w:rsid w:val="000A2CFB"/>
    <w:rsid w:val="000A2F89"/>
    <w:rsid w:val="000A2FFC"/>
    <w:rsid w:val="000A3100"/>
    <w:rsid w:val="000A3326"/>
    <w:rsid w:val="000A3626"/>
    <w:rsid w:val="000A36AE"/>
    <w:rsid w:val="000A3B0D"/>
    <w:rsid w:val="000A47A3"/>
    <w:rsid w:val="000A4CFF"/>
    <w:rsid w:val="000A5D56"/>
    <w:rsid w:val="000A6580"/>
    <w:rsid w:val="000A6C14"/>
    <w:rsid w:val="000A6D2A"/>
    <w:rsid w:val="000A71FC"/>
    <w:rsid w:val="000A74A1"/>
    <w:rsid w:val="000A779A"/>
    <w:rsid w:val="000A790B"/>
    <w:rsid w:val="000A7C3E"/>
    <w:rsid w:val="000A7CE7"/>
    <w:rsid w:val="000A7EDF"/>
    <w:rsid w:val="000A7F8D"/>
    <w:rsid w:val="000B093C"/>
    <w:rsid w:val="000B0A8A"/>
    <w:rsid w:val="000B0C8B"/>
    <w:rsid w:val="000B0E1E"/>
    <w:rsid w:val="000B0EF1"/>
    <w:rsid w:val="000B10C5"/>
    <w:rsid w:val="000B1640"/>
    <w:rsid w:val="000B1A19"/>
    <w:rsid w:val="000B29A9"/>
    <w:rsid w:val="000B29D7"/>
    <w:rsid w:val="000B29F2"/>
    <w:rsid w:val="000B2E76"/>
    <w:rsid w:val="000B31C3"/>
    <w:rsid w:val="000B330C"/>
    <w:rsid w:val="000B342C"/>
    <w:rsid w:val="000B3625"/>
    <w:rsid w:val="000B3A45"/>
    <w:rsid w:val="000B3EA3"/>
    <w:rsid w:val="000B5798"/>
    <w:rsid w:val="000B583A"/>
    <w:rsid w:val="000B5976"/>
    <w:rsid w:val="000B5ECA"/>
    <w:rsid w:val="000B60FC"/>
    <w:rsid w:val="000B66FD"/>
    <w:rsid w:val="000B67D2"/>
    <w:rsid w:val="000B6E9A"/>
    <w:rsid w:val="000B71B7"/>
    <w:rsid w:val="000B76BF"/>
    <w:rsid w:val="000B79BB"/>
    <w:rsid w:val="000C061C"/>
    <w:rsid w:val="000C082B"/>
    <w:rsid w:val="000C0DFA"/>
    <w:rsid w:val="000C123C"/>
    <w:rsid w:val="000C16B1"/>
    <w:rsid w:val="000C1B84"/>
    <w:rsid w:val="000C1F4F"/>
    <w:rsid w:val="000C210B"/>
    <w:rsid w:val="000C21ED"/>
    <w:rsid w:val="000C2263"/>
    <w:rsid w:val="000C24FC"/>
    <w:rsid w:val="000C2746"/>
    <w:rsid w:val="000C3029"/>
    <w:rsid w:val="000C36F9"/>
    <w:rsid w:val="000C3CE5"/>
    <w:rsid w:val="000C3E96"/>
    <w:rsid w:val="000C4633"/>
    <w:rsid w:val="000C4A70"/>
    <w:rsid w:val="000C4E7E"/>
    <w:rsid w:val="000C588B"/>
    <w:rsid w:val="000C59FA"/>
    <w:rsid w:val="000C5B17"/>
    <w:rsid w:val="000C5BB5"/>
    <w:rsid w:val="000C5C00"/>
    <w:rsid w:val="000C665D"/>
    <w:rsid w:val="000C678A"/>
    <w:rsid w:val="000C6A63"/>
    <w:rsid w:val="000C6F84"/>
    <w:rsid w:val="000C7768"/>
    <w:rsid w:val="000D015F"/>
    <w:rsid w:val="000D0560"/>
    <w:rsid w:val="000D05A3"/>
    <w:rsid w:val="000D0654"/>
    <w:rsid w:val="000D09C8"/>
    <w:rsid w:val="000D0A78"/>
    <w:rsid w:val="000D0F0F"/>
    <w:rsid w:val="000D133D"/>
    <w:rsid w:val="000D13EE"/>
    <w:rsid w:val="000D1769"/>
    <w:rsid w:val="000D1802"/>
    <w:rsid w:val="000D1EC3"/>
    <w:rsid w:val="000D216E"/>
    <w:rsid w:val="000D25D4"/>
    <w:rsid w:val="000D2A06"/>
    <w:rsid w:val="000D321C"/>
    <w:rsid w:val="000D333E"/>
    <w:rsid w:val="000D34DF"/>
    <w:rsid w:val="000D3C28"/>
    <w:rsid w:val="000D3CEA"/>
    <w:rsid w:val="000D3E5D"/>
    <w:rsid w:val="000D4591"/>
    <w:rsid w:val="000D4F2C"/>
    <w:rsid w:val="000D4FDE"/>
    <w:rsid w:val="000D5A92"/>
    <w:rsid w:val="000D5D91"/>
    <w:rsid w:val="000D5F9B"/>
    <w:rsid w:val="000D6240"/>
    <w:rsid w:val="000D62EB"/>
    <w:rsid w:val="000D674B"/>
    <w:rsid w:val="000D6B0E"/>
    <w:rsid w:val="000D7118"/>
    <w:rsid w:val="000D72B6"/>
    <w:rsid w:val="000D7357"/>
    <w:rsid w:val="000D7662"/>
    <w:rsid w:val="000D7B89"/>
    <w:rsid w:val="000D7E0A"/>
    <w:rsid w:val="000D7F96"/>
    <w:rsid w:val="000E01A8"/>
    <w:rsid w:val="000E0A25"/>
    <w:rsid w:val="000E0D95"/>
    <w:rsid w:val="000E0DC6"/>
    <w:rsid w:val="000E0F87"/>
    <w:rsid w:val="000E150B"/>
    <w:rsid w:val="000E1523"/>
    <w:rsid w:val="000E1D12"/>
    <w:rsid w:val="000E1EDA"/>
    <w:rsid w:val="000E1EF8"/>
    <w:rsid w:val="000E1F84"/>
    <w:rsid w:val="000E2224"/>
    <w:rsid w:val="000E230D"/>
    <w:rsid w:val="000E2A41"/>
    <w:rsid w:val="000E2C36"/>
    <w:rsid w:val="000E2F76"/>
    <w:rsid w:val="000E3037"/>
    <w:rsid w:val="000E3489"/>
    <w:rsid w:val="000E382A"/>
    <w:rsid w:val="000E3A36"/>
    <w:rsid w:val="000E3B1E"/>
    <w:rsid w:val="000E443C"/>
    <w:rsid w:val="000E46F4"/>
    <w:rsid w:val="000E4F28"/>
    <w:rsid w:val="000E56EF"/>
    <w:rsid w:val="000E57F0"/>
    <w:rsid w:val="000E63A4"/>
    <w:rsid w:val="000E65B9"/>
    <w:rsid w:val="000E6A15"/>
    <w:rsid w:val="000E740A"/>
    <w:rsid w:val="000E7495"/>
    <w:rsid w:val="000E7861"/>
    <w:rsid w:val="000E7D77"/>
    <w:rsid w:val="000E7E34"/>
    <w:rsid w:val="000F0A4E"/>
    <w:rsid w:val="000F103E"/>
    <w:rsid w:val="000F13EF"/>
    <w:rsid w:val="000F1ABA"/>
    <w:rsid w:val="000F1DDE"/>
    <w:rsid w:val="000F1ED7"/>
    <w:rsid w:val="000F2BC2"/>
    <w:rsid w:val="000F2C21"/>
    <w:rsid w:val="000F2E6D"/>
    <w:rsid w:val="000F3607"/>
    <w:rsid w:val="000F3913"/>
    <w:rsid w:val="000F3D15"/>
    <w:rsid w:val="000F3FC7"/>
    <w:rsid w:val="000F4161"/>
    <w:rsid w:val="000F44C1"/>
    <w:rsid w:val="000F47D0"/>
    <w:rsid w:val="000F4DCA"/>
    <w:rsid w:val="000F4E78"/>
    <w:rsid w:val="000F505C"/>
    <w:rsid w:val="000F55BB"/>
    <w:rsid w:val="000F578B"/>
    <w:rsid w:val="000F5A10"/>
    <w:rsid w:val="000F6531"/>
    <w:rsid w:val="000F686F"/>
    <w:rsid w:val="000F6899"/>
    <w:rsid w:val="000F7008"/>
    <w:rsid w:val="000F7080"/>
    <w:rsid w:val="000F77DD"/>
    <w:rsid w:val="000F77FA"/>
    <w:rsid w:val="001001D8"/>
    <w:rsid w:val="001002D4"/>
    <w:rsid w:val="00100B95"/>
    <w:rsid w:val="0010178F"/>
    <w:rsid w:val="00101D27"/>
    <w:rsid w:val="00102A62"/>
    <w:rsid w:val="0010302D"/>
    <w:rsid w:val="001034D7"/>
    <w:rsid w:val="0010391C"/>
    <w:rsid w:val="0010425B"/>
    <w:rsid w:val="0010445A"/>
    <w:rsid w:val="0010482D"/>
    <w:rsid w:val="001048DB"/>
    <w:rsid w:val="00104BFF"/>
    <w:rsid w:val="0010559C"/>
    <w:rsid w:val="00106287"/>
    <w:rsid w:val="00106308"/>
    <w:rsid w:val="001064D0"/>
    <w:rsid w:val="00106521"/>
    <w:rsid w:val="00106A75"/>
    <w:rsid w:val="00106B01"/>
    <w:rsid w:val="00106F2F"/>
    <w:rsid w:val="00107636"/>
    <w:rsid w:val="00107745"/>
    <w:rsid w:val="0010779E"/>
    <w:rsid w:val="00107ADB"/>
    <w:rsid w:val="00107CCD"/>
    <w:rsid w:val="001106B7"/>
    <w:rsid w:val="001108D4"/>
    <w:rsid w:val="00110E17"/>
    <w:rsid w:val="0011118C"/>
    <w:rsid w:val="0011131D"/>
    <w:rsid w:val="001116A9"/>
    <w:rsid w:val="00111E71"/>
    <w:rsid w:val="00112039"/>
    <w:rsid w:val="00112A86"/>
    <w:rsid w:val="001130C5"/>
    <w:rsid w:val="00113C82"/>
    <w:rsid w:val="00113D17"/>
    <w:rsid w:val="00113D61"/>
    <w:rsid w:val="00113FCE"/>
    <w:rsid w:val="00114273"/>
    <w:rsid w:val="001143A0"/>
    <w:rsid w:val="001143F5"/>
    <w:rsid w:val="00114F75"/>
    <w:rsid w:val="001150CD"/>
    <w:rsid w:val="00115795"/>
    <w:rsid w:val="001162DB"/>
    <w:rsid w:val="0011635C"/>
    <w:rsid w:val="00116478"/>
    <w:rsid w:val="00116A12"/>
    <w:rsid w:val="00116B6A"/>
    <w:rsid w:val="00116C46"/>
    <w:rsid w:val="00116C82"/>
    <w:rsid w:val="00117850"/>
    <w:rsid w:val="00117AA4"/>
    <w:rsid w:val="00120819"/>
    <w:rsid w:val="00120B6B"/>
    <w:rsid w:val="0012114C"/>
    <w:rsid w:val="001216A6"/>
    <w:rsid w:val="00121A2D"/>
    <w:rsid w:val="001234B6"/>
    <w:rsid w:val="00123B0B"/>
    <w:rsid w:val="00123E46"/>
    <w:rsid w:val="00124131"/>
    <w:rsid w:val="00124642"/>
    <w:rsid w:val="001248AF"/>
    <w:rsid w:val="00124B85"/>
    <w:rsid w:val="00124BA0"/>
    <w:rsid w:val="00124F58"/>
    <w:rsid w:val="00125082"/>
    <w:rsid w:val="00125313"/>
    <w:rsid w:val="0012570F"/>
    <w:rsid w:val="00125D0F"/>
    <w:rsid w:val="001265E6"/>
    <w:rsid w:val="001270E0"/>
    <w:rsid w:val="001273C3"/>
    <w:rsid w:val="0012750F"/>
    <w:rsid w:val="001277F4"/>
    <w:rsid w:val="0012781E"/>
    <w:rsid w:val="00127DD8"/>
    <w:rsid w:val="00130026"/>
    <w:rsid w:val="0013005D"/>
    <w:rsid w:val="00130BAF"/>
    <w:rsid w:val="00131392"/>
    <w:rsid w:val="001317DE"/>
    <w:rsid w:val="00131896"/>
    <w:rsid w:val="00131914"/>
    <w:rsid w:val="00131A01"/>
    <w:rsid w:val="00132998"/>
    <w:rsid w:val="00132EB4"/>
    <w:rsid w:val="001330E6"/>
    <w:rsid w:val="00133640"/>
    <w:rsid w:val="00133896"/>
    <w:rsid w:val="00134671"/>
    <w:rsid w:val="00134698"/>
    <w:rsid w:val="001347FC"/>
    <w:rsid w:val="00134A0B"/>
    <w:rsid w:val="00134A98"/>
    <w:rsid w:val="00135106"/>
    <w:rsid w:val="00135D3F"/>
    <w:rsid w:val="001361E4"/>
    <w:rsid w:val="00136816"/>
    <w:rsid w:val="00136A8B"/>
    <w:rsid w:val="00136F72"/>
    <w:rsid w:val="0013713A"/>
    <w:rsid w:val="0013736D"/>
    <w:rsid w:val="00137409"/>
    <w:rsid w:val="00137B56"/>
    <w:rsid w:val="00137FDD"/>
    <w:rsid w:val="00140863"/>
    <w:rsid w:val="00140EFB"/>
    <w:rsid w:val="0014161A"/>
    <w:rsid w:val="001419CD"/>
    <w:rsid w:val="00141A66"/>
    <w:rsid w:val="00141F57"/>
    <w:rsid w:val="00141F66"/>
    <w:rsid w:val="001422AE"/>
    <w:rsid w:val="001422E7"/>
    <w:rsid w:val="00142D92"/>
    <w:rsid w:val="00142F6A"/>
    <w:rsid w:val="001431D4"/>
    <w:rsid w:val="0014352F"/>
    <w:rsid w:val="0014379E"/>
    <w:rsid w:val="001437D1"/>
    <w:rsid w:val="001440BB"/>
    <w:rsid w:val="0014428F"/>
    <w:rsid w:val="00144634"/>
    <w:rsid w:val="00144A32"/>
    <w:rsid w:val="00144ADC"/>
    <w:rsid w:val="00145377"/>
    <w:rsid w:val="001455A4"/>
    <w:rsid w:val="00145876"/>
    <w:rsid w:val="00145D89"/>
    <w:rsid w:val="00145F13"/>
    <w:rsid w:val="0014651C"/>
    <w:rsid w:val="00146760"/>
    <w:rsid w:val="00146973"/>
    <w:rsid w:val="00147788"/>
    <w:rsid w:val="0015013F"/>
    <w:rsid w:val="001505EB"/>
    <w:rsid w:val="00150756"/>
    <w:rsid w:val="00150937"/>
    <w:rsid w:val="00151560"/>
    <w:rsid w:val="00151B23"/>
    <w:rsid w:val="00151C76"/>
    <w:rsid w:val="001523E4"/>
    <w:rsid w:val="001523EF"/>
    <w:rsid w:val="00152600"/>
    <w:rsid w:val="00152664"/>
    <w:rsid w:val="00152D11"/>
    <w:rsid w:val="00152DD9"/>
    <w:rsid w:val="00152EB7"/>
    <w:rsid w:val="00152FDF"/>
    <w:rsid w:val="001533A3"/>
    <w:rsid w:val="0015360D"/>
    <w:rsid w:val="001537AD"/>
    <w:rsid w:val="001538FE"/>
    <w:rsid w:val="001544E2"/>
    <w:rsid w:val="001545EC"/>
    <w:rsid w:val="00154885"/>
    <w:rsid w:val="00155A69"/>
    <w:rsid w:val="00155C37"/>
    <w:rsid w:val="001564DD"/>
    <w:rsid w:val="001567B2"/>
    <w:rsid w:val="001567F1"/>
    <w:rsid w:val="00156852"/>
    <w:rsid w:val="0015687F"/>
    <w:rsid w:val="0015693D"/>
    <w:rsid w:val="00156A83"/>
    <w:rsid w:val="00156F56"/>
    <w:rsid w:val="00157BBC"/>
    <w:rsid w:val="00160981"/>
    <w:rsid w:val="00160D9B"/>
    <w:rsid w:val="00160DF3"/>
    <w:rsid w:val="00160FE3"/>
    <w:rsid w:val="00161AF6"/>
    <w:rsid w:val="00161F85"/>
    <w:rsid w:val="00162259"/>
    <w:rsid w:val="0016229C"/>
    <w:rsid w:val="00162C07"/>
    <w:rsid w:val="00162ED2"/>
    <w:rsid w:val="00163356"/>
    <w:rsid w:val="00163445"/>
    <w:rsid w:val="0016344C"/>
    <w:rsid w:val="001635DD"/>
    <w:rsid w:val="00163890"/>
    <w:rsid w:val="00163A8B"/>
    <w:rsid w:val="00163C04"/>
    <w:rsid w:val="00164EB4"/>
    <w:rsid w:val="00165357"/>
    <w:rsid w:val="00165644"/>
    <w:rsid w:val="00165BFB"/>
    <w:rsid w:val="00165E87"/>
    <w:rsid w:val="001662AA"/>
    <w:rsid w:val="001664B2"/>
    <w:rsid w:val="001666F5"/>
    <w:rsid w:val="00166912"/>
    <w:rsid w:val="001669B1"/>
    <w:rsid w:val="00166E2C"/>
    <w:rsid w:val="00167121"/>
    <w:rsid w:val="001678E2"/>
    <w:rsid w:val="00167923"/>
    <w:rsid w:val="00167994"/>
    <w:rsid w:val="00167F2C"/>
    <w:rsid w:val="001704BF"/>
    <w:rsid w:val="0017085A"/>
    <w:rsid w:val="00170C8D"/>
    <w:rsid w:val="00171183"/>
    <w:rsid w:val="00171350"/>
    <w:rsid w:val="001716CA"/>
    <w:rsid w:val="00171A9E"/>
    <w:rsid w:val="00171EFB"/>
    <w:rsid w:val="001721AE"/>
    <w:rsid w:val="001727B1"/>
    <w:rsid w:val="001728AA"/>
    <w:rsid w:val="00172AE6"/>
    <w:rsid w:val="00172D6F"/>
    <w:rsid w:val="00173109"/>
    <w:rsid w:val="001732ED"/>
    <w:rsid w:val="001735FF"/>
    <w:rsid w:val="00173A86"/>
    <w:rsid w:val="00173CDF"/>
    <w:rsid w:val="00173ED0"/>
    <w:rsid w:val="001751B6"/>
    <w:rsid w:val="0017527C"/>
    <w:rsid w:val="0017538B"/>
    <w:rsid w:val="0017540A"/>
    <w:rsid w:val="00175655"/>
    <w:rsid w:val="001762ED"/>
    <w:rsid w:val="001764A2"/>
    <w:rsid w:val="00176A08"/>
    <w:rsid w:val="00176ECC"/>
    <w:rsid w:val="00176F65"/>
    <w:rsid w:val="0017721C"/>
    <w:rsid w:val="00177486"/>
    <w:rsid w:val="00177990"/>
    <w:rsid w:val="00177B4E"/>
    <w:rsid w:val="001801B2"/>
    <w:rsid w:val="001802AB"/>
    <w:rsid w:val="001806FF"/>
    <w:rsid w:val="001809ED"/>
    <w:rsid w:val="00181347"/>
    <w:rsid w:val="00181BAE"/>
    <w:rsid w:val="00181C91"/>
    <w:rsid w:val="00181CAB"/>
    <w:rsid w:val="00181FF6"/>
    <w:rsid w:val="0018298B"/>
    <w:rsid w:val="00183046"/>
    <w:rsid w:val="0018307A"/>
    <w:rsid w:val="001838D8"/>
    <w:rsid w:val="00183C09"/>
    <w:rsid w:val="00183F74"/>
    <w:rsid w:val="001843A2"/>
    <w:rsid w:val="00184456"/>
    <w:rsid w:val="00184D9A"/>
    <w:rsid w:val="00184E53"/>
    <w:rsid w:val="00184ECC"/>
    <w:rsid w:val="001850F0"/>
    <w:rsid w:val="0018528F"/>
    <w:rsid w:val="001853F4"/>
    <w:rsid w:val="0018543D"/>
    <w:rsid w:val="001855AC"/>
    <w:rsid w:val="001856CC"/>
    <w:rsid w:val="0018619A"/>
    <w:rsid w:val="001861C9"/>
    <w:rsid w:val="00186484"/>
    <w:rsid w:val="00186AEA"/>
    <w:rsid w:val="00186E4A"/>
    <w:rsid w:val="00187454"/>
    <w:rsid w:val="001874F8"/>
    <w:rsid w:val="00190192"/>
    <w:rsid w:val="00190223"/>
    <w:rsid w:val="001904E0"/>
    <w:rsid w:val="001912AA"/>
    <w:rsid w:val="0019137C"/>
    <w:rsid w:val="00191428"/>
    <w:rsid w:val="00191513"/>
    <w:rsid w:val="00191661"/>
    <w:rsid w:val="001917B2"/>
    <w:rsid w:val="00191AA7"/>
    <w:rsid w:val="00191F18"/>
    <w:rsid w:val="00191F34"/>
    <w:rsid w:val="00192879"/>
    <w:rsid w:val="001929DC"/>
    <w:rsid w:val="00192A92"/>
    <w:rsid w:val="00192E10"/>
    <w:rsid w:val="00192F24"/>
    <w:rsid w:val="00193107"/>
    <w:rsid w:val="00193375"/>
    <w:rsid w:val="0019347A"/>
    <w:rsid w:val="00193597"/>
    <w:rsid w:val="00193AC9"/>
    <w:rsid w:val="00193B8F"/>
    <w:rsid w:val="00193C7D"/>
    <w:rsid w:val="0019408A"/>
    <w:rsid w:val="001943AD"/>
    <w:rsid w:val="0019501D"/>
    <w:rsid w:val="001950D1"/>
    <w:rsid w:val="001953BE"/>
    <w:rsid w:val="001954F3"/>
    <w:rsid w:val="001955B0"/>
    <w:rsid w:val="00195743"/>
    <w:rsid w:val="00195C58"/>
    <w:rsid w:val="00195CF8"/>
    <w:rsid w:val="00195D6B"/>
    <w:rsid w:val="00195FDD"/>
    <w:rsid w:val="0019622D"/>
    <w:rsid w:val="0019638C"/>
    <w:rsid w:val="001966C0"/>
    <w:rsid w:val="001968D9"/>
    <w:rsid w:val="001968DA"/>
    <w:rsid w:val="00196F6D"/>
    <w:rsid w:val="00196FE2"/>
    <w:rsid w:val="00197673"/>
    <w:rsid w:val="00197C00"/>
    <w:rsid w:val="001A056C"/>
    <w:rsid w:val="001A0B93"/>
    <w:rsid w:val="001A0F99"/>
    <w:rsid w:val="001A10A3"/>
    <w:rsid w:val="001A132B"/>
    <w:rsid w:val="001A20C4"/>
    <w:rsid w:val="001A2BB8"/>
    <w:rsid w:val="001A2D93"/>
    <w:rsid w:val="001A33F4"/>
    <w:rsid w:val="001A3A07"/>
    <w:rsid w:val="001A4411"/>
    <w:rsid w:val="001A4826"/>
    <w:rsid w:val="001A4B4D"/>
    <w:rsid w:val="001A4F30"/>
    <w:rsid w:val="001A5C7C"/>
    <w:rsid w:val="001A5D06"/>
    <w:rsid w:val="001A6739"/>
    <w:rsid w:val="001A6A24"/>
    <w:rsid w:val="001A6C42"/>
    <w:rsid w:val="001A7235"/>
    <w:rsid w:val="001A73D5"/>
    <w:rsid w:val="001A74E1"/>
    <w:rsid w:val="001A75A3"/>
    <w:rsid w:val="001A7633"/>
    <w:rsid w:val="001A7696"/>
    <w:rsid w:val="001A7776"/>
    <w:rsid w:val="001A7B2C"/>
    <w:rsid w:val="001A7BD3"/>
    <w:rsid w:val="001A7D56"/>
    <w:rsid w:val="001B026F"/>
    <w:rsid w:val="001B0B09"/>
    <w:rsid w:val="001B0F74"/>
    <w:rsid w:val="001B118A"/>
    <w:rsid w:val="001B172B"/>
    <w:rsid w:val="001B1880"/>
    <w:rsid w:val="001B1EA5"/>
    <w:rsid w:val="001B224C"/>
    <w:rsid w:val="001B230F"/>
    <w:rsid w:val="001B2AC9"/>
    <w:rsid w:val="001B2DCA"/>
    <w:rsid w:val="001B2F03"/>
    <w:rsid w:val="001B31B8"/>
    <w:rsid w:val="001B31B9"/>
    <w:rsid w:val="001B3DE5"/>
    <w:rsid w:val="001B45A5"/>
    <w:rsid w:val="001B4D7A"/>
    <w:rsid w:val="001B4FFF"/>
    <w:rsid w:val="001B5333"/>
    <w:rsid w:val="001B5653"/>
    <w:rsid w:val="001B5C76"/>
    <w:rsid w:val="001B606D"/>
    <w:rsid w:val="001B61CF"/>
    <w:rsid w:val="001B673E"/>
    <w:rsid w:val="001B6C59"/>
    <w:rsid w:val="001B6D36"/>
    <w:rsid w:val="001B7295"/>
    <w:rsid w:val="001B7D0A"/>
    <w:rsid w:val="001B7E22"/>
    <w:rsid w:val="001B7F90"/>
    <w:rsid w:val="001C0BBF"/>
    <w:rsid w:val="001C1118"/>
    <w:rsid w:val="001C13D3"/>
    <w:rsid w:val="001C1785"/>
    <w:rsid w:val="001C1D29"/>
    <w:rsid w:val="001C2397"/>
    <w:rsid w:val="001C26BD"/>
    <w:rsid w:val="001C28C7"/>
    <w:rsid w:val="001C2C42"/>
    <w:rsid w:val="001C2D12"/>
    <w:rsid w:val="001C2ED7"/>
    <w:rsid w:val="001C3001"/>
    <w:rsid w:val="001C3A18"/>
    <w:rsid w:val="001C3D28"/>
    <w:rsid w:val="001C3E3B"/>
    <w:rsid w:val="001C42D7"/>
    <w:rsid w:val="001C479D"/>
    <w:rsid w:val="001C4BCE"/>
    <w:rsid w:val="001C4BF2"/>
    <w:rsid w:val="001C57D5"/>
    <w:rsid w:val="001C5BCC"/>
    <w:rsid w:val="001C5D8D"/>
    <w:rsid w:val="001C5E81"/>
    <w:rsid w:val="001C65A7"/>
    <w:rsid w:val="001C6724"/>
    <w:rsid w:val="001C6813"/>
    <w:rsid w:val="001C6A96"/>
    <w:rsid w:val="001C6D1E"/>
    <w:rsid w:val="001C6F69"/>
    <w:rsid w:val="001C6FE3"/>
    <w:rsid w:val="001C7232"/>
    <w:rsid w:val="001C7272"/>
    <w:rsid w:val="001C734C"/>
    <w:rsid w:val="001C752A"/>
    <w:rsid w:val="001C7596"/>
    <w:rsid w:val="001C7940"/>
    <w:rsid w:val="001C7D69"/>
    <w:rsid w:val="001C7FD5"/>
    <w:rsid w:val="001D064E"/>
    <w:rsid w:val="001D0F31"/>
    <w:rsid w:val="001D10AB"/>
    <w:rsid w:val="001D1528"/>
    <w:rsid w:val="001D1DCF"/>
    <w:rsid w:val="001D2168"/>
    <w:rsid w:val="001D29D2"/>
    <w:rsid w:val="001D2C9F"/>
    <w:rsid w:val="001D3205"/>
    <w:rsid w:val="001D32BF"/>
    <w:rsid w:val="001D3438"/>
    <w:rsid w:val="001D35CA"/>
    <w:rsid w:val="001D38CD"/>
    <w:rsid w:val="001D4194"/>
    <w:rsid w:val="001D42D1"/>
    <w:rsid w:val="001D4349"/>
    <w:rsid w:val="001D43E0"/>
    <w:rsid w:val="001D4A49"/>
    <w:rsid w:val="001D4E61"/>
    <w:rsid w:val="001D4FA0"/>
    <w:rsid w:val="001D5BAF"/>
    <w:rsid w:val="001D5DC2"/>
    <w:rsid w:val="001D649A"/>
    <w:rsid w:val="001D665C"/>
    <w:rsid w:val="001D67B7"/>
    <w:rsid w:val="001D68D8"/>
    <w:rsid w:val="001D6AF3"/>
    <w:rsid w:val="001D6BCD"/>
    <w:rsid w:val="001D6E1C"/>
    <w:rsid w:val="001D6E2E"/>
    <w:rsid w:val="001D6EAD"/>
    <w:rsid w:val="001D7283"/>
    <w:rsid w:val="001D755C"/>
    <w:rsid w:val="001E0668"/>
    <w:rsid w:val="001E1544"/>
    <w:rsid w:val="001E1654"/>
    <w:rsid w:val="001E18EC"/>
    <w:rsid w:val="001E1C40"/>
    <w:rsid w:val="001E1CFA"/>
    <w:rsid w:val="001E1D01"/>
    <w:rsid w:val="001E1ED4"/>
    <w:rsid w:val="001E2366"/>
    <w:rsid w:val="001E266D"/>
    <w:rsid w:val="001E296D"/>
    <w:rsid w:val="001E299F"/>
    <w:rsid w:val="001E2F41"/>
    <w:rsid w:val="001E33FB"/>
    <w:rsid w:val="001E3AF5"/>
    <w:rsid w:val="001E4005"/>
    <w:rsid w:val="001E4262"/>
    <w:rsid w:val="001E4480"/>
    <w:rsid w:val="001E44A4"/>
    <w:rsid w:val="001E4589"/>
    <w:rsid w:val="001E4D2F"/>
    <w:rsid w:val="001E54C2"/>
    <w:rsid w:val="001E57ED"/>
    <w:rsid w:val="001E5C54"/>
    <w:rsid w:val="001E5F8B"/>
    <w:rsid w:val="001E6272"/>
    <w:rsid w:val="001E62A8"/>
    <w:rsid w:val="001E659F"/>
    <w:rsid w:val="001E66FD"/>
    <w:rsid w:val="001E6CAB"/>
    <w:rsid w:val="001E717E"/>
    <w:rsid w:val="001E7EA6"/>
    <w:rsid w:val="001F01AF"/>
    <w:rsid w:val="001F0449"/>
    <w:rsid w:val="001F0904"/>
    <w:rsid w:val="001F1311"/>
    <w:rsid w:val="001F14FB"/>
    <w:rsid w:val="001F17F8"/>
    <w:rsid w:val="001F1E22"/>
    <w:rsid w:val="001F220E"/>
    <w:rsid w:val="001F2D5A"/>
    <w:rsid w:val="001F32E5"/>
    <w:rsid w:val="001F3356"/>
    <w:rsid w:val="001F3993"/>
    <w:rsid w:val="001F39B3"/>
    <w:rsid w:val="001F413B"/>
    <w:rsid w:val="001F47F5"/>
    <w:rsid w:val="001F4E4A"/>
    <w:rsid w:val="001F51CA"/>
    <w:rsid w:val="001F5746"/>
    <w:rsid w:val="001F5AD9"/>
    <w:rsid w:val="001F5B2C"/>
    <w:rsid w:val="001F5EF5"/>
    <w:rsid w:val="001F6286"/>
    <w:rsid w:val="001F6618"/>
    <w:rsid w:val="001F6947"/>
    <w:rsid w:val="001F69A7"/>
    <w:rsid w:val="001F6B3B"/>
    <w:rsid w:val="001F6D74"/>
    <w:rsid w:val="001F6E99"/>
    <w:rsid w:val="001F6F33"/>
    <w:rsid w:val="001F6F55"/>
    <w:rsid w:val="001F6F99"/>
    <w:rsid w:val="001F7B4B"/>
    <w:rsid w:val="00200F28"/>
    <w:rsid w:val="00201001"/>
    <w:rsid w:val="00201089"/>
    <w:rsid w:val="00201C2C"/>
    <w:rsid w:val="00201C8F"/>
    <w:rsid w:val="00201D72"/>
    <w:rsid w:val="002025D0"/>
    <w:rsid w:val="00202F1D"/>
    <w:rsid w:val="00203211"/>
    <w:rsid w:val="002040D3"/>
    <w:rsid w:val="00204660"/>
    <w:rsid w:val="00204820"/>
    <w:rsid w:val="00204842"/>
    <w:rsid w:val="002052D6"/>
    <w:rsid w:val="002056F3"/>
    <w:rsid w:val="002058AD"/>
    <w:rsid w:val="00205978"/>
    <w:rsid w:val="00205CE3"/>
    <w:rsid w:val="00206C74"/>
    <w:rsid w:val="00206CBB"/>
    <w:rsid w:val="00206FB7"/>
    <w:rsid w:val="00207437"/>
    <w:rsid w:val="002077E9"/>
    <w:rsid w:val="00207803"/>
    <w:rsid w:val="00210F43"/>
    <w:rsid w:val="00211EA3"/>
    <w:rsid w:val="00212AE7"/>
    <w:rsid w:val="00212B0C"/>
    <w:rsid w:val="00212F22"/>
    <w:rsid w:val="00213034"/>
    <w:rsid w:val="0021304E"/>
    <w:rsid w:val="00213436"/>
    <w:rsid w:val="00213542"/>
    <w:rsid w:val="0021364C"/>
    <w:rsid w:val="002138D3"/>
    <w:rsid w:val="002139B9"/>
    <w:rsid w:val="002139D4"/>
    <w:rsid w:val="00213BBC"/>
    <w:rsid w:val="002143E9"/>
    <w:rsid w:val="0021473B"/>
    <w:rsid w:val="00214F03"/>
    <w:rsid w:val="00215197"/>
    <w:rsid w:val="00215760"/>
    <w:rsid w:val="00215853"/>
    <w:rsid w:val="00215952"/>
    <w:rsid w:val="00215B17"/>
    <w:rsid w:val="00215BC3"/>
    <w:rsid w:val="00215CC4"/>
    <w:rsid w:val="0021614E"/>
    <w:rsid w:val="002164CE"/>
    <w:rsid w:val="00216A8B"/>
    <w:rsid w:val="00216BCE"/>
    <w:rsid w:val="002171AE"/>
    <w:rsid w:val="00217F05"/>
    <w:rsid w:val="002201E2"/>
    <w:rsid w:val="0022021F"/>
    <w:rsid w:val="00220431"/>
    <w:rsid w:val="00220491"/>
    <w:rsid w:val="0022053D"/>
    <w:rsid w:val="00220F82"/>
    <w:rsid w:val="0022111A"/>
    <w:rsid w:val="00221364"/>
    <w:rsid w:val="00221EBF"/>
    <w:rsid w:val="00221F0B"/>
    <w:rsid w:val="00222182"/>
    <w:rsid w:val="00222704"/>
    <w:rsid w:val="0022292F"/>
    <w:rsid w:val="00222967"/>
    <w:rsid w:val="00222A06"/>
    <w:rsid w:val="002230DC"/>
    <w:rsid w:val="00223109"/>
    <w:rsid w:val="00223160"/>
    <w:rsid w:val="0022327B"/>
    <w:rsid w:val="002232E0"/>
    <w:rsid w:val="00223518"/>
    <w:rsid w:val="0022354B"/>
    <w:rsid w:val="00224173"/>
    <w:rsid w:val="00224753"/>
    <w:rsid w:val="00224A20"/>
    <w:rsid w:val="00225B72"/>
    <w:rsid w:val="0022635F"/>
    <w:rsid w:val="002272AB"/>
    <w:rsid w:val="002273C2"/>
    <w:rsid w:val="0022759B"/>
    <w:rsid w:val="00227A43"/>
    <w:rsid w:val="00227AEC"/>
    <w:rsid w:val="00230119"/>
    <w:rsid w:val="00230279"/>
    <w:rsid w:val="00230806"/>
    <w:rsid w:val="00230C30"/>
    <w:rsid w:val="002313D2"/>
    <w:rsid w:val="0023150F"/>
    <w:rsid w:val="00232725"/>
    <w:rsid w:val="0023280B"/>
    <w:rsid w:val="00232899"/>
    <w:rsid w:val="00232AF0"/>
    <w:rsid w:val="00232CA2"/>
    <w:rsid w:val="00232E4A"/>
    <w:rsid w:val="00233789"/>
    <w:rsid w:val="00233902"/>
    <w:rsid w:val="002339C8"/>
    <w:rsid w:val="00233CB6"/>
    <w:rsid w:val="00233D89"/>
    <w:rsid w:val="002344CF"/>
    <w:rsid w:val="002349C4"/>
    <w:rsid w:val="00234B4A"/>
    <w:rsid w:val="00235392"/>
    <w:rsid w:val="002354D0"/>
    <w:rsid w:val="00235528"/>
    <w:rsid w:val="00235AE7"/>
    <w:rsid w:val="00235BBC"/>
    <w:rsid w:val="00235F6A"/>
    <w:rsid w:val="00235FEC"/>
    <w:rsid w:val="0023621D"/>
    <w:rsid w:val="00236378"/>
    <w:rsid w:val="0023681A"/>
    <w:rsid w:val="00236916"/>
    <w:rsid w:val="0023751F"/>
    <w:rsid w:val="0023773A"/>
    <w:rsid w:val="002377B2"/>
    <w:rsid w:val="00237C56"/>
    <w:rsid w:val="00237DC2"/>
    <w:rsid w:val="00237EFA"/>
    <w:rsid w:val="00237F96"/>
    <w:rsid w:val="0024003D"/>
    <w:rsid w:val="00240557"/>
    <w:rsid w:val="00240661"/>
    <w:rsid w:val="0024080C"/>
    <w:rsid w:val="002409E7"/>
    <w:rsid w:val="00240AFA"/>
    <w:rsid w:val="00240E5A"/>
    <w:rsid w:val="0024157B"/>
    <w:rsid w:val="00241A46"/>
    <w:rsid w:val="00241A82"/>
    <w:rsid w:val="00241D71"/>
    <w:rsid w:val="0024201C"/>
    <w:rsid w:val="00242327"/>
    <w:rsid w:val="00242A79"/>
    <w:rsid w:val="002438BD"/>
    <w:rsid w:val="00243ABC"/>
    <w:rsid w:val="00244630"/>
    <w:rsid w:val="00244A7B"/>
    <w:rsid w:val="00244F01"/>
    <w:rsid w:val="0024503B"/>
    <w:rsid w:val="002453F3"/>
    <w:rsid w:val="00245B19"/>
    <w:rsid w:val="00245CFC"/>
    <w:rsid w:val="00245E80"/>
    <w:rsid w:val="00246611"/>
    <w:rsid w:val="00246CF2"/>
    <w:rsid w:val="00246DE6"/>
    <w:rsid w:val="00247E4D"/>
    <w:rsid w:val="00251122"/>
    <w:rsid w:val="00251240"/>
    <w:rsid w:val="00251283"/>
    <w:rsid w:val="002512DB"/>
    <w:rsid w:val="00251BB1"/>
    <w:rsid w:val="00251C3A"/>
    <w:rsid w:val="00252167"/>
    <w:rsid w:val="002522CA"/>
    <w:rsid w:val="00252435"/>
    <w:rsid w:val="002524F0"/>
    <w:rsid w:val="002527FE"/>
    <w:rsid w:val="0025299A"/>
    <w:rsid w:val="00252A25"/>
    <w:rsid w:val="00252AF8"/>
    <w:rsid w:val="00252B91"/>
    <w:rsid w:val="00252DFA"/>
    <w:rsid w:val="00252F77"/>
    <w:rsid w:val="002534A6"/>
    <w:rsid w:val="00253BB7"/>
    <w:rsid w:val="00254084"/>
    <w:rsid w:val="002541F0"/>
    <w:rsid w:val="00254E0A"/>
    <w:rsid w:val="002551A6"/>
    <w:rsid w:val="002551F9"/>
    <w:rsid w:val="00255D85"/>
    <w:rsid w:val="00256706"/>
    <w:rsid w:val="00256C68"/>
    <w:rsid w:val="00257209"/>
    <w:rsid w:val="002573AC"/>
    <w:rsid w:val="002578A0"/>
    <w:rsid w:val="00260D34"/>
    <w:rsid w:val="00260F0E"/>
    <w:rsid w:val="0026103C"/>
    <w:rsid w:val="002614E2"/>
    <w:rsid w:val="00261FAE"/>
    <w:rsid w:val="00262078"/>
    <w:rsid w:val="00262150"/>
    <w:rsid w:val="002624B5"/>
    <w:rsid w:val="0026344F"/>
    <w:rsid w:val="002635D5"/>
    <w:rsid w:val="00263782"/>
    <w:rsid w:val="00263A1C"/>
    <w:rsid w:val="00263BC7"/>
    <w:rsid w:val="00263C36"/>
    <w:rsid w:val="00263ED7"/>
    <w:rsid w:val="0026456A"/>
    <w:rsid w:val="00264FEB"/>
    <w:rsid w:val="00265060"/>
    <w:rsid w:val="002652CC"/>
    <w:rsid w:val="002652D3"/>
    <w:rsid w:val="00265825"/>
    <w:rsid w:val="00265A69"/>
    <w:rsid w:val="00266D1B"/>
    <w:rsid w:val="00266EFD"/>
    <w:rsid w:val="00267634"/>
    <w:rsid w:val="002679B7"/>
    <w:rsid w:val="00267C52"/>
    <w:rsid w:val="00267E9A"/>
    <w:rsid w:val="00270D7E"/>
    <w:rsid w:val="00270F22"/>
    <w:rsid w:val="00271DDE"/>
    <w:rsid w:val="0027214A"/>
    <w:rsid w:val="002723E7"/>
    <w:rsid w:val="00272466"/>
    <w:rsid w:val="00272DE5"/>
    <w:rsid w:val="00273409"/>
    <w:rsid w:val="0027360C"/>
    <w:rsid w:val="0027377E"/>
    <w:rsid w:val="00273908"/>
    <w:rsid w:val="00273A95"/>
    <w:rsid w:val="00273E24"/>
    <w:rsid w:val="00273E57"/>
    <w:rsid w:val="00273FE0"/>
    <w:rsid w:val="0027404D"/>
    <w:rsid w:val="00274859"/>
    <w:rsid w:val="00274B72"/>
    <w:rsid w:val="00274B96"/>
    <w:rsid w:val="00274F2E"/>
    <w:rsid w:val="0027574D"/>
    <w:rsid w:val="002758B3"/>
    <w:rsid w:val="0027674B"/>
    <w:rsid w:val="002767C0"/>
    <w:rsid w:val="00276A3C"/>
    <w:rsid w:val="00276B24"/>
    <w:rsid w:val="00277080"/>
    <w:rsid w:val="0027717A"/>
    <w:rsid w:val="002772EE"/>
    <w:rsid w:val="002773A2"/>
    <w:rsid w:val="00277FA2"/>
    <w:rsid w:val="0028050B"/>
    <w:rsid w:val="002805DD"/>
    <w:rsid w:val="002811EC"/>
    <w:rsid w:val="0028136E"/>
    <w:rsid w:val="00281505"/>
    <w:rsid w:val="00281980"/>
    <w:rsid w:val="00281A00"/>
    <w:rsid w:val="00281D3B"/>
    <w:rsid w:val="002820BA"/>
    <w:rsid w:val="0028214F"/>
    <w:rsid w:val="002822ED"/>
    <w:rsid w:val="00282926"/>
    <w:rsid w:val="002829C1"/>
    <w:rsid w:val="00283012"/>
    <w:rsid w:val="00283017"/>
    <w:rsid w:val="00283F4C"/>
    <w:rsid w:val="002855C3"/>
    <w:rsid w:val="00285A3D"/>
    <w:rsid w:val="00285E57"/>
    <w:rsid w:val="00285F90"/>
    <w:rsid w:val="00286562"/>
    <w:rsid w:val="002867AC"/>
    <w:rsid w:val="00286A04"/>
    <w:rsid w:val="00286A89"/>
    <w:rsid w:val="00286C05"/>
    <w:rsid w:val="00286D3B"/>
    <w:rsid w:val="00286E0C"/>
    <w:rsid w:val="00286EF5"/>
    <w:rsid w:val="00287C80"/>
    <w:rsid w:val="002900C8"/>
    <w:rsid w:val="002900DD"/>
    <w:rsid w:val="00290153"/>
    <w:rsid w:val="00290436"/>
    <w:rsid w:val="0029069C"/>
    <w:rsid w:val="00290891"/>
    <w:rsid w:val="00290B4B"/>
    <w:rsid w:val="00290CDB"/>
    <w:rsid w:val="00290D59"/>
    <w:rsid w:val="0029109B"/>
    <w:rsid w:val="002914F9"/>
    <w:rsid w:val="002915E2"/>
    <w:rsid w:val="00291679"/>
    <w:rsid w:val="0029174F"/>
    <w:rsid w:val="002917EF"/>
    <w:rsid w:val="00291B41"/>
    <w:rsid w:val="00291BA2"/>
    <w:rsid w:val="00291C7B"/>
    <w:rsid w:val="0029216D"/>
    <w:rsid w:val="0029230E"/>
    <w:rsid w:val="0029260D"/>
    <w:rsid w:val="002927B8"/>
    <w:rsid w:val="00292F31"/>
    <w:rsid w:val="002930DB"/>
    <w:rsid w:val="00293473"/>
    <w:rsid w:val="002939FB"/>
    <w:rsid w:val="00293B7D"/>
    <w:rsid w:val="00293BDC"/>
    <w:rsid w:val="00294036"/>
    <w:rsid w:val="00294447"/>
    <w:rsid w:val="002944B8"/>
    <w:rsid w:val="002948F3"/>
    <w:rsid w:val="00294B2F"/>
    <w:rsid w:val="00295132"/>
    <w:rsid w:val="002953E0"/>
    <w:rsid w:val="00295C00"/>
    <w:rsid w:val="00296127"/>
    <w:rsid w:val="0029622A"/>
    <w:rsid w:val="002966F4"/>
    <w:rsid w:val="0029700F"/>
    <w:rsid w:val="00297775"/>
    <w:rsid w:val="00297AB8"/>
    <w:rsid w:val="002A018F"/>
    <w:rsid w:val="002A036A"/>
    <w:rsid w:val="002A0AC1"/>
    <w:rsid w:val="002A11A9"/>
    <w:rsid w:val="002A140A"/>
    <w:rsid w:val="002A20CC"/>
    <w:rsid w:val="002A22B4"/>
    <w:rsid w:val="002A2BD9"/>
    <w:rsid w:val="002A2BFD"/>
    <w:rsid w:val="002A2DFB"/>
    <w:rsid w:val="002A3A6B"/>
    <w:rsid w:val="002A424E"/>
    <w:rsid w:val="002A4444"/>
    <w:rsid w:val="002A49E2"/>
    <w:rsid w:val="002A4AEA"/>
    <w:rsid w:val="002A4AF2"/>
    <w:rsid w:val="002A4BBF"/>
    <w:rsid w:val="002A4DFA"/>
    <w:rsid w:val="002A5009"/>
    <w:rsid w:val="002A5E43"/>
    <w:rsid w:val="002A6148"/>
    <w:rsid w:val="002A660C"/>
    <w:rsid w:val="002A674F"/>
    <w:rsid w:val="002A6C9D"/>
    <w:rsid w:val="002A71D5"/>
    <w:rsid w:val="002A7CAF"/>
    <w:rsid w:val="002B0116"/>
    <w:rsid w:val="002B0C57"/>
    <w:rsid w:val="002B0DF4"/>
    <w:rsid w:val="002B0F98"/>
    <w:rsid w:val="002B19AA"/>
    <w:rsid w:val="002B19BC"/>
    <w:rsid w:val="002B1A11"/>
    <w:rsid w:val="002B1BA1"/>
    <w:rsid w:val="002B1DE7"/>
    <w:rsid w:val="002B2357"/>
    <w:rsid w:val="002B2562"/>
    <w:rsid w:val="002B2C9D"/>
    <w:rsid w:val="002B315D"/>
    <w:rsid w:val="002B31D3"/>
    <w:rsid w:val="002B47EB"/>
    <w:rsid w:val="002B4A04"/>
    <w:rsid w:val="002B5840"/>
    <w:rsid w:val="002B590E"/>
    <w:rsid w:val="002B5A78"/>
    <w:rsid w:val="002B5B50"/>
    <w:rsid w:val="002B6FFF"/>
    <w:rsid w:val="002B704A"/>
    <w:rsid w:val="002B723E"/>
    <w:rsid w:val="002B72FE"/>
    <w:rsid w:val="002B7A07"/>
    <w:rsid w:val="002B7E99"/>
    <w:rsid w:val="002C0118"/>
    <w:rsid w:val="002C0C34"/>
    <w:rsid w:val="002C152C"/>
    <w:rsid w:val="002C16CF"/>
    <w:rsid w:val="002C2161"/>
    <w:rsid w:val="002C28FF"/>
    <w:rsid w:val="002C29AB"/>
    <w:rsid w:val="002C2E63"/>
    <w:rsid w:val="002C3168"/>
    <w:rsid w:val="002C377E"/>
    <w:rsid w:val="002C398A"/>
    <w:rsid w:val="002C399B"/>
    <w:rsid w:val="002C40F3"/>
    <w:rsid w:val="002C42B2"/>
    <w:rsid w:val="002C4D05"/>
    <w:rsid w:val="002C4DEA"/>
    <w:rsid w:val="002C4FE7"/>
    <w:rsid w:val="002C50CC"/>
    <w:rsid w:val="002C5455"/>
    <w:rsid w:val="002C57D5"/>
    <w:rsid w:val="002C65DA"/>
    <w:rsid w:val="002C6A4D"/>
    <w:rsid w:val="002C6A52"/>
    <w:rsid w:val="002C74AE"/>
    <w:rsid w:val="002C76AB"/>
    <w:rsid w:val="002C7789"/>
    <w:rsid w:val="002C7B2D"/>
    <w:rsid w:val="002C7BC7"/>
    <w:rsid w:val="002C7DF6"/>
    <w:rsid w:val="002D0032"/>
    <w:rsid w:val="002D0289"/>
    <w:rsid w:val="002D02B7"/>
    <w:rsid w:val="002D02EA"/>
    <w:rsid w:val="002D03B8"/>
    <w:rsid w:val="002D040C"/>
    <w:rsid w:val="002D0BB3"/>
    <w:rsid w:val="002D0D0E"/>
    <w:rsid w:val="002D1061"/>
    <w:rsid w:val="002D239F"/>
    <w:rsid w:val="002D2450"/>
    <w:rsid w:val="002D2519"/>
    <w:rsid w:val="002D2A62"/>
    <w:rsid w:val="002D2E4F"/>
    <w:rsid w:val="002D3570"/>
    <w:rsid w:val="002D3603"/>
    <w:rsid w:val="002D37CA"/>
    <w:rsid w:val="002D3AC7"/>
    <w:rsid w:val="002D3E5F"/>
    <w:rsid w:val="002D3E74"/>
    <w:rsid w:val="002D481D"/>
    <w:rsid w:val="002D4AD5"/>
    <w:rsid w:val="002D53C8"/>
    <w:rsid w:val="002D57D7"/>
    <w:rsid w:val="002D586D"/>
    <w:rsid w:val="002D58AB"/>
    <w:rsid w:val="002D593F"/>
    <w:rsid w:val="002D5F4C"/>
    <w:rsid w:val="002D605C"/>
    <w:rsid w:val="002D6256"/>
    <w:rsid w:val="002D66CC"/>
    <w:rsid w:val="002D6A3D"/>
    <w:rsid w:val="002D6B3D"/>
    <w:rsid w:val="002D6F41"/>
    <w:rsid w:val="002D7310"/>
    <w:rsid w:val="002D7311"/>
    <w:rsid w:val="002E01D4"/>
    <w:rsid w:val="002E0306"/>
    <w:rsid w:val="002E07B0"/>
    <w:rsid w:val="002E0C1F"/>
    <w:rsid w:val="002E138F"/>
    <w:rsid w:val="002E1422"/>
    <w:rsid w:val="002E1650"/>
    <w:rsid w:val="002E1BCC"/>
    <w:rsid w:val="002E2065"/>
    <w:rsid w:val="002E2123"/>
    <w:rsid w:val="002E2E17"/>
    <w:rsid w:val="002E3E87"/>
    <w:rsid w:val="002E41EE"/>
    <w:rsid w:val="002E4355"/>
    <w:rsid w:val="002E46B0"/>
    <w:rsid w:val="002E495A"/>
    <w:rsid w:val="002E4A26"/>
    <w:rsid w:val="002E546B"/>
    <w:rsid w:val="002E5F26"/>
    <w:rsid w:val="002E6319"/>
    <w:rsid w:val="002E63B3"/>
    <w:rsid w:val="002E6552"/>
    <w:rsid w:val="002E6785"/>
    <w:rsid w:val="002E6996"/>
    <w:rsid w:val="002E6D15"/>
    <w:rsid w:val="002E7092"/>
    <w:rsid w:val="002E7097"/>
    <w:rsid w:val="002E711D"/>
    <w:rsid w:val="002E7532"/>
    <w:rsid w:val="002E7E59"/>
    <w:rsid w:val="002E7E9E"/>
    <w:rsid w:val="002F0332"/>
    <w:rsid w:val="002F0335"/>
    <w:rsid w:val="002F0733"/>
    <w:rsid w:val="002F0C72"/>
    <w:rsid w:val="002F0D48"/>
    <w:rsid w:val="002F127E"/>
    <w:rsid w:val="002F1A73"/>
    <w:rsid w:val="002F2564"/>
    <w:rsid w:val="002F2B92"/>
    <w:rsid w:val="002F385F"/>
    <w:rsid w:val="002F3C87"/>
    <w:rsid w:val="002F3DA7"/>
    <w:rsid w:val="002F41F3"/>
    <w:rsid w:val="002F43DD"/>
    <w:rsid w:val="002F4529"/>
    <w:rsid w:val="002F4782"/>
    <w:rsid w:val="002F49F6"/>
    <w:rsid w:val="002F4AE3"/>
    <w:rsid w:val="002F4BFC"/>
    <w:rsid w:val="002F4C4D"/>
    <w:rsid w:val="002F4E89"/>
    <w:rsid w:val="002F5839"/>
    <w:rsid w:val="002F5B3F"/>
    <w:rsid w:val="002F6064"/>
    <w:rsid w:val="002F6470"/>
    <w:rsid w:val="002F6627"/>
    <w:rsid w:val="002F679F"/>
    <w:rsid w:val="002F6F04"/>
    <w:rsid w:val="002F7000"/>
    <w:rsid w:val="002F7249"/>
    <w:rsid w:val="002F72B2"/>
    <w:rsid w:val="002F7783"/>
    <w:rsid w:val="002F793B"/>
    <w:rsid w:val="002F79FE"/>
    <w:rsid w:val="002F7A0D"/>
    <w:rsid w:val="002F7FDA"/>
    <w:rsid w:val="0030051F"/>
    <w:rsid w:val="0030054B"/>
    <w:rsid w:val="00300579"/>
    <w:rsid w:val="0030116E"/>
    <w:rsid w:val="0030120F"/>
    <w:rsid w:val="0030133B"/>
    <w:rsid w:val="00301770"/>
    <w:rsid w:val="00301ADD"/>
    <w:rsid w:val="00302859"/>
    <w:rsid w:val="00302D39"/>
    <w:rsid w:val="00302D72"/>
    <w:rsid w:val="00303A9E"/>
    <w:rsid w:val="00303BFF"/>
    <w:rsid w:val="00303D70"/>
    <w:rsid w:val="00303F77"/>
    <w:rsid w:val="0030427B"/>
    <w:rsid w:val="003053E1"/>
    <w:rsid w:val="00306132"/>
    <w:rsid w:val="0030657B"/>
    <w:rsid w:val="00306683"/>
    <w:rsid w:val="003068F6"/>
    <w:rsid w:val="00306CA8"/>
    <w:rsid w:val="00306FD3"/>
    <w:rsid w:val="003074AF"/>
    <w:rsid w:val="003076E6"/>
    <w:rsid w:val="00307777"/>
    <w:rsid w:val="0030798B"/>
    <w:rsid w:val="00307BFB"/>
    <w:rsid w:val="00310D1A"/>
    <w:rsid w:val="0031102F"/>
    <w:rsid w:val="0031179D"/>
    <w:rsid w:val="00311DAA"/>
    <w:rsid w:val="00312527"/>
    <w:rsid w:val="003127A8"/>
    <w:rsid w:val="00312B6A"/>
    <w:rsid w:val="00312CC7"/>
    <w:rsid w:val="00312F75"/>
    <w:rsid w:val="0031371A"/>
    <w:rsid w:val="00313AF4"/>
    <w:rsid w:val="00313E98"/>
    <w:rsid w:val="00313EEF"/>
    <w:rsid w:val="00314035"/>
    <w:rsid w:val="003146BA"/>
    <w:rsid w:val="00315D52"/>
    <w:rsid w:val="00316E94"/>
    <w:rsid w:val="0031795A"/>
    <w:rsid w:val="003200AA"/>
    <w:rsid w:val="00320C56"/>
    <w:rsid w:val="00320F0C"/>
    <w:rsid w:val="00321C75"/>
    <w:rsid w:val="00321E11"/>
    <w:rsid w:val="00321EF8"/>
    <w:rsid w:val="003220D6"/>
    <w:rsid w:val="0032269B"/>
    <w:rsid w:val="00322F8B"/>
    <w:rsid w:val="003239E9"/>
    <w:rsid w:val="00323D61"/>
    <w:rsid w:val="00323DC8"/>
    <w:rsid w:val="00323E7A"/>
    <w:rsid w:val="0032428E"/>
    <w:rsid w:val="003242A3"/>
    <w:rsid w:val="00324598"/>
    <w:rsid w:val="00324CA4"/>
    <w:rsid w:val="003256C1"/>
    <w:rsid w:val="003256F8"/>
    <w:rsid w:val="00325857"/>
    <w:rsid w:val="0032645D"/>
    <w:rsid w:val="003270FB"/>
    <w:rsid w:val="00327583"/>
    <w:rsid w:val="003275E1"/>
    <w:rsid w:val="00327600"/>
    <w:rsid w:val="00327ABC"/>
    <w:rsid w:val="003303B2"/>
    <w:rsid w:val="003304CB"/>
    <w:rsid w:val="003304CF"/>
    <w:rsid w:val="00330AED"/>
    <w:rsid w:val="0033114B"/>
    <w:rsid w:val="00331374"/>
    <w:rsid w:val="00331954"/>
    <w:rsid w:val="00331FD2"/>
    <w:rsid w:val="00332696"/>
    <w:rsid w:val="00332F1F"/>
    <w:rsid w:val="003338D6"/>
    <w:rsid w:val="00333B00"/>
    <w:rsid w:val="00334495"/>
    <w:rsid w:val="003344A4"/>
    <w:rsid w:val="00334C5B"/>
    <w:rsid w:val="00334CDA"/>
    <w:rsid w:val="00334FDF"/>
    <w:rsid w:val="003352E9"/>
    <w:rsid w:val="00335327"/>
    <w:rsid w:val="00335AD8"/>
    <w:rsid w:val="0033602D"/>
    <w:rsid w:val="00336B9C"/>
    <w:rsid w:val="00336EC9"/>
    <w:rsid w:val="003372BA"/>
    <w:rsid w:val="0033748F"/>
    <w:rsid w:val="003374C8"/>
    <w:rsid w:val="003401C5"/>
    <w:rsid w:val="00340BF6"/>
    <w:rsid w:val="00340DA6"/>
    <w:rsid w:val="00341237"/>
    <w:rsid w:val="003417F6"/>
    <w:rsid w:val="00341B6E"/>
    <w:rsid w:val="00341F77"/>
    <w:rsid w:val="003420D9"/>
    <w:rsid w:val="003424CF"/>
    <w:rsid w:val="003426BA"/>
    <w:rsid w:val="0034292E"/>
    <w:rsid w:val="0034294C"/>
    <w:rsid w:val="00342961"/>
    <w:rsid w:val="00342B86"/>
    <w:rsid w:val="00342BC1"/>
    <w:rsid w:val="003436F1"/>
    <w:rsid w:val="00343D02"/>
    <w:rsid w:val="003446F6"/>
    <w:rsid w:val="00344793"/>
    <w:rsid w:val="00344963"/>
    <w:rsid w:val="00344968"/>
    <w:rsid w:val="00344DA6"/>
    <w:rsid w:val="00344E2D"/>
    <w:rsid w:val="00344EAF"/>
    <w:rsid w:val="0034512C"/>
    <w:rsid w:val="003451DA"/>
    <w:rsid w:val="00345513"/>
    <w:rsid w:val="0034630B"/>
    <w:rsid w:val="003464AE"/>
    <w:rsid w:val="0034688F"/>
    <w:rsid w:val="00346BEE"/>
    <w:rsid w:val="00346DAE"/>
    <w:rsid w:val="00347042"/>
    <w:rsid w:val="00347343"/>
    <w:rsid w:val="003474F6"/>
    <w:rsid w:val="00347581"/>
    <w:rsid w:val="003476FA"/>
    <w:rsid w:val="00347E99"/>
    <w:rsid w:val="00347FAC"/>
    <w:rsid w:val="0035009F"/>
    <w:rsid w:val="00350513"/>
    <w:rsid w:val="00350ED3"/>
    <w:rsid w:val="00350FE0"/>
    <w:rsid w:val="00351411"/>
    <w:rsid w:val="00351982"/>
    <w:rsid w:val="00351DFB"/>
    <w:rsid w:val="0035200D"/>
    <w:rsid w:val="0035259E"/>
    <w:rsid w:val="00352641"/>
    <w:rsid w:val="0035297E"/>
    <w:rsid w:val="00353381"/>
    <w:rsid w:val="0035356A"/>
    <w:rsid w:val="00353A67"/>
    <w:rsid w:val="00353A7B"/>
    <w:rsid w:val="00353B90"/>
    <w:rsid w:val="00353D0F"/>
    <w:rsid w:val="00353E07"/>
    <w:rsid w:val="00353F3B"/>
    <w:rsid w:val="003540A6"/>
    <w:rsid w:val="00354A9B"/>
    <w:rsid w:val="00354AC6"/>
    <w:rsid w:val="00354D54"/>
    <w:rsid w:val="00355200"/>
    <w:rsid w:val="00355AE7"/>
    <w:rsid w:val="00355BA7"/>
    <w:rsid w:val="00355C90"/>
    <w:rsid w:val="00355F7A"/>
    <w:rsid w:val="00356436"/>
    <w:rsid w:val="00356EE1"/>
    <w:rsid w:val="00357FC5"/>
    <w:rsid w:val="0036003E"/>
    <w:rsid w:val="003603AB"/>
    <w:rsid w:val="0036067C"/>
    <w:rsid w:val="00360AA0"/>
    <w:rsid w:val="00361183"/>
    <w:rsid w:val="003611ED"/>
    <w:rsid w:val="0036175A"/>
    <w:rsid w:val="00361E4F"/>
    <w:rsid w:val="003621FA"/>
    <w:rsid w:val="00362E86"/>
    <w:rsid w:val="00362FC2"/>
    <w:rsid w:val="00363B56"/>
    <w:rsid w:val="0036406C"/>
    <w:rsid w:val="00364162"/>
    <w:rsid w:val="0036434C"/>
    <w:rsid w:val="00364506"/>
    <w:rsid w:val="00364600"/>
    <w:rsid w:val="00364FDA"/>
    <w:rsid w:val="003655D1"/>
    <w:rsid w:val="00366304"/>
    <w:rsid w:val="003665F1"/>
    <w:rsid w:val="00366A8A"/>
    <w:rsid w:val="00366D0B"/>
    <w:rsid w:val="00367501"/>
    <w:rsid w:val="00367D63"/>
    <w:rsid w:val="00367F21"/>
    <w:rsid w:val="00370F57"/>
    <w:rsid w:val="00371270"/>
    <w:rsid w:val="00371347"/>
    <w:rsid w:val="00371370"/>
    <w:rsid w:val="00371DFC"/>
    <w:rsid w:val="00371E19"/>
    <w:rsid w:val="00371EC2"/>
    <w:rsid w:val="00372009"/>
    <w:rsid w:val="003725B2"/>
    <w:rsid w:val="0037270A"/>
    <w:rsid w:val="00372A24"/>
    <w:rsid w:val="00372BAB"/>
    <w:rsid w:val="00372D51"/>
    <w:rsid w:val="00372EFF"/>
    <w:rsid w:val="003731A4"/>
    <w:rsid w:val="00373B1D"/>
    <w:rsid w:val="00373C5B"/>
    <w:rsid w:val="00375123"/>
    <w:rsid w:val="00375B2C"/>
    <w:rsid w:val="00376098"/>
    <w:rsid w:val="00376E7C"/>
    <w:rsid w:val="003771AF"/>
    <w:rsid w:val="003771B5"/>
    <w:rsid w:val="0037744A"/>
    <w:rsid w:val="003774C0"/>
    <w:rsid w:val="00377AF9"/>
    <w:rsid w:val="00377C41"/>
    <w:rsid w:val="003804DF"/>
    <w:rsid w:val="003806F1"/>
    <w:rsid w:val="0038079B"/>
    <w:rsid w:val="00380EBD"/>
    <w:rsid w:val="00380F14"/>
    <w:rsid w:val="003812FB"/>
    <w:rsid w:val="003819B9"/>
    <w:rsid w:val="0038251F"/>
    <w:rsid w:val="0038265C"/>
    <w:rsid w:val="003826FC"/>
    <w:rsid w:val="00382C4B"/>
    <w:rsid w:val="00382C67"/>
    <w:rsid w:val="0038383B"/>
    <w:rsid w:val="00383B73"/>
    <w:rsid w:val="00383F6A"/>
    <w:rsid w:val="0038402A"/>
    <w:rsid w:val="003843AA"/>
    <w:rsid w:val="003848B9"/>
    <w:rsid w:val="00384FCC"/>
    <w:rsid w:val="00385041"/>
    <w:rsid w:val="003855AE"/>
    <w:rsid w:val="00385796"/>
    <w:rsid w:val="0038636F"/>
    <w:rsid w:val="00386B61"/>
    <w:rsid w:val="003876DC"/>
    <w:rsid w:val="003876EA"/>
    <w:rsid w:val="00387979"/>
    <w:rsid w:val="00387AA5"/>
    <w:rsid w:val="00387AE1"/>
    <w:rsid w:val="003900EC"/>
    <w:rsid w:val="003901E3"/>
    <w:rsid w:val="003903BC"/>
    <w:rsid w:val="003904F0"/>
    <w:rsid w:val="00390569"/>
    <w:rsid w:val="0039061C"/>
    <w:rsid w:val="003908C6"/>
    <w:rsid w:val="00390E82"/>
    <w:rsid w:val="00390E95"/>
    <w:rsid w:val="00390F5D"/>
    <w:rsid w:val="00391CC7"/>
    <w:rsid w:val="00391FDA"/>
    <w:rsid w:val="0039264A"/>
    <w:rsid w:val="00392742"/>
    <w:rsid w:val="003928C8"/>
    <w:rsid w:val="003930F2"/>
    <w:rsid w:val="00393603"/>
    <w:rsid w:val="00394180"/>
    <w:rsid w:val="003941D3"/>
    <w:rsid w:val="003945F3"/>
    <w:rsid w:val="00394645"/>
    <w:rsid w:val="0039473F"/>
    <w:rsid w:val="00395042"/>
    <w:rsid w:val="00395733"/>
    <w:rsid w:val="00395C06"/>
    <w:rsid w:val="003967FF"/>
    <w:rsid w:val="003968E8"/>
    <w:rsid w:val="00397BA8"/>
    <w:rsid w:val="00397CC9"/>
    <w:rsid w:val="003A009D"/>
    <w:rsid w:val="003A02A2"/>
    <w:rsid w:val="003A04A3"/>
    <w:rsid w:val="003A0A6A"/>
    <w:rsid w:val="003A0B3A"/>
    <w:rsid w:val="003A0BEB"/>
    <w:rsid w:val="003A0D5A"/>
    <w:rsid w:val="003A0F3B"/>
    <w:rsid w:val="003A0F85"/>
    <w:rsid w:val="003A11A6"/>
    <w:rsid w:val="003A1580"/>
    <w:rsid w:val="003A1811"/>
    <w:rsid w:val="003A214B"/>
    <w:rsid w:val="003A232F"/>
    <w:rsid w:val="003A2888"/>
    <w:rsid w:val="003A293C"/>
    <w:rsid w:val="003A2B8D"/>
    <w:rsid w:val="003A2C6C"/>
    <w:rsid w:val="003A2CEF"/>
    <w:rsid w:val="003A2D8E"/>
    <w:rsid w:val="003A3133"/>
    <w:rsid w:val="003A3226"/>
    <w:rsid w:val="003A352A"/>
    <w:rsid w:val="003A3CC8"/>
    <w:rsid w:val="003A3D2A"/>
    <w:rsid w:val="003A3EB3"/>
    <w:rsid w:val="003A40C5"/>
    <w:rsid w:val="003A41B0"/>
    <w:rsid w:val="003A43ED"/>
    <w:rsid w:val="003A4628"/>
    <w:rsid w:val="003A49A7"/>
    <w:rsid w:val="003A4A4E"/>
    <w:rsid w:val="003A4B15"/>
    <w:rsid w:val="003A4CB9"/>
    <w:rsid w:val="003A4EAA"/>
    <w:rsid w:val="003A5059"/>
    <w:rsid w:val="003A50CB"/>
    <w:rsid w:val="003A5432"/>
    <w:rsid w:val="003A5461"/>
    <w:rsid w:val="003A6452"/>
    <w:rsid w:val="003A64D5"/>
    <w:rsid w:val="003A6CB6"/>
    <w:rsid w:val="003A70B4"/>
    <w:rsid w:val="003A717B"/>
    <w:rsid w:val="003A7430"/>
    <w:rsid w:val="003A75AC"/>
    <w:rsid w:val="003A7886"/>
    <w:rsid w:val="003A7B32"/>
    <w:rsid w:val="003A7CD6"/>
    <w:rsid w:val="003A7F8A"/>
    <w:rsid w:val="003B072C"/>
    <w:rsid w:val="003B110B"/>
    <w:rsid w:val="003B137E"/>
    <w:rsid w:val="003B1848"/>
    <w:rsid w:val="003B1ED6"/>
    <w:rsid w:val="003B1FB3"/>
    <w:rsid w:val="003B209A"/>
    <w:rsid w:val="003B2285"/>
    <w:rsid w:val="003B22C1"/>
    <w:rsid w:val="003B234B"/>
    <w:rsid w:val="003B2CA7"/>
    <w:rsid w:val="003B2EA9"/>
    <w:rsid w:val="003B3038"/>
    <w:rsid w:val="003B33BF"/>
    <w:rsid w:val="003B3784"/>
    <w:rsid w:val="003B392A"/>
    <w:rsid w:val="003B3ABD"/>
    <w:rsid w:val="003B3BBA"/>
    <w:rsid w:val="003B403C"/>
    <w:rsid w:val="003B4493"/>
    <w:rsid w:val="003B4498"/>
    <w:rsid w:val="003B4962"/>
    <w:rsid w:val="003B49D8"/>
    <w:rsid w:val="003B4ABA"/>
    <w:rsid w:val="003B4F3B"/>
    <w:rsid w:val="003B501D"/>
    <w:rsid w:val="003B54A3"/>
    <w:rsid w:val="003B55DB"/>
    <w:rsid w:val="003B63CA"/>
    <w:rsid w:val="003B704A"/>
    <w:rsid w:val="003B71B0"/>
    <w:rsid w:val="003B7918"/>
    <w:rsid w:val="003B7A84"/>
    <w:rsid w:val="003B7ACB"/>
    <w:rsid w:val="003B7B37"/>
    <w:rsid w:val="003B7C70"/>
    <w:rsid w:val="003B7CCE"/>
    <w:rsid w:val="003B7F40"/>
    <w:rsid w:val="003C02F8"/>
    <w:rsid w:val="003C0506"/>
    <w:rsid w:val="003C06AE"/>
    <w:rsid w:val="003C0844"/>
    <w:rsid w:val="003C0A96"/>
    <w:rsid w:val="003C10A8"/>
    <w:rsid w:val="003C11A8"/>
    <w:rsid w:val="003C15D2"/>
    <w:rsid w:val="003C18D9"/>
    <w:rsid w:val="003C1D09"/>
    <w:rsid w:val="003C1DA1"/>
    <w:rsid w:val="003C202C"/>
    <w:rsid w:val="003C2118"/>
    <w:rsid w:val="003C25EB"/>
    <w:rsid w:val="003C352B"/>
    <w:rsid w:val="003C3642"/>
    <w:rsid w:val="003C39AE"/>
    <w:rsid w:val="003C4017"/>
    <w:rsid w:val="003C4A12"/>
    <w:rsid w:val="003C4B2E"/>
    <w:rsid w:val="003C4E6E"/>
    <w:rsid w:val="003C4ECD"/>
    <w:rsid w:val="003C5106"/>
    <w:rsid w:val="003C5110"/>
    <w:rsid w:val="003C5419"/>
    <w:rsid w:val="003C5454"/>
    <w:rsid w:val="003C57C9"/>
    <w:rsid w:val="003C57EA"/>
    <w:rsid w:val="003C5AF5"/>
    <w:rsid w:val="003C5DB0"/>
    <w:rsid w:val="003C5E21"/>
    <w:rsid w:val="003C5F61"/>
    <w:rsid w:val="003C631B"/>
    <w:rsid w:val="003C674B"/>
    <w:rsid w:val="003C6BFB"/>
    <w:rsid w:val="003C73C1"/>
    <w:rsid w:val="003C7541"/>
    <w:rsid w:val="003C7CF3"/>
    <w:rsid w:val="003D0205"/>
    <w:rsid w:val="003D03CC"/>
    <w:rsid w:val="003D0569"/>
    <w:rsid w:val="003D05FE"/>
    <w:rsid w:val="003D07F9"/>
    <w:rsid w:val="003D0C3F"/>
    <w:rsid w:val="003D0C5A"/>
    <w:rsid w:val="003D1104"/>
    <w:rsid w:val="003D1530"/>
    <w:rsid w:val="003D1737"/>
    <w:rsid w:val="003D1B4F"/>
    <w:rsid w:val="003D2A12"/>
    <w:rsid w:val="003D2AAB"/>
    <w:rsid w:val="003D2BC2"/>
    <w:rsid w:val="003D2D02"/>
    <w:rsid w:val="003D30C5"/>
    <w:rsid w:val="003D333B"/>
    <w:rsid w:val="003D360D"/>
    <w:rsid w:val="003D3C04"/>
    <w:rsid w:val="003D3C51"/>
    <w:rsid w:val="003D3D25"/>
    <w:rsid w:val="003D3FF6"/>
    <w:rsid w:val="003D465F"/>
    <w:rsid w:val="003D4730"/>
    <w:rsid w:val="003D4EFB"/>
    <w:rsid w:val="003D4FF3"/>
    <w:rsid w:val="003D58F5"/>
    <w:rsid w:val="003D5D84"/>
    <w:rsid w:val="003D5EF0"/>
    <w:rsid w:val="003D5F43"/>
    <w:rsid w:val="003D6188"/>
    <w:rsid w:val="003D641E"/>
    <w:rsid w:val="003D648E"/>
    <w:rsid w:val="003D6DF3"/>
    <w:rsid w:val="003D72EE"/>
    <w:rsid w:val="003D74BB"/>
    <w:rsid w:val="003D7641"/>
    <w:rsid w:val="003D7A04"/>
    <w:rsid w:val="003D7A6B"/>
    <w:rsid w:val="003E025F"/>
    <w:rsid w:val="003E0712"/>
    <w:rsid w:val="003E0BA6"/>
    <w:rsid w:val="003E12BC"/>
    <w:rsid w:val="003E1BFC"/>
    <w:rsid w:val="003E1E94"/>
    <w:rsid w:val="003E2031"/>
    <w:rsid w:val="003E22B2"/>
    <w:rsid w:val="003E267E"/>
    <w:rsid w:val="003E2C83"/>
    <w:rsid w:val="003E3159"/>
    <w:rsid w:val="003E384C"/>
    <w:rsid w:val="003E3A61"/>
    <w:rsid w:val="003E3B26"/>
    <w:rsid w:val="003E3E83"/>
    <w:rsid w:val="003E4158"/>
    <w:rsid w:val="003E42A0"/>
    <w:rsid w:val="003E460F"/>
    <w:rsid w:val="003E467A"/>
    <w:rsid w:val="003E482E"/>
    <w:rsid w:val="003E4893"/>
    <w:rsid w:val="003E49A6"/>
    <w:rsid w:val="003E5367"/>
    <w:rsid w:val="003E55F6"/>
    <w:rsid w:val="003E60DF"/>
    <w:rsid w:val="003E6210"/>
    <w:rsid w:val="003E649E"/>
    <w:rsid w:val="003E658F"/>
    <w:rsid w:val="003E675F"/>
    <w:rsid w:val="003E6A6D"/>
    <w:rsid w:val="003E6CC1"/>
    <w:rsid w:val="003E7858"/>
    <w:rsid w:val="003E7F6C"/>
    <w:rsid w:val="003F00D0"/>
    <w:rsid w:val="003F0512"/>
    <w:rsid w:val="003F06E1"/>
    <w:rsid w:val="003F0820"/>
    <w:rsid w:val="003F122C"/>
    <w:rsid w:val="003F196A"/>
    <w:rsid w:val="003F1ABA"/>
    <w:rsid w:val="003F1D04"/>
    <w:rsid w:val="003F1E46"/>
    <w:rsid w:val="003F2074"/>
    <w:rsid w:val="003F21C3"/>
    <w:rsid w:val="003F288C"/>
    <w:rsid w:val="003F2D93"/>
    <w:rsid w:val="003F2DC7"/>
    <w:rsid w:val="003F2F7A"/>
    <w:rsid w:val="003F32CE"/>
    <w:rsid w:val="003F353F"/>
    <w:rsid w:val="003F355D"/>
    <w:rsid w:val="003F3B45"/>
    <w:rsid w:val="003F3C83"/>
    <w:rsid w:val="003F40F3"/>
    <w:rsid w:val="003F41BA"/>
    <w:rsid w:val="003F4A50"/>
    <w:rsid w:val="003F50A3"/>
    <w:rsid w:val="003F5272"/>
    <w:rsid w:val="003F58A1"/>
    <w:rsid w:val="003F5AEB"/>
    <w:rsid w:val="003F5C1E"/>
    <w:rsid w:val="003F6000"/>
    <w:rsid w:val="003F6194"/>
    <w:rsid w:val="003F64D2"/>
    <w:rsid w:val="003F68A6"/>
    <w:rsid w:val="003F7182"/>
    <w:rsid w:val="003F7376"/>
    <w:rsid w:val="003F79FB"/>
    <w:rsid w:val="00400335"/>
    <w:rsid w:val="0040104D"/>
    <w:rsid w:val="004010FE"/>
    <w:rsid w:val="004019F6"/>
    <w:rsid w:val="0040218C"/>
    <w:rsid w:val="004021C0"/>
    <w:rsid w:val="0040276A"/>
    <w:rsid w:val="00402853"/>
    <w:rsid w:val="0040337C"/>
    <w:rsid w:val="00403468"/>
    <w:rsid w:val="0040355D"/>
    <w:rsid w:val="0040370B"/>
    <w:rsid w:val="00403EA0"/>
    <w:rsid w:val="00403EDB"/>
    <w:rsid w:val="004040C1"/>
    <w:rsid w:val="00404214"/>
    <w:rsid w:val="004045CB"/>
    <w:rsid w:val="0040494C"/>
    <w:rsid w:val="00404D1C"/>
    <w:rsid w:val="00404FA6"/>
    <w:rsid w:val="00404FC3"/>
    <w:rsid w:val="00405071"/>
    <w:rsid w:val="00405223"/>
    <w:rsid w:val="00405729"/>
    <w:rsid w:val="0040600D"/>
    <w:rsid w:val="004070F5"/>
    <w:rsid w:val="0040767B"/>
    <w:rsid w:val="004101EE"/>
    <w:rsid w:val="0041029F"/>
    <w:rsid w:val="0041036A"/>
    <w:rsid w:val="004105E9"/>
    <w:rsid w:val="00410BEC"/>
    <w:rsid w:val="00410DDF"/>
    <w:rsid w:val="00410DE2"/>
    <w:rsid w:val="00410FF3"/>
    <w:rsid w:val="0041136C"/>
    <w:rsid w:val="00411465"/>
    <w:rsid w:val="004114E6"/>
    <w:rsid w:val="0041165D"/>
    <w:rsid w:val="0041165F"/>
    <w:rsid w:val="00411A73"/>
    <w:rsid w:val="00411D97"/>
    <w:rsid w:val="004128F3"/>
    <w:rsid w:val="004129B0"/>
    <w:rsid w:val="00412B74"/>
    <w:rsid w:val="00412CCC"/>
    <w:rsid w:val="00412DD7"/>
    <w:rsid w:val="004130FA"/>
    <w:rsid w:val="004131C0"/>
    <w:rsid w:val="00413244"/>
    <w:rsid w:val="004132FA"/>
    <w:rsid w:val="004133BD"/>
    <w:rsid w:val="004135D7"/>
    <w:rsid w:val="00413689"/>
    <w:rsid w:val="00413CC8"/>
    <w:rsid w:val="00413DAE"/>
    <w:rsid w:val="004149A3"/>
    <w:rsid w:val="00414FE7"/>
    <w:rsid w:val="0041576B"/>
    <w:rsid w:val="00416977"/>
    <w:rsid w:val="00416E9F"/>
    <w:rsid w:val="00416EBC"/>
    <w:rsid w:val="0041701D"/>
    <w:rsid w:val="00417213"/>
    <w:rsid w:val="004175C0"/>
    <w:rsid w:val="00417BA7"/>
    <w:rsid w:val="00417E5A"/>
    <w:rsid w:val="0042048C"/>
    <w:rsid w:val="0042074C"/>
    <w:rsid w:val="00420860"/>
    <w:rsid w:val="004209D5"/>
    <w:rsid w:val="00420CB6"/>
    <w:rsid w:val="00420D78"/>
    <w:rsid w:val="00420F73"/>
    <w:rsid w:val="0042108E"/>
    <w:rsid w:val="0042122C"/>
    <w:rsid w:val="0042198D"/>
    <w:rsid w:val="00421A44"/>
    <w:rsid w:val="004222DC"/>
    <w:rsid w:val="00422830"/>
    <w:rsid w:val="004229ED"/>
    <w:rsid w:val="00422B4B"/>
    <w:rsid w:val="00422C3F"/>
    <w:rsid w:val="00422CEA"/>
    <w:rsid w:val="00423422"/>
    <w:rsid w:val="00423665"/>
    <w:rsid w:val="00423976"/>
    <w:rsid w:val="00423AB9"/>
    <w:rsid w:val="0042404B"/>
    <w:rsid w:val="0042412B"/>
    <w:rsid w:val="004241F2"/>
    <w:rsid w:val="004244E2"/>
    <w:rsid w:val="00424697"/>
    <w:rsid w:val="00425732"/>
    <w:rsid w:val="0042607B"/>
    <w:rsid w:val="00426146"/>
    <w:rsid w:val="004261E9"/>
    <w:rsid w:val="00426597"/>
    <w:rsid w:val="004269AB"/>
    <w:rsid w:val="0042713F"/>
    <w:rsid w:val="00427205"/>
    <w:rsid w:val="004275B1"/>
    <w:rsid w:val="00427A01"/>
    <w:rsid w:val="00427B17"/>
    <w:rsid w:val="00427B1A"/>
    <w:rsid w:val="00427B3F"/>
    <w:rsid w:val="004303A3"/>
    <w:rsid w:val="00430950"/>
    <w:rsid w:val="00430D62"/>
    <w:rsid w:val="00430EA7"/>
    <w:rsid w:val="00430F02"/>
    <w:rsid w:val="00431130"/>
    <w:rsid w:val="00431D3C"/>
    <w:rsid w:val="00431EE3"/>
    <w:rsid w:val="00432532"/>
    <w:rsid w:val="004326A6"/>
    <w:rsid w:val="004328C0"/>
    <w:rsid w:val="00432D42"/>
    <w:rsid w:val="00432D44"/>
    <w:rsid w:val="0043347E"/>
    <w:rsid w:val="00433D7A"/>
    <w:rsid w:val="00433DA8"/>
    <w:rsid w:val="00434247"/>
    <w:rsid w:val="00434A63"/>
    <w:rsid w:val="00434E8F"/>
    <w:rsid w:val="00435107"/>
    <w:rsid w:val="0043527D"/>
    <w:rsid w:val="004352C0"/>
    <w:rsid w:val="0043587C"/>
    <w:rsid w:val="004359E0"/>
    <w:rsid w:val="00435AE2"/>
    <w:rsid w:val="00435B3C"/>
    <w:rsid w:val="00435EF9"/>
    <w:rsid w:val="00436397"/>
    <w:rsid w:val="0043648B"/>
    <w:rsid w:val="00436792"/>
    <w:rsid w:val="0043708A"/>
    <w:rsid w:val="0043760A"/>
    <w:rsid w:val="004377CD"/>
    <w:rsid w:val="00437C99"/>
    <w:rsid w:val="00437D20"/>
    <w:rsid w:val="00437E3A"/>
    <w:rsid w:val="004406C4"/>
    <w:rsid w:val="00440FEF"/>
    <w:rsid w:val="004412D9"/>
    <w:rsid w:val="0044170A"/>
    <w:rsid w:val="00441D2C"/>
    <w:rsid w:val="00442912"/>
    <w:rsid w:val="00442BCD"/>
    <w:rsid w:val="00442CF2"/>
    <w:rsid w:val="004430B4"/>
    <w:rsid w:val="00443369"/>
    <w:rsid w:val="004434DB"/>
    <w:rsid w:val="00443FA9"/>
    <w:rsid w:val="00444655"/>
    <w:rsid w:val="00444942"/>
    <w:rsid w:val="0044511C"/>
    <w:rsid w:val="00445361"/>
    <w:rsid w:val="00445D17"/>
    <w:rsid w:val="00445E6B"/>
    <w:rsid w:val="00446B84"/>
    <w:rsid w:val="00446FDF"/>
    <w:rsid w:val="0044721F"/>
    <w:rsid w:val="0044780D"/>
    <w:rsid w:val="00447BAF"/>
    <w:rsid w:val="004504BC"/>
    <w:rsid w:val="00450602"/>
    <w:rsid w:val="00450FEC"/>
    <w:rsid w:val="004518B9"/>
    <w:rsid w:val="004518FC"/>
    <w:rsid w:val="0045195F"/>
    <w:rsid w:val="00451A0D"/>
    <w:rsid w:val="00451B65"/>
    <w:rsid w:val="00451DE8"/>
    <w:rsid w:val="00451E1C"/>
    <w:rsid w:val="004520CB"/>
    <w:rsid w:val="004525D2"/>
    <w:rsid w:val="0045272F"/>
    <w:rsid w:val="004529D9"/>
    <w:rsid w:val="00452DB5"/>
    <w:rsid w:val="00453CE2"/>
    <w:rsid w:val="00453FD2"/>
    <w:rsid w:val="0045450A"/>
    <w:rsid w:val="004545FD"/>
    <w:rsid w:val="00454EC0"/>
    <w:rsid w:val="00454EFB"/>
    <w:rsid w:val="0045525F"/>
    <w:rsid w:val="00455980"/>
    <w:rsid w:val="00455BEC"/>
    <w:rsid w:val="00456006"/>
    <w:rsid w:val="004563DB"/>
    <w:rsid w:val="00456504"/>
    <w:rsid w:val="00456944"/>
    <w:rsid w:val="00456A24"/>
    <w:rsid w:val="00456DFF"/>
    <w:rsid w:val="00457419"/>
    <w:rsid w:val="00457735"/>
    <w:rsid w:val="00457EC3"/>
    <w:rsid w:val="00460032"/>
    <w:rsid w:val="00460328"/>
    <w:rsid w:val="004603DA"/>
    <w:rsid w:val="00460418"/>
    <w:rsid w:val="00460BCC"/>
    <w:rsid w:val="004610C9"/>
    <w:rsid w:val="0046193B"/>
    <w:rsid w:val="00461A04"/>
    <w:rsid w:val="00462294"/>
    <w:rsid w:val="004625A6"/>
    <w:rsid w:val="0046293B"/>
    <w:rsid w:val="00462990"/>
    <w:rsid w:val="00463C4C"/>
    <w:rsid w:val="00463DE4"/>
    <w:rsid w:val="00464043"/>
    <w:rsid w:val="00464CFB"/>
    <w:rsid w:val="00464E73"/>
    <w:rsid w:val="00465089"/>
    <w:rsid w:val="0046547E"/>
    <w:rsid w:val="00465649"/>
    <w:rsid w:val="00466208"/>
    <w:rsid w:val="0046687E"/>
    <w:rsid w:val="00466A4B"/>
    <w:rsid w:val="00466B53"/>
    <w:rsid w:val="00466D32"/>
    <w:rsid w:val="00466D90"/>
    <w:rsid w:val="00466F66"/>
    <w:rsid w:val="0046721A"/>
    <w:rsid w:val="004679B4"/>
    <w:rsid w:val="00467F83"/>
    <w:rsid w:val="0047014F"/>
    <w:rsid w:val="0047043A"/>
    <w:rsid w:val="0047099C"/>
    <w:rsid w:val="00470BD2"/>
    <w:rsid w:val="0047115F"/>
    <w:rsid w:val="00471682"/>
    <w:rsid w:val="00471C74"/>
    <w:rsid w:val="0047245C"/>
    <w:rsid w:val="0047247F"/>
    <w:rsid w:val="00472CE2"/>
    <w:rsid w:val="00473116"/>
    <w:rsid w:val="004733EF"/>
    <w:rsid w:val="004735F4"/>
    <w:rsid w:val="00473B90"/>
    <w:rsid w:val="00473F42"/>
    <w:rsid w:val="004740B9"/>
    <w:rsid w:val="00474234"/>
    <w:rsid w:val="0047434F"/>
    <w:rsid w:val="0047444D"/>
    <w:rsid w:val="00474FBC"/>
    <w:rsid w:val="00475F2E"/>
    <w:rsid w:val="004763D2"/>
    <w:rsid w:val="0047657A"/>
    <w:rsid w:val="004768FC"/>
    <w:rsid w:val="00476CEC"/>
    <w:rsid w:val="0047795D"/>
    <w:rsid w:val="00477CBC"/>
    <w:rsid w:val="004801DE"/>
    <w:rsid w:val="0048057D"/>
    <w:rsid w:val="00480AB9"/>
    <w:rsid w:val="00481333"/>
    <w:rsid w:val="004813EA"/>
    <w:rsid w:val="00481468"/>
    <w:rsid w:val="00481908"/>
    <w:rsid w:val="00481E73"/>
    <w:rsid w:val="00481F3C"/>
    <w:rsid w:val="00482603"/>
    <w:rsid w:val="0048280F"/>
    <w:rsid w:val="00482821"/>
    <w:rsid w:val="00482D0A"/>
    <w:rsid w:val="00482D89"/>
    <w:rsid w:val="00482DA0"/>
    <w:rsid w:val="00483190"/>
    <w:rsid w:val="00483D44"/>
    <w:rsid w:val="00484C52"/>
    <w:rsid w:val="00484E53"/>
    <w:rsid w:val="00484E86"/>
    <w:rsid w:val="00484F1D"/>
    <w:rsid w:val="00485022"/>
    <w:rsid w:val="00485767"/>
    <w:rsid w:val="004859DE"/>
    <w:rsid w:val="00485E98"/>
    <w:rsid w:val="00485FD1"/>
    <w:rsid w:val="004861C0"/>
    <w:rsid w:val="004862EF"/>
    <w:rsid w:val="00486A65"/>
    <w:rsid w:val="00486B96"/>
    <w:rsid w:val="00486B97"/>
    <w:rsid w:val="004873E3"/>
    <w:rsid w:val="00487E67"/>
    <w:rsid w:val="00487F14"/>
    <w:rsid w:val="00491731"/>
    <w:rsid w:val="00491914"/>
    <w:rsid w:val="00491B06"/>
    <w:rsid w:val="00491FE5"/>
    <w:rsid w:val="00492649"/>
    <w:rsid w:val="004926D7"/>
    <w:rsid w:val="00492CD5"/>
    <w:rsid w:val="00492E0F"/>
    <w:rsid w:val="00493591"/>
    <w:rsid w:val="00493708"/>
    <w:rsid w:val="0049382C"/>
    <w:rsid w:val="00493A77"/>
    <w:rsid w:val="00493AE4"/>
    <w:rsid w:val="00493B41"/>
    <w:rsid w:val="00494D5B"/>
    <w:rsid w:val="00495117"/>
    <w:rsid w:val="00495898"/>
    <w:rsid w:val="00495DF3"/>
    <w:rsid w:val="00495F36"/>
    <w:rsid w:val="004960E1"/>
    <w:rsid w:val="00496186"/>
    <w:rsid w:val="00496363"/>
    <w:rsid w:val="0049694B"/>
    <w:rsid w:val="0049774E"/>
    <w:rsid w:val="004979D5"/>
    <w:rsid w:val="004A0402"/>
    <w:rsid w:val="004A0588"/>
    <w:rsid w:val="004A0C34"/>
    <w:rsid w:val="004A1746"/>
    <w:rsid w:val="004A1AE7"/>
    <w:rsid w:val="004A1B87"/>
    <w:rsid w:val="004A20C3"/>
    <w:rsid w:val="004A269D"/>
    <w:rsid w:val="004A2A6F"/>
    <w:rsid w:val="004A3BC3"/>
    <w:rsid w:val="004A3CD5"/>
    <w:rsid w:val="004A45AC"/>
    <w:rsid w:val="004A4A3D"/>
    <w:rsid w:val="004A4CDE"/>
    <w:rsid w:val="004A52DA"/>
    <w:rsid w:val="004A566A"/>
    <w:rsid w:val="004A576D"/>
    <w:rsid w:val="004A5A09"/>
    <w:rsid w:val="004A6651"/>
    <w:rsid w:val="004A678D"/>
    <w:rsid w:val="004A67AA"/>
    <w:rsid w:val="004A6BF2"/>
    <w:rsid w:val="004A6E13"/>
    <w:rsid w:val="004A757B"/>
    <w:rsid w:val="004A79BD"/>
    <w:rsid w:val="004B043A"/>
    <w:rsid w:val="004B0580"/>
    <w:rsid w:val="004B0823"/>
    <w:rsid w:val="004B14E1"/>
    <w:rsid w:val="004B1D3E"/>
    <w:rsid w:val="004B1E5F"/>
    <w:rsid w:val="004B1E6E"/>
    <w:rsid w:val="004B1EE3"/>
    <w:rsid w:val="004B233E"/>
    <w:rsid w:val="004B241F"/>
    <w:rsid w:val="004B2D87"/>
    <w:rsid w:val="004B3116"/>
    <w:rsid w:val="004B31F1"/>
    <w:rsid w:val="004B3393"/>
    <w:rsid w:val="004B3418"/>
    <w:rsid w:val="004B3854"/>
    <w:rsid w:val="004B40EC"/>
    <w:rsid w:val="004B4815"/>
    <w:rsid w:val="004B5305"/>
    <w:rsid w:val="004B5A4A"/>
    <w:rsid w:val="004B6085"/>
    <w:rsid w:val="004B60D2"/>
    <w:rsid w:val="004B6189"/>
    <w:rsid w:val="004B6408"/>
    <w:rsid w:val="004B6756"/>
    <w:rsid w:val="004B686B"/>
    <w:rsid w:val="004B6C8C"/>
    <w:rsid w:val="004B6E65"/>
    <w:rsid w:val="004B6EEA"/>
    <w:rsid w:val="004B6FFD"/>
    <w:rsid w:val="004B796F"/>
    <w:rsid w:val="004B79DE"/>
    <w:rsid w:val="004B7A43"/>
    <w:rsid w:val="004C0BF2"/>
    <w:rsid w:val="004C0FC2"/>
    <w:rsid w:val="004C105D"/>
    <w:rsid w:val="004C1498"/>
    <w:rsid w:val="004C15D0"/>
    <w:rsid w:val="004C1818"/>
    <w:rsid w:val="004C1CA2"/>
    <w:rsid w:val="004C2267"/>
    <w:rsid w:val="004C2B95"/>
    <w:rsid w:val="004C37C4"/>
    <w:rsid w:val="004C3EC7"/>
    <w:rsid w:val="004C4218"/>
    <w:rsid w:val="004C45E2"/>
    <w:rsid w:val="004C4A82"/>
    <w:rsid w:val="004C4A98"/>
    <w:rsid w:val="004C50E3"/>
    <w:rsid w:val="004C59EA"/>
    <w:rsid w:val="004C5CF6"/>
    <w:rsid w:val="004C5E28"/>
    <w:rsid w:val="004C5E29"/>
    <w:rsid w:val="004C6251"/>
    <w:rsid w:val="004C6967"/>
    <w:rsid w:val="004C69D0"/>
    <w:rsid w:val="004C6E9B"/>
    <w:rsid w:val="004C72FD"/>
    <w:rsid w:val="004C7E7D"/>
    <w:rsid w:val="004D05C1"/>
    <w:rsid w:val="004D0791"/>
    <w:rsid w:val="004D095D"/>
    <w:rsid w:val="004D0B92"/>
    <w:rsid w:val="004D0BE2"/>
    <w:rsid w:val="004D0DE0"/>
    <w:rsid w:val="004D1347"/>
    <w:rsid w:val="004D13D9"/>
    <w:rsid w:val="004D1583"/>
    <w:rsid w:val="004D19F0"/>
    <w:rsid w:val="004D1D86"/>
    <w:rsid w:val="004D1E7F"/>
    <w:rsid w:val="004D1ECE"/>
    <w:rsid w:val="004D1F2A"/>
    <w:rsid w:val="004D2134"/>
    <w:rsid w:val="004D2408"/>
    <w:rsid w:val="004D27AD"/>
    <w:rsid w:val="004D2A51"/>
    <w:rsid w:val="004D2B68"/>
    <w:rsid w:val="004D2C48"/>
    <w:rsid w:val="004D2D2C"/>
    <w:rsid w:val="004D30B3"/>
    <w:rsid w:val="004D38E0"/>
    <w:rsid w:val="004D3E65"/>
    <w:rsid w:val="004D3EED"/>
    <w:rsid w:val="004D3EFC"/>
    <w:rsid w:val="004D41FC"/>
    <w:rsid w:val="004D4439"/>
    <w:rsid w:val="004D480A"/>
    <w:rsid w:val="004D4A70"/>
    <w:rsid w:val="004D5317"/>
    <w:rsid w:val="004D5816"/>
    <w:rsid w:val="004D5ABD"/>
    <w:rsid w:val="004D5FC5"/>
    <w:rsid w:val="004D6061"/>
    <w:rsid w:val="004D61EB"/>
    <w:rsid w:val="004D68ED"/>
    <w:rsid w:val="004D7697"/>
    <w:rsid w:val="004D7796"/>
    <w:rsid w:val="004D7A43"/>
    <w:rsid w:val="004E03FD"/>
    <w:rsid w:val="004E04A2"/>
    <w:rsid w:val="004E0615"/>
    <w:rsid w:val="004E0721"/>
    <w:rsid w:val="004E1264"/>
    <w:rsid w:val="004E1AF4"/>
    <w:rsid w:val="004E2361"/>
    <w:rsid w:val="004E27C2"/>
    <w:rsid w:val="004E2AD2"/>
    <w:rsid w:val="004E3607"/>
    <w:rsid w:val="004E3C66"/>
    <w:rsid w:val="004E423F"/>
    <w:rsid w:val="004E4272"/>
    <w:rsid w:val="004E44D8"/>
    <w:rsid w:val="004E453E"/>
    <w:rsid w:val="004E45F2"/>
    <w:rsid w:val="004E4F4E"/>
    <w:rsid w:val="004E50FC"/>
    <w:rsid w:val="004E52A1"/>
    <w:rsid w:val="004E5317"/>
    <w:rsid w:val="004E53BD"/>
    <w:rsid w:val="004E5426"/>
    <w:rsid w:val="004E54B7"/>
    <w:rsid w:val="004E568D"/>
    <w:rsid w:val="004E57CF"/>
    <w:rsid w:val="004E589D"/>
    <w:rsid w:val="004E59F1"/>
    <w:rsid w:val="004E5F82"/>
    <w:rsid w:val="004E6170"/>
    <w:rsid w:val="004E6952"/>
    <w:rsid w:val="004E69B6"/>
    <w:rsid w:val="004F0000"/>
    <w:rsid w:val="004F041C"/>
    <w:rsid w:val="004F0915"/>
    <w:rsid w:val="004F0BDA"/>
    <w:rsid w:val="004F167B"/>
    <w:rsid w:val="004F17E0"/>
    <w:rsid w:val="004F2012"/>
    <w:rsid w:val="004F225C"/>
    <w:rsid w:val="004F27DB"/>
    <w:rsid w:val="004F29B2"/>
    <w:rsid w:val="004F2B12"/>
    <w:rsid w:val="004F2E53"/>
    <w:rsid w:val="004F378B"/>
    <w:rsid w:val="004F395B"/>
    <w:rsid w:val="004F3BFB"/>
    <w:rsid w:val="004F3C19"/>
    <w:rsid w:val="004F3E17"/>
    <w:rsid w:val="004F407E"/>
    <w:rsid w:val="004F41E6"/>
    <w:rsid w:val="004F431C"/>
    <w:rsid w:val="004F4825"/>
    <w:rsid w:val="004F4841"/>
    <w:rsid w:val="004F48B2"/>
    <w:rsid w:val="004F4CBF"/>
    <w:rsid w:val="004F4FB5"/>
    <w:rsid w:val="004F522B"/>
    <w:rsid w:val="004F54FE"/>
    <w:rsid w:val="004F573E"/>
    <w:rsid w:val="004F57D1"/>
    <w:rsid w:val="004F5A62"/>
    <w:rsid w:val="004F5CD3"/>
    <w:rsid w:val="004F5F38"/>
    <w:rsid w:val="004F6336"/>
    <w:rsid w:val="004F7A9A"/>
    <w:rsid w:val="004F7B13"/>
    <w:rsid w:val="004F7C72"/>
    <w:rsid w:val="004F7F6F"/>
    <w:rsid w:val="0050004F"/>
    <w:rsid w:val="00500135"/>
    <w:rsid w:val="0050039C"/>
    <w:rsid w:val="00500C7A"/>
    <w:rsid w:val="0050130B"/>
    <w:rsid w:val="0050159F"/>
    <w:rsid w:val="005015AA"/>
    <w:rsid w:val="00502299"/>
    <w:rsid w:val="00502472"/>
    <w:rsid w:val="005027B8"/>
    <w:rsid w:val="005027F2"/>
    <w:rsid w:val="00503010"/>
    <w:rsid w:val="00503278"/>
    <w:rsid w:val="005037BB"/>
    <w:rsid w:val="0050397F"/>
    <w:rsid w:val="00504102"/>
    <w:rsid w:val="00504527"/>
    <w:rsid w:val="00504E40"/>
    <w:rsid w:val="00504E70"/>
    <w:rsid w:val="005053E5"/>
    <w:rsid w:val="0050562F"/>
    <w:rsid w:val="00505834"/>
    <w:rsid w:val="00505899"/>
    <w:rsid w:val="00505B94"/>
    <w:rsid w:val="00505E5A"/>
    <w:rsid w:val="0050619A"/>
    <w:rsid w:val="0050671D"/>
    <w:rsid w:val="0050671E"/>
    <w:rsid w:val="00506739"/>
    <w:rsid w:val="00506AD9"/>
    <w:rsid w:val="00506E72"/>
    <w:rsid w:val="005070F4"/>
    <w:rsid w:val="00507AC4"/>
    <w:rsid w:val="00507E09"/>
    <w:rsid w:val="005106D4"/>
    <w:rsid w:val="00511935"/>
    <w:rsid w:val="00511C2D"/>
    <w:rsid w:val="00511CCB"/>
    <w:rsid w:val="005122EB"/>
    <w:rsid w:val="005125E1"/>
    <w:rsid w:val="005127A0"/>
    <w:rsid w:val="00512934"/>
    <w:rsid w:val="00512E37"/>
    <w:rsid w:val="00512F31"/>
    <w:rsid w:val="0051301B"/>
    <w:rsid w:val="0051334C"/>
    <w:rsid w:val="0051361F"/>
    <w:rsid w:val="0051398E"/>
    <w:rsid w:val="00513BD6"/>
    <w:rsid w:val="005140C4"/>
    <w:rsid w:val="00514174"/>
    <w:rsid w:val="005148C3"/>
    <w:rsid w:val="0051492C"/>
    <w:rsid w:val="00514A7F"/>
    <w:rsid w:val="00514B31"/>
    <w:rsid w:val="005157F3"/>
    <w:rsid w:val="00515B34"/>
    <w:rsid w:val="00516311"/>
    <w:rsid w:val="005164B5"/>
    <w:rsid w:val="00516999"/>
    <w:rsid w:val="00516A25"/>
    <w:rsid w:val="00517138"/>
    <w:rsid w:val="005173B4"/>
    <w:rsid w:val="00517895"/>
    <w:rsid w:val="00517FAE"/>
    <w:rsid w:val="0052012E"/>
    <w:rsid w:val="00520289"/>
    <w:rsid w:val="00520897"/>
    <w:rsid w:val="005209BD"/>
    <w:rsid w:val="00520A23"/>
    <w:rsid w:val="00520F02"/>
    <w:rsid w:val="00520F64"/>
    <w:rsid w:val="00520F6F"/>
    <w:rsid w:val="0052110E"/>
    <w:rsid w:val="005211C7"/>
    <w:rsid w:val="005214F4"/>
    <w:rsid w:val="0052182A"/>
    <w:rsid w:val="005219AB"/>
    <w:rsid w:val="00522048"/>
    <w:rsid w:val="00522377"/>
    <w:rsid w:val="005223A5"/>
    <w:rsid w:val="0052241E"/>
    <w:rsid w:val="00522480"/>
    <w:rsid w:val="00522686"/>
    <w:rsid w:val="00522DE9"/>
    <w:rsid w:val="005231BC"/>
    <w:rsid w:val="00523502"/>
    <w:rsid w:val="005237FF"/>
    <w:rsid w:val="0052383B"/>
    <w:rsid w:val="00523923"/>
    <w:rsid w:val="0052392C"/>
    <w:rsid w:val="00523D35"/>
    <w:rsid w:val="00524721"/>
    <w:rsid w:val="0052472B"/>
    <w:rsid w:val="0052504F"/>
    <w:rsid w:val="0052511B"/>
    <w:rsid w:val="00525218"/>
    <w:rsid w:val="00525442"/>
    <w:rsid w:val="00525461"/>
    <w:rsid w:val="00525525"/>
    <w:rsid w:val="00525BCF"/>
    <w:rsid w:val="00525E7A"/>
    <w:rsid w:val="005262D8"/>
    <w:rsid w:val="00526305"/>
    <w:rsid w:val="005263F2"/>
    <w:rsid w:val="00526F76"/>
    <w:rsid w:val="005270A0"/>
    <w:rsid w:val="005273E3"/>
    <w:rsid w:val="005275B2"/>
    <w:rsid w:val="005302D9"/>
    <w:rsid w:val="00531091"/>
    <w:rsid w:val="005312F8"/>
    <w:rsid w:val="00531823"/>
    <w:rsid w:val="00531BEC"/>
    <w:rsid w:val="00531D13"/>
    <w:rsid w:val="005321B1"/>
    <w:rsid w:val="00532695"/>
    <w:rsid w:val="00532B2A"/>
    <w:rsid w:val="005333EB"/>
    <w:rsid w:val="00533625"/>
    <w:rsid w:val="0053367D"/>
    <w:rsid w:val="0053372F"/>
    <w:rsid w:val="00533EE2"/>
    <w:rsid w:val="0053438D"/>
    <w:rsid w:val="00534C1B"/>
    <w:rsid w:val="00534C1D"/>
    <w:rsid w:val="00534D5E"/>
    <w:rsid w:val="0053515B"/>
    <w:rsid w:val="00535292"/>
    <w:rsid w:val="005355A1"/>
    <w:rsid w:val="005355F1"/>
    <w:rsid w:val="00535972"/>
    <w:rsid w:val="00535E7E"/>
    <w:rsid w:val="00536501"/>
    <w:rsid w:val="00536699"/>
    <w:rsid w:val="005366AB"/>
    <w:rsid w:val="00536BEB"/>
    <w:rsid w:val="00536EF5"/>
    <w:rsid w:val="00536F37"/>
    <w:rsid w:val="00536FE4"/>
    <w:rsid w:val="00537889"/>
    <w:rsid w:val="00540662"/>
    <w:rsid w:val="00540A22"/>
    <w:rsid w:val="00540C68"/>
    <w:rsid w:val="00541B44"/>
    <w:rsid w:val="005420D3"/>
    <w:rsid w:val="00542639"/>
    <w:rsid w:val="00542C06"/>
    <w:rsid w:val="0054313B"/>
    <w:rsid w:val="0054373E"/>
    <w:rsid w:val="0054384F"/>
    <w:rsid w:val="0054426B"/>
    <w:rsid w:val="00544DF4"/>
    <w:rsid w:val="0054599B"/>
    <w:rsid w:val="00545CB6"/>
    <w:rsid w:val="00545F8F"/>
    <w:rsid w:val="00546E9F"/>
    <w:rsid w:val="00546F61"/>
    <w:rsid w:val="0054705D"/>
    <w:rsid w:val="005473F0"/>
    <w:rsid w:val="0054781E"/>
    <w:rsid w:val="00547946"/>
    <w:rsid w:val="0055001F"/>
    <w:rsid w:val="00550047"/>
    <w:rsid w:val="00550A84"/>
    <w:rsid w:val="00550C8D"/>
    <w:rsid w:val="005511A2"/>
    <w:rsid w:val="005515EF"/>
    <w:rsid w:val="0055244B"/>
    <w:rsid w:val="00552589"/>
    <w:rsid w:val="005528BC"/>
    <w:rsid w:val="00553326"/>
    <w:rsid w:val="00553534"/>
    <w:rsid w:val="0055355C"/>
    <w:rsid w:val="00553610"/>
    <w:rsid w:val="005536F2"/>
    <w:rsid w:val="005537BC"/>
    <w:rsid w:val="0055436A"/>
    <w:rsid w:val="00554499"/>
    <w:rsid w:val="00554528"/>
    <w:rsid w:val="00554824"/>
    <w:rsid w:val="005552FF"/>
    <w:rsid w:val="00555547"/>
    <w:rsid w:val="00555BAC"/>
    <w:rsid w:val="00555D8D"/>
    <w:rsid w:val="005563DB"/>
    <w:rsid w:val="0055650C"/>
    <w:rsid w:val="00556BD6"/>
    <w:rsid w:val="005573CA"/>
    <w:rsid w:val="0056015B"/>
    <w:rsid w:val="005601A1"/>
    <w:rsid w:val="00561076"/>
    <w:rsid w:val="0056122A"/>
    <w:rsid w:val="005615E6"/>
    <w:rsid w:val="00561C2E"/>
    <w:rsid w:val="00561C3B"/>
    <w:rsid w:val="0056262F"/>
    <w:rsid w:val="0056280F"/>
    <w:rsid w:val="00562C35"/>
    <w:rsid w:val="00562E47"/>
    <w:rsid w:val="00562FFC"/>
    <w:rsid w:val="00563658"/>
    <w:rsid w:val="00564604"/>
    <w:rsid w:val="00564FA1"/>
    <w:rsid w:val="00565437"/>
    <w:rsid w:val="005655CD"/>
    <w:rsid w:val="0056572F"/>
    <w:rsid w:val="00565E7C"/>
    <w:rsid w:val="00565F3E"/>
    <w:rsid w:val="005661D8"/>
    <w:rsid w:val="00566232"/>
    <w:rsid w:val="00566983"/>
    <w:rsid w:val="00566F0C"/>
    <w:rsid w:val="00567104"/>
    <w:rsid w:val="00567201"/>
    <w:rsid w:val="005679C5"/>
    <w:rsid w:val="00567A01"/>
    <w:rsid w:val="00567CA5"/>
    <w:rsid w:val="00570251"/>
    <w:rsid w:val="0057045B"/>
    <w:rsid w:val="00570BF3"/>
    <w:rsid w:val="005717FA"/>
    <w:rsid w:val="005719E8"/>
    <w:rsid w:val="00571B65"/>
    <w:rsid w:val="00572ACD"/>
    <w:rsid w:val="00572D1E"/>
    <w:rsid w:val="00572DAB"/>
    <w:rsid w:val="00572EE2"/>
    <w:rsid w:val="005730F4"/>
    <w:rsid w:val="005731F3"/>
    <w:rsid w:val="00573560"/>
    <w:rsid w:val="00573C39"/>
    <w:rsid w:val="00573DF5"/>
    <w:rsid w:val="00573E14"/>
    <w:rsid w:val="00573EC9"/>
    <w:rsid w:val="005740BC"/>
    <w:rsid w:val="00574C98"/>
    <w:rsid w:val="005752F7"/>
    <w:rsid w:val="005754B1"/>
    <w:rsid w:val="0057566E"/>
    <w:rsid w:val="005758B3"/>
    <w:rsid w:val="0057637D"/>
    <w:rsid w:val="005767B1"/>
    <w:rsid w:val="00576C0D"/>
    <w:rsid w:val="00576C4F"/>
    <w:rsid w:val="00576EF1"/>
    <w:rsid w:val="00577842"/>
    <w:rsid w:val="005802B4"/>
    <w:rsid w:val="00580410"/>
    <w:rsid w:val="00580766"/>
    <w:rsid w:val="00580CEA"/>
    <w:rsid w:val="005815F3"/>
    <w:rsid w:val="00581646"/>
    <w:rsid w:val="00581692"/>
    <w:rsid w:val="0058170A"/>
    <w:rsid w:val="00581EAC"/>
    <w:rsid w:val="00583410"/>
    <w:rsid w:val="00583763"/>
    <w:rsid w:val="00583BDC"/>
    <w:rsid w:val="00583EB6"/>
    <w:rsid w:val="00583FF9"/>
    <w:rsid w:val="00584153"/>
    <w:rsid w:val="0058472F"/>
    <w:rsid w:val="00584F9D"/>
    <w:rsid w:val="00585224"/>
    <w:rsid w:val="0058580E"/>
    <w:rsid w:val="00585822"/>
    <w:rsid w:val="00585CD6"/>
    <w:rsid w:val="00585E85"/>
    <w:rsid w:val="00585EE4"/>
    <w:rsid w:val="005863B5"/>
    <w:rsid w:val="00586BC7"/>
    <w:rsid w:val="005872BE"/>
    <w:rsid w:val="005874D5"/>
    <w:rsid w:val="00587E37"/>
    <w:rsid w:val="00587F59"/>
    <w:rsid w:val="005906D8"/>
    <w:rsid w:val="005907B2"/>
    <w:rsid w:val="00590BC5"/>
    <w:rsid w:val="00590C80"/>
    <w:rsid w:val="0059144A"/>
    <w:rsid w:val="005914F6"/>
    <w:rsid w:val="00591A1F"/>
    <w:rsid w:val="00591CE2"/>
    <w:rsid w:val="0059228A"/>
    <w:rsid w:val="005925C5"/>
    <w:rsid w:val="005928B4"/>
    <w:rsid w:val="00592B28"/>
    <w:rsid w:val="00593867"/>
    <w:rsid w:val="0059441F"/>
    <w:rsid w:val="00594476"/>
    <w:rsid w:val="005944E7"/>
    <w:rsid w:val="00594562"/>
    <w:rsid w:val="005949E1"/>
    <w:rsid w:val="00594ACE"/>
    <w:rsid w:val="0059509B"/>
    <w:rsid w:val="0059522A"/>
    <w:rsid w:val="00595488"/>
    <w:rsid w:val="0059566F"/>
    <w:rsid w:val="00595687"/>
    <w:rsid w:val="00595B21"/>
    <w:rsid w:val="00595E6E"/>
    <w:rsid w:val="00596378"/>
    <w:rsid w:val="0059658E"/>
    <w:rsid w:val="005969F6"/>
    <w:rsid w:val="00596D9A"/>
    <w:rsid w:val="00596E53"/>
    <w:rsid w:val="005971FD"/>
    <w:rsid w:val="005972BE"/>
    <w:rsid w:val="0059730E"/>
    <w:rsid w:val="00597317"/>
    <w:rsid w:val="00597C05"/>
    <w:rsid w:val="00597E6A"/>
    <w:rsid w:val="00597F5B"/>
    <w:rsid w:val="005A00D1"/>
    <w:rsid w:val="005A0184"/>
    <w:rsid w:val="005A0DFD"/>
    <w:rsid w:val="005A112A"/>
    <w:rsid w:val="005A1B16"/>
    <w:rsid w:val="005A2DBB"/>
    <w:rsid w:val="005A3134"/>
    <w:rsid w:val="005A317D"/>
    <w:rsid w:val="005A3242"/>
    <w:rsid w:val="005A34CD"/>
    <w:rsid w:val="005A35FA"/>
    <w:rsid w:val="005A39EF"/>
    <w:rsid w:val="005A3CEF"/>
    <w:rsid w:val="005A402D"/>
    <w:rsid w:val="005A40CB"/>
    <w:rsid w:val="005A40F8"/>
    <w:rsid w:val="005A4198"/>
    <w:rsid w:val="005A4333"/>
    <w:rsid w:val="005A4CC7"/>
    <w:rsid w:val="005A50B1"/>
    <w:rsid w:val="005A5349"/>
    <w:rsid w:val="005A556F"/>
    <w:rsid w:val="005A5885"/>
    <w:rsid w:val="005A6151"/>
    <w:rsid w:val="005A68ED"/>
    <w:rsid w:val="005A6D45"/>
    <w:rsid w:val="005A6DC5"/>
    <w:rsid w:val="005A72D8"/>
    <w:rsid w:val="005B04C8"/>
    <w:rsid w:val="005B0F94"/>
    <w:rsid w:val="005B10E2"/>
    <w:rsid w:val="005B13D8"/>
    <w:rsid w:val="005B1C9A"/>
    <w:rsid w:val="005B1CD8"/>
    <w:rsid w:val="005B2014"/>
    <w:rsid w:val="005B2217"/>
    <w:rsid w:val="005B2528"/>
    <w:rsid w:val="005B28AC"/>
    <w:rsid w:val="005B2ACB"/>
    <w:rsid w:val="005B2BA5"/>
    <w:rsid w:val="005B2C1E"/>
    <w:rsid w:val="005B2FAA"/>
    <w:rsid w:val="005B3170"/>
    <w:rsid w:val="005B323D"/>
    <w:rsid w:val="005B36EE"/>
    <w:rsid w:val="005B3A28"/>
    <w:rsid w:val="005B3E0F"/>
    <w:rsid w:val="005B3F15"/>
    <w:rsid w:val="005B43C3"/>
    <w:rsid w:val="005B48D7"/>
    <w:rsid w:val="005B532F"/>
    <w:rsid w:val="005B5355"/>
    <w:rsid w:val="005B565F"/>
    <w:rsid w:val="005B5938"/>
    <w:rsid w:val="005B5EFE"/>
    <w:rsid w:val="005B6522"/>
    <w:rsid w:val="005B6874"/>
    <w:rsid w:val="005B69DC"/>
    <w:rsid w:val="005B6B20"/>
    <w:rsid w:val="005B6B2D"/>
    <w:rsid w:val="005B7255"/>
    <w:rsid w:val="005B7410"/>
    <w:rsid w:val="005B7B8F"/>
    <w:rsid w:val="005B7E0D"/>
    <w:rsid w:val="005B7FD9"/>
    <w:rsid w:val="005C0B8A"/>
    <w:rsid w:val="005C0BAF"/>
    <w:rsid w:val="005C0FD5"/>
    <w:rsid w:val="005C1AA1"/>
    <w:rsid w:val="005C2187"/>
    <w:rsid w:val="005C2205"/>
    <w:rsid w:val="005C28D2"/>
    <w:rsid w:val="005C2A50"/>
    <w:rsid w:val="005C319A"/>
    <w:rsid w:val="005C3598"/>
    <w:rsid w:val="005C36B9"/>
    <w:rsid w:val="005C36C5"/>
    <w:rsid w:val="005C3882"/>
    <w:rsid w:val="005C3BB7"/>
    <w:rsid w:val="005C3CA1"/>
    <w:rsid w:val="005C4448"/>
    <w:rsid w:val="005C46DC"/>
    <w:rsid w:val="005C4B62"/>
    <w:rsid w:val="005C5317"/>
    <w:rsid w:val="005C5419"/>
    <w:rsid w:val="005C5928"/>
    <w:rsid w:val="005C5B4A"/>
    <w:rsid w:val="005C5CA4"/>
    <w:rsid w:val="005C5F37"/>
    <w:rsid w:val="005C5F7F"/>
    <w:rsid w:val="005C6385"/>
    <w:rsid w:val="005C6A57"/>
    <w:rsid w:val="005C6F4E"/>
    <w:rsid w:val="005C6F52"/>
    <w:rsid w:val="005C705B"/>
    <w:rsid w:val="005C720E"/>
    <w:rsid w:val="005C722A"/>
    <w:rsid w:val="005C7545"/>
    <w:rsid w:val="005C764E"/>
    <w:rsid w:val="005C7995"/>
    <w:rsid w:val="005C7A99"/>
    <w:rsid w:val="005C7BEB"/>
    <w:rsid w:val="005D02D2"/>
    <w:rsid w:val="005D0325"/>
    <w:rsid w:val="005D0610"/>
    <w:rsid w:val="005D06C6"/>
    <w:rsid w:val="005D088D"/>
    <w:rsid w:val="005D104B"/>
    <w:rsid w:val="005D126B"/>
    <w:rsid w:val="005D164B"/>
    <w:rsid w:val="005D1C48"/>
    <w:rsid w:val="005D1F03"/>
    <w:rsid w:val="005D234F"/>
    <w:rsid w:val="005D257C"/>
    <w:rsid w:val="005D295E"/>
    <w:rsid w:val="005D2C4C"/>
    <w:rsid w:val="005D2E21"/>
    <w:rsid w:val="005D2FC6"/>
    <w:rsid w:val="005D3745"/>
    <w:rsid w:val="005D4647"/>
    <w:rsid w:val="005D4945"/>
    <w:rsid w:val="005D494B"/>
    <w:rsid w:val="005D4A9C"/>
    <w:rsid w:val="005D5799"/>
    <w:rsid w:val="005D610D"/>
    <w:rsid w:val="005D6561"/>
    <w:rsid w:val="005D6725"/>
    <w:rsid w:val="005D6FFD"/>
    <w:rsid w:val="005D70C5"/>
    <w:rsid w:val="005D7472"/>
    <w:rsid w:val="005D7E22"/>
    <w:rsid w:val="005E0052"/>
    <w:rsid w:val="005E0334"/>
    <w:rsid w:val="005E09F8"/>
    <w:rsid w:val="005E0C2F"/>
    <w:rsid w:val="005E0EC1"/>
    <w:rsid w:val="005E17B1"/>
    <w:rsid w:val="005E1985"/>
    <w:rsid w:val="005E1D27"/>
    <w:rsid w:val="005E1E0A"/>
    <w:rsid w:val="005E1F48"/>
    <w:rsid w:val="005E27D0"/>
    <w:rsid w:val="005E2A6F"/>
    <w:rsid w:val="005E2BC9"/>
    <w:rsid w:val="005E2C0D"/>
    <w:rsid w:val="005E2F97"/>
    <w:rsid w:val="005E3446"/>
    <w:rsid w:val="005E35BE"/>
    <w:rsid w:val="005E37DA"/>
    <w:rsid w:val="005E3ADA"/>
    <w:rsid w:val="005E3AF5"/>
    <w:rsid w:val="005E3C96"/>
    <w:rsid w:val="005E3CF9"/>
    <w:rsid w:val="005E3E7C"/>
    <w:rsid w:val="005E4A31"/>
    <w:rsid w:val="005E4E3C"/>
    <w:rsid w:val="005E4EA2"/>
    <w:rsid w:val="005E525B"/>
    <w:rsid w:val="005E6874"/>
    <w:rsid w:val="005E6901"/>
    <w:rsid w:val="005E6E38"/>
    <w:rsid w:val="005E7356"/>
    <w:rsid w:val="005E7466"/>
    <w:rsid w:val="005E75A9"/>
    <w:rsid w:val="005E7775"/>
    <w:rsid w:val="005E799D"/>
    <w:rsid w:val="005E7D21"/>
    <w:rsid w:val="005F09C5"/>
    <w:rsid w:val="005F1389"/>
    <w:rsid w:val="005F2912"/>
    <w:rsid w:val="005F29F0"/>
    <w:rsid w:val="005F2AE3"/>
    <w:rsid w:val="005F3644"/>
    <w:rsid w:val="005F3AA6"/>
    <w:rsid w:val="005F3C5E"/>
    <w:rsid w:val="005F3CF8"/>
    <w:rsid w:val="005F3F22"/>
    <w:rsid w:val="005F4049"/>
    <w:rsid w:val="005F44D6"/>
    <w:rsid w:val="005F4560"/>
    <w:rsid w:val="005F456B"/>
    <w:rsid w:val="005F4E61"/>
    <w:rsid w:val="005F4F86"/>
    <w:rsid w:val="005F5235"/>
    <w:rsid w:val="005F589C"/>
    <w:rsid w:val="005F58B5"/>
    <w:rsid w:val="005F5AAD"/>
    <w:rsid w:val="005F5AF0"/>
    <w:rsid w:val="005F5BA3"/>
    <w:rsid w:val="005F5E68"/>
    <w:rsid w:val="005F6307"/>
    <w:rsid w:val="005F6487"/>
    <w:rsid w:val="005F6657"/>
    <w:rsid w:val="005F6918"/>
    <w:rsid w:val="005F7325"/>
    <w:rsid w:val="00600208"/>
    <w:rsid w:val="00600229"/>
    <w:rsid w:val="006002FC"/>
    <w:rsid w:val="006012B1"/>
    <w:rsid w:val="0060131A"/>
    <w:rsid w:val="00602A96"/>
    <w:rsid w:val="00602BE0"/>
    <w:rsid w:val="00602BF2"/>
    <w:rsid w:val="00602D16"/>
    <w:rsid w:val="00602DA2"/>
    <w:rsid w:val="00603291"/>
    <w:rsid w:val="00603348"/>
    <w:rsid w:val="00603353"/>
    <w:rsid w:val="006036D5"/>
    <w:rsid w:val="006037BF"/>
    <w:rsid w:val="00603A05"/>
    <w:rsid w:val="00603F65"/>
    <w:rsid w:val="00604134"/>
    <w:rsid w:val="00604278"/>
    <w:rsid w:val="00604807"/>
    <w:rsid w:val="00604C21"/>
    <w:rsid w:val="00604F23"/>
    <w:rsid w:val="006051D6"/>
    <w:rsid w:val="0060532D"/>
    <w:rsid w:val="006054E0"/>
    <w:rsid w:val="00605CD0"/>
    <w:rsid w:val="00606869"/>
    <w:rsid w:val="006069D8"/>
    <w:rsid w:val="00606B0B"/>
    <w:rsid w:val="00606C10"/>
    <w:rsid w:val="00606D07"/>
    <w:rsid w:val="00606DFC"/>
    <w:rsid w:val="00606F2B"/>
    <w:rsid w:val="00607127"/>
    <w:rsid w:val="00607182"/>
    <w:rsid w:val="00607314"/>
    <w:rsid w:val="006073EF"/>
    <w:rsid w:val="00607470"/>
    <w:rsid w:val="00607FD0"/>
    <w:rsid w:val="00610168"/>
    <w:rsid w:val="0061026A"/>
    <w:rsid w:val="00610856"/>
    <w:rsid w:val="00610A92"/>
    <w:rsid w:val="00610B8C"/>
    <w:rsid w:val="00610E89"/>
    <w:rsid w:val="00611209"/>
    <w:rsid w:val="00611960"/>
    <w:rsid w:val="00611B4F"/>
    <w:rsid w:val="00611C2B"/>
    <w:rsid w:val="00611C4C"/>
    <w:rsid w:val="00612047"/>
    <w:rsid w:val="00612758"/>
    <w:rsid w:val="006128AD"/>
    <w:rsid w:val="00612919"/>
    <w:rsid w:val="00612D4A"/>
    <w:rsid w:val="00612D9D"/>
    <w:rsid w:val="00613659"/>
    <w:rsid w:val="006136AE"/>
    <w:rsid w:val="00613D1C"/>
    <w:rsid w:val="00613ED3"/>
    <w:rsid w:val="006144A4"/>
    <w:rsid w:val="00614C10"/>
    <w:rsid w:val="00615CEC"/>
    <w:rsid w:val="00615F02"/>
    <w:rsid w:val="006164BD"/>
    <w:rsid w:val="00616ACF"/>
    <w:rsid w:val="00616B1B"/>
    <w:rsid w:val="00616B4F"/>
    <w:rsid w:val="00616EF1"/>
    <w:rsid w:val="00617456"/>
    <w:rsid w:val="006177BF"/>
    <w:rsid w:val="00617973"/>
    <w:rsid w:val="00617AF0"/>
    <w:rsid w:val="00617F3C"/>
    <w:rsid w:val="00620046"/>
    <w:rsid w:val="006204F5"/>
    <w:rsid w:val="00620503"/>
    <w:rsid w:val="00620DEC"/>
    <w:rsid w:val="00620F19"/>
    <w:rsid w:val="006214A1"/>
    <w:rsid w:val="006218A4"/>
    <w:rsid w:val="00621C50"/>
    <w:rsid w:val="00622099"/>
    <w:rsid w:val="006224E8"/>
    <w:rsid w:val="006225BA"/>
    <w:rsid w:val="00622D7D"/>
    <w:rsid w:val="0062334A"/>
    <w:rsid w:val="006234D8"/>
    <w:rsid w:val="0062374C"/>
    <w:rsid w:val="00623917"/>
    <w:rsid w:val="0062402F"/>
    <w:rsid w:val="00624355"/>
    <w:rsid w:val="00624773"/>
    <w:rsid w:val="00624DED"/>
    <w:rsid w:val="006252C9"/>
    <w:rsid w:val="00625337"/>
    <w:rsid w:val="0062535E"/>
    <w:rsid w:val="00625985"/>
    <w:rsid w:val="00625C0C"/>
    <w:rsid w:val="00626356"/>
    <w:rsid w:val="00627D99"/>
    <w:rsid w:val="00627FD4"/>
    <w:rsid w:val="00630100"/>
    <w:rsid w:val="006306DD"/>
    <w:rsid w:val="006308EB"/>
    <w:rsid w:val="00631382"/>
    <w:rsid w:val="006322BE"/>
    <w:rsid w:val="00632C85"/>
    <w:rsid w:val="00633C5C"/>
    <w:rsid w:val="00634B64"/>
    <w:rsid w:val="00634CEB"/>
    <w:rsid w:val="00635979"/>
    <w:rsid w:val="006359BF"/>
    <w:rsid w:val="00635C53"/>
    <w:rsid w:val="00635E07"/>
    <w:rsid w:val="00636D46"/>
    <w:rsid w:val="00636F58"/>
    <w:rsid w:val="00637331"/>
    <w:rsid w:val="006377A1"/>
    <w:rsid w:val="00637A30"/>
    <w:rsid w:val="00637A45"/>
    <w:rsid w:val="00637FD9"/>
    <w:rsid w:val="006402EF"/>
    <w:rsid w:val="006408F8"/>
    <w:rsid w:val="00640990"/>
    <w:rsid w:val="00640C49"/>
    <w:rsid w:val="00642004"/>
    <w:rsid w:val="00642222"/>
    <w:rsid w:val="0064231A"/>
    <w:rsid w:val="00642454"/>
    <w:rsid w:val="006427ED"/>
    <w:rsid w:val="00642A65"/>
    <w:rsid w:val="00642B47"/>
    <w:rsid w:val="00642C0E"/>
    <w:rsid w:val="00642E15"/>
    <w:rsid w:val="00642EC5"/>
    <w:rsid w:val="00642EE2"/>
    <w:rsid w:val="006433C5"/>
    <w:rsid w:val="0064342B"/>
    <w:rsid w:val="00643799"/>
    <w:rsid w:val="006437EA"/>
    <w:rsid w:val="006439C3"/>
    <w:rsid w:val="00643C5B"/>
    <w:rsid w:val="00643DF6"/>
    <w:rsid w:val="00643E03"/>
    <w:rsid w:val="00643E2C"/>
    <w:rsid w:val="0064456C"/>
    <w:rsid w:val="00644790"/>
    <w:rsid w:val="006449AB"/>
    <w:rsid w:val="006451B1"/>
    <w:rsid w:val="0064534E"/>
    <w:rsid w:val="00645AF1"/>
    <w:rsid w:val="00645C23"/>
    <w:rsid w:val="00645CAB"/>
    <w:rsid w:val="00645DFD"/>
    <w:rsid w:val="0064658C"/>
    <w:rsid w:val="00646FB7"/>
    <w:rsid w:val="006479B1"/>
    <w:rsid w:val="006501B9"/>
    <w:rsid w:val="00650362"/>
    <w:rsid w:val="00650746"/>
    <w:rsid w:val="00651ABB"/>
    <w:rsid w:val="00652085"/>
    <w:rsid w:val="00652758"/>
    <w:rsid w:val="0065415B"/>
    <w:rsid w:val="00654185"/>
    <w:rsid w:val="00654995"/>
    <w:rsid w:val="00654F17"/>
    <w:rsid w:val="00655102"/>
    <w:rsid w:val="00655111"/>
    <w:rsid w:val="0065514A"/>
    <w:rsid w:val="0065570F"/>
    <w:rsid w:val="00655A70"/>
    <w:rsid w:val="00655D20"/>
    <w:rsid w:val="00656968"/>
    <w:rsid w:val="00657245"/>
    <w:rsid w:val="00657B39"/>
    <w:rsid w:val="00660674"/>
    <w:rsid w:val="006607D9"/>
    <w:rsid w:val="006608D1"/>
    <w:rsid w:val="00660FA7"/>
    <w:rsid w:val="00661319"/>
    <w:rsid w:val="00661438"/>
    <w:rsid w:val="0066150B"/>
    <w:rsid w:val="00661538"/>
    <w:rsid w:val="006615CB"/>
    <w:rsid w:val="006618BD"/>
    <w:rsid w:val="00661C21"/>
    <w:rsid w:val="00661F1C"/>
    <w:rsid w:val="0066209F"/>
    <w:rsid w:val="0066247A"/>
    <w:rsid w:val="00662626"/>
    <w:rsid w:val="006626CE"/>
    <w:rsid w:val="00662995"/>
    <w:rsid w:val="00663431"/>
    <w:rsid w:val="00663646"/>
    <w:rsid w:val="00663B2B"/>
    <w:rsid w:val="00663C02"/>
    <w:rsid w:val="00663EC8"/>
    <w:rsid w:val="00663FDB"/>
    <w:rsid w:val="006640C9"/>
    <w:rsid w:val="00664CED"/>
    <w:rsid w:val="00664D77"/>
    <w:rsid w:val="00664E56"/>
    <w:rsid w:val="006651F1"/>
    <w:rsid w:val="00665965"/>
    <w:rsid w:val="00665992"/>
    <w:rsid w:val="00665DA0"/>
    <w:rsid w:val="0066613F"/>
    <w:rsid w:val="00666B93"/>
    <w:rsid w:val="00666C7E"/>
    <w:rsid w:val="006670E0"/>
    <w:rsid w:val="0066750A"/>
    <w:rsid w:val="006675DD"/>
    <w:rsid w:val="006676FA"/>
    <w:rsid w:val="00667BA8"/>
    <w:rsid w:val="00670083"/>
    <w:rsid w:val="006702A3"/>
    <w:rsid w:val="00670DF2"/>
    <w:rsid w:val="006713EB"/>
    <w:rsid w:val="00671807"/>
    <w:rsid w:val="00671872"/>
    <w:rsid w:val="00671A04"/>
    <w:rsid w:val="00671B5F"/>
    <w:rsid w:val="00671BED"/>
    <w:rsid w:val="00671C44"/>
    <w:rsid w:val="00671CBF"/>
    <w:rsid w:val="00672B89"/>
    <w:rsid w:val="0067303E"/>
    <w:rsid w:val="00673C9C"/>
    <w:rsid w:val="00674190"/>
    <w:rsid w:val="00674818"/>
    <w:rsid w:val="006755E7"/>
    <w:rsid w:val="00675BBF"/>
    <w:rsid w:val="00675BE4"/>
    <w:rsid w:val="006761E1"/>
    <w:rsid w:val="006765F0"/>
    <w:rsid w:val="006766F0"/>
    <w:rsid w:val="00676738"/>
    <w:rsid w:val="00676B48"/>
    <w:rsid w:val="00676B54"/>
    <w:rsid w:val="00676CA0"/>
    <w:rsid w:val="00676D3B"/>
    <w:rsid w:val="00676DE6"/>
    <w:rsid w:val="0067707C"/>
    <w:rsid w:val="006772A8"/>
    <w:rsid w:val="0067778B"/>
    <w:rsid w:val="00677FA2"/>
    <w:rsid w:val="006801E3"/>
    <w:rsid w:val="00680245"/>
    <w:rsid w:val="00680711"/>
    <w:rsid w:val="00680974"/>
    <w:rsid w:val="00680DCB"/>
    <w:rsid w:val="006810AE"/>
    <w:rsid w:val="006810C6"/>
    <w:rsid w:val="006810CA"/>
    <w:rsid w:val="00681136"/>
    <w:rsid w:val="006817E9"/>
    <w:rsid w:val="0068195B"/>
    <w:rsid w:val="00681D98"/>
    <w:rsid w:val="006823EF"/>
    <w:rsid w:val="00682857"/>
    <w:rsid w:val="00682BB5"/>
    <w:rsid w:val="00682BFA"/>
    <w:rsid w:val="00682F05"/>
    <w:rsid w:val="006838CA"/>
    <w:rsid w:val="006839EC"/>
    <w:rsid w:val="00684D71"/>
    <w:rsid w:val="0068504C"/>
    <w:rsid w:val="0068618E"/>
    <w:rsid w:val="0068650B"/>
    <w:rsid w:val="006866C2"/>
    <w:rsid w:val="00686FD4"/>
    <w:rsid w:val="0068723C"/>
    <w:rsid w:val="00687E08"/>
    <w:rsid w:val="00687E5E"/>
    <w:rsid w:val="006908B3"/>
    <w:rsid w:val="00690B88"/>
    <w:rsid w:val="00691061"/>
    <w:rsid w:val="0069168F"/>
    <w:rsid w:val="006916DA"/>
    <w:rsid w:val="006917CD"/>
    <w:rsid w:val="00691A5E"/>
    <w:rsid w:val="00691D39"/>
    <w:rsid w:val="00692513"/>
    <w:rsid w:val="0069258A"/>
    <w:rsid w:val="0069298C"/>
    <w:rsid w:val="00692E06"/>
    <w:rsid w:val="00693178"/>
    <w:rsid w:val="00693526"/>
    <w:rsid w:val="0069365D"/>
    <w:rsid w:val="00693811"/>
    <w:rsid w:val="0069397D"/>
    <w:rsid w:val="006945C8"/>
    <w:rsid w:val="00694B12"/>
    <w:rsid w:val="00694B62"/>
    <w:rsid w:val="00695198"/>
    <w:rsid w:val="0069541A"/>
    <w:rsid w:val="006954AA"/>
    <w:rsid w:val="00695794"/>
    <w:rsid w:val="0069588D"/>
    <w:rsid w:val="00695C6A"/>
    <w:rsid w:val="00695F8B"/>
    <w:rsid w:val="0069652A"/>
    <w:rsid w:val="00696A27"/>
    <w:rsid w:val="00696E75"/>
    <w:rsid w:val="0069736E"/>
    <w:rsid w:val="00697815"/>
    <w:rsid w:val="006A00E1"/>
    <w:rsid w:val="006A0137"/>
    <w:rsid w:val="006A04FE"/>
    <w:rsid w:val="006A167B"/>
    <w:rsid w:val="006A1CCE"/>
    <w:rsid w:val="006A22B4"/>
    <w:rsid w:val="006A22D7"/>
    <w:rsid w:val="006A2398"/>
    <w:rsid w:val="006A27DA"/>
    <w:rsid w:val="006A3040"/>
    <w:rsid w:val="006A320D"/>
    <w:rsid w:val="006A36C9"/>
    <w:rsid w:val="006A44BD"/>
    <w:rsid w:val="006A4A20"/>
    <w:rsid w:val="006A4C96"/>
    <w:rsid w:val="006A4D66"/>
    <w:rsid w:val="006A5127"/>
    <w:rsid w:val="006A5150"/>
    <w:rsid w:val="006A5641"/>
    <w:rsid w:val="006A5C22"/>
    <w:rsid w:val="006A65C2"/>
    <w:rsid w:val="006A674D"/>
    <w:rsid w:val="006A6EA0"/>
    <w:rsid w:val="006A7378"/>
    <w:rsid w:val="006A73D5"/>
    <w:rsid w:val="006A7586"/>
    <w:rsid w:val="006A7697"/>
    <w:rsid w:val="006A79B6"/>
    <w:rsid w:val="006A7D0E"/>
    <w:rsid w:val="006A7F47"/>
    <w:rsid w:val="006B031B"/>
    <w:rsid w:val="006B0AA6"/>
    <w:rsid w:val="006B0D96"/>
    <w:rsid w:val="006B0EA2"/>
    <w:rsid w:val="006B0FCF"/>
    <w:rsid w:val="006B10AD"/>
    <w:rsid w:val="006B1AD6"/>
    <w:rsid w:val="006B26E0"/>
    <w:rsid w:val="006B29DE"/>
    <w:rsid w:val="006B2B04"/>
    <w:rsid w:val="006B2FD5"/>
    <w:rsid w:val="006B3825"/>
    <w:rsid w:val="006B39CA"/>
    <w:rsid w:val="006B49E9"/>
    <w:rsid w:val="006B4C46"/>
    <w:rsid w:val="006B4DA0"/>
    <w:rsid w:val="006B4F69"/>
    <w:rsid w:val="006B505A"/>
    <w:rsid w:val="006B540F"/>
    <w:rsid w:val="006B57C7"/>
    <w:rsid w:val="006B580A"/>
    <w:rsid w:val="006B5C64"/>
    <w:rsid w:val="006B5EA0"/>
    <w:rsid w:val="006B61AB"/>
    <w:rsid w:val="006B6817"/>
    <w:rsid w:val="006B6C7F"/>
    <w:rsid w:val="006B715B"/>
    <w:rsid w:val="006B72D2"/>
    <w:rsid w:val="006B72DB"/>
    <w:rsid w:val="006B73B3"/>
    <w:rsid w:val="006B7522"/>
    <w:rsid w:val="006C0454"/>
    <w:rsid w:val="006C06C1"/>
    <w:rsid w:val="006C0C45"/>
    <w:rsid w:val="006C15DC"/>
    <w:rsid w:val="006C16D9"/>
    <w:rsid w:val="006C1C36"/>
    <w:rsid w:val="006C1F98"/>
    <w:rsid w:val="006C2353"/>
    <w:rsid w:val="006C237B"/>
    <w:rsid w:val="006C246D"/>
    <w:rsid w:val="006C2535"/>
    <w:rsid w:val="006C25E5"/>
    <w:rsid w:val="006C2983"/>
    <w:rsid w:val="006C29A3"/>
    <w:rsid w:val="006C3639"/>
    <w:rsid w:val="006C37DE"/>
    <w:rsid w:val="006C3817"/>
    <w:rsid w:val="006C39B3"/>
    <w:rsid w:val="006C3CEA"/>
    <w:rsid w:val="006C3F26"/>
    <w:rsid w:val="006C4073"/>
    <w:rsid w:val="006C488A"/>
    <w:rsid w:val="006C4A6B"/>
    <w:rsid w:val="006C4C4E"/>
    <w:rsid w:val="006C4F6E"/>
    <w:rsid w:val="006C5DC4"/>
    <w:rsid w:val="006C6009"/>
    <w:rsid w:val="006C6267"/>
    <w:rsid w:val="006C6391"/>
    <w:rsid w:val="006C63E2"/>
    <w:rsid w:val="006C6BBB"/>
    <w:rsid w:val="006C6C79"/>
    <w:rsid w:val="006C6D64"/>
    <w:rsid w:val="006C77FD"/>
    <w:rsid w:val="006C7A4E"/>
    <w:rsid w:val="006C7BEF"/>
    <w:rsid w:val="006C7F5D"/>
    <w:rsid w:val="006C7F98"/>
    <w:rsid w:val="006D0152"/>
    <w:rsid w:val="006D01D2"/>
    <w:rsid w:val="006D0409"/>
    <w:rsid w:val="006D078B"/>
    <w:rsid w:val="006D07E5"/>
    <w:rsid w:val="006D0ABF"/>
    <w:rsid w:val="006D1103"/>
    <w:rsid w:val="006D116C"/>
    <w:rsid w:val="006D1448"/>
    <w:rsid w:val="006D14B6"/>
    <w:rsid w:val="006D14F5"/>
    <w:rsid w:val="006D1607"/>
    <w:rsid w:val="006D1BB5"/>
    <w:rsid w:val="006D1E57"/>
    <w:rsid w:val="006D2B36"/>
    <w:rsid w:val="006D2B80"/>
    <w:rsid w:val="006D2F20"/>
    <w:rsid w:val="006D30A0"/>
    <w:rsid w:val="006D3626"/>
    <w:rsid w:val="006D3A10"/>
    <w:rsid w:val="006D3A11"/>
    <w:rsid w:val="006D3CBE"/>
    <w:rsid w:val="006D3DF6"/>
    <w:rsid w:val="006D3F4E"/>
    <w:rsid w:val="006D410B"/>
    <w:rsid w:val="006D43F3"/>
    <w:rsid w:val="006D487A"/>
    <w:rsid w:val="006D5E82"/>
    <w:rsid w:val="006D5F12"/>
    <w:rsid w:val="006D60EB"/>
    <w:rsid w:val="006D610C"/>
    <w:rsid w:val="006D6CBD"/>
    <w:rsid w:val="006D7665"/>
    <w:rsid w:val="006D7C18"/>
    <w:rsid w:val="006E0FCA"/>
    <w:rsid w:val="006E1040"/>
    <w:rsid w:val="006E11FB"/>
    <w:rsid w:val="006E1389"/>
    <w:rsid w:val="006E1591"/>
    <w:rsid w:val="006E18D8"/>
    <w:rsid w:val="006E27C9"/>
    <w:rsid w:val="006E2DD6"/>
    <w:rsid w:val="006E32F7"/>
    <w:rsid w:val="006E3756"/>
    <w:rsid w:val="006E4529"/>
    <w:rsid w:val="006E4549"/>
    <w:rsid w:val="006E4923"/>
    <w:rsid w:val="006E56FF"/>
    <w:rsid w:val="006E582F"/>
    <w:rsid w:val="006E6AC2"/>
    <w:rsid w:val="006E6C7C"/>
    <w:rsid w:val="006E6F76"/>
    <w:rsid w:val="006E70AF"/>
    <w:rsid w:val="006E71AB"/>
    <w:rsid w:val="006E7444"/>
    <w:rsid w:val="006E756B"/>
    <w:rsid w:val="006E7D34"/>
    <w:rsid w:val="006F07BF"/>
    <w:rsid w:val="006F0834"/>
    <w:rsid w:val="006F09D9"/>
    <w:rsid w:val="006F0DAC"/>
    <w:rsid w:val="006F0EB4"/>
    <w:rsid w:val="006F132F"/>
    <w:rsid w:val="006F1476"/>
    <w:rsid w:val="006F1ECA"/>
    <w:rsid w:val="006F1EF4"/>
    <w:rsid w:val="006F229A"/>
    <w:rsid w:val="006F299F"/>
    <w:rsid w:val="006F2E1D"/>
    <w:rsid w:val="006F3986"/>
    <w:rsid w:val="006F41B9"/>
    <w:rsid w:val="006F4962"/>
    <w:rsid w:val="006F572D"/>
    <w:rsid w:val="006F595B"/>
    <w:rsid w:val="006F5A1B"/>
    <w:rsid w:val="006F5BE9"/>
    <w:rsid w:val="006F60F3"/>
    <w:rsid w:val="006F650F"/>
    <w:rsid w:val="006F682B"/>
    <w:rsid w:val="006F6FCF"/>
    <w:rsid w:val="006F76F8"/>
    <w:rsid w:val="006F78F5"/>
    <w:rsid w:val="006F7E8D"/>
    <w:rsid w:val="007007BB"/>
    <w:rsid w:val="00700EA9"/>
    <w:rsid w:val="00701153"/>
    <w:rsid w:val="007012A6"/>
    <w:rsid w:val="00702065"/>
    <w:rsid w:val="00702808"/>
    <w:rsid w:val="00702DF4"/>
    <w:rsid w:val="00703287"/>
    <w:rsid w:val="007036A9"/>
    <w:rsid w:val="00703854"/>
    <w:rsid w:val="00703A5C"/>
    <w:rsid w:val="00703D6D"/>
    <w:rsid w:val="007043F1"/>
    <w:rsid w:val="007045B5"/>
    <w:rsid w:val="00705108"/>
    <w:rsid w:val="0070514C"/>
    <w:rsid w:val="007051CF"/>
    <w:rsid w:val="0070525C"/>
    <w:rsid w:val="00705423"/>
    <w:rsid w:val="0070547D"/>
    <w:rsid w:val="007054F3"/>
    <w:rsid w:val="0070562A"/>
    <w:rsid w:val="00705B57"/>
    <w:rsid w:val="00706533"/>
    <w:rsid w:val="007067F9"/>
    <w:rsid w:val="00706CD6"/>
    <w:rsid w:val="00707406"/>
    <w:rsid w:val="00707411"/>
    <w:rsid w:val="007075AB"/>
    <w:rsid w:val="00707701"/>
    <w:rsid w:val="00707C1A"/>
    <w:rsid w:val="00707D11"/>
    <w:rsid w:val="00710555"/>
    <w:rsid w:val="00710730"/>
    <w:rsid w:val="0071080B"/>
    <w:rsid w:val="00710C5F"/>
    <w:rsid w:val="00710CD5"/>
    <w:rsid w:val="00710D1A"/>
    <w:rsid w:val="00711809"/>
    <w:rsid w:val="00711BFB"/>
    <w:rsid w:val="0071204E"/>
    <w:rsid w:val="007124A5"/>
    <w:rsid w:val="007124A7"/>
    <w:rsid w:val="007125F9"/>
    <w:rsid w:val="0071326B"/>
    <w:rsid w:val="00713499"/>
    <w:rsid w:val="00713592"/>
    <w:rsid w:val="007138BA"/>
    <w:rsid w:val="007138D5"/>
    <w:rsid w:val="00713C94"/>
    <w:rsid w:val="00713E97"/>
    <w:rsid w:val="00714035"/>
    <w:rsid w:val="007148E3"/>
    <w:rsid w:val="00714F9C"/>
    <w:rsid w:val="0071561A"/>
    <w:rsid w:val="0071594A"/>
    <w:rsid w:val="007164C8"/>
    <w:rsid w:val="007172DF"/>
    <w:rsid w:val="007201A3"/>
    <w:rsid w:val="0072048D"/>
    <w:rsid w:val="00720608"/>
    <w:rsid w:val="00720FB4"/>
    <w:rsid w:val="00721039"/>
    <w:rsid w:val="007211B1"/>
    <w:rsid w:val="00721445"/>
    <w:rsid w:val="0072174C"/>
    <w:rsid w:val="007224C8"/>
    <w:rsid w:val="00722524"/>
    <w:rsid w:val="007225B1"/>
    <w:rsid w:val="00722D6D"/>
    <w:rsid w:val="00722DE0"/>
    <w:rsid w:val="00722E62"/>
    <w:rsid w:val="007237B7"/>
    <w:rsid w:val="00723E60"/>
    <w:rsid w:val="007249B8"/>
    <w:rsid w:val="00724EC5"/>
    <w:rsid w:val="00725E5F"/>
    <w:rsid w:val="00726031"/>
    <w:rsid w:val="00726736"/>
    <w:rsid w:val="00726756"/>
    <w:rsid w:val="00726DE9"/>
    <w:rsid w:val="007275D2"/>
    <w:rsid w:val="0073099A"/>
    <w:rsid w:val="00730A49"/>
    <w:rsid w:val="00731147"/>
    <w:rsid w:val="00731313"/>
    <w:rsid w:val="00731601"/>
    <w:rsid w:val="0073162F"/>
    <w:rsid w:val="0073175B"/>
    <w:rsid w:val="00732B2D"/>
    <w:rsid w:val="00732CF9"/>
    <w:rsid w:val="00733A32"/>
    <w:rsid w:val="0073440A"/>
    <w:rsid w:val="00734AC0"/>
    <w:rsid w:val="007352DC"/>
    <w:rsid w:val="007355E3"/>
    <w:rsid w:val="007361DD"/>
    <w:rsid w:val="00736260"/>
    <w:rsid w:val="00736C4A"/>
    <w:rsid w:val="00736C59"/>
    <w:rsid w:val="00736EB1"/>
    <w:rsid w:val="00736F7C"/>
    <w:rsid w:val="0073718E"/>
    <w:rsid w:val="007378A8"/>
    <w:rsid w:val="0073794E"/>
    <w:rsid w:val="00737D47"/>
    <w:rsid w:val="00737D60"/>
    <w:rsid w:val="00737E3C"/>
    <w:rsid w:val="0074052E"/>
    <w:rsid w:val="00740D22"/>
    <w:rsid w:val="00741724"/>
    <w:rsid w:val="00741731"/>
    <w:rsid w:val="007417C3"/>
    <w:rsid w:val="007421BD"/>
    <w:rsid w:val="00742324"/>
    <w:rsid w:val="00742F87"/>
    <w:rsid w:val="00742FC0"/>
    <w:rsid w:val="00743BD3"/>
    <w:rsid w:val="00743D5B"/>
    <w:rsid w:val="007440C2"/>
    <w:rsid w:val="007440F4"/>
    <w:rsid w:val="0074459E"/>
    <w:rsid w:val="00744E44"/>
    <w:rsid w:val="00744E5A"/>
    <w:rsid w:val="00744FCA"/>
    <w:rsid w:val="00745A83"/>
    <w:rsid w:val="00745E60"/>
    <w:rsid w:val="00746872"/>
    <w:rsid w:val="00746B96"/>
    <w:rsid w:val="00746E04"/>
    <w:rsid w:val="007470FC"/>
    <w:rsid w:val="0074740F"/>
    <w:rsid w:val="00747499"/>
    <w:rsid w:val="00747726"/>
    <w:rsid w:val="0074793A"/>
    <w:rsid w:val="007503AC"/>
    <w:rsid w:val="0075048A"/>
    <w:rsid w:val="00750808"/>
    <w:rsid w:val="0075087B"/>
    <w:rsid w:val="00750A54"/>
    <w:rsid w:val="00750B37"/>
    <w:rsid w:val="00750FAB"/>
    <w:rsid w:val="00750FC9"/>
    <w:rsid w:val="007513E4"/>
    <w:rsid w:val="0075145B"/>
    <w:rsid w:val="007517D7"/>
    <w:rsid w:val="00751AEB"/>
    <w:rsid w:val="00751C18"/>
    <w:rsid w:val="00751E3F"/>
    <w:rsid w:val="00751E6C"/>
    <w:rsid w:val="00752124"/>
    <w:rsid w:val="007523ED"/>
    <w:rsid w:val="007525A8"/>
    <w:rsid w:val="007525CB"/>
    <w:rsid w:val="00752627"/>
    <w:rsid w:val="0075277A"/>
    <w:rsid w:val="007528A2"/>
    <w:rsid w:val="00753086"/>
    <w:rsid w:val="007530A3"/>
    <w:rsid w:val="007531BD"/>
    <w:rsid w:val="00753214"/>
    <w:rsid w:val="0075326F"/>
    <w:rsid w:val="007532DC"/>
    <w:rsid w:val="007537ED"/>
    <w:rsid w:val="00753E8E"/>
    <w:rsid w:val="00754047"/>
    <w:rsid w:val="007540D1"/>
    <w:rsid w:val="00754729"/>
    <w:rsid w:val="00754918"/>
    <w:rsid w:val="00754F08"/>
    <w:rsid w:val="0075508B"/>
    <w:rsid w:val="00755372"/>
    <w:rsid w:val="00755C32"/>
    <w:rsid w:val="00756005"/>
    <w:rsid w:val="00756199"/>
    <w:rsid w:val="007565AC"/>
    <w:rsid w:val="00756867"/>
    <w:rsid w:val="00756DCD"/>
    <w:rsid w:val="00756F85"/>
    <w:rsid w:val="00757448"/>
    <w:rsid w:val="00757616"/>
    <w:rsid w:val="00757680"/>
    <w:rsid w:val="007605B3"/>
    <w:rsid w:val="007605C8"/>
    <w:rsid w:val="0076101E"/>
    <w:rsid w:val="007611B4"/>
    <w:rsid w:val="007612FD"/>
    <w:rsid w:val="007613AB"/>
    <w:rsid w:val="0076141D"/>
    <w:rsid w:val="0076144E"/>
    <w:rsid w:val="00761454"/>
    <w:rsid w:val="007617D2"/>
    <w:rsid w:val="00761EE1"/>
    <w:rsid w:val="007620DD"/>
    <w:rsid w:val="0076270D"/>
    <w:rsid w:val="00762866"/>
    <w:rsid w:val="007629BF"/>
    <w:rsid w:val="00762B80"/>
    <w:rsid w:val="007632A5"/>
    <w:rsid w:val="00763B79"/>
    <w:rsid w:val="00764109"/>
    <w:rsid w:val="007641FF"/>
    <w:rsid w:val="007649D2"/>
    <w:rsid w:val="00764A22"/>
    <w:rsid w:val="00764A46"/>
    <w:rsid w:val="00764D20"/>
    <w:rsid w:val="00764E0B"/>
    <w:rsid w:val="0076518E"/>
    <w:rsid w:val="00765326"/>
    <w:rsid w:val="007659AB"/>
    <w:rsid w:val="00765AED"/>
    <w:rsid w:val="00765CA4"/>
    <w:rsid w:val="00766030"/>
    <w:rsid w:val="0076606E"/>
    <w:rsid w:val="0076659D"/>
    <w:rsid w:val="00766697"/>
    <w:rsid w:val="00767043"/>
    <w:rsid w:val="007670FF"/>
    <w:rsid w:val="0077002C"/>
    <w:rsid w:val="0077092A"/>
    <w:rsid w:val="007709BC"/>
    <w:rsid w:val="00770A87"/>
    <w:rsid w:val="00770B8A"/>
    <w:rsid w:val="00770DB5"/>
    <w:rsid w:val="00770DEB"/>
    <w:rsid w:val="0077130A"/>
    <w:rsid w:val="007714E0"/>
    <w:rsid w:val="00771868"/>
    <w:rsid w:val="00771957"/>
    <w:rsid w:val="00771C11"/>
    <w:rsid w:val="00772139"/>
    <w:rsid w:val="00772A1B"/>
    <w:rsid w:val="00772AE8"/>
    <w:rsid w:val="007731B0"/>
    <w:rsid w:val="00773255"/>
    <w:rsid w:val="007735ED"/>
    <w:rsid w:val="00774852"/>
    <w:rsid w:val="00774CE2"/>
    <w:rsid w:val="00775765"/>
    <w:rsid w:val="007763BD"/>
    <w:rsid w:val="00776442"/>
    <w:rsid w:val="00776603"/>
    <w:rsid w:val="00776902"/>
    <w:rsid w:val="00776B03"/>
    <w:rsid w:val="00777335"/>
    <w:rsid w:val="007775CD"/>
    <w:rsid w:val="00777746"/>
    <w:rsid w:val="00777DB0"/>
    <w:rsid w:val="007803D9"/>
    <w:rsid w:val="00780826"/>
    <w:rsid w:val="00780A26"/>
    <w:rsid w:val="007815B6"/>
    <w:rsid w:val="007817BA"/>
    <w:rsid w:val="00781B6F"/>
    <w:rsid w:val="00781E25"/>
    <w:rsid w:val="00782211"/>
    <w:rsid w:val="0078235F"/>
    <w:rsid w:val="007823A5"/>
    <w:rsid w:val="00782999"/>
    <w:rsid w:val="00783B38"/>
    <w:rsid w:val="00783C3B"/>
    <w:rsid w:val="00783D4F"/>
    <w:rsid w:val="00783EBD"/>
    <w:rsid w:val="007843B1"/>
    <w:rsid w:val="0078479F"/>
    <w:rsid w:val="00784B66"/>
    <w:rsid w:val="00784FAB"/>
    <w:rsid w:val="00785757"/>
    <w:rsid w:val="00785B4F"/>
    <w:rsid w:val="0078757B"/>
    <w:rsid w:val="007875F9"/>
    <w:rsid w:val="00787608"/>
    <w:rsid w:val="0078772D"/>
    <w:rsid w:val="007877F7"/>
    <w:rsid w:val="00787B13"/>
    <w:rsid w:val="00787B9C"/>
    <w:rsid w:val="00787C54"/>
    <w:rsid w:val="00787D38"/>
    <w:rsid w:val="00790885"/>
    <w:rsid w:val="007908F1"/>
    <w:rsid w:val="00790936"/>
    <w:rsid w:val="00790A23"/>
    <w:rsid w:val="00790A81"/>
    <w:rsid w:val="00790B08"/>
    <w:rsid w:val="00790F90"/>
    <w:rsid w:val="007911F8"/>
    <w:rsid w:val="007914E5"/>
    <w:rsid w:val="00791DBE"/>
    <w:rsid w:val="0079219D"/>
    <w:rsid w:val="00792552"/>
    <w:rsid w:val="007925EC"/>
    <w:rsid w:val="00792C75"/>
    <w:rsid w:val="00792F4A"/>
    <w:rsid w:val="007930B9"/>
    <w:rsid w:val="00793527"/>
    <w:rsid w:val="00793F09"/>
    <w:rsid w:val="00793F13"/>
    <w:rsid w:val="0079405B"/>
    <w:rsid w:val="007940C9"/>
    <w:rsid w:val="0079442F"/>
    <w:rsid w:val="007945DE"/>
    <w:rsid w:val="007947E3"/>
    <w:rsid w:val="007948EE"/>
    <w:rsid w:val="00794B43"/>
    <w:rsid w:val="00794E04"/>
    <w:rsid w:val="00794E1A"/>
    <w:rsid w:val="0079517C"/>
    <w:rsid w:val="007952FD"/>
    <w:rsid w:val="00795329"/>
    <w:rsid w:val="00795B72"/>
    <w:rsid w:val="00795F58"/>
    <w:rsid w:val="007964CF"/>
    <w:rsid w:val="00796637"/>
    <w:rsid w:val="00796785"/>
    <w:rsid w:val="007972B6"/>
    <w:rsid w:val="007974E1"/>
    <w:rsid w:val="00797C89"/>
    <w:rsid w:val="00797D43"/>
    <w:rsid w:val="007A0346"/>
    <w:rsid w:val="007A07BC"/>
    <w:rsid w:val="007A090B"/>
    <w:rsid w:val="007A09BB"/>
    <w:rsid w:val="007A0E11"/>
    <w:rsid w:val="007A13A5"/>
    <w:rsid w:val="007A14BC"/>
    <w:rsid w:val="007A18B6"/>
    <w:rsid w:val="007A1B88"/>
    <w:rsid w:val="007A2311"/>
    <w:rsid w:val="007A26E0"/>
    <w:rsid w:val="007A2D63"/>
    <w:rsid w:val="007A2D9A"/>
    <w:rsid w:val="007A2FE3"/>
    <w:rsid w:val="007A305E"/>
    <w:rsid w:val="007A3354"/>
    <w:rsid w:val="007A33BF"/>
    <w:rsid w:val="007A3550"/>
    <w:rsid w:val="007A3A26"/>
    <w:rsid w:val="007A44ED"/>
    <w:rsid w:val="007A4D97"/>
    <w:rsid w:val="007A58DF"/>
    <w:rsid w:val="007A5B21"/>
    <w:rsid w:val="007A5E2D"/>
    <w:rsid w:val="007A65D2"/>
    <w:rsid w:val="007A69B3"/>
    <w:rsid w:val="007A6BE4"/>
    <w:rsid w:val="007A6D37"/>
    <w:rsid w:val="007A6D39"/>
    <w:rsid w:val="007A6E15"/>
    <w:rsid w:val="007A723E"/>
    <w:rsid w:val="007A7565"/>
    <w:rsid w:val="007A793F"/>
    <w:rsid w:val="007A7A94"/>
    <w:rsid w:val="007A7B4C"/>
    <w:rsid w:val="007B015A"/>
    <w:rsid w:val="007B060B"/>
    <w:rsid w:val="007B0D41"/>
    <w:rsid w:val="007B147D"/>
    <w:rsid w:val="007B1C07"/>
    <w:rsid w:val="007B1D4B"/>
    <w:rsid w:val="007B1F74"/>
    <w:rsid w:val="007B21BC"/>
    <w:rsid w:val="007B2573"/>
    <w:rsid w:val="007B2E88"/>
    <w:rsid w:val="007B3194"/>
    <w:rsid w:val="007B364E"/>
    <w:rsid w:val="007B478A"/>
    <w:rsid w:val="007B49B4"/>
    <w:rsid w:val="007B49F9"/>
    <w:rsid w:val="007B5744"/>
    <w:rsid w:val="007B5E00"/>
    <w:rsid w:val="007B63C2"/>
    <w:rsid w:val="007B656D"/>
    <w:rsid w:val="007B6DDF"/>
    <w:rsid w:val="007C0531"/>
    <w:rsid w:val="007C05E0"/>
    <w:rsid w:val="007C0888"/>
    <w:rsid w:val="007C08F9"/>
    <w:rsid w:val="007C0F7B"/>
    <w:rsid w:val="007C1855"/>
    <w:rsid w:val="007C1BA6"/>
    <w:rsid w:val="007C1E66"/>
    <w:rsid w:val="007C28A7"/>
    <w:rsid w:val="007C38E4"/>
    <w:rsid w:val="007C3BB1"/>
    <w:rsid w:val="007C3D2A"/>
    <w:rsid w:val="007C3F61"/>
    <w:rsid w:val="007C4600"/>
    <w:rsid w:val="007C467D"/>
    <w:rsid w:val="007C4C94"/>
    <w:rsid w:val="007C50DC"/>
    <w:rsid w:val="007C5670"/>
    <w:rsid w:val="007C59ED"/>
    <w:rsid w:val="007C5CCC"/>
    <w:rsid w:val="007C5F07"/>
    <w:rsid w:val="007C5F3F"/>
    <w:rsid w:val="007C676A"/>
    <w:rsid w:val="007C6C72"/>
    <w:rsid w:val="007C74C7"/>
    <w:rsid w:val="007C76B1"/>
    <w:rsid w:val="007D04AE"/>
    <w:rsid w:val="007D0DD2"/>
    <w:rsid w:val="007D0EE0"/>
    <w:rsid w:val="007D0FF1"/>
    <w:rsid w:val="007D149B"/>
    <w:rsid w:val="007D14E1"/>
    <w:rsid w:val="007D1968"/>
    <w:rsid w:val="007D1B63"/>
    <w:rsid w:val="007D256D"/>
    <w:rsid w:val="007D3B0E"/>
    <w:rsid w:val="007D3DB8"/>
    <w:rsid w:val="007D3E4C"/>
    <w:rsid w:val="007D412A"/>
    <w:rsid w:val="007D4FCD"/>
    <w:rsid w:val="007D5664"/>
    <w:rsid w:val="007D56BC"/>
    <w:rsid w:val="007D5779"/>
    <w:rsid w:val="007D5C5B"/>
    <w:rsid w:val="007D6250"/>
    <w:rsid w:val="007D6557"/>
    <w:rsid w:val="007D6DEE"/>
    <w:rsid w:val="007D6F50"/>
    <w:rsid w:val="007D6FBA"/>
    <w:rsid w:val="007D7549"/>
    <w:rsid w:val="007D75AE"/>
    <w:rsid w:val="007D798F"/>
    <w:rsid w:val="007D79E3"/>
    <w:rsid w:val="007D7DE8"/>
    <w:rsid w:val="007D7E53"/>
    <w:rsid w:val="007D7FF9"/>
    <w:rsid w:val="007E004E"/>
    <w:rsid w:val="007E15B4"/>
    <w:rsid w:val="007E15D2"/>
    <w:rsid w:val="007E17BB"/>
    <w:rsid w:val="007E21E5"/>
    <w:rsid w:val="007E2A7D"/>
    <w:rsid w:val="007E2B98"/>
    <w:rsid w:val="007E323E"/>
    <w:rsid w:val="007E3830"/>
    <w:rsid w:val="007E3EFE"/>
    <w:rsid w:val="007E4B9D"/>
    <w:rsid w:val="007E4F4C"/>
    <w:rsid w:val="007E567E"/>
    <w:rsid w:val="007E62B7"/>
    <w:rsid w:val="007E6415"/>
    <w:rsid w:val="007E6E6E"/>
    <w:rsid w:val="007E6FE0"/>
    <w:rsid w:val="007E77BD"/>
    <w:rsid w:val="007E7935"/>
    <w:rsid w:val="007F08EC"/>
    <w:rsid w:val="007F0C19"/>
    <w:rsid w:val="007F0E84"/>
    <w:rsid w:val="007F117E"/>
    <w:rsid w:val="007F117F"/>
    <w:rsid w:val="007F146C"/>
    <w:rsid w:val="007F1A78"/>
    <w:rsid w:val="007F1AFB"/>
    <w:rsid w:val="007F1C6C"/>
    <w:rsid w:val="007F1C8F"/>
    <w:rsid w:val="007F28D4"/>
    <w:rsid w:val="007F32A4"/>
    <w:rsid w:val="007F342D"/>
    <w:rsid w:val="007F36FC"/>
    <w:rsid w:val="007F3ABC"/>
    <w:rsid w:val="007F3B7D"/>
    <w:rsid w:val="007F3CA4"/>
    <w:rsid w:val="007F3EDA"/>
    <w:rsid w:val="007F3F87"/>
    <w:rsid w:val="007F4772"/>
    <w:rsid w:val="007F4849"/>
    <w:rsid w:val="007F4D07"/>
    <w:rsid w:val="007F5034"/>
    <w:rsid w:val="007F5564"/>
    <w:rsid w:val="007F577F"/>
    <w:rsid w:val="007F5A29"/>
    <w:rsid w:val="007F5D6E"/>
    <w:rsid w:val="007F5EB4"/>
    <w:rsid w:val="007F5EC3"/>
    <w:rsid w:val="007F616E"/>
    <w:rsid w:val="007F6BBD"/>
    <w:rsid w:val="007F6D96"/>
    <w:rsid w:val="007F75EF"/>
    <w:rsid w:val="007F76E7"/>
    <w:rsid w:val="007F7BA6"/>
    <w:rsid w:val="007F7F36"/>
    <w:rsid w:val="0080033F"/>
    <w:rsid w:val="008003C7"/>
    <w:rsid w:val="008003E5"/>
    <w:rsid w:val="0080056D"/>
    <w:rsid w:val="008005C6"/>
    <w:rsid w:val="00800D71"/>
    <w:rsid w:val="00800DB8"/>
    <w:rsid w:val="00801207"/>
    <w:rsid w:val="00801257"/>
    <w:rsid w:val="0080142D"/>
    <w:rsid w:val="00801494"/>
    <w:rsid w:val="00801989"/>
    <w:rsid w:val="00801BD8"/>
    <w:rsid w:val="008021FD"/>
    <w:rsid w:val="0080229D"/>
    <w:rsid w:val="008024B3"/>
    <w:rsid w:val="00802509"/>
    <w:rsid w:val="00802D1D"/>
    <w:rsid w:val="00802DCF"/>
    <w:rsid w:val="00802FB6"/>
    <w:rsid w:val="00803417"/>
    <w:rsid w:val="008038BC"/>
    <w:rsid w:val="00803AF4"/>
    <w:rsid w:val="00803DB0"/>
    <w:rsid w:val="00804527"/>
    <w:rsid w:val="008047FB"/>
    <w:rsid w:val="008048E6"/>
    <w:rsid w:val="00804BDD"/>
    <w:rsid w:val="00804D6C"/>
    <w:rsid w:val="00804F6A"/>
    <w:rsid w:val="00805315"/>
    <w:rsid w:val="00805484"/>
    <w:rsid w:val="00805571"/>
    <w:rsid w:val="008065E8"/>
    <w:rsid w:val="0080669A"/>
    <w:rsid w:val="008066DE"/>
    <w:rsid w:val="00806944"/>
    <w:rsid w:val="00806ADC"/>
    <w:rsid w:val="00806DBC"/>
    <w:rsid w:val="008070EA"/>
    <w:rsid w:val="008074BB"/>
    <w:rsid w:val="00807764"/>
    <w:rsid w:val="008109B3"/>
    <w:rsid w:val="00810A47"/>
    <w:rsid w:val="00810AC7"/>
    <w:rsid w:val="00811866"/>
    <w:rsid w:val="00811D30"/>
    <w:rsid w:val="00811FA9"/>
    <w:rsid w:val="00812646"/>
    <w:rsid w:val="00812937"/>
    <w:rsid w:val="00813A8B"/>
    <w:rsid w:val="00813B58"/>
    <w:rsid w:val="00814253"/>
    <w:rsid w:val="008156BE"/>
    <w:rsid w:val="00815A0C"/>
    <w:rsid w:val="00815A61"/>
    <w:rsid w:val="00815B7B"/>
    <w:rsid w:val="00815F81"/>
    <w:rsid w:val="00815F88"/>
    <w:rsid w:val="008165F7"/>
    <w:rsid w:val="008166B7"/>
    <w:rsid w:val="008166FB"/>
    <w:rsid w:val="00817AEC"/>
    <w:rsid w:val="00817B3D"/>
    <w:rsid w:val="0082015D"/>
    <w:rsid w:val="00820182"/>
    <w:rsid w:val="008203B7"/>
    <w:rsid w:val="00820B16"/>
    <w:rsid w:val="0082111E"/>
    <w:rsid w:val="00821386"/>
    <w:rsid w:val="0082139D"/>
    <w:rsid w:val="008218CA"/>
    <w:rsid w:val="00821B32"/>
    <w:rsid w:val="00821F25"/>
    <w:rsid w:val="00821FD1"/>
    <w:rsid w:val="008221BB"/>
    <w:rsid w:val="00822312"/>
    <w:rsid w:val="00822969"/>
    <w:rsid w:val="00822A77"/>
    <w:rsid w:val="008236A1"/>
    <w:rsid w:val="00823BB6"/>
    <w:rsid w:val="00824284"/>
    <w:rsid w:val="008242F3"/>
    <w:rsid w:val="008243E2"/>
    <w:rsid w:val="00825628"/>
    <w:rsid w:val="00825A18"/>
    <w:rsid w:val="00825C84"/>
    <w:rsid w:val="00826018"/>
    <w:rsid w:val="008261E7"/>
    <w:rsid w:val="00826376"/>
    <w:rsid w:val="008263B2"/>
    <w:rsid w:val="00826644"/>
    <w:rsid w:val="008269BF"/>
    <w:rsid w:val="00826E24"/>
    <w:rsid w:val="0082778E"/>
    <w:rsid w:val="008277CF"/>
    <w:rsid w:val="0082780B"/>
    <w:rsid w:val="00827A03"/>
    <w:rsid w:val="00830167"/>
    <w:rsid w:val="00830288"/>
    <w:rsid w:val="00830702"/>
    <w:rsid w:val="008307BB"/>
    <w:rsid w:val="00831DDF"/>
    <w:rsid w:val="00832917"/>
    <w:rsid w:val="00833271"/>
    <w:rsid w:val="008333D0"/>
    <w:rsid w:val="008335B3"/>
    <w:rsid w:val="0083388A"/>
    <w:rsid w:val="00833CEB"/>
    <w:rsid w:val="00834582"/>
    <w:rsid w:val="00834B87"/>
    <w:rsid w:val="00834D44"/>
    <w:rsid w:val="00835176"/>
    <w:rsid w:val="008361A3"/>
    <w:rsid w:val="008361D5"/>
    <w:rsid w:val="00836361"/>
    <w:rsid w:val="008364AB"/>
    <w:rsid w:val="00836686"/>
    <w:rsid w:val="00836BC9"/>
    <w:rsid w:val="00836DA2"/>
    <w:rsid w:val="00836EC5"/>
    <w:rsid w:val="00837270"/>
    <w:rsid w:val="008374AE"/>
    <w:rsid w:val="008374C3"/>
    <w:rsid w:val="008401B3"/>
    <w:rsid w:val="008402C3"/>
    <w:rsid w:val="008404FC"/>
    <w:rsid w:val="00840AFF"/>
    <w:rsid w:val="00840B93"/>
    <w:rsid w:val="00840CD0"/>
    <w:rsid w:val="00841770"/>
    <w:rsid w:val="00841820"/>
    <w:rsid w:val="008431D8"/>
    <w:rsid w:val="0084388B"/>
    <w:rsid w:val="00843B57"/>
    <w:rsid w:val="0084413C"/>
    <w:rsid w:val="0084459C"/>
    <w:rsid w:val="00844CA5"/>
    <w:rsid w:val="00845217"/>
    <w:rsid w:val="008461AE"/>
    <w:rsid w:val="00846297"/>
    <w:rsid w:val="0084640A"/>
    <w:rsid w:val="00846874"/>
    <w:rsid w:val="00846937"/>
    <w:rsid w:val="00846B80"/>
    <w:rsid w:val="00846C9C"/>
    <w:rsid w:val="00846E95"/>
    <w:rsid w:val="008470C7"/>
    <w:rsid w:val="00847491"/>
    <w:rsid w:val="00847D6E"/>
    <w:rsid w:val="00847DC8"/>
    <w:rsid w:val="008509E0"/>
    <w:rsid w:val="008516E3"/>
    <w:rsid w:val="00851A35"/>
    <w:rsid w:val="00852189"/>
    <w:rsid w:val="008523ED"/>
    <w:rsid w:val="00852CC6"/>
    <w:rsid w:val="00852CF7"/>
    <w:rsid w:val="00853315"/>
    <w:rsid w:val="00853BC6"/>
    <w:rsid w:val="00853C04"/>
    <w:rsid w:val="00853C8F"/>
    <w:rsid w:val="00854378"/>
    <w:rsid w:val="008544EB"/>
    <w:rsid w:val="0085529D"/>
    <w:rsid w:val="0085588B"/>
    <w:rsid w:val="0085593A"/>
    <w:rsid w:val="00855A0F"/>
    <w:rsid w:val="00855C16"/>
    <w:rsid w:val="00855F30"/>
    <w:rsid w:val="008563FF"/>
    <w:rsid w:val="00856625"/>
    <w:rsid w:val="0085665C"/>
    <w:rsid w:val="008567DA"/>
    <w:rsid w:val="00856C11"/>
    <w:rsid w:val="00856E88"/>
    <w:rsid w:val="00857410"/>
    <w:rsid w:val="008574AB"/>
    <w:rsid w:val="008574DE"/>
    <w:rsid w:val="00857519"/>
    <w:rsid w:val="00860209"/>
    <w:rsid w:val="008609E9"/>
    <w:rsid w:val="00860CD4"/>
    <w:rsid w:val="00860D27"/>
    <w:rsid w:val="008614CA"/>
    <w:rsid w:val="008615F2"/>
    <w:rsid w:val="00861A28"/>
    <w:rsid w:val="0086225B"/>
    <w:rsid w:val="00862ACB"/>
    <w:rsid w:val="00862CFC"/>
    <w:rsid w:val="00862EF3"/>
    <w:rsid w:val="008632B6"/>
    <w:rsid w:val="00863485"/>
    <w:rsid w:val="00863A5F"/>
    <w:rsid w:val="008640F8"/>
    <w:rsid w:val="008647AB"/>
    <w:rsid w:val="00864F83"/>
    <w:rsid w:val="00865DB7"/>
    <w:rsid w:val="0086615A"/>
    <w:rsid w:val="0086630B"/>
    <w:rsid w:val="008664C7"/>
    <w:rsid w:val="00866FBC"/>
    <w:rsid w:val="00867381"/>
    <w:rsid w:val="0086754B"/>
    <w:rsid w:val="008675A2"/>
    <w:rsid w:val="008679A5"/>
    <w:rsid w:val="00867E29"/>
    <w:rsid w:val="00870C8D"/>
    <w:rsid w:val="00870D23"/>
    <w:rsid w:val="00871879"/>
    <w:rsid w:val="00871F20"/>
    <w:rsid w:val="00872AFF"/>
    <w:rsid w:val="00872EF8"/>
    <w:rsid w:val="008732E7"/>
    <w:rsid w:val="008737B5"/>
    <w:rsid w:val="00873FF1"/>
    <w:rsid w:val="008740B9"/>
    <w:rsid w:val="008742A9"/>
    <w:rsid w:val="00874EA5"/>
    <w:rsid w:val="00874F1A"/>
    <w:rsid w:val="00874FFF"/>
    <w:rsid w:val="008751BA"/>
    <w:rsid w:val="00875627"/>
    <w:rsid w:val="00875663"/>
    <w:rsid w:val="00875E20"/>
    <w:rsid w:val="00875EFD"/>
    <w:rsid w:val="00876489"/>
    <w:rsid w:val="008764BC"/>
    <w:rsid w:val="00876663"/>
    <w:rsid w:val="00876C09"/>
    <w:rsid w:val="00877506"/>
    <w:rsid w:val="00877773"/>
    <w:rsid w:val="00877B77"/>
    <w:rsid w:val="008801CB"/>
    <w:rsid w:val="008806CA"/>
    <w:rsid w:val="00880DA0"/>
    <w:rsid w:val="008810C1"/>
    <w:rsid w:val="0088177B"/>
    <w:rsid w:val="00881C90"/>
    <w:rsid w:val="00881D05"/>
    <w:rsid w:val="00882030"/>
    <w:rsid w:val="0088259B"/>
    <w:rsid w:val="00882C79"/>
    <w:rsid w:val="008833F3"/>
    <w:rsid w:val="00883D3D"/>
    <w:rsid w:val="00883E66"/>
    <w:rsid w:val="0088414F"/>
    <w:rsid w:val="0088434D"/>
    <w:rsid w:val="008845CF"/>
    <w:rsid w:val="008846FB"/>
    <w:rsid w:val="00884727"/>
    <w:rsid w:val="0088500B"/>
    <w:rsid w:val="008851DD"/>
    <w:rsid w:val="008855BF"/>
    <w:rsid w:val="0088562B"/>
    <w:rsid w:val="00885712"/>
    <w:rsid w:val="00885902"/>
    <w:rsid w:val="00885E11"/>
    <w:rsid w:val="00885EA5"/>
    <w:rsid w:val="00886DFE"/>
    <w:rsid w:val="00887010"/>
    <w:rsid w:val="00887431"/>
    <w:rsid w:val="00887586"/>
    <w:rsid w:val="008877F2"/>
    <w:rsid w:val="0088794D"/>
    <w:rsid w:val="00887968"/>
    <w:rsid w:val="00887A41"/>
    <w:rsid w:val="00887D9C"/>
    <w:rsid w:val="00890291"/>
    <w:rsid w:val="0089073E"/>
    <w:rsid w:val="00890776"/>
    <w:rsid w:val="00890D58"/>
    <w:rsid w:val="008910B8"/>
    <w:rsid w:val="00891A30"/>
    <w:rsid w:val="00891BB1"/>
    <w:rsid w:val="00891D5E"/>
    <w:rsid w:val="00891E24"/>
    <w:rsid w:val="00891E8D"/>
    <w:rsid w:val="0089204E"/>
    <w:rsid w:val="008924B3"/>
    <w:rsid w:val="00892984"/>
    <w:rsid w:val="00892B49"/>
    <w:rsid w:val="008931E9"/>
    <w:rsid w:val="008933F7"/>
    <w:rsid w:val="008936B8"/>
    <w:rsid w:val="00893714"/>
    <w:rsid w:val="0089371C"/>
    <w:rsid w:val="0089379A"/>
    <w:rsid w:val="00893D57"/>
    <w:rsid w:val="00893D59"/>
    <w:rsid w:val="00893F4F"/>
    <w:rsid w:val="00894C66"/>
    <w:rsid w:val="00894D48"/>
    <w:rsid w:val="0089507F"/>
    <w:rsid w:val="008951F0"/>
    <w:rsid w:val="008953B2"/>
    <w:rsid w:val="0089573C"/>
    <w:rsid w:val="00896263"/>
    <w:rsid w:val="00896301"/>
    <w:rsid w:val="00897039"/>
    <w:rsid w:val="00897169"/>
    <w:rsid w:val="0089797C"/>
    <w:rsid w:val="008A01B5"/>
    <w:rsid w:val="008A02AC"/>
    <w:rsid w:val="008A062C"/>
    <w:rsid w:val="008A07BD"/>
    <w:rsid w:val="008A089C"/>
    <w:rsid w:val="008A0BAC"/>
    <w:rsid w:val="008A0F36"/>
    <w:rsid w:val="008A100B"/>
    <w:rsid w:val="008A11EF"/>
    <w:rsid w:val="008A13F0"/>
    <w:rsid w:val="008A1619"/>
    <w:rsid w:val="008A1A8C"/>
    <w:rsid w:val="008A1B05"/>
    <w:rsid w:val="008A1DA1"/>
    <w:rsid w:val="008A1EF2"/>
    <w:rsid w:val="008A20A2"/>
    <w:rsid w:val="008A23DB"/>
    <w:rsid w:val="008A28C2"/>
    <w:rsid w:val="008A2B7F"/>
    <w:rsid w:val="008A309F"/>
    <w:rsid w:val="008A3291"/>
    <w:rsid w:val="008A3308"/>
    <w:rsid w:val="008A369E"/>
    <w:rsid w:val="008A3CF9"/>
    <w:rsid w:val="008A3E9D"/>
    <w:rsid w:val="008A4038"/>
    <w:rsid w:val="008A4251"/>
    <w:rsid w:val="008A465D"/>
    <w:rsid w:val="008A502D"/>
    <w:rsid w:val="008A5337"/>
    <w:rsid w:val="008A5402"/>
    <w:rsid w:val="008A5B80"/>
    <w:rsid w:val="008A5B8E"/>
    <w:rsid w:val="008A5C06"/>
    <w:rsid w:val="008A5C97"/>
    <w:rsid w:val="008A63F7"/>
    <w:rsid w:val="008A65F9"/>
    <w:rsid w:val="008A676F"/>
    <w:rsid w:val="008A696B"/>
    <w:rsid w:val="008A69BF"/>
    <w:rsid w:val="008A6F36"/>
    <w:rsid w:val="008A7551"/>
    <w:rsid w:val="008A76D1"/>
    <w:rsid w:val="008A79ED"/>
    <w:rsid w:val="008A7D50"/>
    <w:rsid w:val="008B03DD"/>
    <w:rsid w:val="008B0A2D"/>
    <w:rsid w:val="008B0FAB"/>
    <w:rsid w:val="008B1C20"/>
    <w:rsid w:val="008B214E"/>
    <w:rsid w:val="008B2162"/>
    <w:rsid w:val="008B2898"/>
    <w:rsid w:val="008B293B"/>
    <w:rsid w:val="008B2979"/>
    <w:rsid w:val="008B3020"/>
    <w:rsid w:val="008B41E1"/>
    <w:rsid w:val="008B433F"/>
    <w:rsid w:val="008B44F5"/>
    <w:rsid w:val="008B47A4"/>
    <w:rsid w:val="008B4DC4"/>
    <w:rsid w:val="008B4EE5"/>
    <w:rsid w:val="008B5C21"/>
    <w:rsid w:val="008B66EA"/>
    <w:rsid w:val="008B7784"/>
    <w:rsid w:val="008B77F5"/>
    <w:rsid w:val="008C021D"/>
    <w:rsid w:val="008C0439"/>
    <w:rsid w:val="008C0992"/>
    <w:rsid w:val="008C0B61"/>
    <w:rsid w:val="008C0EED"/>
    <w:rsid w:val="008C0FFB"/>
    <w:rsid w:val="008C14D8"/>
    <w:rsid w:val="008C16B9"/>
    <w:rsid w:val="008C1A10"/>
    <w:rsid w:val="008C1C15"/>
    <w:rsid w:val="008C1C59"/>
    <w:rsid w:val="008C1C9A"/>
    <w:rsid w:val="008C2056"/>
    <w:rsid w:val="008C29C1"/>
    <w:rsid w:val="008C2A4A"/>
    <w:rsid w:val="008C2D57"/>
    <w:rsid w:val="008C35DC"/>
    <w:rsid w:val="008C42C7"/>
    <w:rsid w:val="008C4371"/>
    <w:rsid w:val="008C4398"/>
    <w:rsid w:val="008C4919"/>
    <w:rsid w:val="008C4F39"/>
    <w:rsid w:val="008C50BF"/>
    <w:rsid w:val="008C5705"/>
    <w:rsid w:val="008C5C79"/>
    <w:rsid w:val="008C5F4A"/>
    <w:rsid w:val="008C65D7"/>
    <w:rsid w:val="008C675D"/>
    <w:rsid w:val="008C6B6F"/>
    <w:rsid w:val="008C706C"/>
    <w:rsid w:val="008C71CA"/>
    <w:rsid w:val="008C752B"/>
    <w:rsid w:val="008C7EC1"/>
    <w:rsid w:val="008D0566"/>
    <w:rsid w:val="008D13C3"/>
    <w:rsid w:val="008D17A7"/>
    <w:rsid w:val="008D183C"/>
    <w:rsid w:val="008D19F9"/>
    <w:rsid w:val="008D1A72"/>
    <w:rsid w:val="008D1DB2"/>
    <w:rsid w:val="008D1E00"/>
    <w:rsid w:val="008D21BE"/>
    <w:rsid w:val="008D2620"/>
    <w:rsid w:val="008D271A"/>
    <w:rsid w:val="008D2C51"/>
    <w:rsid w:val="008D2CF9"/>
    <w:rsid w:val="008D2D60"/>
    <w:rsid w:val="008D32AA"/>
    <w:rsid w:val="008D3A7F"/>
    <w:rsid w:val="008D4445"/>
    <w:rsid w:val="008D4564"/>
    <w:rsid w:val="008D4635"/>
    <w:rsid w:val="008D4DC7"/>
    <w:rsid w:val="008D4FE0"/>
    <w:rsid w:val="008D5371"/>
    <w:rsid w:val="008D54EC"/>
    <w:rsid w:val="008D6009"/>
    <w:rsid w:val="008D6DFB"/>
    <w:rsid w:val="008D7063"/>
    <w:rsid w:val="008D7110"/>
    <w:rsid w:val="008D7112"/>
    <w:rsid w:val="008D7129"/>
    <w:rsid w:val="008D7286"/>
    <w:rsid w:val="008D7334"/>
    <w:rsid w:val="008D73F3"/>
    <w:rsid w:val="008D7586"/>
    <w:rsid w:val="008D765B"/>
    <w:rsid w:val="008D799F"/>
    <w:rsid w:val="008D79C7"/>
    <w:rsid w:val="008D7D7F"/>
    <w:rsid w:val="008E00F4"/>
    <w:rsid w:val="008E0746"/>
    <w:rsid w:val="008E0AF9"/>
    <w:rsid w:val="008E0CB4"/>
    <w:rsid w:val="008E133F"/>
    <w:rsid w:val="008E1AE4"/>
    <w:rsid w:val="008E212B"/>
    <w:rsid w:val="008E23DE"/>
    <w:rsid w:val="008E2765"/>
    <w:rsid w:val="008E2CF9"/>
    <w:rsid w:val="008E2E79"/>
    <w:rsid w:val="008E3015"/>
    <w:rsid w:val="008E3235"/>
    <w:rsid w:val="008E3372"/>
    <w:rsid w:val="008E337E"/>
    <w:rsid w:val="008E3D7B"/>
    <w:rsid w:val="008E43A3"/>
    <w:rsid w:val="008E447D"/>
    <w:rsid w:val="008E452F"/>
    <w:rsid w:val="008E4B4F"/>
    <w:rsid w:val="008E4EC1"/>
    <w:rsid w:val="008E5064"/>
    <w:rsid w:val="008E53DF"/>
    <w:rsid w:val="008E54D8"/>
    <w:rsid w:val="008E5ED7"/>
    <w:rsid w:val="008E5F3E"/>
    <w:rsid w:val="008E6478"/>
    <w:rsid w:val="008E64D7"/>
    <w:rsid w:val="008E6D3C"/>
    <w:rsid w:val="008E6DA0"/>
    <w:rsid w:val="008E710C"/>
    <w:rsid w:val="008E754C"/>
    <w:rsid w:val="008E75F3"/>
    <w:rsid w:val="008E78A5"/>
    <w:rsid w:val="008E7D9F"/>
    <w:rsid w:val="008E7E14"/>
    <w:rsid w:val="008F0E0A"/>
    <w:rsid w:val="008F1467"/>
    <w:rsid w:val="008F16FD"/>
    <w:rsid w:val="008F1B0B"/>
    <w:rsid w:val="008F1CBD"/>
    <w:rsid w:val="008F1D23"/>
    <w:rsid w:val="008F215B"/>
    <w:rsid w:val="008F231D"/>
    <w:rsid w:val="008F2998"/>
    <w:rsid w:val="008F2E84"/>
    <w:rsid w:val="008F32F6"/>
    <w:rsid w:val="008F334E"/>
    <w:rsid w:val="008F3559"/>
    <w:rsid w:val="008F3D95"/>
    <w:rsid w:val="008F3EEA"/>
    <w:rsid w:val="008F4038"/>
    <w:rsid w:val="008F427B"/>
    <w:rsid w:val="008F4B84"/>
    <w:rsid w:val="008F4F5D"/>
    <w:rsid w:val="008F52D4"/>
    <w:rsid w:val="008F55B1"/>
    <w:rsid w:val="008F5FA0"/>
    <w:rsid w:val="008F61ED"/>
    <w:rsid w:val="008F6323"/>
    <w:rsid w:val="008F6324"/>
    <w:rsid w:val="008F6455"/>
    <w:rsid w:val="008F6695"/>
    <w:rsid w:val="008F67D1"/>
    <w:rsid w:val="008F70ED"/>
    <w:rsid w:val="008F7167"/>
    <w:rsid w:val="008F73E5"/>
    <w:rsid w:val="008F758F"/>
    <w:rsid w:val="008F7B5C"/>
    <w:rsid w:val="008F7E24"/>
    <w:rsid w:val="00900042"/>
    <w:rsid w:val="009001EF"/>
    <w:rsid w:val="00900606"/>
    <w:rsid w:val="00900608"/>
    <w:rsid w:val="00900811"/>
    <w:rsid w:val="00900982"/>
    <w:rsid w:val="00900B87"/>
    <w:rsid w:val="009011DE"/>
    <w:rsid w:val="009014A0"/>
    <w:rsid w:val="00901A3E"/>
    <w:rsid w:val="00902121"/>
    <w:rsid w:val="009028B0"/>
    <w:rsid w:val="00902AE3"/>
    <w:rsid w:val="00902B99"/>
    <w:rsid w:val="009033B8"/>
    <w:rsid w:val="00903851"/>
    <w:rsid w:val="009039B5"/>
    <w:rsid w:val="00903E25"/>
    <w:rsid w:val="00903EAA"/>
    <w:rsid w:val="00904364"/>
    <w:rsid w:val="00904932"/>
    <w:rsid w:val="00904AD9"/>
    <w:rsid w:val="00904FCD"/>
    <w:rsid w:val="00905E1A"/>
    <w:rsid w:val="00905EF5"/>
    <w:rsid w:val="00906636"/>
    <w:rsid w:val="00906677"/>
    <w:rsid w:val="00906767"/>
    <w:rsid w:val="00906BDD"/>
    <w:rsid w:val="00906D79"/>
    <w:rsid w:val="00906EEB"/>
    <w:rsid w:val="0090749E"/>
    <w:rsid w:val="009075D4"/>
    <w:rsid w:val="0090784B"/>
    <w:rsid w:val="00907AAE"/>
    <w:rsid w:val="00907EAE"/>
    <w:rsid w:val="009101B7"/>
    <w:rsid w:val="0091087C"/>
    <w:rsid w:val="00910ACB"/>
    <w:rsid w:val="00910FDD"/>
    <w:rsid w:val="00911347"/>
    <w:rsid w:val="0091143A"/>
    <w:rsid w:val="00912602"/>
    <w:rsid w:val="00912809"/>
    <w:rsid w:val="00912AD6"/>
    <w:rsid w:val="00913043"/>
    <w:rsid w:val="0091351E"/>
    <w:rsid w:val="00913625"/>
    <w:rsid w:val="009137C6"/>
    <w:rsid w:val="00913F64"/>
    <w:rsid w:val="00914288"/>
    <w:rsid w:val="00914662"/>
    <w:rsid w:val="00914862"/>
    <w:rsid w:val="00914C3F"/>
    <w:rsid w:val="00914FE4"/>
    <w:rsid w:val="00914FF0"/>
    <w:rsid w:val="00915239"/>
    <w:rsid w:val="00915328"/>
    <w:rsid w:val="00915BB4"/>
    <w:rsid w:val="00915F4D"/>
    <w:rsid w:val="009162EE"/>
    <w:rsid w:val="009168AF"/>
    <w:rsid w:val="00916AA7"/>
    <w:rsid w:val="00916F2F"/>
    <w:rsid w:val="00916F63"/>
    <w:rsid w:val="00916FA5"/>
    <w:rsid w:val="00917024"/>
    <w:rsid w:val="0091730C"/>
    <w:rsid w:val="009173F2"/>
    <w:rsid w:val="009178CB"/>
    <w:rsid w:val="00917B99"/>
    <w:rsid w:val="00917FD9"/>
    <w:rsid w:val="009202AB"/>
    <w:rsid w:val="0092044B"/>
    <w:rsid w:val="009204F5"/>
    <w:rsid w:val="00920AF3"/>
    <w:rsid w:val="00920C38"/>
    <w:rsid w:val="00920CCB"/>
    <w:rsid w:val="00920FC8"/>
    <w:rsid w:val="00921049"/>
    <w:rsid w:val="009213BE"/>
    <w:rsid w:val="00921B03"/>
    <w:rsid w:val="00921C57"/>
    <w:rsid w:val="00921DFC"/>
    <w:rsid w:val="00922283"/>
    <w:rsid w:val="0092229A"/>
    <w:rsid w:val="009222A3"/>
    <w:rsid w:val="00922D1F"/>
    <w:rsid w:val="00922E31"/>
    <w:rsid w:val="00922F48"/>
    <w:rsid w:val="00923918"/>
    <w:rsid w:val="00923BDD"/>
    <w:rsid w:val="00923F85"/>
    <w:rsid w:val="0092568D"/>
    <w:rsid w:val="009259C4"/>
    <w:rsid w:val="009259E1"/>
    <w:rsid w:val="00925BA4"/>
    <w:rsid w:val="00925C19"/>
    <w:rsid w:val="00925C69"/>
    <w:rsid w:val="00925F80"/>
    <w:rsid w:val="00926031"/>
    <w:rsid w:val="00926155"/>
    <w:rsid w:val="00926B01"/>
    <w:rsid w:val="00926CB1"/>
    <w:rsid w:val="009271D2"/>
    <w:rsid w:val="0093024F"/>
    <w:rsid w:val="00930269"/>
    <w:rsid w:val="009305F6"/>
    <w:rsid w:val="009307B0"/>
    <w:rsid w:val="00930A35"/>
    <w:rsid w:val="00930A47"/>
    <w:rsid w:val="00930D49"/>
    <w:rsid w:val="00931532"/>
    <w:rsid w:val="0093158D"/>
    <w:rsid w:val="009325FB"/>
    <w:rsid w:val="00932965"/>
    <w:rsid w:val="009331B7"/>
    <w:rsid w:val="0093446E"/>
    <w:rsid w:val="009344A2"/>
    <w:rsid w:val="00935B83"/>
    <w:rsid w:val="009362FA"/>
    <w:rsid w:val="0093663E"/>
    <w:rsid w:val="0093679D"/>
    <w:rsid w:val="00936BA0"/>
    <w:rsid w:val="009370C1"/>
    <w:rsid w:val="00937B6D"/>
    <w:rsid w:val="00937ED0"/>
    <w:rsid w:val="00937F72"/>
    <w:rsid w:val="009404FA"/>
    <w:rsid w:val="00940619"/>
    <w:rsid w:val="00940A30"/>
    <w:rsid w:val="00940BFD"/>
    <w:rsid w:val="00941122"/>
    <w:rsid w:val="00941377"/>
    <w:rsid w:val="00941803"/>
    <w:rsid w:val="00941E73"/>
    <w:rsid w:val="00942247"/>
    <w:rsid w:val="009424E5"/>
    <w:rsid w:val="009428B6"/>
    <w:rsid w:val="009428CA"/>
    <w:rsid w:val="009443B8"/>
    <w:rsid w:val="00944489"/>
    <w:rsid w:val="009445C9"/>
    <w:rsid w:val="0094489C"/>
    <w:rsid w:val="00944E52"/>
    <w:rsid w:val="009450DD"/>
    <w:rsid w:val="0094515A"/>
    <w:rsid w:val="009457DE"/>
    <w:rsid w:val="00945BDB"/>
    <w:rsid w:val="009461DC"/>
    <w:rsid w:val="0094634B"/>
    <w:rsid w:val="00946421"/>
    <w:rsid w:val="00946702"/>
    <w:rsid w:val="009468EB"/>
    <w:rsid w:val="009468F0"/>
    <w:rsid w:val="00946A9B"/>
    <w:rsid w:val="00947317"/>
    <w:rsid w:val="009473C5"/>
    <w:rsid w:val="009479BC"/>
    <w:rsid w:val="00947B3D"/>
    <w:rsid w:val="00950556"/>
    <w:rsid w:val="009506B3"/>
    <w:rsid w:val="009510AF"/>
    <w:rsid w:val="00951AA6"/>
    <w:rsid w:val="00951DEE"/>
    <w:rsid w:val="00951F60"/>
    <w:rsid w:val="009529C3"/>
    <w:rsid w:val="009529D7"/>
    <w:rsid w:val="00952BB1"/>
    <w:rsid w:val="00952D9F"/>
    <w:rsid w:val="009532C5"/>
    <w:rsid w:val="00953372"/>
    <w:rsid w:val="00953474"/>
    <w:rsid w:val="00955377"/>
    <w:rsid w:val="0095559D"/>
    <w:rsid w:val="00955850"/>
    <w:rsid w:val="00955DAE"/>
    <w:rsid w:val="0095631C"/>
    <w:rsid w:val="009563C0"/>
    <w:rsid w:val="009564A2"/>
    <w:rsid w:val="00956863"/>
    <w:rsid w:val="00956D29"/>
    <w:rsid w:val="00956FC0"/>
    <w:rsid w:val="0095748D"/>
    <w:rsid w:val="009574CA"/>
    <w:rsid w:val="00957717"/>
    <w:rsid w:val="00957C0E"/>
    <w:rsid w:val="009600A0"/>
    <w:rsid w:val="00960D6C"/>
    <w:rsid w:val="00960E65"/>
    <w:rsid w:val="00960E89"/>
    <w:rsid w:val="009610F0"/>
    <w:rsid w:val="00961B0C"/>
    <w:rsid w:val="00962AEA"/>
    <w:rsid w:val="00962B59"/>
    <w:rsid w:val="00962C2B"/>
    <w:rsid w:val="00962E57"/>
    <w:rsid w:val="00962FF5"/>
    <w:rsid w:val="00963136"/>
    <w:rsid w:val="00963218"/>
    <w:rsid w:val="00963FA3"/>
    <w:rsid w:val="00964623"/>
    <w:rsid w:val="00964A57"/>
    <w:rsid w:val="00964C12"/>
    <w:rsid w:val="00964CFC"/>
    <w:rsid w:val="00965263"/>
    <w:rsid w:val="009654B2"/>
    <w:rsid w:val="00965620"/>
    <w:rsid w:val="00965663"/>
    <w:rsid w:val="00965BDB"/>
    <w:rsid w:val="00965C5E"/>
    <w:rsid w:val="009662B7"/>
    <w:rsid w:val="0096706B"/>
    <w:rsid w:val="0096715F"/>
    <w:rsid w:val="009672F2"/>
    <w:rsid w:val="0096747A"/>
    <w:rsid w:val="00967C31"/>
    <w:rsid w:val="00970A6B"/>
    <w:rsid w:val="00970C03"/>
    <w:rsid w:val="00970D63"/>
    <w:rsid w:val="00970F1F"/>
    <w:rsid w:val="00970FA7"/>
    <w:rsid w:val="0097153D"/>
    <w:rsid w:val="009715F6"/>
    <w:rsid w:val="009717BB"/>
    <w:rsid w:val="00971F2F"/>
    <w:rsid w:val="009720AF"/>
    <w:rsid w:val="009728F8"/>
    <w:rsid w:val="009729E1"/>
    <w:rsid w:val="009729FC"/>
    <w:rsid w:val="0097325A"/>
    <w:rsid w:val="00973364"/>
    <w:rsid w:val="0097342A"/>
    <w:rsid w:val="0097349B"/>
    <w:rsid w:val="00973889"/>
    <w:rsid w:val="009738EE"/>
    <w:rsid w:val="009738F3"/>
    <w:rsid w:val="00973C46"/>
    <w:rsid w:val="00973DD3"/>
    <w:rsid w:val="00974721"/>
    <w:rsid w:val="00974920"/>
    <w:rsid w:val="00974969"/>
    <w:rsid w:val="00974E1D"/>
    <w:rsid w:val="00975184"/>
    <w:rsid w:val="00975419"/>
    <w:rsid w:val="00975A88"/>
    <w:rsid w:val="00975CAB"/>
    <w:rsid w:val="00975DF2"/>
    <w:rsid w:val="00977698"/>
    <w:rsid w:val="00977BC8"/>
    <w:rsid w:val="00977BE7"/>
    <w:rsid w:val="00980286"/>
    <w:rsid w:val="00980A12"/>
    <w:rsid w:val="00981259"/>
    <w:rsid w:val="00981403"/>
    <w:rsid w:val="00981BC2"/>
    <w:rsid w:val="00982158"/>
    <w:rsid w:val="009822CD"/>
    <w:rsid w:val="00982593"/>
    <w:rsid w:val="00982769"/>
    <w:rsid w:val="00982AAA"/>
    <w:rsid w:val="00982AFF"/>
    <w:rsid w:val="00982DD1"/>
    <w:rsid w:val="00982E27"/>
    <w:rsid w:val="00982EE8"/>
    <w:rsid w:val="009836C3"/>
    <w:rsid w:val="00983A62"/>
    <w:rsid w:val="00983C11"/>
    <w:rsid w:val="00983D95"/>
    <w:rsid w:val="009840D1"/>
    <w:rsid w:val="00984CD0"/>
    <w:rsid w:val="00986144"/>
    <w:rsid w:val="009869E8"/>
    <w:rsid w:val="00986CC1"/>
    <w:rsid w:val="00986CED"/>
    <w:rsid w:val="0098740F"/>
    <w:rsid w:val="00987470"/>
    <w:rsid w:val="00987624"/>
    <w:rsid w:val="00987E12"/>
    <w:rsid w:val="00987FA9"/>
    <w:rsid w:val="00990BED"/>
    <w:rsid w:val="00990D18"/>
    <w:rsid w:val="00990D70"/>
    <w:rsid w:val="00990F66"/>
    <w:rsid w:val="009913C8"/>
    <w:rsid w:val="0099154A"/>
    <w:rsid w:val="0099154E"/>
    <w:rsid w:val="009916C1"/>
    <w:rsid w:val="009919F0"/>
    <w:rsid w:val="00991E41"/>
    <w:rsid w:val="00992118"/>
    <w:rsid w:val="009927D9"/>
    <w:rsid w:val="00992990"/>
    <w:rsid w:val="00992F11"/>
    <w:rsid w:val="00993D82"/>
    <w:rsid w:val="0099409E"/>
    <w:rsid w:val="00994BF5"/>
    <w:rsid w:val="00994C75"/>
    <w:rsid w:val="009952FE"/>
    <w:rsid w:val="00995C78"/>
    <w:rsid w:val="00995EC0"/>
    <w:rsid w:val="00995EEC"/>
    <w:rsid w:val="009961C9"/>
    <w:rsid w:val="009963E4"/>
    <w:rsid w:val="0099658F"/>
    <w:rsid w:val="00996625"/>
    <w:rsid w:val="009966F6"/>
    <w:rsid w:val="00996840"/>
    <w:rsid w:val="00997157"/>
    <w:rsid w:val="0099742F"/>
    <w:rsid w:val="00997DF7"/>
    <w:rsid w:val="00997E36"/>
    <w:rsid w:val="00997E7B"/>
    <w:rsid w:val="00997F27"/>
    <w:rsid w:val="009A0198"/>
    <w:rsid w:val="009A090C"/>
    <w:rsid w:val="009A0B98"/>
    <w:rsid w:val="009A118D"/>
    <w:rsid w:val="009A1962"/>
    <w:rsid w:val="009A20A1"/>
    <w:rsid w:val="009A21C0"/>
    <w:rsid w:val="009A26EE"/>
    <w:rsid w:val="009A2E6D"/>
    <w:rsid w:val="009A2F48"/>
    <w:rsid w:val="009A3C30"/>
    <w:rsid w:val="009A433C"/>
    <w:rsid w:val="009A475F"/>
    <w:rsid w:val="009A4AD4"/>
    <w:rsid w:val="009A4DDB"/>
    <w:rsid w:val="009A605F"/>
    <w:rsid w:val="009A6099"/>
    <w:rsid w:val="009A623F"/>
    <w:rsid w:val="009A7B71"/>
    <w:rsid w:val="009B00DB"/>
    <w:rsid w:val="009B05F8"/>
    <w:rsid w:val="009B0C2E"/>
    <w:rsid w:val="009B161E"/>
    <w:rsid w:val="009B1B9A"/>
    <w:rsid w:val="009B1ECA"/>
    <w:rsid w:val="009B2673"/>
    <w:rsid w:val="009B3016"/>
    <w:rsid w:val="009B312F"/>
    <w:rsid w:val="009B3157"/>
    <w:rsid w:val="009B34C6"/>
    <w:rsid w:val="009B37CF"/>
    <w:rsid w:val="009B415D"/>
    <w:rsid w:val="009B41D5"/>
    <w:rsid w:val="009B45F0"/>
    <w:rsid w:val="009B4735"/>
    <w:rsid w:val="009B47D0"/>
    <w:rsid w:val="009B47F5"/>
    <w:rsid w:val="009B4DAA"/>
    <w:rsid w:val="009B4F73"/>
    <w:rsid w:val="009B5152"/>
    <w:rsid w:val="009B56C0"/>
    <w:rsid w:val="009B5C23"/>
    <w:rsid w:val="009B5CB7"/>
    <w:rsid w:val="009B5DB5"/>
    <w:rsid w:val="009B5F1A"/>
    <w:rsid w:val="009B6048"/>
    <w:rsid w:val="009B60B9"/>
    <w:rsid w:val="009B673E"/>
    <w:rsid w:val="009B6ABC"/>
    <w:rsid w:val="009B6CF2"/>
    <w:rsid w:val="009C085A"/>
    <w:rsid w:val="009C08EC"/>
    <w:rsid w:val="009C0B0D"/>
    <w:rsid w:val="009C1130"/>
    <w:rsid w:val="009C131F"/>
    <w:rsid w:val="009C1577"/>
    <w:rsid w:val="009C1D52"/>
    <w:rsid w:val="009C22A5"/>
    <w:rsid w:val="009C2C6F"/>
    <w:rsid w:val="009C2D70"/>
    <w:rsid w:val="009C2E8F"/>
    <w:rsid w:val="009C3748"/>
    <w:rsid w:val="009C39EC"/>
    <w:rsid w:val="009C3A66"/>
    <w:rsid w:val="009C3BDC"/>
    <w:rsid w:val="009C4236"/>
    <w:rsid w:val="009C4557"/>
    <w:rsid w:val="009C462E"/>
    <w:rsid w:val="009C49DF"/>
    <w:rsid w:val="009C4B64"/>
    <w:rsid w:val="009C4D97"/>
    <w:rsid w:val="009C5211"/>
    <w:rsid w:val="009C5476"/>
    <w:rsid w:val="009C56EF"/>
    <w:rsid w:val="009C5C48"/>
    <w:rsid w:val="009C5E33"/>
    <w:rsid w:val="009C5E66"/>
    <w:rsid w:val="009C629B"/>
    <w:rsid w:val="009C6F31"/>
    <w:rsid w:val="009C7110"/>
    <w:rsid w:val="009C7BDD"/>
    <w:rsid w:val="009C7C05"/>
    <w:rsid w:val="009C7C7B"/>
    <w:rsid w:val="009C7D0A"/>
    <w:rsid w:val="009C7FF1"/>
    <w:rsid w:val="009D035B"/>
    <w:rsid w:val="009D063F"/>
    <w:rsid w:val="009D0881"/>
    <w:rsid w:val="009D09D1"/>
    <w:rsid w:val="009D0E97"/>
    <w:rsid w:val="009D124A"/>
    <w:rsid w:val="009D12E9"/>
    <w:rsid w:val="009D1557"/>
    <w:rsid w:val="009D1883"/>
    <w:rsid w:val="009D2EFE"/>
    <w:rsid w:val="009D3332"/>
    <w:rsid w:val="009D3417"/>
    <w:rsid w:val="009D3767"/>
    <w:rsid w:val="009D3AEA"/>
    <w:rsid w:val="009D437A"/>
    <w:rsid w:val="009D44D9"/>
    <w:rsid w:val="009D4807"/>
    <w:rsid w:val="009D576D"/>
    <w:rsid w:val="009D5CC3"/>
    <w:rsid w:val="009D5D23"/>
    <w:rsid w:val="009D6859"/>
    <w:rsid w:val="009D730F"/>
    <w:rsid w:val="009D7736"/>
    <w:rsid w:val="009D7855"/>
    <w:rsid w:val="009D7892"/>
    <w:rsid w:val="009D7C27"/>
    <w:rsid w:val="009E0E91"/>
    <w:rsid w:val="009E149D"/>
    <w:rsid w:val="009E1935"/>
    <w:rsid w:val="009E1A6C"/>
    <w:rsid w:val="009E1A93"/>
    <w:rsid w:val="009E1D81"/>
    <w:rsid w:val="009E1FFE"/>
    <w:rsid w:val="009E2256"/>
    <w:rsid w:val="009E29A1"/>
    <w:rsid w:val="009E30F7"/>
    <w:rsid w:val="009E3261"/>
    <w:rsid w:val="009E3526"/>
    <w:rsid w:val="009E3620"/>
    <w:rsid w:val="009E36A5"/>
    <w:rsid w:val="009E3886"/>
    <w:rsid w:val="009E39C1"/>
    <w:rsid w:val="009E3AC2"/>
    <w:rsid w:val="009E3DBB"/>
    <w:rsid w:val="009E3F33"/>
    <w:rsid w:val="009E468D"/>
    <w:rsid w:val="009E4B8C"/>
    <w:rsid w:val="009E5234"/>
    <w:rsid w:val="009E5244"/>
    <w:rsid w:val="009E5613"/>
    <w:rsid w:val="009E5BF8"/>
    <w:rsid w:val="009E5E11"/>
    <w:rsid w:val="009E695B"/>
    <w:rsid w:val="009E6AFB"/>
    <w:rsid w:val="009E6BCD"/>
    <w:rsid w:val="009E6EEA"/>
    <w:rsid w:val="009E7019"/>
    <w:rsid w:val="009E70B6"/>
    <w:rsid w:val="009E75AA"/>
    <w:rsid w:val="009F0285"/>
    <w:rsid w:val="009F0562"/>
    <w:rsid w:val="009F0867"/>
    <w:rsid w:val="009F0C11"/>
    <w:rsid w:val="009F1129"/>
    <w:rsid w:val="009F1254"/>
    <w:rsid w:val="009F1511"/>
    <w:rsid w:val="009F154A"/>
    <w:rsid w:val="009F166F"/>
    <w:rsid w:val="009F1915"/>
    <w:rsid w:val="009F1A01"/>
    <w:rsid w:val="009F2092"/>
    <w:rsid w:val="009F2226"/>
    <w:rsid w:val="009F27AA"/>
    <w:rsid w:val="009F2F8B"/>
    <w:rsid w:val="009F3CD8"/>
    <w:rsid w:val="009F3D08"/>
    <w:rsid w:val="009F46AF"/>
    <w:rsid w:val="009F4A24"/>
    <w:rsid w:val="009F4A7C"/>
    <w:rsid w:val="009F5506"/>
    <w:rsid w:val="009F576E"/>
    <w:rsid w:val="009F59CE"/>
    <w:rsid w:val="009F5AB7"/>
    <w:rsid w:val="009F6A10"/>
    <w:rsid w:val="009F6BC1"/>
    <w:rsid w:val="009F6BD7"/>
    <w:rsid w:val="009F6C99"/>
    <w:rsid w:val="009F6D47"/>
    <w:rsid w:val="009F6F79"/>
    <w:rsid w:val="009F70EF"/>
    <w:rsid w:val="009F7A94"/>
    <w:rsid w:val="009F7B89"/>
    <w:rsid w:val="009F7BFE"/>
    <w:rsid w:val="009F7F03"/>
    <w:rsid w:val="00A009D5"/>
    <w:rsid w:val="00A00ABF"/>
    <w:rsid w:val="00A00FDB"/>
    <w:rsid w:val="00A013D2"/>
    <w:rsid w:val="00A01781"/>
    <w:rsid w:val="00A019A2"/>
    <w:rsid w:val="00A01EF5"/>
    <w:rsid w:val="00A01F3C"/>
    <w:rsid w:val="00A02B78"/>
    <w:rsid w:val="00A02C03"/>
    <w:rsid w:val="00A02F2A"/>
    <w:rsid w:val="00A03506"/>
    <w:rsid w:val="00A035D5"/>
    <w:rsid w:val="00A0397D"/>
    <w:rsid w:val="00A03F3F"/>
    <w:rsid w:val="00A0406E"/>
    <w:rsid w:val="00A040E8"/>
    <w:rsid w:val="00A0454E"/>
    <w:rsid w:val="00A04A1A"/>
    <w:rsid w:val="00A04E11"/>
    <w:rsid w:val="00A04ECB"/>
    <w:rsid w:val="00A050FA"/>
    <w:rsid w:val="00A05178"/>
    <w:rsid w:val="00A05206"/>
    <w:rsid w:val="00A056BF"/>
    <w:rsid w:val="00A05B0F"/>
    <w:rsid w:val="00A05FF4"/>
    <w:rsid w:val="00A06475"/>
    <w:rsid w:val="00A06A1A"/>
    <w:rsid w:val="00A07CF9"/>
    <w:rsid w:val="00A105D4"/>
    <w:rsid w:val="00A108EB"/>
    <w:rsid w:val="00A112EB"/>
    <w:rsid w:val="00A11670"/>
    <w:rsid w:val="00A117DC"/>
    <w:rsid w:val="00A120C5"/>
    <w:rsid w:val="00A121A1"/>
    <w:rsid w:val="00A1232C"/>
    <w:rsid w:val="00A12366"/>
    <w:rsid w:val="00A124FB"/>
    <w:rsid w:val="00A12517"/>
    <w:rsid w:val="00A12A9F"/>
    <w:rsid w:val="00A12D66"/>
    <w:rsid w:val="00A12E14"/>
    <w:rsid w:val="00A130FE"/>
    <w:rsid w:val="00A136EE"/>
    <w:rsid w:val="00A14A91"/>
    <w:rsid w:val="00A14EE0"/>
    <w:rsid w:val="00A153AB"/>
    <w:rsid w:val="00A156BF"/>
    <w:rsid w:val="00A158D5"/>
    <w:rsid w:val="00A15936"/>
    <w:rsid w:val="00A1593F"/>
    <w:rsid w:val="00A164FB"/>
    <w:rsid w:val="00A165B1"/>
    <w:rsid w:val="00A16688"/>
    <w:rsid w:val="00A17109"/>
    <w:rsid w:val="00A175BD"/>
    <w:rsid w:val="00A179C2"/>
    <w:rsid w:val="00A17C61"/>
    <w:rsid w:val="00A20313"/>
    <w:rsid w:val="00A20805"/>
    <w:rsid w:val="00A20F96"/>
    <w:rsid w:val="00A21004"/>
    <w:rsid w:val="00A2109F"/>
    <w:rsid w:val="00A210AF"/>
    <w:rsid w:val="00A21145"/>
    <w:rsid w:val="00A2124F"/>
    <w:rsid w:val="00A2188C"/>
    <w:rsid w:val="00A2195E"/>
    <w:rsid w:val="00A21CE1"/>
    <w:rsid w:val="00A21E3A"/>
    <w:rsid w:val="00A21E91"/>
    <w:rsid w:val="00A21F8F"/>
    <w:rsid w:val="00A22D44"/>
    <w:rsid w:val="00A22FD9"/>
    <w:rsid w:val="00A23C2F"/>
    <w:rsid w:val="00A240A1"/>
    <w:rsid w:val="00A240D5"/>
    <w:rsid w:val="00A2411A"/>
    <w:rsid w:val="00A2510D"/>
    <w:rsid w:val="00A25159"/>
    <w:rsid w:val="00A251BE"/>
    <w:rsid w:val="00A25CF8"/>
    <w:rsid w:val="00A25DA9"/>
    <w:rsid w:val="00A26018"/>
    <w:rsid w:val="00A27049"/>
    <w:rsid w:val="00A27081"/>
    <w:rsid w:val="00A270E6"/>
    <w:rsid w:val="00A27103"/>
    <w:rsid w:val="00A2750D"/>
    <w:rsid w:val="00A27530"/>
    <w:rsid w:val="00A27662"/>
    <w:rsid w:val="00A30896"/>
    <w:rsid w:val="00A31545"/>
    <w:rsid w:val="00A315C8"/>
    <w:rsid w:val="00A31795"/>
    <w:rsid w:val="00A3182F"/>
    <w:rsid w:val="00A31C3F"/>
    <w:rsid w:val="00A328E1"/>
    <w:rsid w:val="00A32A16"/>
    <w:rsid w:val="00A32E85"/>
    <w:rsid w:val="00A330E8"/>
    <w:rsid w:val="00A3321E"/>
    <w:rsid w:val="00A332F5"/>
    <w:rsid w:val="00A336B4"/>
    <w:rsid w:val="00A336E9"/>
    <w:rsid w:val="00A33776"/>
    <w:rsid w:val="00A33862"/>
    <w:rsid w:val="00A33E98"/>
    <w:rsid w:val="00A33F94"/>
    <w:rsid w:val="00A34606"/>
    <w:rsid w:val="00A3484E"/>
    <w:rsid w:val="00A34CDC"/>
    <w:rsid w:val="00A34F64"/>
    <w:rsid w:val="00A35190"/>
    <w:rsid w:val="00A3529F"/>
    <w:rsid w:val="00A3565F"/>
    <w:rsid w:val="00A35B8A"/>
    <w:rsid w:val="00A363C4"/>
    <w:rsid w:val="00A36515"/>
    <w:rsid w:val="00A36782"/>
    <w:rsid w:val="00A36AA7"/>
    <w:rsid w:val="00A36AC4"/>
    <w:rsid w:val="00A36C66"/>
    <w:rsid w:val="00A36DA0"/>
    <w:rsid w:val="00A37312"/>
    <w:rsid w:val="00A374A9"/>
    <w:rsid w:val="00A37A54"/>
    <w:rsid w:val="00A4028C"/>
    <w:rsid w:val="00A402FF"/>
    <w:rsid w:val="00A40518"/>
    <w:rsid w:val="00A40898"/>
    <w:rsid w:val="00A41929"/>
    <w:rsid w:val="00A41D65"/>
    <w:rsid w:val="00A41D9C"/>
    <w:rsid w:val="00A42150"/>
    <w:rsid w:val="00A42506"/>
    <w:rsid w:val="00A42B60"/>
    <w:rsid w:val="00A42F0B"/>
    <w:rsid w:val="00A42F4B"/>
    <w:rsid w:val="00A43012"/>
    <w:rsid w:val="00A435A6"/>
    <w:rsid w:val="00A43A3D"/>
    <w:rsid w:val="00A43C5A"/>
    <w:rsid w:val="00A43E10"/>
    <w:rsid w:val="00A43E28"/>
    <w:rsid w:val="00A4435B"/>
    <w:rsid w:val="00A44474"/>
    <w:rsid w:val="00A44902"/>
    <w:rsid w:val="00A44914"/>
    <w:rsid w:val="00A44E9A"/>
    <w:rsid w:val="00A44ECF"/>
    <w:rsid w:val="00A44EFD"/>
    <w:rsid w:val="00A451B0"/>
    <w:rsid w:val="00A458C9"/>
    <w:rsid w:val="00A45B11"/>
    <w:rsid w:val="00A45DB8"/>
    <w:rsid w:val="00A45FED"/>
    <w:rsid w:val="00A46191"/>
    <w:rsid w:val="00A46773"/>
    <w:rsid w:val="00A47203"/>
    <w:rsid w:val="00A474F1"/>
    <w:rsid w:val="00A4755F"/>
    <w:rsid w:val="00A4765A"/>
    <w:rsid w:val="00A478B4"/>
    <w:rsid w:val="00A47A25"/>
    <w:rsid w:val="00A47C69"/>
    <w:rsid w:val="00A47DE0"/>
    <w:rsid w:val="00A50659"/>
    <w:rsid w:val="00A50845"/>
    <w:rsid w:val="00A50E35"/>
    <w:rsid w:val="00A51AC0"/>
    <w:rsid w:val="00A51B70"/>
    <w:rsid w:val="00A51DE4"/>
    <w:rsid w:val="00A51E57"/>
    <w:rsid w:val="00A52896"/>
    <w:rsid w:val="00A53201"/>
    <w:rsid w:val="00A53460"/>
    <w:rsid w:val="00A534DA"/>
    <w:rsid w:val="00A53567"/>
    <w:rsid w:val="00A539AC"/>
    <w:rsid w:val="00A54810"/>
    <w:rsid w:val="00A549EC"/>
    <w:rsid w:val="00A54EA0"/>
    <w:rsid w:val="00A54F8A"/>
    <w:rsid w:val="00A551C6"/>
    <w:rsid w:val="00A55253"/>
    <w:rsid w:val="00A556E5"/>
    <w:rsid w:val="00A55A79"/>
    <w:rsid w:val="00A55DF3"/>
    <w:rsid w:val="00A56180"/>
    <w:rsid w:val="00A562F2"/>
    <w:rsid w:val="00A56EAB"/>
    <w:rsid w:val="00A56F6F"/>
    <w:rsid w:val="00A56F88"/>
    <w:rsid w:val="00A56FBE"/>
    <w:rsid w:val="00A5725B"/>
    <w:rsid w:val="00A577F6"/>
    <w:rsid w:val="00A600FD"/>
    <w:rsid w:val="00A601AB"/>
    <w:rsid w:val="00A60581"/>
    <w:rsid w:val="00A60AB0"/>
    <w:rsid w:val="00A60B6B"/>
    <w:rsid w:val="00A60CCB"/>
    <w:rsid w:val="00A613CF"/>
    <w:rsid w:val="00A615B6"/>
    <w:rsid w:val="00A61DD5"/>
    <w:rsid w:val="00A6224A"/>
    <w:rsid w:val="00A62480"/>
    <w:rsid w:val="00A626E4"/>
    <w:rsid w:val="00A62900"/>
    <w:rsid w:val="00A635DF"/>
    <w:rsid w:val="00A64994"/>
    <w:rsid w:val="00A64D0B"/>
    <w:rsid w:val="00A656DF"/>
    <w:rsid w:val="00A656F6"/>
    <w:rsid w:val="00A66144"/>
    <w:rsid w:val="00A663E7"/>
    <w:rsid w:val="00A66B79"/>
    <w:rsid w:val="00A66B7C"/>
    <w:rsid w:val="00A66ED1"/>
    <w:rsid w:val="00A67099"/>
    <w:rsid w:val="00A671FA"/>
    <w:rsid w:val="00A673BF"/>
    <w:rsid w:val="00A67B14"/>
    <w:rsid w:val="00A67D7F"/>
    <w:rsid w:val="00A707D4"/>
    <w:rsid w:val="00A70B4B"/>
    <w:rsid w:val="00A70B81"/>
    <w:rsid w:val="00A71740"/>
    <w:rsid w:val="00A71787"/>
    <w:rsid w:val="00A71BD8"/>
    <w:rsid w:val="00A71BE0"/>
    <w:rsid w:val="00A71E72"/>
    <w:rsid w:val="00A71E8F"/>
    <w:rsid w:val="00A7218C"/>
    <w:rsid w:val="00A7286B"/>
    <w:rsid w:val="00A72989"/>
    <w:rsid w:val="00A72A1A"/>
    <w:rsid w:val="00A72E59"/>
    <w:rsid w:val="00A72F25"/>
    <w:rsid w:val="00A73177"/>
    <w:rsid w:val="00A731A8"/>
    <w:rsid w:val="00A7357F"/>
    <w:rsid w:val="00A739F6"/>
    <w:rsid w:val="00A7414C"/>
    <w:rsid w:val="00A74489"/>
    <w:rsid w:val="00A74BCD"/>
    <w:rsid w:val="00A75268"/>
    <w:rsid w:val="00A75843"/>
    <w:rsid w:val="00A7675C"/>
    <w:rsid w:val="00A76AA9"/>
    <w:rsid w:val="00A76D53"/>
    <w:rsid w:val="00A76E1A"/>
    <w:rsid w:val="00A7723C"/>
    <w:rsid w:val="00A776B7"/>
    <w:rsid w:val="00A77D98"/>
    <w:rsid w:val="00A80A9E"/>
    <w:rsid w:val="00A80DCB"/>
    <w:rsid w:val="00A81420"/>
    <w:rsid w:val="00A81587"/>
    <w:rsid w:val="00A8186B"/>
    <w:rsid w:val="00A819F9"/>
    <w:rsid w:val="00A82238"/>
    <w:rsid w:val="00A831E2"/>
    <w:rsid w:val="00A8355F"/>
    <w:rsid w:val="00A8357B"/>
    <w:rsid w:val="00A8383E"/>
    <w:rsid w:val="00A8388F"/>
    <w:rsid w:val="00A83985"/>
    <w:rsid w:val="00A83E01"/>
    <w:rsid w:val="00A840BF"/>
    <w:rsid w:val="00A84848"/>
    <w:rsid w:val="00A84A1A"/>
    <w:rsid w:val="00A84EB2"/>
    <w:rsid w:val="00A852CE"/>
    <w:rsid w:val="00A853F8"/>
    <w:rsid w:val="00A85717"/>
    <w:rsid w:val="00A85ED5"/>
    <w:rsid w:val="00A85FF9"/>
    <w:rsid w:val="00A865E1"/>
    <w:rsid w:val="00A86F8E"/>
    <w:rsid w:val="00A870DC"/>
    <w:rsid w:val="00A8791E"/>
    <w:rsid w:val="00A87D37"/>
    <w:rsid w:val="00A903D3"/>
    <w:rsid w:val="00A9054A"/>
    <w:rsid w:val="00A90914"/>
    <w:rsid w:val="00A91C3A"/>
    <w:rsid w:val="00A91CE8"/>
    <w:rsid w:val="00A91FC6"/>
    <w:rsid w:val="00A93835"/>
    <w:rsid w:val="00A93E81"/>
    <w:rsid w:val="00A93FAB"/>
    <w:rsid w:val="00A941CE"/>
    <w:rsid w:val="00A9435A"/>
    <w:rsid w:val="00A94DEA"/>
    <w:rsid w:val="00A95047"/>
    <w:rsid w:val="00A95204"/>
    <w:rsid w:val="00A955E8"/>
    <w:rsid w:val="00A9585B"/>
    <w:rsid w:val="00A95A6D"/>
    <w:rsid w:val="00A95A7A"/>
    <w:rsid w:val="00A95B2F"/>
    <w:rsid w:val="00A95C02"/>
    <w:rsid w:val="00A96087"/>
    <w:rsid w:val="00A96316"/>
    <w:rsid w:val="00A96371"/>
    <w:rsid w:val="00A96B35"/>
    <w:rsid w:val="00A96BE5"/>
    <w:rsid w:val="00A96E84"/>
    <w:rsid w:val="00A9715F"/>
    <w:rsid w:val="00A97736"/>
    <w:rsid w:val="00A97775"/>
    <w:rsid w:val="00A979DA"/>
    <w:rsid w:val="00A97ADB"/>
    <w:rsid w:val="00A97F11"/>
    <w:rsid w:val="00AA0111"/>
    <w:rsid w:val="00AA024E"/>
    <w:rsid w:val="00AA0859"/>
    <w:rsid w:val="00AA0A6F"/>
    <w:rsid w:val="00AA11E6"/>
    <w:rsid w:val="00AA1C43"/>
    <w:rsid w:val="00AA1D03"/>
    <w:rsid w:val="00AA1D3F"/>
    <w:rsid w:val="00AA1F56"/>
    <w:rsid w:val="00AA2043"/>
    <w:rsid w:val="00AA23EA"/>
    <w:rsid w:val="00AA2AB9"/>
    <w:rsid w:val="00AA2FA3"/>
    <w:rsid w:val="00AA308C"/>
    <w:rsid w:val="00AA3448"/>
    <w:rsid w:val="00AA3575"/>
    <w:rsid w:val="00AA378D"/>
    <w:rsid w:val="00AA3879"/>
    <w:rsid w:val="00AA4412"/>
    <w:rsid w:val="00AA561A"/>
    <w:rsid w:val="00AA571A"/>
    <w:rsid w:val="00AA6955"/>
    <w:rsid w:val="00AA78EB"/>
    <w:rsid w:val="00AA7A8C"/>
    <w:rsid w:val="00AB02D9"/>
    <w:rsid w:val="00AB035B"/>
    <w:rsid w:val="00AB092C"/>
    <w:rsid w:val="00AB0A7C"/>
    <w:rsid w:val="00AB1129"/>
    <w:rsid w:val="00AB11E3"/>
    <w:rsid w:val="00AB1884"/>
    <w:rsid w:val="00AB1A85"/>
    <w:rsid w:val="00AB1C3D"/>
    <w:rsid w:val="00AB26FE"/>
    <w:rsid w:val="00AB2896"/>
    <w:rsid w:val="00AB2C1C"/>
    <w:rsid w:val="00AB318E"/>
    <w:rsid w:val="00AB3EEE"/>
    <w:rsid w:val="00AB3F90"/>
    <w:rsid w:val="00AB40C8"/>
    <w:rsid w:val="00AB4193"/>
    <w:rsid w:val="00AB44C9"/>
    <w:rsid w:val="00AB452F"/>
    <w:rsid w:val="00AB49EA"/>
    <w:rsid w:val="00AB4F35"/>
    <w:rsid w:val="00AB4F7A"/>
    <w:rsid w:val="00AB56EC"/>
    <w:rsid w:val="00AB5AB4"/>
    <w:rsid w:val="00AB5B00"/>
    <w:rsid w:val="00AB5F63"/>
    <w:rsid w:val="00AB609F"/>
    <w:rsid w:val="00AB6454"/>
    <w:rsid w:val="00AB6637"/>
    <w:rsid w:val="00AB68DC"/>
    <w:rsid w:val="00AB6AF5"/>
    <w:rsid w:val="00AB7773"/>
    <w:rsid w:val="00AB7B6A"/>
    <w:rsid w:val="00AB7B80"/>
    <w:rsid w:val="00AB7CEC"/>
    <w:rsid w:val="00AC0115"/>
    <w:rsid w:val="00AC03E8"/>
    <w:rsid w:val="00AC06C3"/>
    <w:rsid w:val="00AC07AA"/>
    <w:rsid w:val="00AC088F"/>
    <w:rsid w:val="00AC0E37"/>
    <w:rsid w:val="00AC0FA9"/>
    <w:rsid w:val="00AC1314"/>
    <w:rsid w:val="00AC13EE"/>
    <w:rsid w:val="00AC1618"/>
    <w:rsid w:val="00AC1BBC"/>
    <w:rsid w:val="00AC1DF4"/>
    <w:rsid w:val="00AC2231"/>
    <w:rsid w:val="00AC2901"/>
    <w:rsid w:val="00AC2B8E"/>
    <w:rsid w:val="00AC34B7"/>
    <w:rsid w:val="00AC3A35"/>
    <w:rsid w:val="00AC41A1"/>
    <w:rsid w:val="00AC46DB"/>
    <w:rsid w:val="00AC4A0C"/>
    <w:rsid w:val="00AC4B0D"/>
    <w:rsid w:val="00AC4CCA"/>
    <w:rsid w:val="00AC4EBE"/>
    <w:rsid w:val="00AC4EE6"/>
    <w:rsid w:val="00AC504E"/>
    <w:rsid w:val="00AC52E1"/>
    <w:rsid w:val="00AC5547"/>
    <w:rsid w:val="00AC5E6A"/>
    <w:rsid w:val="00AC5EC1"/>
    <w:rsid w:val="00AC5F7F"/>
    <w:rsid w:val="00AC6B55"/>
    <w:rsid w:val="00AC6FB6"/>
    <w:rsid w:val="00AC719A"/>
    <w:rsid w:val="00AC79A6"/>
    <w:rsid w:val="00AC7D45"/>
    <w:rsid w:val="00AD01F2"/>
    <w:rsid w:val="00AD07AA"/>
    <w:rsid w:val="00AD09E0"/>
    <w:rsid w:val="00AD0FB1"/>
    <w:rsid w:val="00AD10C4"/>
    <w:rsid w:val="00AD1520"/>
    <w:rsid w:val="00AD1537"/>
    <w:rsid w:val="00AD16C5"/>
    <w:rsid w:val="00AD1B6B"/>
    <w:rsid w:val="00AD1B9A"/>
    <w:rsid w:val="00AD1FD3"/>
    <w:rsid w:val="00AD2026"/>
    <w:rsid w:val="00AD27F0"/>
    <w:rsid w:val="00AD2A89"/>
    <w:rsid w:val="00AD2AAB"/>
    <w:rsid w:val="00AD2B1B"/>
    <w:rsid w:val="00AD2FD2"/>
    <w:rsid w:val="00AD30EB"/>
    <w:rsid w:val="00AD32BB"/>
    <w:rsid w:val="00AD35A6"/>
    <w:rsid w:val="00AD381D"/>
    <w:rsid w:val="00AD3A87"/>
    <w:rsid w:val="00AD4415"/>
    <w:rsid w:val="00AD45B8"/>
    <w:rsid w:val="00AD45FD"/>
    <w:rsid w:val="00AD4675"/>
    <w:rsid w:val="00AD4AE2"/>
    <w:rsid w:val="00AD4B8D"/>
    <w:rsid w:val="00AD55B8"/>
    <w:rsid w:val="00AD58CA"/>
    <w:rsid w:val="00AD5AD0"/>
    <w:rsid w:val="00AD6180"/>
    <w:rsid w:val="00AD6262"/>
    <w:rsid w:val="00AD6286"/>
    <w:rsid w:val="00AD6299"/>
    <w:rsid w:val="00AD6BD3"/>
    <w:rsid w:val="00AD7069"/>
    <w:rsid w:val="00AD7426"/>
    <w:rsid w:val="00AD745B"/>
    <w:rsid w:val="00AD7BBE"/>
    <w:rsid w:val="00AD7F84"/>
    <w:rsid w:val="00AE00EC"/>
    <w:rsid w:val="00AE05A2"/>
    <w:rsid w:val="00AE06A8"/>
    <w:rsid w:val="00AE131D"/>
    <w:rsid w:val="00AE199D"/>
    <w:rsid w:val="00AE19E1"/>
    <w:rsid w:val="00AE1A98"/>
    <w:rsid w:val="00AE24B0"/>
    <w:rsid w:val="00AE2773"/>
    <w:rsid w:val="00AE2993"/>
    <w:rsid w:val="00AE2DAF"/>
    <w:rsid w:val="00AE2F79"/>
    <w:rsid w:val="00AE30DB"/>
    <w:rsid w:val="00AE31E6"/>
    <w:rsid w:val="00AE3474"/>
    <w:rsid w:val="00AE3C84"/>
    <w:rsid w:val="00AE3D30"/>
    <w:rsid w:val="00AE425B"/>
    <w:rsid w:val="00AE4721"/>
    <w:rsid w:val="00AE4E0F"/>
    <w:rsid w:val="00AE4E7A"/>
    <w:rsid w:val="00AE6782"/>
    <w:rsid w:val="00AE6CEA"/>
    <w:rsid w:val="00AE71A5"/>
    <w:rsid w:val="00AE7794"/>
    <w:rsid w:val="00AF069F"/>
    <w:rsid w:val="00AF0B20"/>
    <w:rsid w:val="00AF0D37"/>
    <w:rsid w:val="00AF0DDA"/>
    <w:rsid w:val="00AF1140"/>
    <w:rsid w:val="00AF1AB0"/>
    <w:rsid w:val="00AF1AC1"/>
    <w:rsid w:val="00AF1F46"/>
    <w:rsid w:val="00AF2395"/>
    <w:rsid w:val="00AF23C8"/>
    <w:rsid w:val="00AF297D"/>
    <w:rsid w:val="00AF3153"/>
    <w:rsid w:val="00AF362F"/>
    <w:rsid w:val="00AF459A"/>
    <w:rsid w:val="00AF4CA9"/>
    <w:rsid w:val="00AF5036"/>
    <w:rsid w:val="00AF5793"/>
    <w:rsid w:val="00AF5B98"/>
    <w:rsid w:val="00AF5CDC"/>
    <w:rsid w:val="00AF5F3E"/>
    <w:rsid w:val="00AF681F"/>
    <w:rsid w:val="00AF6861"/>
    <w:rsid w:val="00AF6A7D"/>
    <w:rsid w:val="00AF6B6A"/>
    <w:rsid w:val="00AF6E00"/>
    <w:rsid w:val="00AF7197"/>
    <w:rsid w:val="00AF735E"/>
    <w:rsid w:val="00AF7E4D"/>
    <w:rsid w:val="00AF7E7D"/>
    <w:rsid w:val="00AF7E9C"/>
    <w:rsid w:val="00B00FBD"/>
    <w:rsid w:val="00B012F7"/>
    <w:rsid w:val="00B01916"/>
    <w:rsid w:val="00B019F6"/>
    <w:rsid w:val="00B01A9E"/>
    <w:rsid w:val="00B0206E"/>
    <w:rsid w:val="00B021A4"/>
    <w:rsid w:val="00B02234"/>
    <w:rsid w:val="00B02726"/>
    <w:rsid w:val="00B02BFD"/>
    <w:rsid w:val="00B03BAE"/>
    <w:rsid w:val="00B03E8C"/>
    <w:rsid w:val="00B04602"/>
    <w:rsid w:val="00B04655"/>
    <w:rsid w:val="00B04748"/>
    <w:rsid w:val="00B0476E"/>
    <w:rsid w:val="00B057AF"/>
    <w:rsid w:val="00B057C5"/>
    <w:rsid w:val="00B05B2E"/>
    <w:rsid w:val="00B05C1F"/>
    <w:rsid w:val="00B067D6"/>
    <w:rsid w:val="00B06E98"/>
    <w:rsid w:val="00B072E4"/>
    <w:rsid w:val="00B07423"/>
    <w:rsid w:val="00B10921"/>
    <w:rsid w:val="00B1111B"/>
    <w:rsid w:val="00B11782"/>
    <w:rsid w:val="00B11DB2"/>
    <w:rsid w:val="00B11F61"/>
    <w:rsid w:val="00B12183"/>
    <w:rsid w:val="00B125F6"/>
    <w:rsid w:val="00B1261F"/>
    <w:rsid w:val="00B12679"/>
    <w:rsid w:val="00B12AF6"/>
    <w:rsid w:val="00B12CF8"/>
    <w:rsid w:val="00B12FBB"/>
    <w:rsid w:val="00B131CD"/>
    <w:rsid w:val="00B137FA"/>
    <w:rsid w:val="00B13CB0"/>
    <w:rsid w:val="00B1407B"/>
    <w:rsid w:val="00B14116"/>
    <w:rsid w:val="00B14191"/>
    <w:rsid w:val="00B14738"/>
    <w:rsid w:val="00B14916"/>
    <w:rsid w:val="00B14BA2"/>
    <w:rsid w:val="00B151BF"/>
    <w:rsid w:val="00B1538C"/>
    <w:rsid w:val="00B153E0"/>
    <w:rsid w:val="00B15433"/>
    <w:rsid w:val="00B15BBC"/>
    <w:rsid w:val="00B15CAD"/>
    <w:rsid w:val="00B15E2D"/>
    <w:rsid w:val="00B16A80"/>
    <w:rsid w:val="00B16BBC"/>
    <w:rsid w:val="00B16BC2"/>
    <w:rsid w:val="00B16EF4"/>
    <w:rsid w:val="00B17420"/>
    <w:rsid w:val="00B177EC"/>
    <w:rsid w:val="00B17816"/>
    <w:rsid w:val="00B17932"/>
    <w:rsid w:val="00B200DF"/>
    <w:rsid w:val="00B206E1"/>
    <w:rsid w:val="00B20E82"/>
    <w:rsid w:val="00B20F68"/>
    <w:rsid w:val="00B210DB"/>
    <w:rsid w:val="00B21520"/>
    <w:rsid w:val="00B21CE7"/>
    <w:rsid w:val="00B22AD6"/>
    <w:rsid w:val="00B22D4C"/>
    <w:rsid w:val="00B22F32"/>
    <w:rsid w:val="00B2395B"/>
    <w:rsid w:val="00B23EB5"/>
    <w:rsid w:val="00B24029"/>
    <w:rsid w:val="00B24280"/>
    <w:rsid w:val="00B24283"/>
    <w:rsid w:val="00B24CFF"/>
    <w:rsid w:val="00B24FA1"/>
    <w:rsid w:val="00B25186"/>
    <w:rsid w:val="00B252F2"/>
    <w:rsid w:val="00B259E6"/>
    <w:rsid w:val="00B25E4C"/>
    <w:rsid w:val="00B260F6"/>
    <w:rsid w:val="00B2668B"/>
    <w:rsid w:val="00B266C6"/>
    <w:rsid w:val="00B26703"/>
    <w:rsid w:val="00B267A4"/>
    <w:rsid w:val="00B26892"/>
    <w:rsid w:val="00B26EB1"/>
    <w:rsid w:val="00B2788E"/>
    <w:rsid w:val="00B30098"/>
    <w:rsid w:val="00B3029D"/>
    <w:rsid w:val="00B3093B"/>
    <w:rsid w:val="00B30C97"/>
    <w:rsid w:val="00B30D0B"/>
    <w:rsid w:val="00B314A7"/>
    <w:rsid w:val="00B31AD3"/>
    <w:rsid w:val="00B31FDD"/>
    <w:rsid w:val="00B320A2"/>
    <w:rsid w:val="00B32930"/>
    <w:rsid w:val="00B32C58"/>
    <w:rsid w:val="00B33564"/>
    <w:rsid w:val="00B3393C"/>
    <w:rsid w:val="00B33C69"/>
    <w:rsid w:val="00B34553"/>
    <w:rsid w:val="00B34A6B"/>
    <w:rsid w:val="00B34CFD"/>
    <w:rsid w:val="00B35972"/>
    <w:rsid w:val="00B3601B"/>
    <w:rsid w:val="00B367AB"/>
    <w:rsid w:val="00B36EFF"/>
    <w:rsid w:val="00B37488"/>
    <w:rsid w:val="00B3798C"/>
    <w:rsid w:val="00B37B40"/>
    <w:rsid w:val="00B406AC"/>
    <w:rsid w:val="00B40A43"/>
    <w:rsid w:val="00B410A3"/>
    <w:rsid w:val="00B410AF"/>
    <w:rsid w:val="00B41252"/>
    <w:rsid w:val="00B41494"/>
    <w:rsid w:val="00B41A11"/>
    <w:rsid w:val="00B41A4E"/>
    <w:rsid w:val="00B41E1B"/>
    <w:rsid w:val="00B4336A"/>
    <w:rsid w:val="00B4344B"/>
    <w:rsid w:val="00B435A8"/>
    <w:rsid w:val="00B43B79"/>
    <w:rsid w:val="00B43D15"/>
    <w:rsid w:val="00B43D6F"/>
    <w:rsid w:val="00B4480B"/>
    <w:rsid w:val="00B44938"/>
    <w:rsid w:val="00B44EE2"/>
    <w:rsid w:val="00B45344"/>
    <w:rsid w:val="00B45556"/>
    <w:rsid w:val="00B45D4C"/>
    <w:rsid w:val="00B469E5"/>
    <w:rsid w:val="00B46DB2"/>
    <w:rsid w:val="00B46FA2"/>
    <w:rsid w:val="00B4711C"/>
    <w:rsid w:val="00B47609"/>
    <w:rsid w:val="00B47744"/>
    <w:rsid w:val="00B4790D"/>
    <w:rsid w:val="00B47CFA"/>
    <w:rsid w:val="00B50AD7"/>
    <w:rsid w:val="00B50D91"/>
    <w:rsid w:val="00B50E4E"/>
    <w:rsid w:val="00B51426"/>
    <w:rsid w:val="00B5144D"/>
    <w:rsid w:val="00B514BE"/>
    <w:rsid w:val="00B5173B"/>
    <w:rsid w:val="00B51BCC"/>
    <w:rsid w:val="00B521FF"/>
    <w:rsid w:val="00B52D84"/>
    <w:rsid w:val="00B537D0"/>
    <w:rsid w:val="00B53E37"/>
    <w:rsid w:val="00B54201"/>
    <w:rsid w:val="00B544F1"/>
    <w:rsid w:val="00B54930"/>
    <w:rsid w:val="00B564D2"/>
    <w:rsid w:val="00B5650F"/>
    <w:rsid w:val="00B56A1C"/>
    <w:rsid w:val="00B56B21"/>
    <w:rsid w:val="00B571CD"/>
    <w:rsid w:val="00B572F8"/>
    <w:rsid w:val="00B575B7"/>
    <w:rsid w:val="00B5786F"/>
    <w:rsid w:val="00B57F0B"/>
    <w:rsid w:val="00B60301"/>
    <w:rsid w:val="00B60A70"/>
    <w:rsid w:val="00B60C14"/>
    <w:rsid w:val="00B60C1A"/>
    <w:rsid w:val="00B60D91"/>
    <w:rsid w:val="00B61A8D"/>
    <w:rsid w:val="00B61D9D"/>
    <w:rsid w:val="00B61E82"/>
    <w:rsid w:val="00B61FFE"/>
    <w:rsid w:val="00B6227B"/>
    <w:rsid w:val="00B62332"/>
    <w:rsid w:val="00B6242E"/>
    <w:rsid w:val="00B6320F"/>
    <w:rsid w:val="00B633DD"/>
    <w:rsid w:val="00B634F8"/>
    <w:rsid w:val="00B63561"/>
    <w:rsid w:val="00B6423A"/>
    <w:rsid w:val="00B6442F"/>
    <w:rsid w:val="00B6450C"/>
    <w:rsid w:val="00B64542"/>
    <w:rsid w:val="00B64583"/>
    <w:rsid w:val="00B64E72"/>
    <w:rsid w:val="00B64F8C"/>
    <w:rsid w:val="00B65620"/>
    <w:rsid w:val="00B65712"/>
    <w:rsid w:val="00B6581F"/>
    <w:rsid w:val="00B65BFB"/>
    <w:rsid w:val="00B66956"/>
    <w:rsid w:val="00B66A8E"/>
    <w:rsid w:val="00B66DEF"/>
    <w:rsid w:val="00B66F59"/>
    <w:rsid w:val="00B671BA"/>
    <w:rsid w:val="00B672D9"/>
    <w:rsid w:val="00B67D6B"/>
    <w:rsid w:val="00B70A8A"/>
    <w:rsid w:val="00B710DB"/>
    <w:rsid w:val="00B713F9"/>
    <w:rsid w:val="00B72732"/>
    <w:rsid w:val="00B727D3"/>
    <w:rsid w:val="00B73138"/>
    <w:rsid w:val="00B7339C"/>
    <w:rsid w:val="00B737B5"/>
    <w:rsid w:val="00B737C1"/>
    <w:rsid w:val="00B74C78"/>
    <w:rsid w:val="00B74D11"/>
    <w:rsid w:val="00B74FBA"/>
    <w:rsid w:val="00B75052"/>
    <w:rsid w:val="00B7530B"/>
    <w:rsid w:val="00B753C8"/>
    <w:rsid w:val="00B759C3"/>
    <w:rsid w:val="00B75F62"/>
    <w:rsid w:val="00B75F6D"/>
    <w:rsid w:val="00B76434"/>
    <w:rsid w:val="00B76875"/>
    <w:rsid w:val="00B76950"/>
    <w:rsid w:val="00B76D16"/>
    <w:rsid w:val="00B76F3E"/>
    <w:rsid w:val="00B772D7"/>
    <w:rsid w:val="00B7757B"/>
    <w:rsid w:val="00B77730"/>
    <w:rsid w:val="00B778AC"/>
    <w:rsid w:val="00B77990"/>
    <w:rsid w:val="00B805A3"/>
    <w:rsid w:val="00B809B8"/>
    <w:rsid w:val="00B80BB1"/>
    <w:rsid w:val="00B80E1D"/>
    <w:rsid w:val="00B80E3D"/>
    <w:rsid w:val="00B80F5D"/>
    <w:rsid w:val="00B81A89"/>
    <w:rsid w:val="00B81AD0"/>
    <w:rsid w:val="00B81B3C"/>
    <w:rsid w:val="00B82103"/>
    <w:rsid w:val="00B82529"/>
    <w:rsid w:val="00B82A90"/>
    <w:rsid w:val="00B82AB6"/>
    <w:rsid w:val="00B8335E"/>
    <w:rsid w:val="00B83637"/>
    <w:rsid w:val="00B8376A"/>
    <w:rsid w:val="00B83819"/>
    <w:rsid w:val="00B83BCC"/>
    <w:rsid w:val="00B83F20"/>
    <w:rsid w:val="00B841B6"/>
    <w:rsid w:val="00B841DB"/>
    <w:rsid w:val="00B8426C"/>
    <w:rsid w:val="00B8469C"/>
    <w:rsid w:val="00B84D80"/>
    <w:rsid w:val="00B8500F"/>
    <w:rsid w:val="00B852F7"/>
    <w:rsid w:val="00B8541F"/>
    <w:rsid w:val="00B85757"/>
    <w:rsid w:val="00B85C91"/>
    <w:rsid w:val="00B86102"/>
    <w:rsid w:val="00B8621A"/>
    <w:rsid w:val="00B867AE"/>
    <w:rsid w:val="00B86B51"/>
    <w:rsid w:val="00B86CAF"/>
    <w:rsid w:val="00B87569"/>
    <w:rsid w:val="00B905AA"/>
    <w:rsid w:val="00B906E4"/>
    <w:rsid w:val="00B907E2"/>
    <w:rsid w:val="00B90A34"/>
    <w:rsid w:val="00B90D9C"/>
    <w:rsid w:val="00B916BE"/>
    <w:rsid w:val="00B917F4"/>
    <w:rsid w:val="00B91C5A"/>
    <w:rsid w:val="00B91ECF"/>
    <w:rsid w:val="00B920DA"/>
    <w:rsid w:val="00B9235C"/>
    <w:rsid w:val="00B92477"/>
    <w:rsid w:val="00B928C6"/>
    <w:rsid w:val="00B928E0"/>
    <w:rsid w:val="00B92FE9"/>
    <w:rsid w:val="00B93227"/>
    <w:rsid w:val="00B932EC"/>
    <w:rsid w:val="00B933D3"/>
    <w:rsid w:val="00B934F3"/>
    <w:rsid w:val="00B93582"/>
    <w:rsid w:val="00B93840"/>
    <w:rsid w:val="00B93B84"/>
    <w:rsid w:val="00B9422E"/>
    <w:rsid w:val="00B946CA"/>
    <w:rsid w:val="00B94E87"/>
    <w:rsid w:val="00B94EE7"/>
    <w:rsid w:val="00B94FAD"/>
    <w:rsid w:val="00B9517B"/>
    <w:rsid w:val="00B95453"/>
    <w:rsid w:val="00B957CD"/>
    <w:rsid w:val="00B95928"/>
    <w:rsid w:val="00B95EB5"/>
    <w:rsid w:val="00B96267"/>
    <w:rsid w:val="00B963D5"/>
    <w:rsid w:val="00B96820"/>
    <w:rsid w:val="00B96BE4"/>
    <w:rsid w:val="00B96C22"/>
    <w:rsid w:val="00B971BB"/>
    <w:rsid w:val="00B971FE"/>
    <w:rsid w:val="00B97309"/>
    <w:rsid w:val="00B97460"/>
    <w:rsid w:val="00B97643"/>
    <w:rsid w:val="00B97C3D"/>
    <w:rsid w:val="00BA068E"/>
    <w:rsid w:val="00BA0964"/>
    <w:rsid w:val="00BA0AFA"/>
    <w:rsid w:val="00BA0C4B"/>
    <w:rsid w:val="00BA0D23"/>
    <w:rsid w:val="00BA1572"/>
    <w:rsid w:val="00BA1AD3"/>
    <w:rsid w:val="00BA1D8E"/>
    <w:rsid w:val="00BA20A3"/>
    <w:rsid w:val="00BA263E"/>
    <w:rsid w:val="00BA341D"/>
    <w:rsid w:val="00BA385D"/>
    <w:rsid w:val="00BA3977"/>
    <w:rsid w:val="00BA39C8"/>
    <w:rsid w:val="00BA4D7A"/>
    <w:rsid w:val="00BA52C5"/>
    <w:rsid w:val="00BA52E5"/>
    <w:rsid w:val="00BA6135"/>
    <w:rsid w:val="00BA682F"/>
    <w:rsid w:val="00BA69F3"/>
    <w:rsid w:val="00BA6E65"/>
    <w:rsid w:val="00BA6F5D"/>
    <w:rsid w:val="00BA7282"/>
    <w:rsid w:val="00BA7BF5"/>
    <w:rsid w:val="00BA7FE9"/>
    <w:rsid w:val="00BB0047"/>
    <w:rsid w:val="00BB0E8C"/>
    <w:rsid w:val="00BB164C"/>
    <w:rsid w:val="00BB1CE8"/>
    <w:rsid w:val="00BB1D18"/>
    <w:rsid w:val="00BB1EE4"/>
    <w:rsid w:val="00BB1FC1"/>
    <w:rsid w:val="00BB2975"/>
    <w:rsid w:val="00BB2A1F"/>
    <w:rsid w:val="00BB2B4B"/>
    <w:rsid w:val="00BB2E40"/>
    <w:rsid w:val="00BB2E5C"/>
    <w:rsid w:val="00BB342D"/>
    <w:rsid w:val="00BB372B"/>
    <w:rsid w:val="00BB3B91"/>
    <w:rsid w:val="00BB40EC"/>
    <w:rsid w:val="00BB49B8"/>
    <w:rsid w:val="00BB4A94"/>
    <w:rsid w:val="00BB54BE"/>
    <w:rsid w:val="00BB56C7"/>
    <w:rsid w:val="00BB5A3D"/>
    <w:rsid w:val="00BB60FA"/>
    <w:rsid w:val="00BB6D71"/>
    <w:rsid w:val="00BB6E25"/>
    <w:rsid w:val="00BB71CC"/>
    <w:rsid w:val="00BB7375"/>
    <w:rsid w:val="00BB7442"/>
    <w:rsid w:val="00BC0194"/>
    <w:rsid w:val="00BC0346"/>
    <w:rsid w:val="00BC0DE9"/>
    <w:rsid w:val="00BC0F00"/>
    <w:rsid w:val="00BC1400"/>
    <w:rsid w:val="00BC1A4F"/>
    <w:rsid w:val="00BC1C42"/>
    <w:rsid w:val="00BC2146"/>
    <w:rsid w:val="00BC21FF"/>
    <w:rsid w:val="00BC2347"/>
    <w:rsid w:val="00BC2650"/>
    <w:rsid w:val="00BC2B25"/>
    <w:rsid w:val="00BC2B57"/>
    <w:rsid w:val="00BC2C23"/>
    <w:rsid w:val="00BC2CB9"/>
    <w:rsid w:val="00BC318F"/>
    <w:rsid w:val="00BC346F"/>
    <w:rsid w:val="00BC36A5"/>
    <w:rsid w:val="00BC37B4"/>
    <w:rsid w:val="00BC3817"/>
    <w:rsid w:val="00BC39D7"/>
    <w:rsid w:val="00BC3A8E"/>
    <w:rsid w:val="00BC3BCA"/>
    <w:rsid w:val="00BC3D49"/>
    <w:rsid w:val="00BC3E18"/>
    <w:rsid w:val="00BC4461"/>
    <w:rsid w:val="00BC46B4"/>
    <w:rsid w:val="00BC5187"/>
    <w:rsid w:val="00BC5597"/>
    <w:rsid w:val="00BC5953"/>
    <w:rsid w:val="00BC5B0B"/>
    <w:rsid w:val="00BC5D57"/>
    <w:rsid w:val="00BC5EE9"/>
    <w:rsid w:val="00BC6109"/>
    <w:rsid w:val="00BC6F49"/>
    <w:rsid w:val="00BC7990"/>
    <w:rsid w:val="00BC7A5B"/>
    <w:rsid w:val="00BC7B4E"/>
    <w:rsid w:val="00BC7F05"/>
    <w:rsid w:val="00BD07F7"/>
    <w:rsid w:val="00BD0E71"/>
    <w:rsid w:val="00BD17CF"/>
    <w:rsid w:val="00BD1D5C"/>
    <w:rsid w:val="00BD1DB1"/>
    <w:rsid w:val="00BD1FD3"/>
    <w:rsid w:val="00BD3A5C"/>
    <w:rsid w:val="00BD3D2B"/>
    <w:rsid w:val="00BD3FB8"/>
    <w:rsid w:val="00BD423C"/>
    <w:rsid w:val="00BD4294"/>
    <w:rsid w:val="00BD4B79"/>
    <w:rsid w:val="00BD4C82"/>
    <w:rsid w:val="00BD51E7"/>
    <w:rsid w:val="00BD53D0"/>
    <w:rsid w:val="00BD5559"/>
    <w:rsid w:val="00BD56A6"/>
    <w:rsid w:val="00BD571F"/>
    <w:rsid w:val="00BD5896"/>
    <w:rsid w:val="00BD5C87"/>
    <w:rsid w:val="00BD5DA3"/>
    <w:rsid w:val="00BD5EEF"/>
    <w:rsid w:val="00BD6072"/>
    <w:rsid w:val="00BD6250"/>
    <w:rsid w:val="00BD6385"/>
    <w:rsid w:val="00BD6A42"/>
    <w:rsid w:val="00BD6D4F"/>
    <w:rsid w:val="00BD7119"/>
    <w:rsid w:val="00BD7716"/>
    <w:rsid w:val="00BD77D4"/>
    <w:rsid w:val="00BD7CD0"/>
    <w:rsid w:val="00BD7E52"/>
    <w:rsid w:val="00BE0035"/>
    <w:rsid w:val="00BE0C9A"/>
    <w:rsid w:val="00BE0DB6"/>
    <w:rsid w:val="00BE1560"/>
    <w:rsid w:val="00BE15BD"/>
    <w:rsid w:val="00BE1E9F"/>
    <w:rsid w:val="00BE3161"/>
    <w:rsid w:val="00BE32C7"/>
    <w:rsid w:val="00BE33CF"/>
    <w:rsid w:val="00BE369F"/>
    <w:rsid w:val="00BE3A87"/>
    <w:rsid w:val="00BE4088"/>
    <w:rsid w:val="00BE453A"/>
    <w:rsid w:val="00BE4D97"/>
    <w:rsid w:val="00BE4EA8"/>
    <w:rsid w:val="00BE4EAF"/>
    <w:rsid w:val="00BE5024"/>
    <w:rsid w:val="00BE57E7"/>
    <w:rsid w:val="00BE58A0"/>
    <w:rsid w:val="00BE5C30"/>
    <w:rsid w:val="00BE5D8A"/>
    <w:rsid w:val="00BE60BA"/>
    <w:rsid w:val="00BE61F6"/>
    <w:rsid w:val="00BE6481"/>
    <w:rsid w:val="00BE677F"/>
    <w:rsid w:val="00BE67A2"/>
    <w:rsid w:val="00BE73C9"/>
    <w:rsid w:val="00BE75E3"/>
    <w:rsid w:val="00BF0193"/>
    <w:rsid w:val="00BF05BB"/>
    <w:rsid w:val="00BF0607"/>
    <w:rsid w:val="00BF12C4"/>
    <w:rsid w:val="00BF144D"/>
    <w:rsid w:val="00BF1835"/>
    <w:rsid w:val="00BF1BB1"/>
    <w:rsid w:val="00BF223C"/>
    <w:rsid w:val="00BF2846"/>
    <w:rsid w:val="00BF2A6E"/>
    <w:rsid w:val="00BF35CA"/>
    <w:rsid w:val="00BF3C3F"/>
    <w:rsid w:val="00BF3C59"/>
    <w:rsid w:val="00BF3D48"/>
    <w:rsid w:val="00BF3EFF"/>
    <w:rsid w:val="00BF40EE"/>
    <w:rsid w:val="00BF4178"/>
    <w:rsid w:val="00BF44A4"/>
    <w:rsid w:val="00BF45DF"/>
    <w:rsid w:val="00BF4816"/>
    <w:rsid w:val="00BF4C2E"/>
    <w:rsid w:val="00BF4CAB"/>
    <w:rsid w:val="00BF4E43"/>
    <w:rsid w:val="00BF4F18"/>
    <w:rsid w:val="00BF54F2"/>
    <w:rsid w:val="00BF5E5B"/>
    <w:rsid w:val="00BF6322"/>
    <w:rsid w:val="00BF6483"/>
    <w:rsid w:val="00BF676B"/>
    <w:rsid w:val="00BF6810"/>
    <w:rsid w:val="00BF6DCB"/>
    <w:rsid w:val="00BF76D5"/>
    <w:rsid w:val="00C010BE"/>
    <w:rsid w:val="00C02EF6"/>
    <w:rsid w:val="00C0344C"/>
    <w:rsid w:val="00C03829"/>
    <w:rsid w:val="00C03AEC"/>
    <w:rsid w:val="00C03AF3"/>
    <w:rsid w:val="00C04C47"/>
    <w:rsid w:val="00C052D1"/>
    <w:rsid w:val="00C05579"/>
    <w:rsid w:val="00C05960"/>
    <w:rsid w:val="00C06035"/>
    <w:rsid w:val="00C061D6"/>
    <w:rsid w:val="00C064C7"/>
    <w:rsid w:val="00C06894"/>
    <w:rsid w:val="00C068FE"/>
    <w:rsid w:val="00C07045"/>
    <w:rsid w:val="00C0765C"/>
    <w:rsid w:val="00C0768F"/>
    <w:rsid w:val="00C078B9"/>
    <w:rsid w:val="00C100FC"/>
    <w:rsid w:val="00C104BE"/>
    <w:rsid w:val="00C10F03"/>
    <w:rsid w:val="00C110BD"/>
    <w:rsid w:val="00C112A9"/>
    <w:rsid w:val="00C1159B"/>
    <w:rsid w:val="00C1192A"/>
    <w:rsid w:val="00C12474"/>
    <w:rsid w:val="00C12700"/>
    <w:rsid w:val="00C12C2D"/>
    <w:rsid w:val="00C12C96"/>
    <w:rsid w:val="00C132C5"/>
    <w:rsid w:val="00C136EE"/>
    <w:rsid w:val="00C1373E"/>
    <w:rsid w:val="00C13B0C"/>
    <w:rsid w:val="00C13D1B"/>
    <w:rsid w:val="00C13EF8"/>
    <w:rsid w:val="00C14283"/>
    <w:rsid w:val="00C144D1"/>
    <w:rsid w:val="00C15066"/>
    <w:rsid w:val="00C150D6"/>
    <w:rsid w:val="00C15258"/>
    <w:rsid w:val="00C15295"/>
    <w:rsid w:val="00C15960"/>
    <w:rsid w:val="00C15D8B"/>
    <w:rsid w:val="00C160F6"/>
    <w:rsid w:val="00C16177"/>
    <w:rsid w:val="00C168E4"/>
    <w:rsid w:val="00C16E26"/>
    <w:rsid w:val="00C1726E"/>
    <w:rsid w:val="00C173CF"/>
    <w:rsid w:val="00C176E5"/>
    <w:rsid w:val="00C20231"/>
    <w:rsid w:val="00C2070B"/>
    <w:rsid w:val="00C20B19"/>
    <w:rsid w:val="00C20CDB"/>
    <w:rsid w:val="00C20E79"/>
    <w:rsid w:val="00C20EA1"/>
    <w:rsid w:val="00C21394"/>
    <w:rsid w:val="00C2142C"/>
    <w:rsid w:val="00C216B6"/>
    <w:rsid w:val="00C216C7"/>
    <w:rsid w:val="00C2205D"/>
    <w:rsid w:val="00C23390"/>
    <w:rsid w:val="00C23A11"/>
    <w:rsid w:val="00C23C5D"/>
    <w:rsid w:val="00C23C80"/>
    <w:rsid w:val="00C23E53"/>
    <w:rsid w:val="00C243B9"/>
    <w:rsid w:val="00C24468"/>
    <w:rsid w:val="00C24942"/>
    <w:rsid w:val="00C24A1D"/>
    <w:rsid w:val="00C25175"/>
    <w:rsid w:val="00C2519B"/>
    <w:rsid w:val="00C251A4"/>
    <w:rsid w:val="00C253E9"/>
    <w:rsid w:val="00C255ED"/>
    <w:rsid w:val="00C25B50"/>
    <w:rsid w:val="00C25FA6"/>
    <w:rsid w:val="00C268AE"/>
    <w:rsid w:val="00C26AED"/>
    <w:rsid w:val="00C272C4"/>
    <w:rsid w:val="00C2799B"/>
    <w:rsid w:val="00C27BCC"/>
    <w:rsid w:val="00C305AC"/>
    <w:rsid w:val="00C3113A"/>
    <w:rsid w:val="00C311B6"/>
    <w:rsid w:val="00C3121A"/>
    <w:rsid w:val="00C31349"/>
    <w:rsid w:val="00C31566"/>
    <w:rsid w:val="00C315DA"/>
    <w:rsid w:val="00C31E54"/>
    <w:rsid w:val="00C31EBE"/>
    <w:rsid w:val="00C320AE"/>
    <w:rsid w:val="00C324AE"/>
    <w:rsid w:val="00C32AA5"/>
    <w:rsid w:val="00C3331C"/>
    <w:rsid w:val="00C33B85"/>
    <w:rsid w:val="00C33C45"/>
    <w:rsid w:val="00C33DBE"/>
    <w:rsid w:val="00C34576"/>
    <w:rsid w:val="00C34648"/>
    <w:rsid w:val="00C34E7D"/>
    <w:rsid w:val="00C350F6"/>
    <w:rsid w:val="00C3520B"/>
    <w:rsid w:val="00C352C1"/>
    <w:rsid w:val="00C353B8"/>
    <w:rsid w:val="00C353C5"/>
    <w:rsid w:val="00C35C25"/>
    <w:rsid w:val="00C35E3D"/>
    <w:rsid w:val="00C36032"/>
    <w:rsid w:val="00C36433"/>
    <w:rsid w:val="00C36799"/>
    <w:rsid w:val="00C36983"/>
    <w:rsid w:val="00C36EF4"/>
    <w:rsid w:val="00C37605"/>
    <w:rsid w:val="00C377FA"/>
    <w:rsid w:val="00C37DDE"/>
    <w:rsid w:val="00C37EE6"/>
    <w:rsid w:val="00C402F7"/>
    <w:rsid w:val="00C40668"/>
    <w:rsid w:val="00C406E6"/>
    <w:rsid w:val="00C40B4E"/>
    <w:rsid w:val="00C41AAF"/>
    <w:rsid w:val="00C41D4F"/>
    <w:rsid w:val="00C42232"/>
    <w:rsid w:val="00C42975"/>
    <w:rsid w:val="00C43867"/>
    <w:rsid w:val="00C444EA"/>
    <w:rsid w:val="00C44530"/>
    <w:rsid w:val="00C44790"/>
    <w:rsid w:val="00C44BEB"/>
    <w:rsid w:val="00C4559F"/>
    <w:rsid w:val="00C459A1"/>
    <w:rsid w:val="00C45A1E"/>
    <w:rsid w:val="00C46BB1"/>
    <w:rsid w:val="00C473F6"/>
    <w:rsid w:val="00C47629"/>
    <w:rsid w:val="00C4780D"/>
    <w:rsid w:val="00C47D34"/>
    <w:rsid w:val="00C47D54"/>
    <w:rsid w:val="00C502B9"/>
    <w:rsid w:val="00C50DDE"/>
    <w:rsid w:val="00C50DFE"/>
    <w:rsid w:val="00C51E59"/>
    <w:rsid w:val="00C5242A"/>
    <w:rsid w:val="00C52B27"/>
    <w:rsid w:val="00C52D0A"/>
    <w:rsid w:val="00C53887"/>
    <w:rsid w:val="00C53FE8"/>
    <w:rsid w:val="00C54024"/>
    <w:rsid w:val="00C54090"/>
    <w:rsid w:val="00C5410F"/>
    <w:rsid w:val="00C5441A"/>
    <w:rsid w:val="00C5473E"/>
    <w:rsid w:val="00C54AF9"/>
    <w:rsid w:val="00C54DF1"/>
    <w:rsid w:val="00C552BF"/>
    <w:rsid w:val="00C55309"/>
    <w:rsid w:val="00C55490"/>
    <w:rsid w:val="00C55861"/>
    <w:rsid w:val="00C55ECE"/>
    <w:rsid w:val="00C5669E"/>
    <w:rsid w:val="00C56735"/>
    <w:rsid w:val="00C5699B"/>
    <w:rsid w:val="00C56D50"/>
    <w:rsid w:val="00C570BF"/>
    <w:rsid w:val="00C57123"/>
    <w:rsid w:val="00C57584"/>
    <w:rsid w:val="00C57C02"/>
    <w:rsid w:val="00C60746"/>
    <w:rsid w:val="00C608C8"/>
    <w:rsid w:val="00C60BD1"/>
    <w:rsid w:val="00C611EC"/>
    <w:rsid w:val="00C61599"/>
    <w:rsid w:val="00C616DF"/>
    <w:rsid w:val="00C61D9C"/>
    <w:rsid w:val="00C6251D"/>
    <w:rsid w:val="00C6263B"/>
    <w:rsid w:val="00C63026"/>
    <w:rsid w:val="00C631F5"/>
    <w:rsid w:val="00C63357"/>
    <w:rsid w:val="00C63810"/>
    <w:rsid w:val="00C63917"/>
    <w:rsid w:val="00C645D4"/>
    <w:rsid w:val="00C64672"/>
    <w:rsid w:val="00C657D7"/>
    <w:rsid w:val="00C65CD4"/>
    <w:rsid w:val="00C6601F"/>
    <w:rsid w:val="00C66310"/>
    <w:rsid w:val="00C6637C"/>
    <w:rsid w:val="00C6645C"/>
    <w:rsid w:val="00C666A5"/>
    <w:rsid w:val="00C667AE"/>
    <w:rsid w:val="00C668A2"/>
    <w:rsid w:val="00C66A0C"/>
    <w:rsid w:val="00C66AA1"/>
    <w:rsid w:val="00C66ACA"/>
    <w:rsid w:val="00C66D72"/>
    <w:rsid w:val="00C66F6B"/>
    <w:rsid w:val="00C67057"/>
    <w:rsid w:val="00C670F3"/>
    <w:rsid w:val="00C67118"/>
    <w:rsid w:val="00C679BA"/>
    <w:rsid w:val="00C700E6"/>
    <w:rsid w:val="00C70393"/>
    <w:rsid w:val="00C70AB2"/>
    <w:rsid w:val="00C70BEE"/>
    <w:rsid w:val="00C70D92"/>
    <w:rsid w:val="00C71380"/>
    <w:rsid w:val="00C7194E"/>
    <w:rsid w:val="00C71D51"/>
    <w:rsid w:val="00C71F39"/>
    <w:rsid w:val="00C721C5"/>
    <w:rsid w:val="00C72BD4"/>
    <w:rsid w:val="00C73010"/>
    <w:rsid w:val="00C73686"/>
    <w:rsid w:val="00C73F1E"/>
    <w:rsid w:val="00C743BE"/>
    <w:rsid w:val="00C74633"/>
    <w:rsid w:val="00C74B79"/>
    <w:rsid w:val="00C74C5D"/>
    <w:rsid w:val="00C7575F"/>
    <w:rsid w:val="00C75C4C"/>
    <w:rsid w:val="00C75C9B"/>
    <w:rsid w:val="00C75D6D"/>
    <w:rsid w:val="00C7628F"/>
    <w:rsid w:val="00C76528"/>
    <w:rsid w:val="00C77276"/>
    <w:rsid w:val="00C7773D"/>
    <w:rsid w:val="00C77746"/>
    <w:rsid w:val="00C777AC"/>
    <w:rsid w:val="00C77872"/>
    <w:rsid w:val="00C80133"/>
    <w:rsid w:val="00C802CC"/>
    <w:rsid w:val="00C8088E"/>
    <w:rsid w:val="00C809D7"/>
    <w:rsid w:val="00C8122E"/>
    <w:rsid w:val="00C8152E"/>
    <w:rsid w:val="00C81776"/>
    <w:rsid w:val="00C817AA"/>
    <w:rsid w:val="00C82699"/>
    <w:rsid w:val="00C829EB"/>
    <w:rsid w:val="00C82B06"/>
    <w:rsid w:val="00C82CEE"/>
    <w:rsid w:val="00C82DEB"/>
    <w:rsid w:val="00C83C70"/>
    <w:rsid w:val="00C83E6A"/>
    <w:rsid w:val="00C841F3"/>
    <w:rsid w:val="00C843FD"/>
    <w:rsid w:val="00C84810"/>
    <w:rsid w:val="00C84E82"/>
    <w:rsid w:val="00C85246"/>
    <w:rsid w:val="00C8525B"/>
    <w:rsid w:val="00C852CD"/>
    <w:rsid w:val="00C85498"/>
    <w:rsid w:val="00C85776"/>
    <w:rsid w:val="00C8598E"/>
    <w:rsid w:val="00C85F35"/>
    <w:rsid w:val="00C867A9"/>
    <w:rsid w:val="00C86EE4"/>
    <w:rsid w:val="00C8744D"/>
    <w:rsid w:val="00C877D0"/>
    <w:rsid w:val="00C9018F"/>
    <w:rsid w:val="00C901DE"/>
    <w:rsid w:val="00C9035C"/>
    <w:rsid w:val="00C90585"/>
    <w:rsid w:val="00C90626"/>
    <w:rsid w:val="00C90839"/>
    <w:rsid w:val="00C90B3B"/>
    <w:rsid w:val="00C90C66"/>
    <w:rsid w:val="00C922E5"/>
    <w:rsid w:val="00C92806"/>
    <w:rsid w:val="00C929FF"/>
    <w:rsid w:val="00C92C85"/>
    <w:rsid w:val="00C931B8"/>
    <w:rsid w:val="00C93580"/>
    <w:rsid w:val="00C936B7"/>
    <w:rsid w:val="00C9378A"/>
    <w:rsid w:val="00C94046"/>
    <w:rsid w:val="00C941FB"/>
    <w:rsid w:val="00C942C6"/>
    <w:rsid w:val="00C94410"/>
    <w:rsid w:val="00C9455C"/>
    <w:rsid w:val="00C94B64"/>
    <w:rsid w:val="00C9506A"/>
    <w:rsid w:val="00C953FA"/>
    <w:rsid w:val="00C954F9"/>
    <w:rsid w:val="00C95A92"/>
    <w:rsid w:val="00C95B2E"/>
    <w:rsid w:val="00C95DCB"/>
    <w:rsid w:val="00C9648F"/>
    <w:rsid w:val="00C96A3B"/>
    <w:rsid w:val="00C96B2C"/>
    <w:rsid w:val="00C96DD4"/>
    <w:rsid w:val="00C97285"/>
    <w:rsid w:val="00C972DA"/>
    <w:rsid w:val="00C9771E"/>
    <w:rsid w:val="00C97918"/>
    <w:rsid w:val="00C979AC"/>
    <w:rsid w:val="00C97B5B"/>
    <w:rsid w:val="00CA0151"/>
    <w:rsid w:val="00CA0D82"/>
    <w:rsid w:val="00CA0D97"/>
    <w:rsid w:val="00CA1681"/>
    <w:rsid w:val="00CA16E4"/>
    <w:rsid w:val="00CA17BA"/>
    <w:rsid w:val="00CA1969"/>
    <w:rsid w:val="00CA1EC9"/>
    <w:rsid w:val="00CA1F47"/>
    <w:rsid w:val="00CA23A1"/>
    <w:rsid w:val="00CA2AE7"/>
    <w:rsid w:val="00CA2C90"/>
    <w:rsid w:val="00CA3051"/>
    <w:rsid w:val="00CA3241"/>
    <w:rsid w:val="00CA34EE"/>
    <w:rsid w:val="00CA3556"/>
    <w:rsid w:val="00CA3A67"/>
    <w:rsid w:val="00CA3F36"/>
    <w:rsid w:val="00CA4258"/>
    <w:rsid w:val="00CA4B44"/>
    <w:rsid w:val="00CA4F12"/>
    <w:rsid w:val="00CA50B7"/>
    <w:rsid w:val="00CA5565"/>
    <w:rsid w:val="00CA5636"/>
    <w:rsid w:val="00CA5C54"/>
    <w:rsid w:val="00CA5FA8"/>
    <w:rsid w:val="00CA6783"/>
    <w:rsid w:val="00CA6972"/>
    <w:rsid w:val="00CA699B"/>
    <w:rsid w:val="00CA6ED4"/>
    <w:rsid w:val="00CA71EB"/>
    <w:rsid w:val="00CA7311"/>
    <w:rsid w:val="00CA79E7"/>
    <w:rsid w:val="00CA7B69"/>
    <w:rsid w:val="00CA7CBA"/>
    <w:rsid w:val="00CA7DFE"/>
    <w:rsid w:val="00CA7F43"/>
    <w:rsid w:val="00CB05E3"/>
    <w:rsid w:val="00CB0F2C"/>
    <w:rsid w:val="00CB14A5"/>
    <w:rsid w:val="00CB1C9E"/>
    <w:rsid w:val="00CB1F1E"/>
    <w:rsid w:val="00CB227D"/>
    <w:rsid w:val="00CB2542"/>
    <w:rsid w:val="00CB28A1"/>
    <w:rsid w:val="00CB2C0E"/>
    <w:rsid w:val="00CB2D0B"/>
    <w:rsid w:val="00CB2E56"/>
    <w:rsid w:val="00CB2FDD"/>
    <w:rsid w:val="00CB31EA"/>
    <w:rsid w:val="00CB3750"/>
    <w:rsid w:val="00CB3D04"/>
    <w:rsid w:val="00CB3E2C"/>
    <w:rsid w:val="00CB4068"/>
    <w:rsid w:val="00CB4277"/>
    <w:rsid w:val="00CB473A"/>
    <w:rsid w:val="00CB4EB8"/>
    <w:rsid w:val="00CB4F85"/>
    <w:rsid w:val="00CB51BC"/>
    <w:rsid w:val="00CB5286"/>
    <w:rsid w:val="00CB6618"/>
    <w:rsid w:val="00CB69F2"/>
    <w:rsid w:val="00CB6A29"/>
    <w:rsid w:val="00CB6B64"/>
    <w:rsid w:val="00CB6BDD"/>
    <w:rsid w:val="00CB6D09"/>
    <w:rsid w:val="00CB72E6"/>
    <w:rsid w:val="00CB72EE"/>
    <w:rsid w:val="00CB77EA"/>
    <w:rsid w:val="00CB78F0"/>
    <w:rsid w:val="00CB7DE1"/>
    <w:rsid w:val="00CC0226"/>
    <w:rsid w:val="00CC03A7"/>
    <w:rsid w:val="00CC03FA"/>
    <w:rsid w:val="00CC04F6"/>
    <w:rsid w:val="00CC0908"/>
    <w:rsid w:val="00CC0910"/>
    <w:rsid w:val="00CC0F4B"/>
    <w:rsid w:val="00CC13EC"/>
    <w:rsid w:val="00CC1763"/>
    <w:rsid w:val="00CC199F"/>
    <w:rsid w:val="00CC1DA7"/>
    <w:rsid w:val="00CC22D6"/>
    <w:rsid w:val="00CC234C"/>
    <w:rsid w:val="00CC242B"/>
    <w:rsid w:val="00CC2467"/>
    <w:rsid w:val="00CC253C"/>
    <w:rsid w:val="00CC269B"/>
    <w:rsid w:val="00CC2846"/>
    <w:rsid w:val="00CC2848"/>
    <w:rsid w:val="00CC2E9E"/>
    <w:rsid w:val="00CC30F7"/>
    <w:rsid w:val="00CC3183"/>
    <w:rsid w:val="00CC3CDD"/>
    <w:rsid w:val="00CC3D02"/>
    <w:rsid w:val="00CC44CF"/>
    <w:rsid w:val="00CC47B4"/>
    <w:rsid w:val="00CC4961"/>
    <w:rsid w:val="00CC5606"/>
    <w:rsid w:val="00CC5736"/>
    <w:rsid w:val="00CC5A54"/>
    <w:rsid w:val="00CC62BE"/>
    <w:rsid w:val="00CC6377"/>
    <w:rsid w:val="00CC67BE"/>
    <w:rsid w:val="00CC6CE3"/>
    <w:rsid w:val="00CC739A"/>
    <w:rsid w:val="00CC77E3"/>
    <w:rsid w:val="00CC7929"/>
    <w:rsid w:val="00CC7B8C"/>
    <w:rsid w:val="00CC7B96"/>
    <w:rsid w:val="00CD0226"/>
    <w:rsid w:val="00CD124E"/>
    <w:rsid w:val="00CD1487"/>
    <w:rsid w:val="00CD14B0"/>
    <w:rsid w:val="00CD1705"/>
    <w:rsid w:val="00CD2760"/>
    <w:rsid w:val="00CD27A5"/>
    <w:rsid w:val="00CD2D6D"/>
    <w:rsid w:val="00CD3290"/>
    <w:rsid w:val="00CD378C"/>
    <w:rsid w:val="00CD38A8"/>
    <w:rsid w:val="00CD39BD"/>
    <w:rsid w:val="00CD420B"/>
    <w:rsid w:val="00CD4A5D"/>
    <w:rsid w:val="00CD4B7C"/>
    <w:rsid w:val="00CD4D53"/>
    <w:rsid w:val="00CD556E"/>
    <w:rsid w:val="00CD560F"/>
    <w:rsid w:val="00CD5649"/>
    <w:rsid w:val="00CD58EF"/>
    <w:rsid w:val="00CD597B"/>
    <w:rsid w:val="00CD5D55"/>
    <w:rsid w:val="00CD5D9A"/>
    <w:rsid w:val="00CD657D"/>
    <w:rsid w:val="00CD6C6A"/>
    <w:rsid w:val="00CD6F2B"/>
    <w:rsid w:val="00CD71F3"/>
    <w:rsid w:val="00CD72B0"/>
    <w:rsid w:val="00CD7D1B"/>
    <w:rsid w:val="00CD7D92"/>
    <w:rsid w:val="00CD7DB8"/>
    <w:rsid w:val="00CE0185"/>
    <w:rsid w:val="00CE0657"/>
    <w:rsid w:val="00CE08CD"/>
    <w:rsid w:val="00CE0971"/>
    <w:rsid w:val="00CE0D3A"/>
    <w:rsid w:val="00CE0D98"/>
    <w:rsid w:val="00CE149B"/>
    <w:rsid w:val="00CE1681"/>
    <w:rsid w:val="00CE1702"/>
    <w:rsid w:val="00CE243F"/>
    <w:rsid w:val="00CE2824"/>
    <w:rsid w:val="00CE2876"/>
    <w:rsid w:val="00CE2DC5"/>
    <w:rsid w:val="00CE32E8"/>
    <w:rsid w:val="00CE37FD"/>
    <w:rsid w:val="00CE3910"/>
    <w:rsid w:val="00CE3974"/>
    <w:rsid w:val="00CE3A8E"/>
    <w:rsid w:val="00CE3CB8"/>
    <w:rsid w:val="00CE3E4F"/>
    <w:rsid w:val="00CE41D2"/>
    <w:rsid w:val="00CE4269"/>
    <w:rsid w:val="00CE42C1"/>
    <w:rsid w:val="00CE475E"/>
    <w:rsid w:val="00CE4957"/>
    <w:rsid w:val="00CE498C"/>
    <w:rsid w:val="00CE4A66"/>
    <w:rsid w:val="00CE4B11"/>
    <w:rsid w:val="00CE5545"/>
    <w:rsid w:val="00CE57EE"/>
    <w:rsid w:val="00CE5886"/>
    <w:rsid w:val="00CE666C"/>
    <w:rsid w:val="00CE6AAD"/>
    <w:rsid w:val="00CE6D0A"/>
    <w:rsid w:val="00CE6D3E"/>
    <w:rsid w:val="00CE6D80"/>
    <w:rsid w:val="00CE6D8D"/>
    <w:rsid w:val="00CE709E"/>
    <w:rsid w:val="00CE7993"/>
    <w:rsid w:val="00CE7C4E"/>
    <w:rsid w:val="00CE7E87"/>
    <w:rsid w:val="00CE7ECB"/>
    <w:rsid w:val="00CF0273"/>
    <w:rsid w:val="00CF0A51"/>
    <w:rsid w:val="00CF0ED3"/>
    <w:rsid w:val="00CF17BB"/>
    <w:rsid w:val="00CF18F6"/>
    <w:rsid w:val="00CF1A03"/>
    <w:rsid w:val="00CF1C7F"/>
    <w:rsid w:val="00CF21E3"/>
    <w:rsid w:val="00CF22A0"/>
    <w:rsid w:val="00CF25B7"/>
    <w:rsid w:val="00CF2904"/>
    <w:rsid w:val="00CF30C1"/>
    <w:rsid w:val="00CF32AA"/>
    <w:rsid w:val="00CF3773"/>
    <w:rsid w:val="00CF3D58"/>
    <w:rsid w:val="00CF433A"/>
    <w:rsid w:val="00CF495E"/>
    <w:rsid w:val="00CF4A9F"/>
    <w:rsid w:val="00CF4DCD"/>
    <w:rsid w:val="00CF578A"/>
    <w:rsid w:val="00CF5A19"/>
    <w:rsid w:val="00CF5BFE"/>
    <w:rsid w:val="00CF5FBD"/>
    <w:rsid w:val="00CF6772"/>
    <w:rsid w:val="00CF6941"/>
    <w:rsid w:val="00CF694A"/>
    <w:rsid w:val="00CF6A1F"/>
    <w:rsid w:val="00CF6DF3"/>
    <w:rsid w:val="00CF7691"/>
    <w:rsid w:val="00CF7720"/>
    <w:rsid w:val="00CF7AFF"/>
    <w:rsid w:val="00D0037B"/>
    <w:rsid w:val="00D00931"/>
    <w:rsid w:val="00D009FF"/>
    <w:rsid w:val="00D00BB1"/>
    <w:rsid w:val="00D01184"/>
    <w:rsid w:val="00D01360"/>
    <w:rsid w:val="00D01A5E"/>
    <w:rsid w:val="00D01E32"/>
    <w:rsid w:val="00D021A0"/>
    <w:rsid w:val="00D02549"/>
    <w:rsid w:val="00D02E00"/>
    <w:rsid w:val="00D03260"/>
    <w:rsid w:val="00D03B5F"/>
    <w:rsid w:val="00D03C0A"/>
    <w:rsid w:val="00D03F41"/>
    <w:rsid w:val="00D0411E"/>
    <w:rsid w:val="00D0442D"/>
    <w:rsid w:val="00D04CDD"/>
    <w:rsid w:val="00D055CE"/>
    <w:rsid w:val="00D064FB"/>
    <w:rsid w:val="00D0673D"/>
    <w:rsid w:val="00D068A5"/>
    <w:rsid w:val="00D06B20"/>
    <w:rsid w:val="00D06D5D"/>
    <w:rsid w:val="00D06F4A"/>
    <w:rsid w:val="00D07026"/>
    <w:rsid w:val="00D079B5"/>
    <w:rsid w:val="00D07A74"/>
    <w:rsid w:val="00D07F9F"/>
    <w:rsid w:val="00D109FD"/>
    <w:rsid w:val="00D10ED3"/>
    <w:rsid w:val="00D11807"/>
    <w:rsid w:val="00D118EB"/>
    <w:rsid w:val="00D1195C"/>
    <w:rsid w:val="00D11C35"/>
    <w:rsid w:val="00D12154"/>
    <w:rsid w:val="00D1283A"/>
    <w:rsid w:val="00D1339B"/>
    <w:rsid w:val="00D13506"/>
    <w:rsid w:val="00D13705"/>
    <w:rsid w:val="00D13872"/>
    <w:rsid w:val="00D145B7"/>
    <w:rsid w:val="00D14BD4"/>
    <w:rsid w:val="00D158C1"/>
    <w:rsid w:val="00D15DFF"/>
    <w:rsid w:val="00D161C4"/>
    <w:rsid w:val="00D16804"/>
    <w:rsid w:val="00D16ABB"/>
    <w:rsid w:val="00D16B73"/>
    <w:rsid w:val="00D16C16"/>
    <w:rsid w:val="00D16CF7"/>
    <w:rsid w:val="00D16DE8"/>
    <w:rsid w:val="00D16F8A"/>
    <w:rsid w:val="00D178B3"/>
    <w:rsid w:val="00D179D1"/>
    <w:rsid w:val="00D202B3"/>
    <w:rsid w:val="00D202D2"/>
    <w:rsid w:val="00D20665"/>
    <w:rsid w:val="00D2079B"/>
    <w:rsid w:val="00D20C37"/>
    <w:rsid w:val="00D20C70"/>
    <w:rsid w:val="00D2134D"/>
    <w:rsid w:val="00D21457"/>
    <w:rsid w:val="00D215E1"/>
    <w:rsid w:val="00D21717"/>
    <w:rsid w:val="00D21904"/>
    <w:rsid w:val="00D21A98"/>
    <w:rsid w:val="00D21DE3"/>
    <w:rsid w:val="00D21F7E"/>
    <w:rsid w:val="00D22003"/>
    <w:rsid w:val="00D22235"/>
    <w:rsid w:val="00D2280A"/>
    <w:rsid w:val="00D22A99"/>
    <w:rsid w:val="00D22B9E"/>
    <w:rsid w:val="00D23345"/>
    <w:rsid w:val="00D23429"/>
    <w:rsid w:val="00D235D8"/>
    <w:rsid w:val="00D23AAD"/>
    <w:rsid w:val="00D23EA4"/>
    <w:rsid w:val="00D2412E"/>
    <w:rsid w:val="00D24722"/>
    <w:rsid w:val="00D2476A"/>
    <w:rsid w:val="00D24E1A"/>
    <w:rsid w:val="00D2549F"/>
    <w:rsid w:val="00D25883"/>
    <w:rsid w:val="00D25FEF"/>
    <w:rsid w:val="00D26081"/>
    <w:rsid w:val="00D261E1"/>
    <w:rsid w:val="00D262F2"/>
    <w:rsid w:val="00D26439"/>
    <w:rsid w:val="00D26805"/>
    <w:rsid w:val="00D26856"/>
    <w:rsid w:val="00D27CB2"/>
    <w:rsid w:val="00D30095"/>
    <w:rsid w:val="00D30DA1"/>
    <w:rsid w:val="00D310BF"/>
    <w:rsid w:val="00D31601"/>
    <w:rsid w:val="00D31AD3"/>
    <w:rsid w:val="00D31FF0"/>
    <w:rsid w:val="00D3211D"/>
    <w:rsid w:val="00D3212D"/>
    <w:rsid w:val="00D3232F"/>
    <w:rsid w:val="00D32BD7"/>
    <w:rsid w:val="00D32C61"/>
    <w:rsid w:val="00D33B07"/>
    <w:rsid w:val="00D33BD5"/>
    <w:rsid w:val="00D33C55"/>
    <w:rsid w:val="00D33FFA"/>
    <w:rsid w:val="00D34197"/>
    <w:rsid w:val="00D3437A"/>
    <w:rsid w:val="00D343DE"/>
    <w:rsid w:val="00D3475E"/>
    <w:rsid w:val="00D34827"/>
    <w:rsid w:val="00D35125"/>
    <w:rsid w:val="00D354E8"/>
    <w:rsid w:val="00D35609"/>
    <w:rsid w:val="00D3579A"/>
    <w:rsid w:val="00D35877"/>
    <w:rsid w:val="00D35A68"/>
    <w:rsid w:val="00D35D3F"/>
    <w:rsid w:val="00D35FDB"/>
    <w:rsid w:val="00D362D6"/>
    <w:rsid w:val="00D368AF"/>
    <w:rsid w:val="00D36B1E"/>
    <w:rsid w:val="00D36BAB"/>
    <w:rsid w:val="00D36F35"/>
    <w:rsid w:val="00D376CF"/>
    <w:rsid w:val="00D37940"/>
    <w:rsid w:val="00D402B7"/>
    <w:rsid w:val="00D407D8"/>
    <w:rsid w:val="00D40AED"/>
    <w:rsid w:val="00D40FDA"/>
    <w:rsid w:val="00D4120E"/>
    <w:rsid w:val="00D412CB"/>
    <w:rsid w:val="00D417ED"/>
    <w:rsid w:val="00D418E2"/>
    <w:rsid w:val="00D41F9C"/>
    <w:rsid w:val="00D41FAC"/>
    <w:rsid w:val="00D41FDA"/>
    <w:rsid w:val="00D42303"/>
    <w:rsid w:val="00D4237A"/>
    <w:rsid w:val="00D427DD"/>
    <w:rsid w:val="00D42B4A"/>
    <w:rsid w:val="00D42CF5"/>
    <w:rsid w:val="00D42EBC"/>
    <w:rsid w:val="00D43215"/>
    <w:rsid w:val="00D434D8"/>
    <w:rsid w:val="00D435E6"/>
    <w:rsid w:val="00D437D3"/>
    <w:rsid w:val="00D44056"/>
    <w:rsid w:val="00D44132"/>
    <w:rsid w:val="00D444E4"/>
    <w:rsid w:val="00D44513"/>
    <w:rsid w:val="00D44860"/>
    <w:rsid w:val="00D449F1"/>
    <w:rsid w:val="00D44FF0"/>
    <w:rsid w:val="00D45051"/>
    <w:rsid w:val="00D45090"/>
    <w:rsid w:val="00D45098"/>
    <w:rsid w:val="00D4538B"/>
    <w:rsid w:val="00D4550A"/>
    <w:rsid w:val="00D455DB"/>
    <w:rsid w:val="00D45F5B"/>
    <w:rsid w:val="00D4607B"/>
    <w:rsid w:val="00D46393"/>
    <w:rsid w:val="00D46C24"/>
    <w:rsid w:val="00D46D02"/>
    <w:rsid w:val="00D46D06"/>
    <w:rsid w:val="00D47191"/>
    <w:rsid w:val="00D472D8"/>
    <w:rsid w:val="00D47829"/>
    <w:rsid w:val="00D479F9"/>
    <w:rsid w:val="00D47F04"/>
    <w:rsid w:val="00D50D72"/>
    <w:rsid w:val="00D514B7"/>
    <w:rsid w:val="00D5154B"/>
    <w:rsid w:val="00D51DA9"/>
    <w:rsid w:val="00D51EF1"/>
    <w:rsid w:val="00D51F63"/>
    <w:rsid w:val="00D52506"/>
    <w:rsid w:val="00D52629"/>
    <w:rsid w:val="00D53331"/>
    <w:rsid w:val="00D535BB"/>
    <w:rsid w:val="00D53C7F"/>
    <w:rsid w:val="00D53C93"/>
    <w:rsid w:val="00D53CE1"/>
    <w:rsid w:val="00D53FD1"/>
    <w:rsid w:val="00D5402E"/>
    <w:rsid w:val="00D5439E"/>
    <w:rsid w:val="00D54765"/>
    <w:rsid w:val="00D55400"/>
    <w:rsid w:val="00D556D6"/>
    <w:rsid w:val="00D56542"/>
    <w:rsid w:val="00D565C8"/>
    <w:rsid w:val="00D568F7"/>
    <w:rsid w:val="00D56998"/>
    <w:rsid w:val="00D56BBA"/>
    <w:rsid w:val="00D56CBC"/>
    <w:rsid w:val="00D570D3"/>
    <w:rsid w:val="00D57700"/>
    <w:rsid w:val="00D60853"/>
    <w:rsid w:val="00D60D95"/>
    <w:rsid w:val="00D61001"/>
    <w:rsid w:val="00D61122"/>
    <w:rsid w:val="00D61D10"/>
    <w:rsid w:val="00D61D68"/>
    <w:rsid w:val="00D61E81"/>
    <w:rsid w:val="00D61F5D"/>
    <w:rsid w:val="00D622A3"/>
    <w:rsid w:val="00D629A5"/>
    <w:rsid w:val="00D63019"/>
    <w:rsid w:val="00D6331F"/>
    <w:rsid w:val="00D636EC"/>
    <w:rsid w:val="00D63857"/>
    <w:rsid w:val="00D63EA6"/>
    <w:rsid w:val="00D63FC9"/>
    <w:rsid w:val="00D642AF"/>
    <w:rsid w:val="00D64420"/>
    <w:rsid w:val="00D64698"/>
    <w:rsid w:val="00D646BA"/>
    <w:rsid w:val="00D647B2"/>
    <w:rsid w:val="00D64F0B"/>
    <w:rsid w:val="00D656E5"/>
    <w:rsid w:val="00D657BB"/>
    <w:rsid w:val="00D65921"/>
    <w:rsid w:val="00D660D1"/>
    <w:rsid w:val="00D661B7"/>
    <w:rsid w:val="00D66258"/>
    <w:rsid w:val="00D666D4"/>
    <w:rsid w:val="00D66A7F"/>
    <w:rsid w:val="00D67317"/>
    <w:rsid w:val="00D67B8D"/>
    <w:rsid w:val="00D70280"/>
    <w:rsid w:val="00D70947"/>
    <w:rsid w:val="00D709DA"/>
    <w:rsid w:val="00D7101D"/>
    <w:rsid w:val="00D713F7"/>
    <w:rsid w:val="00D719E5"/>
    <w:rsid w:val="00D7242C"/>
    <w:rsid w:val="00D72FD4"/>
    <w:rsid w:val="00D73337"/>
    <w:rsid w:val="00D73866"/>
    <w:rsid w:val="00D73E98"/>
    <w:rsid w:val="00D746BA"/>
    <w:rsid w:val="00D74D86"/>
    <w:rsid w:val="00D74E66"/>
    <w:rsid w:val="00D754A8"/>
    <w:rsid w:val="00D76687"/>
    <w:rsid w:val="00D76900"/>
    <w:rsid w:val="00D773BA"/>
    <w:rsid w:val="00D77993"/>
    <w:rsid w:val="00D77DE4"/>
    <w:rsid w:val="00D807A8"/>
    <w:rsid w:val="00D80CE3"/>
    <w:rsid w:val="00D80D7C"/>
    <w:rsid w:val="00D80D8C"/>
    <w:rsid w:val="00D80F7C"/>
    <w:rsid w:val="00D8145D"/>
    <w:rsid w:val="00D81644"/>
    <w:rsid w:val="00D81798"/>
    <w:rsid w:val="00D81BB3"/>
    <w:rsid w:val="00D81C0C"/>
    <w:rsid w:val="00D81D4A"/>
    <w:rsid w:val="00D81DF0"/>
    <w:rsid w:val="00D81F88"/>
    <w:rsid w:val="00D8263B"/>
    <w:rsid w:val="00D82B1D"/>
    <w:rsid w:val="00D82CF1"/>
    <w:rsid w:val="00D82D71"/>
    <w:rsid w:val="00D82DB8"/>
    <w:rsid w:val="00D82E04"/>
    <w:rsid w:val="00D831D5"/>
    <w:rsid w:val="00D83842"/>
    <w:rsid w:val="00D83F4B"/>
    <w:rsid w:val="00D849AE"/>
    <w:rsid w:val="00D84C84"/>
    <w:rsid w:val="00D84D7C"/>
    <w:rsid w:val="00D85EC7"/>
    <w:rsid w:val="00D861C7"/>
    <w:rsid w:val="00D8642B"/>
    <w:rsid w:val="00D868DF"/>
    <w:rsid w:val="00D87330"/>
    <w:rsid w:val="00D908E1"/>
    <w:rsid w:val="00D91456"/>
    <w:rsid w:val="00D916FF"/>
    <w:rsid w:val="00D91915"/>
    <w:rsid w:val="00D91C74"/>
    <w:rsid w:val="00D91DC6"/>
    <w:rsid w:val="00D91ECE"/>
    <w:rsid w:val="00D92C6B"/>
    <w:rsid w:val="00D92D2D"/>
    <w:rsid w:val="00D9335E"/>
    <w:rsid w:val="00D9381D"/>
    <w:rsid w:val="00D93FB6"/>
    <w:rsid w:val="00D942F1"/>
    <w:rsid w:val="00D94493"/>
    <w:rsid w:val="00D94711"/>
    <w:rsid w:val="00D949EA"/>
    <w:rsid w:val="00D94CCF"/>
    <w:rsid w:val="00D95088"/>
    <w:rsid w:val="00D951E9"/>
    <w:rsid w:val="00D95201"/>
    <w:rsid w:val="00D95682"/>
    <w:rsid w:val="00D95D37"/>
    <w:rsid w:val="00D960D7"/>
    <w:rsid w:val="00D97017"/>
    <w:rsid w:val="00D979D5"/>
    <w:rsid w:val="00D97A81"/>
    <w:rsid w:val="00D97D95"/>
    <w:rsid w:val="00D97F6B"/>
    <w:rsid w:val="00DA0755"/>
    <w:rsid w:val="00DA075C"/>
    <w:rsid w:val="00DA07C0"/>
    <w:rsid w:val="00DA0C86"/>
    <w:rsid w:val="00DA0DB7"/>
    <w:rsid w:val="00DA1102"/>
    <w:rsid w:val="00DA1403"/>
    <w:rsid w:val="00DA17B8"/>
    <w:rsid w:val="00DA1C36"/>
    <w:rsid w:val="00DA1DED"/>
    <w:rsid w:val="00DA2115"/>
    <w:rsid w:val="00DA25BB"/>
    <w:rsid w:val="00DA26FE"/>
    <w:rsid w:val="00DA291A"/>
    <w:rsid w:val="00DA2F7F"/>
    <w:rsid w:val="00DA2FEC"/>
    <w:rsid w:val="00DA3031"/>
    <w:rsid w:val="00DA3BB2"/>
    <w:rsid w:val="00DA409B"/>
    <w:rsid w:val="00DA415D"/>
    <w:rsid w:val="00DA4553"/>
    <w:rsid w:val="00DA4860"/>
    <w:rsid w:val="00DA48F9"/>
    <w:rsid w:val="00DA491C"/>
    <w:rsid w:val="00DA4C47"/>
    <w:rsid w:val="00DA4FE6"/>
    <w:rsid w:val="00DA50E9"/>
    <w:rsid w:val="00DA526A"/>
    <w:rsid w:val="00DA5423"/>
    <w:rsid w:val="00DA6051"/>
    <w:rsid w:val="00DA6112"/>
    <w:rsid w:val="00DA639A"/>
    <w:rsid w:val="00DA6A09"/>
    <w:rsid w:val="00DA6FCB"/>
    <w:rsid w:val="00DA736E"/>
    <w:rsid w:val="00DA747B"/>
    <w:rsid w:val="00DA79B3"/>
    <w:rsid w:val="00DA7C40"/>
    <w:rsid w:val="00DA7E3C"/>
    <w:rsid w:val="00DB0608"/>
    <w:rsid w:val="00DB0761"/>
    <w:rsid w:val="00DB08C7"/>
    <w:rsid w:val="00DB108D"/>
    <w:rsid w:val="00DB1110"/>
    <w:rsid w:val="00DB1516"/>
    <w:rsid w:val="00DB1529"/>
    <w:rsid w:val="00DB1691"/>
    <w:rsid w:val="00DB1752"/>
    <w:rsid w:val="00DB2369"/>
    <w:rsid w:val="00DB25DE"/>
    <w:rsid w:val="00DB2EE9"/>
    <w:rsid w:val="00DB2F8C"/>
    <w:rsid w:val="00DB3155"/>
    <w:rsid w:val="00DB3474"/>
    <w:rsid w:val="00DB369D"/>
    <w:rsid w:val="00DB387F"/>
    <w:rsid w:val="00DB38AE"/>
    <w:rsid w:val="00DB3DEA"/>
    <w:rsid w:val="00DB3EE3"/>
    <w:rsid w:val="00DB423D"/>
    <w:rsid w:val="00DB4658"/>
    <w:rsid w:val="00DB48A7"/>
    <w:rsid w:val="00DB4C27"/>
    <w:rsid w:val="00DB4D9F"/>
    <w:rsid w:val="00DB5004"/>
    <w:rsid w:val="00DB5D1C"/>
    <w:rsid w:val="00DB6202"/>
    <w:rsid w:val="00DB6389"/>
    <w:rsid w:val="00DB64F2"/>
    <w:rsid w:val="00DB68E3"/>
    <w:rsid w:val="00DB69AF"/>
    <w:rsid w:val="00DB6C6B"/>
    <w:rsid w:val="00DB763A"/>
    <w:rsid w:val="00DB7747"/>
    <w:rsid w:val="00DB7E55"/>
    <w:rsid w:val="00DC0FF2"/>
    <w:rsid w:val="00DC10A2"/>
    <w:rsid w:val="00DC17B8"/>
    <w:rsid w:val="00DC1A10"/>
    <w:rsid w:val="00DC1AD6"/>
    <w:rsid w:val="00DC25AF"/>
    <w:rsid w:val="00DC2BED"/>
    <w:rsid w:val="00DC2DB5"/>
    <w:rsid w:val="00DC2FF1"/>
    <w:rsid w:val="00DC3109"/>
    <w:rsid w:val="00DC3C87"/>
    <w:rsid w:val="00DC4370"/>
    <w:rsid w:val="00DC463F"/>
    <w:rsid w:val="00DC4B9B"/>
    <w:rsid w:val="00DC4FCA"/>
    <w:rsid w:val="00DC5A4D"/>
    <w:rsid w:val="00DC6244"/>
    <w:rsid w:val="00DC67A6"/>
    <w:rsid w:val="00DC680A"/>
    <w:rsid w:val="00DC69A9"/>
    <w:rsid w:val="00DC6DBE"/>
    <w:rsid w:val="00DC711D"/>
    <w:rsid w:val="00DC72A2"/>
    <w:rsid w:val="00DC7302"/>
    <w:rsid w:val="00DC7701"/>
    <w:rsid w:val="00DC784D"/>
    <w:rsid w:val="00DD01A6"/>
    <w:rsid w:val="00DD0206"/>
    <w:rsid w:val="00DD0845"/>
    <w:rsid w:val="00DD0AE6"/>
    <w:rsid w:val="00DD0D79"/>
    <w:rsid w:val="00DD0E8C"/>
    <w:rsid w:val="00DD1549"/>
    <w:rsid w:val="00DD189B"/>
    <w:rsid w:val="00DD1F8A"/>
    <w:rsid w:val="00DD2634"/>
    <w:rsid w:val="00DD2A58"/>
    <w:rsid w:val="00DD2D75"/>
    <w:rsid w:val="00DD3246"/>
    <w:rsid w:val="00DD3326"/>
    <w:rsid w:val="00DD41C4"/>
    <w:rsid w:val="00DD4303"/>
    <w:rsid w:val="00DD4980"/>
    <w:rsid w:val="00DD534C"/>
    <w:rsid w:val="00DD536E"/>
    <w:rsid w:val="00DD58AB"/>
    <w:rsid w:val="00DD5C02"/>
    <w:rsid w:val="00DD6150"/>
    <w:rsid w:val="00DD63B3"/>
    <w:rsid w:val="00DD6409"/>
    <w:rsid w:val="00DD6414"/>
    <w:rsid w:val="00DD67F2"/>
    <w:rsid w:val="00DD6C55"/>
    <w:rsid w:val="00DD742B"/>
    <w:rsid w:val="00DD75DD"/>
    <w:rsid w:val="00DD7832"/>
    <w:rsid w:val="00DD783C"/>
    <w:rsid w:val="00DD797D"/>
    <w:rsid w:val="00DD7B10"/>
    <w:rsid w:val="00DD7F05"/>
    <w:rsid w:val="00DD7FD1"/>
    <w:rsid w:val="00DE0134"/>
    <w:rsid w:val="00DE062C"/>
    <w:rsid w:val="00DE0D5D"/>
    <w:rsid w:val="00DE0DD1"/>
    <w:rsid w:val="00DE1136"/>
    <w:rsid w:val="00DE133D"/>
    <w:rsid w:val="00DE1348"/>
    <w:rsid w:val="00DE175E"/>
    <w:rsid w:val="00DE19C9"/>
    <w:rsid w:val="00DE1BD4"/>
    <w:rsid w:val="00DE294F"/>
    <w:rsid w:val="00DE33EE"/>
    <w:rsid w:val="00DE38D0"/>
    <w:rsid w:val="00DE3C55"/>
    <w:rsid w:val="00DE40BE"/>
    <w:rsid w:val="00DE40F9"/>
    <w:rsid w:val="00DE4F5E"/>
    <w:rsid w:val="00DE5214"/>
    <w:rsid w:val="00DE5F7C"/>
    <w:rsid w:val="00DE6470"/>
    <w:rsid w:val="00DE648C"/>
    <w:rsid w:val="00DE68F2"/>
    <w:rsid w:val="00DE6B59"/>
    <w:rsid w:val="00DE6EE9"/>
    <w:rsid w:val="00DE6FE4"/>
    <w:rsid w:val="00DE73F5"/>
    <w:rsid w:val="00DE7B50"/>
    <w:rsid w:val="00DE7EC4"/>
    <w:rsid w:val="00DF06AA"/>
    <w:rsid w:val="00DF083E"/>
    <w:rsid w:val="00DF0919"/>
    <w:rsid w:val="00DF09A5"/>
    <w:rsid w:val="00DF0D9B"/>
    <w:rsid w:val="00DF189B"/>
    <w:rsid w:val="00DF2494"/>
    <w:rsid w:val="00DF25D7"/>
    <w:rsid w:val="00DF25E4"/>
    <w:rsid w:val="00DF2A6C"/>
    <w:rsid w:val="00DF2D70"/>
    <w:rsid w:val="00DF321E"/>
    <w:rsid w:val="00DF3420"/>
    <w:rsid w:val="00DF382D"/>
    <w:rsid w:val="00DF3921"/>
    <w:rsid w:val="00DF3B05"/>
    <w:rsid w:val="00DF41E7"/>
    <w:rsid w:val="00DF49B3"/>
    <w:rsid w:val="00DF4DF0"/>
    <w:rsid w:val="00DF5667"/>
    <w:rsid w:val="00DF57FA"/>
    <w:rsid w:val="00DF5ABF"/>
    <w:rsid w:val="00DF5B16"/>
    <w:rsid w:val="00DF5CE1"/>
    <w:rsid w:val="00DF64FE"/>
    <w:rsid w:val="00DF6674"/>
    <w:rsid w:val="00DF6B6D"/>
    <w:rsid w:val="00DF6D8C"/>
    <w:rsid w:val="00DF6F6A"/>
    <w:rsid w:val="00DF75CD"/>
    <w:rsid w:val="00DF794B"/>
    <w:rsid w:val="00E0032F"/>
    <w:rsid w:val="00E00884"/>
    <w:rsid w:val="00E0097A"/>
    <w:rsid w:val="00E00C2A"/>
    <w:rsid w:val="00E00E36"/>
    <w:rsid w:val="00E01194"/>
    <w:rsid w:val="00E018DE"/>
    <w:rsid w:val="00E02F21"/>
    <w:rsid w:val="00E030E9"/>
    <w:rsid w:val="00E039B7"/>
    <w:rsid w:val="00E0444E"/>
    <w:rsid w:val="00E0454E"/>
    <w:rsid w:val="00E04840"/>
    <w:rsid w:val="00E04FC1"/>
    <w:rsid w:val="00E0536A"/>
    <w:rsid w:val="00E05BC5"/>
    <w:rsid w:val="00E0611C"/>
    <w:rsid w:val="00E06983"/>
    <w:rsid w:val="00E06DBB"/>
    <w:rsid w:val="00E06E28"/>
    <w:rsid w:val="00E0702E"/>
    <w:rsid w:val="00E07435"/>
    <w:rsid w:val="00E07718"/>
    <w:rsid w:val="00E07F14"/>
    <w:rsid w:val="00E07F6D"/>
    <w:rsid w:val="00E102CB"/>
    <w:rsid w:val="00E103EB"/>
    <w:rsid w:val="00E106D9"/>
    <w:rsid w:val="00E10E0E"/>
    <w:rsid w:val="00E1138D"/>
    <w:rsid w:val="00E122EF"/>
    <w:rsid w:val="00E124ED"/>
    <w:rsid w:val="00E12662"/>
    <w:rsid w:val="00E1269A"/>
    <w:rsid w:val="00E126D8"/>
    <w:rsid w:val="00E1303A"/>
    <w:rsid w:val="00E13121"/>
    <w:rsid w:val="00E131AB"/>
    <w:rsid w:val="00E13423"/>
    <w:rsid w:val="00E1356C"/>
    <w:rsid w:val="00E13709"/>
    <w:rsid w:val="00E13739"/>
    <w:rsid w:val="00E13778"/>
    <w:rsid w:val="00E13FDC"/>
    <w:rsid w:val="00E140E2"/>
    <w:rsid w:val="00E1445C"/>
    <w:rsid w:val="00E144E6"/>
    <w:rsid w:val="00E1502E"/>
    <w:rsid w:val="00E15225"/>
    <w:rsid w:val="00E153E6"/>
    <w:rsid w:val="00E155A2"/>
    <w:rsid w:val="00E158BA"/>
    <w:rsid w:val="00E158CF"/>
    <w:rsid w:val="00E15B6F"/>
    <w:rsid w:val="00E15C6C"/>
    <w:rsid w:val="00E15EDB"/>
    <w:rsid w:val="00E15FAF"/>
    <w:rsid w:val="00E16051"/>
    <w:rsid w:val="00E164C9"/>
    <w:rsid w:val="00E166A0"/>
    <w:rsid w:val="00E168E5"/>
    <w:rsid w:val="00E16B7D"/>
    <w:rsid w:val="00E16D02"/>
    <w:rsid w:val="00E171F1"/>
    <w:rsid w:val="00E174A1"/>
    <w:rsid w:val="00E201EF"/>
    <w:rsid w:val="00E202A1"/>
    <w:rsid w:val="00E2043F"/>
    <w:rsid w:val="00E22525"/>
    <w:rsid w:val="00E22A42"/>
    <w:rsid w:val="00E22B0E"/>
    <w:rsid w:val="00E22B1E"/>
    <w:rsid w:val="00E22E4F"/>
    <w:rsid w:val="00E23139"/>
    <w:rsid w:val="00E2325E"/>
    <w:rsid w:val="00E2345D"/>
    <w:rsid w:val="00E23A06"/>
    <w:rsid w:val="00E23A78"/>
    <w:rsid w:val="00E23E0A"/>
    <w:rsid w:val="00E2435D"/>
    <w:rsid w:val="00E24655"/>
    <w:rsid w:val="00E24BAE"/>
    <w:rsid w:val="00E2554B"/>
    <w:rsid w:val="00E258BD"/>
    <w:rsid w:val="00E25A9D"/>
    <w:rsid w:val="00E25CFD"/>
    <w:rsid w:val="00E26066"/>
    <w:rsid w:val="00E262CA"/>
    <w:rsid w:val="00E263AF"/>
    <w:rsid w:val="00E263C5"/>
    <w:rsid w:val="00E267F8"/>
    <w:rsid w:val="00E26C24"/>
    <w:rsid w:val="00E275BF"/>
    <w:rsid w:val="00E27794"/>
    <w:rsid w:val="00E27E90"/>
    <w:rsid w:val="00E30299"/>
    <w:rsid w:val="00E3052C"/>
    <w:rsid w:val="00E3068C"/>
    <w:rsid w:val="00E308E8"/>
    <w:rsid w:val="00E313E0"/>
    <w:rsid w:val="00E31AE7"/>
    <w:rsid w:val="00E32364"/>
    <w:rsid w:val="00E32559"/>
    <w:rsid w:val="00E32A49"/>
    <w:rsid w:val="00E32F55"/>
    <w:rsid w:val="00E33500"/>
    <w:rsid w:val="00E33751"/>
    <w:rsid w:val="00E339DD"/>
    <w:rsid w:val="00E33AEA"/>
    <w:rsid w:val="00E33DDA"/>
    <w:rsid w:val="00E3429A"/>
    <w:rsid w:val="00E3438A"/>
    <w:rsid w:val="00E34A5F"/>
    <w:rsid w:val="00E34D67"/>
    <w:rsid w:val="00E34D7E"/>
    <w:rsid w:val="00E35409"/>
    <w:rsid w:val="00E3618C"/>
    <w:rsid w:val="00E36373"/>
    <w:rsid w:val="00E368C7"/>
    <w:rsid w:val="00E36D12"/>
    <w:rsid w:val="00E36D22"/>
    <w:rsid w:val="00E36E93"/>
    <w:rsid w:val="00E3750F"/>
    <w:rsid w:val="00E37F25"/>
    <w:rsid w:val="00E401B1"/>
    <w:rsid w:val="00E404B7"/>
    <w:rsid w:val="00E4075F"/>
    <w:rsid w:val="00E40E56"/>
    <w:rsid w:val="00E417CA"/>
    <w:rsid w:val="00E4192E"/>
    <w:rsid w:val="00E41F75"/>
    <w:rsid w:val="00E424F2"/>
    <w:rsid w:val="00E42B1A"/>
    <w:rsid w:val="00E43103"/>
    <w:rsid w:val="00E43674"/>
    <w:rsid w:val="00E436D4"/>
    <w:rsid w:val="00E43760"/>
    <w:rsid w:val="00E437A3"/>
    <w:rsid w:val="00E437EE"/>
    <w:rsid w:val="00E43926"/>
    <w:rsid w:val="00E43E7C"/>
    <w:rsid w:val="00E43FD1"/>
    <w:rsid w:val="00E448E5"/>
    <w:rsid w:val="00E44DA0"/>
    <w:rsid w:val="00E44E6A"/>
    <w:rsid w:val="00E4532B"/>
    <w:rsid w:val="00E4587F"/>
    <w:rsid w:val="00E45C63"/>
    <w:rsid w:val="00E460DC"/>
    <w:rsid w:val="00E4631C"/>
    <w:rsid w:val="00E46581"/>
    <w:rsid w:val="00E46B83"/>
    <w:rsid w:val="00E47188"/>
    <w:rsid w:val="00E47FB1"/>
    <w:rsid w:val="00E5000B"/>
    <w:rsid w:val="00E50248"/>
    <w:rsid w:val="00E5030E"/>
    <w:rsid w:val="00E50612"/>
    <w:rsid w:val="00E50B1A"/>
    <w:rsid w:val="00E50BCB"/>
    <w:rsid w:val="00E50C9C"/>
    <w:rsid w:val="00E50E5A"/>
    <w:rsid w:val="00E50E64"/>
    <w:rsid w:val="00E50EF4"/>
    <w:rsid w:val="00E51294"/>
    <w:rsid w:val="00E51D86"/>
    <w:rsid w:val="00E526BE"/>
    <w:rsid w:val="00E52976"/>
    <w:rsid w:val="00E52DA3"/>
    <w:rsid w:val="00E52E84"/>
    <w:rsid w:val="00E531CD"/>
    <w:rsid w:val="00E53336"/>
    <w:rsid w:val="00E533BA"/>
    <w:rsid w:val="00E53B2B"/>
    <w:rsid w:val="00E54198"/>
    <w:rsid w:val="00E54787"/>
    <w:rsid w:val="00E54D12"/>
    <w:rsid w:val="00E54F0A"/>
    <w:rsid w:val="00E55177"/>
    <w:rsid w:val="00E551E0"/>
    <w:rsid w:val="00E55338"/>
    <w:rsid w:val="00E55370"/>
    <w:rsid w:val="00E553D1"/>
    <w:rsid w:val="00E5638C"/>
    <w:rsid w:val="00E56511"/>
    <w:rsid w:val="00E5682F"/>
    <w:rsid w:val="00E56D8F"/>
    <w:rsid w:val="00E56E53"/>
    <w:rsid w:val="00E579FD"/>
    <w:rsid w:val="00E600AA"/>
    <w:rsid w:val="00E605EA"/>
    <w:rsid w:val="00E60874"/>
    <w:rsid w:val="00E6087F"/>
    <w:rsid w:val="00E60F39"/>
    <w:rsid w:val="00E6168E"/>
    <w:rsid w:val="00E617C8"/>
    <w:rsid w:val="00E62369"/>
    <w:rsid w:val="00E62A34"/>
    <w:rsid w:val="00E62C2F"/>
    <w:rsid w:val="00E635C0"/>
    <w:rsid w:val="00E635DB"/>
    <w:rsid w:val="00E63E74"/>
    <w:rsid w:val="00E643C0"/>
    <w:rsid w:val="00E64ABB"/>
    <w:rsid w:val="00E64ED7"/>
    <w:rsid w:val="00E64FFE"/>
    <w:rsid w:val="00E6586D"/>
    <w:rsid w:val="00E658A5"/>
    <w:rsid w:val="00E66381"/>
    <w:rsid w:val="00E66756"/>
    <w:rsid w:val="00E66788"/>
    <w:rsid w:val="00E676BA"/>
    <w:rsid w:val="00E67C31"/>
    <w:rsid w:val="00E7000B"/>
    <w:rsid w:val="00E702CD"/>
    <w:rsid w:val="00E704C3"/>
    <w:rsid w:val="00E707B9"/>
    <w:rsid w:val="00E70A24"/>
    <w:rsid w:val="00E71A0F"/>
    <w:rsid w:val="00E71D82"/>
    <w:rsid w:val="00E720AF"/>
    <w:rsid w:val="00E72783"/>
    <w:rsid w:val="00E72CBA"/>
    <w:rsid w:val="00E72FD3"/>
    <w:rsid w:val="00E7314E"/>
    <w:rsid w:val="00E744E1"/>
    <w:rsid w:val="00E74619"/>
    <w:rsid w:val="00E7468F"/>
    <w:rsid w:val="00E74DB8"/>
    <w:rsid w:val="00E75248"/>
    <w:rsid w:val="00E75986"/>
    <w:rsid w:val="00E76AE3"/>
    <w:rsid w:val="00E76FFF"/>
    <w:rsid w:val="00E771CA"/>
    <w:rsid w:val="00E77C8B"/>
    <w:rsid w:val="00E8110D"/>
    <w:rsid w:val="00E8114B"/>
    <w:rsid w:val="00E81349"/>
    <w:rsid w:val="00E81869"/>
    <w:rsid w:val="00E81D51"/>
    <w:rsid w:val="00E82144"/>
    <w:rsid w:val="00E82611"/>
    <w:rsid w:val="00E83049"/>
    <w:rsid w:val="00E830F1"/>
    <w:rsid w:val="00E83188"/>
    <w:rsid w:val="00E83A26"/>
    <w:rsid w:val="00E83D15"/>
    <w:rsid w:val="00E84093"/>
    <w:rsid w:val="00E84807"/>
    <w:rsid w:val="00E848F1"/>
    <w:rsid w:val="00E84A75"/>
    <w:rsid w:val="00E84CCD"/>
    <w:rsid w:val="00E84D52"/>
    <w:rsid w:val="00E84DBA"/>
    <w:rsid w:val="00E853EB"/>
    <w:rsid w:val="00E8551C"/>
    <w:rsid w:val="00E85710"/>
    <w:rsid w:val="00E85B8B"/>
    <w:rsid w:val="00E860FD"/>
    <w:rsid w:val="00E86377"/>
    <w:rsid w:val="00E86392"/>
    <w:rsid w:val="00E867CA"/>
    <w:rsid w:val="00E868F2"/>
    <w:rsid w:val="00E870BF"/>
    <w:rsid w:val="00E87721"/>
    <w:rsid w:val="00E877F6"/>
    <w:rsid w:val="00E90307"/>
    <w:rsid w:val="00E9091D"/>
    <w:rsid w:val="00E90BC1"/>
    <w:rsid w:val="00E90C18"/>
    <w:rsid w:val="00E90C97"/>
    <w:rsid w:val="00E90E25"/>
    <w:rsid w:val="00E9109C"/>
    <w:rsid w:val="00E910A1"/>
    <w:rsid w:val="00E9125A"/>
    <w:rsid w:val="00E914DD"/>
    <w:rsid w:val="00E919B0"/>
    <w:rsid w:val="00E92151"/>
    <w:rsid w:val="00E921F7"/>
    <w:rsid w:val="00E92237"/>
    <w:rsid w:val="00E9242B"/>
    <w:rsid w:val="00E92B5F"/>
    <w:rsid w:val="00E93A17"/>
    <w:rsid w:val="00E93B06"/>
    <w:rsid w:val="00E93B42"/>
    <w:rsid w:val="00E93CBB"/>
    <w:rsid w:val="00E93DB4"/>
    <w:rsid w:val="00E94F6E"/>
    <w:rsid w:val="00E95AD8"/>
    <w:rsid w:val="00E95FD5"/>
    <w:rsid w:val="00E96A2A"/>
    <w:rsid w:val="00E97017"/>
    <w:rsid w:val="00E973E1"/>
    <w:rsid w:val="00E97A52"/>
    <w:rsid w:val="00EA0016"/>
    <w:rsid w:val="00EA0917"/>
    <w:rsid w:val="00EA0B21"/>
    <w:rsid w:val="00EA0C3B"/>
    <w:rsid w:val="00EA0DE9"/>
    <w:rsid w:val="00EA15A0"/>
    <w:rsid w:val="00EA1FD6"/>
    <w:rsid w:val="00EA2378"/>
    <w:rsid w:val="00EA2AD4"/>
    <w:rsid w:val="00EA3B9F"/>
    <w:rsid w:val="00EA4927"/>
    <w:rsid w:val="00EA4F46"/>
    <w:rsid w:val="00EA516F"/>
    <w:rsid w:val="00EA5178"/>
    <w:rsid w:val="00EA5272"/>
    <w:rsid w:val="00EA52B3"/>
    <w:rsid w:val="00EA586F"/>
    <w:rsid w:val="00EA5E28"/>
    <w:rsid w:val="00EA668A"/>
    <w:rsid w:val="00EA682F"/>
    <w:rsid w:val="00EA6EEC"/>
    <w:rsid w:val="00EA7244"/>
    <w:rsid w:val="00EA72D9"/>
    <w:rsid w:val="00EA769D"/>
    <w:rsid w:val="00EA7912"/>
    <w:rsid w:val="00EB0487"/>
    <w:rsid w:val="00EB0765"/>
    <w:rsid w:val="00EB08CF"/>
    <w:rsid w:val="00EB094F"/>
    <w:rsid w:val="00EB0A6D"/>
    <w:rsid w:val="00EB0F97"/>
    <w:rsid w:val="00EB10A1"/>
    <w:rsid w:val="00EB1228"/>
    <w:rsid w:val="00EB1384"/>
    <w:rsid w:val="00EB1B78"/>
    <w:rsid w:val="00EB2472"/>
    <w:rsid w:val="00EB2829"/>
    <w:rsid w:val="00EB2BF1"/>
    <w:rsid w:val="00EB2C37"/>
    <w:rsid w:val="00EB2DD5"/>
    <w:rsid w:val="00EB2F08"/>
    <w:rsid w:val="00EB3074"/>
    <w:rsid w:val="00EB31BB"/>
    <w:rsid w:val="00EB3271"/>
    <w:rsid w:val="00EB340A"/>
    <w:rsid w:val="00EB37FA"/>
    <w:rsid w:val="00EB3B25"/>
    <w:rsid w:val="00EB3B90"/>
    <w:rsid w:val="00EB3CBE"/>
    <w:rsid w:val="00EB45B7"/>
    <w:rsid w:val="00EB4AB6"/>
    <w:rsid w:val="00EB52CE"/>
    <w:rsid w:val="00EB55D1"/>
    <w:rsid w:val="00EB5CF9"/>
    <w:rsid w:val="00EB5D21"/>
    <w:rsid w:val="00EB5DCA"/>
    <w:rsid w:val="00EB5F77"/>
    <w:rsid w:val="00EB615C"/>
    <w:rsid w:val="00EB63EC"/>
    <w:rsid w:val="00EB6830"/>
    <w:rsid w:val="00EB6938"/>
    <w:rsid w:val="00EB6971"/>
    <w:rsid w:val="00EB6AAE"/>
    <w:rsid w:val="00EB7277"/>
    <w:rsid w:val="00EB7502"/>
    <w:rsid w:val="00EB7574"/>
    <w:rsid w:val="00EB783B"/>
    <w:rsid w:val="00EB79AC"/>
    <w:rsid w:val="00EB79F0"/>
    <w:rsid w:val="00EB7A38"/>
    <w:rsid w:val="00EB7A9C"/>
    <w:rsid w:val="00EC08AC"/>
    <w:rsid w:val="00EC0EDE"/>
    <w:rsid w:val="00EC135B"/>
    <w:rsid w:val="00EC1480"/>
    <w:rsid w:val="00EC16E8"/>
    <w:rsid w:val="00EC2680"/>
    <w:rsid w:val="00EC2932"/>
    <w:rsid w:val="00EC2C07"/>
    <w:rsid w:val="00EC3187"/>
    <w:rsid w:val="00EC3706"/>
    <w:rsid w:val="00EC3B05"/>
    <w:rsid w:val="00EC3BFF"/>
    <w:rsid w:val="00EC3DC6"/>
    <w:rsid w:val="00EC430B"/>
    <w:rsid w:val="00EC49FC"/>
    <w:rsid w:val="00EC5EAE"/>
    <w:rsid w:val="00EC6212"/>
    <w:rsid w:val="00EC6CE9"/>
    <w:rsid w:val="00EC76A7"/>
    <w:rsid w:val="00ED015E"/>
    <w:rsid w:val="00ED15EF"/>
    <w:rsid w:val="00ED1644"/>
    <w:rsid w:val="00ED1963"/>
    <w:rsid w:val="00ED19F5"/>
    <w:rsid w:val="00ED1ABE"/>
    <w:rsid w:val="00ED2321"/>
    <w:rsid w:val="00ED2854"/>
    <w:rsid w:val="00ED2CDD"/>
    <w:rsid w:val="00ED2EF7"/>
    <w:rsid w:val="00ED466F"/>
    <w:rsid w:val="00ED46C1"/>
    <w:rsid w:val="00ED54C5"/>
    <w:rsid w:val="00ED572F"/>
    <w:rsid w:val="00ED57DA"/>
    <w:rsid w:val="00ED614E"/>
    <w:rsid w:val="00ED67F5"/>
    <w:rsid w:val="00ED7541"/>
    <w:rsid w:val="00ED791B"/>
    <w:rsid w:val="00ED79C8"/>
    <w:rsid w:val="00ED79CC"/>
    <w:rsid w:val="00ED7DBF"/>
    <w:rsid w:val="00ED7F26"/>
    <w:rsid w:val="00ED7FAF"/>
    <w:rsid w:val="00EE0201"/>
    <w:rsid w:val="00EE0470"/>
    <w:rsid w:val="00EE0F39"/>
    <w:rsid w:val="00EE100A"/>
    <w:rsid w:val="00EE11EC"/>
    <w:rsid w:val="00EE1208"/>
    <w:rsid w:val="00EE14A0"/>
    <w:rsid w:val="00EE16E8"/>
    <w:rsid w:val="00EE1899"/>
    <w:rsid w:val="00EE18A6"/>
    <w:rsid w:val="00EE1AD6"/>
    <w:rsid w:val="00EE1AEC"/>
    <w:rsid w:val="00EE1EEF"/>
    <w:rsid w:val="00EE2176"/>
    <w:rsid w:val="00EE2A94"/>
    <w:rsid w:val="00EE2B11"/>
    <w:rsid w:val="00EE2B2B"/>
    <w:rsid w:val="00EE2CBF"/>
    <w:rsid w:val="00EE39F2"/>
    <w:rsid w:val="00EE3B77"/>
    <w:rsid w:val="00EE3DEB"/>
    <w:rsid w:val="00EE405B"/>
    <w:rsid w:val="00EE43DA"/>
    <w:rsid w:val="00EE4AD0"/>
    <w:rsid w:val="00EE4CB1"/>
    <w:rsid w:val="00EE5049"/>
    <w:rsid w:val="00EE514F"/>
    <w:rsid w:val="00EE54D5"/>
    <w:rsid w:val="00EE58BB"/>
    <w:rsid w:val="00EE5B3D"/>
    <w:rsid w:val="00EE5F87"/>
    <w:rsid w:val="00EE60CA"/>
    <w:rsid w:val="00EE7948"/>
    <w:rsid w:val="00EE7C3D"/>
    <w:rsid w:val="00EF009D"/>
    <w:rsid w:val="00EF0829"/>
    <w:rsid w:val="00EF0883"/>
    <w:rsid w:val="00EF0E1E"/>
    <w:rsid w:val="00EF1153"/>
    <w:rsid w:val="00EF19B2"/>
    <w:rsid w:val="00EF217F"/>
    <w:rsid w:val="00EF2349"/>
    <w:rsid w:val="00EF2447"/>
    <w:rsid w:val="00EF26D7"/>
    <w:rsid w:val="00EF28AD"/>
    <w:rsid w:val="00EF32F6"/>
    <w:rsid w:val="00EF3327"/>
    <w:rsid w:val="00EF43B9"/>
    <w:rsid w:val="00EF464E"/>
    <w:rsid w:val="00EF483A"/>
    <w:rsid w:val="00EF495E"/>
    <w:rsid w:val="00EF4A0D"/>
    <w:rsid w:val="00EF4DE2"/>
    <w:rsid w:val="00EF4E6F"/>
    <w:rsid w:val="00EF5008"/>
    <w:rsid w:val="00EF58C2"/>
    <w:rsid w:val="00EF5912"/>
    <w:rsid w:val="00EF5D9D"/>
    <w:rsid w:val="00EF616D"/>
    <w:rsid w:val="00EF6388"/>
    <w:rsid w:val="00EF6880"/>
    <w:rsid w:val="00EF6C46"/>
    <w:rsid w:val="00EF6E0D"/>
    <w:rsid w:val="00EF708C"/>
    <w:rsid w:val="00EF7155"/>
    <w:rsid w:val="00EF73FE"/>
    <w:rsid w:val="00EF7AEC"/>
    <w:rsid w:val="00EF7E3C"/>
    <w:rsid w:val="00F00055"/>
    <w:rsid w:val="00F000F5"/>
    <w:rsid w:val="00F003D1"/>
    <w:rsid w:val="00F007BE"/>
    <w:rsid w:val="00F00920"/>
    <w:rsid w:val="00F00A1E"/>
    <w:rsid w:val="00F00BA7"/>
    <w:rsid w:val="00F00E38"/>
    <w:rsid w:val="00F010F9"/>
    <w:rsid w:val="00F0123B"/>
    <w:rsid w:val="00F01363"/>
    <w:rsid w:val="00F0167F"/>
    <w:rsid w:val="00F01837"/>
    <w:rsid w:val="00F01BB8"/>
    <w:rsid w:val="00F02240"/>
    <w:rsid w:val="00F022AA"/>
    <w:rsid w:val="00F028C4"/>
    <w:rsid w:val="00F0334A"/>
    <w:rsid w:val="00F03F02"/>
    <w:rsid w:val="00F041A8"/>
    <w:rsid w:val="00F0457B"/>
    <w:rsid w:val="00F04B8B"/>
    <w:rsid w:val="00F04BD3"/>
    <w:rsid w:val="00F0515C"/>
    <w:rsid w:val="00F05A21"/>
    <w:rsid w:val="00F05BE0"/>
    <w:rsid w:val="00F0603D"/>
    <w:rsid w:val="00F06240"/>
    <w:rsid w:val="00F062BC"/>
    <w:rsid w:val="00F06435"/>
    <w:rsid w:val="00F06675"/>
    <w:rsid w:val="00F06854"/>
    <w:rsid w:val="00F0690C"/>
    <w:rsid w:val="00F069AA"/>
    <w:rsid w:val="00F06AF2"/>
    <w:rsid w:val="00F07000"/>
    <w:rsid w:val="00F07DE8"/>
    <w:rsid w:val="00F10054"/>
    <w:rsid w:val="00F10C65"/>
    <w:rsid w:val="00F10D3A"/>
    <w:rsid w:val="00F10F96"/>
    <w:rsid w:val="00F1111C"/>
    <w:rsid w:val="00F116B2"/>
    <w:rsid w:val="00F1196E"/>
    <w:rsid w:val="00F11AE6"/>
    <w:rsid w:val="00F11B64"/>
    <w:rsid w:val="00F12606"/>
    <w:rsid w:val="00F12670"/>
    <w:rsid w:val="00F12911"/>
    <w:rsid w:val="00F12965"/>
    <w:rsid w:val="00F12B86"/>
    <w:rsid w:val="00F12E40"/>
    <w:rsid w:val="00F12F48"/>
    <w:rsid w:val="00F1325A"/>
    <w:rsid w:val="00F1374A"/>
    <w:rsid w:val="00F13CFD"/>
    <w:rsid w:val="00F14779"/>
    <w:rsid w:val="00F14A1F"/>
    <w:rsid w:val="00F150BE"/>
    <w:rsid w:val="00F1546F"/>
    <w:rsid w:val="00F1570B"/>
    <w:rsid w:val="00F15947"/>
    <w:rsid w:val="00F15A0E"/>
    <w:rsid w:val="00F15A8F"/>
    <w:rsid w:val="00F15E02"/>
    <w:rsid w:val="00F163D0"/>
    <w:rsid w:val="00F16827"/>
    <w:rsid w:val="00F16A79"/>
    <w:rsid w:val="00F20216"/>
    <w:rsid w:val="00F203EB"/>
    <w:rsid w:val="00F207AB"/>
    <w:rsid w:val="00F2135E"/>
    <w:rsid w:val="00F213D0"/>
    <w:rsid w:val="00F21D81"/>
    <w:rsid w:val="00F21E88"/>
    <w:rsid w:val="00F21F4A"/>
    <w:rsid w:val="00F225C4"/>
    <w:rsid w:val="00F226A3"/>
    <w:rsid w:val="00F22F37"/>
    <w:rsid w:val="00F230AF"/>
    <w:rsid w:val="00F2328A"/>
    <w:rsid w:val="00F233B7"/>
    <w:rsid w:val="00F23941"/>
    <w:rsid w:val="00F23DC4"/>
    <w:rsid w:val="00F23FF7"/>
    <w:rsid w:val="00F247D2"/>
    <w:rsid w:val="00F24B6C"/>
    <w:rsid w:val="00F24F99"/>
    <w:rsid w:val="00F25BEA"/>
    <w:rsid w:val="00F25E4C"/>
    <w:rsid w:val="00F260BB"/>
    <w:rsid w:val="00F26C55"/>
    <w:rsid w:val="00F26CB1"/>
    <w:rsid w:val="00F271AC"/>
    <w:rsid w:val="00F27366"/>
    <w:rsid w:val="00F27C3E"/>
    <w:rsid w:val="00F302AF"/>
    <w:rsid w:val="00F304F6"/>
    <w:rsid w:val="00F3074C"/>
    <w:rsid w:val="00F3099B"/>
    <w:rsid w:val="00F31BA0"/>
    <w:rsid w:val="00F31BF0"/>
    <w:rsid w:val="00F31D01"/>
    <w:rsid w:val="00F32199"/>
    <w:rsid w:val="00F3232F"/>
    <w:rsid w:val="00F32C3E"/>
    <w:rsid w:val="00F32E4F"/>
    <w:rsid w:val="00F3307D"/>
    <w:rsid w:val="00F330B9"/>
    <w:rsid w:val="00F33764"/>
    <w:rsid w:val="00F342E8"/>
    <w:rsid w:val="00F343C9"/>
    <w:rsid w:val="00F34D2C"/>
    <w:rsid w:val="00F34E19"/>
    <w:rsid w:val="00F35928"/>
    <w:rsid w:val="00F362E3"/>
    <w:rsid w:val="00F36F49"/>
    <w:rsid w:val="00F371C1"/>
    <w:rsid w:val="00F3749B"/>
    <w:rsid w:val="00F37928"/>
    <w:rsid w:val="00F37D29"/>
    <w:rsid w:val="00F4028A"/>
    <w:rsid w:val="00F4068F"/>
    <w:rsid w:val="00F407CA"/>
    <w:rsid w:val="00F409AB"/>
    <w:rsid w:val="00F40DF0"/>
    <w:rsid w:val="00F40ED0"/>
    <w:rsid w:val="00F41756"/>
    <w:rsid w:val="00F4251C"/>
    <w:rsid w:val="00F42550"/>
    <w:rsid w:val="00F427B7"/>
    <w:rsid w:val="00F43134"/>
    <w:rsid w:val="00F43173"/>
    <w:rsid w:val="00F43CB5"/>
    <w:rsid w:val="00F43E17"/>
    <w:rsid w:val="00F44266"/>
    <w:rsid w:val="00F44393"/>
    <w:rsid w:val="00F446FD"/>
    <w:rsid w:val="00F44A59"/>
    <w:rsid w:val="00F44B4A"/>
    <w:rsid w:val="00F451F1"/>
    <w:rsid w:val="00F45328"/>
    <w:rsid w:val="00F453D3"/>
    <w:rsid w:val="00F454BA"/>
    <w:rsid w:val="00F458A4"/>
    <w:rsid w:val="00F45DA4"/>
    <w:rsid w:val="00F45E63"/>
    <w:rsid w:val="00F45F50"/>
    <w:rsid w:val="00F45F9C"/>
    <w:rsid w:val="00F46146"/>
    <w:rsid w:val="00F46322"/>
    <w:rsid w:val="00F4637A"/>
    <w:rsid w:val="00F46524"/>
    <w:rsid w:val="00F46AC7"/>
    <w:rsid w:val="00F47323"/>
    <w:rsid w:val="00F47762"/>
    <w:rsid w:val="00F4783C"/>
    <w:rsid w:val="00F47FF7"/>
    <w:rsid w:val="00F50359"/>
    <w:rsid w:val="00F50583"/>
    <w:rsid w:val="00F50B82"/>
    <w:rsid w:val="00F515FA"/>
    <w:rsid w:val="00F5187F"/>
    <w:rsid w:val="00F51C84"/>
    <w:rsid w:val="00F5246E"/>
    <w:rsid w:val="00F52D1D"/>
    <w:rsid w:val="00F52DA3"/>
    <w:rsid w:val="00F52E0D"/>
    <w:rsid w:val="00F53713"/>
    <w:rsid w:val="00F539F0"/>
    <w:rsid w:val="00F53B91"/>
    <w:rsid w:val="00F54097"/>
    <w:rsid w:val="00F541E6"/>
    <w:rsid w:val="00F55272"/>
    <w:rsid w:val="00F55340"/>
    <w:rsid w:val="00F55460"/>
    <w:rsid w:val="00F55A32"/>
    <w:rsid w:val="00F55E37"/>
    <w:rsid w:val="00F5667A"/>
    <w:rsid w:val="00F56B27"/>
    <w:rsid w:val="00F57106"/>
    <w:rsid w:val="00F57253"/>
    <w:rsid w:val="00F57783"/>
    <w:rsid w:val="00F57D80"/>
    <w:rsid w:val="00F57F74"/>
    <w:rsid w:val="00F6035B"/>
    <w:rsid w:val="00F60842"/>
    <w:rsid w:val="00F60971"/>
    <w:rsid w:val="00F60E99"/>
    <w:rsid w:val="00F61047"/>
    <w:rsid w:val="00F61301"/>
    <w:rsid w:val="00F61589"/>
    <w:rsid w:val="00F615D2"/>
    <w:rsid w:val="00F61C23"/>
    <w:rsid w:val="00F61CD5"/>
    <w:rsid w:val="00F620BA"/>
    <w:rsid w:val="00F62839"/>
    <w:rsid w:val="00F628AD"/>
    <w:rsid w:val="00F62D9E"/>
    <w:rsid w:val="00F6303F"/>
    <w:rsid w:val="00F63523"/>
    <w:rsid w:val="00F63DA6"/>
    <w:rsid w:val="00F63EA3"/>
    <w:rsid w:val="00F63F8D"/>
    <w:rsid w:val="00F648F8"/>
    <w:rsid w:val="00F649CD"/>
    <w:rsid w:val="00F657F0"/>
    <w:rsid w:val="00F65AF4"/>
    <w:rsid w:val="00F65C09"/>
    <w:rsid w:val="00F65F53"/>
    <w:rsid w:val="00F65F66"/>
    <w:rsid w:val="00F6629F"/>
    <w:rsid w:val="00F66670"/>
    <w:rsid w:val="00F669B4"/>
    <w:rsid w:val="00F66CF7"/>
    <w:rsid w:val="00F66DBB"/>
    <w:rsid w:val="00F66EF6"/>
    <w:rsid w:val="00F6736D"/>
    <w:rsid w:val="00F67788"/>
    <w:rsid w:val="00F67A04"/>
    <w:rsid w:val="00F67D9A"/>
    <w:rsid w:val="00F67E61"/>
    <w:rsid w:val="00F67E84"/>
    <w:rsid w:val="00F67EC1"/>
    <w:rsid w:val="00F7082E"/>
    <w:rsid w:val="00F71520"/>
    <w:rsid w:val="00F7185E"/>
    <w:rsid w:val="00F719C8"/>
    <w:rsid w:val="00F71C14"/>
    <w:rsid w:val="00F7233E"/>
    <w:rsid w:val="00F7260A"/>
    <w:rsid w:val="00F7262A"/>
    <w:rsid w:val="00F726CA"/>
    <w:rsid w:val="00F72889"/>
    <w:rsid w:val="00F72AE5"/>
    <w:rsid w:val="00F72E29"/>
    <w:rsid w:val="00F73C91"/>
    <w:rsid w:val="00F74249"/>
    <w:rsid w:val="00F74307"/>
    <w:rsid w:val="00F746F7"/>
    <w:rsid w:val="00F74783"/>
    <w:rsid w:val="00F749DE"/>
    <w:rsid w:val="00F74A82"/>
    <w:rsid w:val="00F74CE1"/>
    <w:rsid w:val="00F74ECC"/>
    <w:rsid w:val="00F758F1"/>
    <w:rsid w:val="00F75B66"/>
    <w:rsid w:val="00F75BFA"/>
    <w:rsid w:val="00F7628A"/>
    <w:rsid w:val="00F76893"/>
    <w:rsid w:val="00F76A7E"/>
    <w:rsid w:val="00F77170"/>
    <w:rsid w:val="00F77AA7"/>
    <w:rsid w:val="00F8039A"/>
    <w:rsid w:val="00F80557"/>
    <w:rsid w:val="00F80E47"/>
    <w:rsid w:val="00F80ED1"/>
    <w:rsid w:val="00F816D0"/>
    <w:rsid w:val="00F81C7D"/>
    <w:rsid w:val="00F82222"/>
    <w:rsid w:val="00F8238A"/>
    <w:rsid w:val="00F823C5"/>
    <w:rsid w:val="00F824AA"/>
    <w:rsid w:val="00F83675"/>
    <w:rsid w:val="00F8367A"/>
    <w:rsid w:val="00F83C6A"/>
    <w:rsid w:val="00F83D08"/>
    <w:rsid w:val="00F84074"/>
    <w:rsid w:val="00F844E2"/>
    <w:rsid w:val="00F845A3"/>
    <w:rsid w:val="00F84949"/>
    <w:rsid w:val="00F85323"/>
    <w:rsid w:val="00F856B2"/>
    <w:rsid w:val="00F85846"/>
    <w:rsid w:val="00F85E20"/>
    <w:rsid w:val="00F864CA"/>
    <w:rsid w:val="00F8667E"/>
    <w:rsid w:val="00F876B8"/>
    <w:rsid w:val="00F8785D"/>
    <w:rsid w:val="00F87970"/>
    <w:rsid w:val="00F87D85"/>
    <w:rsid w:val="00F90110"/>
    <w:rsid w:val="00F901E1"/>
    <w:rsid w:val="00F90377"/>
    <w:rsid w:val="00F90B2A"/>
    <w:rsid w:val="00F911DF"/>
    <w:rsid w:val="00F91499"/>
    <w:rsid w:val="00F91A91"/>
    <w:rsid w:val="00F91AF4"/>
    <w:rsid w:val="00F9298C"/>
    <w:rsid w:val="00F92C60"/>
    <w:rsid w:val="00F935F9"/>
    <w:rsid w:val="00F93ACC"/>
    <w:rsid w:val="00F93F94"/>
    <w:rsid w:val="00F947C5"/>
    <w:rsid w:val="00F9495F"/>
    <w:rsid w:val="00F949C0"/>
    <w:rsid w:val="00F94AE9"/>
    <w:rsid w:val="00F94CE8"/>
    <w:rsid w:val="00F94D41"/>
    <w:rsid w:val="00F954B3"/>
    <w:rsid w:val="00F95632"/>
    <w:rsid w:val="00F9578C"/>
    <w:rsid w:val="00F96276"/>
    <w:rsid w:val="00F96ABB"/>
    <w:rsid w:val="00F96C7E"/>
    <w:rsid w:val="00F974BA"/>
    <w:rsid w:val="00F97830"/>
    <w:rsid w:val="00F97A40"/>
    <w:rsid w:val="00FA09A8"/>
    <w:rsid w:val="00FA0C56"/>
    <w:rsid w:val="00FA1224"/>
    <w:rsid w:val="00FA1CDA"/>
    <w:rsid w:val="00FA2546"/>
    <w:rsid w:val="00FA2658"/>
    <w:rsid w:val="00FA27F5"/>
    <w:rsid w:val="00FA2BF2"/>
    <w:rsid w:val="00FA2F9D"/>
    <w:rsid w:val="00FA32CE"/>
    <w:rsid w:val="00FA3B75"/>
    <w:rsid w:val="00FA3B81"/>
    <w:rsid w:val="00FA3C54"/>
    <w:rsid w:val="00FA3C6B"/>
    <w:rsid w:val="00FA4BF9"/>
    <w:rsid w:val="00FA511A"/>
    <w:rsid w:val="00FA52B5"/>
    <w:rsid w:val="00FA64FF"/>
    <w:rsid w:val="00FA65E5"/>
    <w:rsid w:val="00FA6918"/>
    <w:rsid w:val="00FA724E"/>
    <w:rsid w:val="00FA7322"/>
    <w:rsid w:val="00FA74EE"/>
    <w:rsid w:val="00FA79A8"/>
    <w:rsid w:val="00FA7A40"/>
    <w:rsid w:val="00FA7F05"/>
    <w:rsid w:val="00FB0322"/>
    <w:rsid w:val="00FB0406"/>
    <w:rsid w:val="00FB07AD"/>
    <w:rsid w:val="00FB13BA"/>
    <w:rsid w:val="00FB14AF"/>
    <w:rsid w:val="00FB179B"/>
    <w:rsid w:val="00FB1915"/>
    <w:rsid w:val="00FB1AAA"/>
    <w:rsid w:val="00FB1EC8"/>
    <w:rsid w:val="00FB210C"/>
    <w:rsid w:val="00FB24B5"/>
    <w:rsid w:val="00FB2AB6"/>
    <w:rsid w:val="00FB2C74"/>
    <w:rsid w:val="00FB2CF2"/>
    <w:rsid w:val="00FB35B0"/>
    <w:rsid w:val="00FB43EE"/>
    <w:rsid w:val="00FB47C8"/>
    <w:rsid w:val="00FB4A7C"/>
    <w:rsid w:val="00FB4D41"/>
    <w:rsid w:val="00FB4F9B"/>
    <w:rsid w:val="00FB575B"/>
    <w:rsid w:val="00FB658B"/>
    <w:rsid w:val="00FB6866"/>
    <w:rsid w:val="00FB6B10"/>
    <w:rsid w:val="00FB72BB"/>
    <w:rsid w:val="00FB79FA"/>
    <w:rsid w:val="00FB7B3F"/>
    <w:rsid w:val="00FC013E"/>
    <w:rsid w:val="00FC01CA"/>
    <w:rsid w:val="00FC01E8"/>
    <w:rsid w:val="00FC02C2"/>
    <w:rsid w:val="00FC02D2"/>
    <w:rsid w:val="00FC075C"/>
    <w:rsid w:val="00FC0C26"/>
    <w:rsid w:val="00FC0D40"/>
    <w:rsid w:val="00FC0E68"/>
    <w:rsid w:val="00FC139C"/>
    <w:rsid w:val="00FC15EC"/>
    <w:rsid w:val="00FC1844"/>
    <w:rsid w:val="00FC1BF6"/>
    <w:rsid w:val="00FC24A8"/>
    <w:rsid w:val="00FC2F79"/>
    <w:rsid w:val="00FC301A"/>
    <w:rsid w:val="00FC317B"/>
    <w:rsid w:val="00FC3DC8"/>
    <w:rsid w:val="00FC41C2"/>
    <w:rsid w:val="00FC4774"/>
    <w:rsid w:val="00FC49B2"/>
    <w:rsid w:val="00FC4A33"/>
    <w:rsid w:val="00FC5259"/>
    <w:rsid w:val="00FC57E1"/>
    <w:rsid w:val="00FC5876"/>
    <w:rsid w:val="00FC5B62"/>
    <w:rsid w:val="00FC5E93"/>
    <w:rsid w:val="00FC66D4"/>
    <w:rsid w:val="00FC691A"/>
    <w:rsid w:val="00FC6B5E"/>
    <w:rsid w:val="00FC6D21"/>
    <w:rsid w:val="00FC6FE6"/>
    <w:rsid w:val="00FC7357"/>
    <w:rsid w:val="00FC73A1"/>
    <w:rsid w:val="00FC7630"/>
    <w:rsid w:val="00FC7821"/>
    <w:rsid w:val="00FC7822"/>
    <w:rsid w:val="00FC7AE9"/>
    <w:rsid w:val="00FC7B2D"/>
    <w:rsid w:val="00FD0902"/>
    <w:rsid w:val="00FD0BC4"/>
    <w:rsid w:val="00FD0CC2"/>
    <w:rsid w:val="00FD0E94"/>
    <w:rsid w:val="00FD10B0"/>
    <w:rsid w:val="00FD143A"/>
    <w:rsid w:val="00FD1446"/>
    <w:rsid w:val="00FD164A"/>
    <w:rsid w:val="00FD1AD4"/>
    <w:rsid w:val="00FD1E8D"/>
    <w:rsid w:val="00FD21F0"/>
    <w:rsid w:val="00FD2CA8"/>
    <w:rsid w:val="00FD375D"/>
    <w:rsid w:val="00FD3C33"/>
    <w:rsid w:val="00FD3DE6"/>
    <w:rsid w:val="00FD421F"/>
    <w:rsid w:val="00FD45D2"/>
    <w:rsid w:val="00FD4797"/>
    <w:rsid w:val="00FD48D1"/>
    <w:rsid w:val="00FD4B4D"/>
    <w:rsid w:val="00FD4D32"/>
    <w:rsid w:val="00FD5482"/>
    <w:rsid w:val="00FD55D0"/>
    <w:rsid w:val="00FD5BA5"/>
    <w:rsid w:val="00FD6996"/>
    <w:rsid w:val="00FD69CA"/>
    <w:rsid w:val="00FD6C1B"/>
    <w:rsid w:val="00FD6D8C"/>
    <w:rsid w:val="00FD6FC9"/>
    <w:rsid w:val="00FD7189"/>
    <w:rsid w:val="00FD7277"/>
    <w:rsid w:val="00FD7C61"/>
    <w:rsid w:val="00FD7D1B"/>
    <w:rsid w:val="00FE0071"/>
    <w:rsid w:val="00FE00DC"/>
    <w:rsid w:val="00FE0261"/>
    <w:rsid w:val="00FE034F"/>
    <w:rsid w:val="00FE03BE"/>
    <w:rsid w:val="00FE0593"/>
    <w:rsid w:val="00FE0638"/>
    <w:rsid w:val="00FE0CD0"/>
    <w:rsid w:val="00FE0E22"/>
    <w:rsid w:val="00FE0EE9"/>
    <w:rsid w:val="00FE1424"/>
    <w:rsid w:val="00FE1444"/>
    <w:rsid w:val="00FE14C7"/>
    <w:rsid w:val="00FE17B1"/>
    <w:rsid w:val="00FE1ADC"/>
    <w:rsid w:val="00FE1C86"/>
    <w:rsid w:val="00FE1E96"/>
    <w:rsid w:val="00FE20E2"/>
    <w:rsid w:val="00FE266E"/>
    <w:rsid w:val="00FE352E"/>
    <w:rsid w:val="00FE3CA5"/>
    <w:rsid w:val="00FE3FE7"/>
    <w:rsid w:val="00FE417B"/>
    <w:rsid w:val="00FE4418"/>
    <w:rsid w:val="00FE4D80"/>
    <w:rsid w:val="00FE54F6"/>
    <w:rsid w:val="00FE5952"/>
    <w:rsid w:val="00FE5FDA"/>
    <w:rsid w:val="00FE60D3"/>
    <w:rsid w:val="00FE6889"/>
    <w:rsid w:val="00FE6C4F"/>
    <w:rsid w:val="00FE72C6"/>
    <w:rsid w:val="00FE73E5"/>
    <w:rsid w:val="00FE791D"/>
    <w:rsid w:val="00FE793F"/>
    <w:rsid w:val="00FE7A5A"/>
    <w:rsid w:val="00FE7F26"/>
    <w:rsid w:val="00FF0279"/>
    <w:rsid w:val="00FF0782"/>
    <w:rsid w:val="00FF0852"/>
    <w:rsid w:val="00FF141D"/>
    <w:rsid w:val="00FF19F7"/>
    <w:rsid w:val="00FF1D21"/>
    <w:rsid w:val="00FF1DCC"/>
    <w:rsid w:val="00FF1DDC"/>
    <w:rsid w:val="00FF1F6C"/>
    <w:rsid w:val="00FF2600"/>
    <w:rsid w:val="00FF307B"/>
    <w:rsid w:val="00FF376E"/>
    <w:rsid w:val="00FF3D8B"/>
    <w:rsid w:val="00FF4681"/>
    <w:rsid w:val="00FF65BD"/>
    <w:rsid w:val="00FF6A52"/>
    <w:rsid w:val="00FF6B64"/>
    <w:rsid w:val="00FF6DA0"/>
    <w:rsid w:val="00FF743C"/>
    <w:rsid w:val="00FF74A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uiPriority="99" w:qFormat="1"/>
    <w:lsdException w:name="heading 9" w:uiPriority="9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99"/>
    <w:lsdException w:name="toc 4" w:uiPriority="99"/>
    <w:lsdException w:name="toc 5" w:uiPriority="99"/>
    <w:lsdException w:name="toc 6" w:uiPriority="99"/>
    <w:lsdException w:name="toc 7" w:uiPriority="99"/>
    <w:lsdException w:name="toc 8" w:uiPriority="99"/>
    <w:lsdException w:name="toc 9" w:uiPriority="99"/>
    <w:lsdException w:name="Normal Indent" w:uiPriority="99"/>
    <w:lsdException w:name="footnote text" w:uiPriority="99"/>
    <w:lsdException w:name="annotation text" w:uiPriority="99"/>
    <w:lsdException w:name="header" w:uiPriority="99"/>
    <w:lsdException w:name="footer" w:uiPriority="99"/>
    <w:lsdException w:name="index heading" w:uiPriority="99"/>
    <w:lsdException w:name="caption" w:uiPriority="99"/>
    <w:lsdException w:name="table of figures" w:uiPriority="99"/>
    <w:lsdException w:name="footnote reference" w:uiPriority="99"/>
    <w:lsdException w:name="page number" w:uiPriority="99"/>
    <w:lsdException w:name="endnote text" w:uiPriority="99"/>
    <w:lsdException w:name="table of authorities" w:uiPriority="99"/>
    <w:lsdException w:name="macro" w:uiPriority="99"/>
    <w:lsdException w:name="toa heading" w:uiPriority="99"/>
    <w:lsdException w:name="List Bullet"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iPriority="99" w:unhideWhenUsed="0" w:qFormat="1"/>
    <w:lsdException w:name="Default Paragraph Font" w:uiPriority="1"/>
    <w:lsdException w:name="Body Text" w:uiPriority="99"/>
    <w:lsdException w:name="Body Text Indent" w:uiPriority="99"/>
    <w:lsdException w:name="Message Header" w:uiPriority="99"/>
    <w:lsdException w:name="Subtitle" w:semiHidden="0" w:unhideWhenUsed="0"/>
    <w:lsdException w:name="Salutation" w:semiHidden="0" w:unhideWhenUsed="0"/>
    <w:lsdException w:name="Date" w:semiHidden="0" w:unhideWhenUsed="0"/>
    <w:lsdException w:name="Body Text First Indent" w:semiHidden="0" w:uiPriority="99" w:unhideWhenUsed="0"/>
    <w:lsdException w:name="Body Text First Indent 2" w:uiPriority="99"/>
    <w:lsdException w:name="Note Heading" w:uiPriority="99"/>
    <w:lsdException w:name="Body Text Indent 2" w:uiPriority="99"/>
    <w:lsdException w:name="Body Text Indent 3" w:uiPriority="99"/>
    <w:lsdException w:name="Hyperlink" w:uiPriority="99"/>
    <w:lsdException w:name="Strong" w:semiHidden="0" w:uiPriority="22" w:unhideWhenUsed="0" w:qFormat="1"/>
    <w:lsdException w:name="Emphasis" w:semiHidden="0" w:unhideWhenUsed="0" w:qFormat="1"/>
    <w:lsdException w:name="Document Map" w:uiPriority="99"/>
    <w:lsdException w:name="Plain Text" w:uiPriority="99"/>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e">
    <w:name w:val="Normal"/>
    <w:qFormat/>
    <w:rsid w:val="00D81798"/>
    <w:pPr>
      <w:overflowPunct w:val="0"/>
      <w:autoSpaceDE w:val="0"/>
      <w:autoSpaceDN w:val="0"/>
      <w:adjustRightInd w:val="0"/>
      <w:spacing w:before="20" w:after="20" w:line="220" w:lineRule="exact"/>
      <w:jc w:val="both"/>
      <w:textAlignment w:val="baseline"/>
    </w:pPr>
    <w:rPr>
      <w:rFonts w:ascii="Arial Narrow" w:hAnsi="Arial Narrow"/>
      <w:lang w:val="en-GB" w:eastAsia="en-US"/>
    </w:rPr>
  </w:style>
  <w:style w:type="paragraph" w:styleId="Titolo1">
    <w:name w:val="heading 1"/>
    <w:basedOn w:val="Normale"/>
    <w:next w:val="Normale"/>
    <w:link w:val="Titolo1Carattere"/>
    <w:uiPriority w:val="99"/>
    <w:qFormat/>
    <w:rsid w:val="00175655"/>
    <w:pPr>
      <w:keepNext/>
      <w:overflowPunct/>
      <w:autoSpaceDE/>
      <w:autoSpaceDN/>
      <w:adjustRightInd/>
      <w:spacing w:before="0" w:after="0" w:line="240" w:lineRule="exact"/>
      <w:jc w:val="left"/>
      <w:textAlignment w:val="auto"/>
      <w:outlineLvl w:val="0"/>
    </w:pPr>
    <w:rPr>
      <w:b/>
      <w:caps/>
      <w:kern w:val="28"/>
      <w:sz w:val="22"/>
      <w:szCs w:val="22"/>
      <w:lang w:val="it-IT"/>
    </w:rPr>
  </w:style>
  <w:style w:type="paragraph" w:styleId="Titolo2">
    <w:name w:val="heading 2"/>
    <w:basedOn w:val="Normale"/>
    <w:next w:val="Normale"/>
    <w:link w:val="Titolo2Carattere"/>
    <w:uiPriority w:val="99"/>
    <w:qFormat/>
    <w:rsid w:val="001422E7"/>
    <w:pPr>
      <w:keepNext/>
      <w:overflowPunct/>
      <w:autoSpaceDE/>
      <w:autoSpaceDN/>
      <w:adjustRightInd/>
      <w:spacing w:line="240" w:lineRule="exact"/>
      <w:jc w:val="left"/>
      <w:textAlignment w:val="auto"/>
      <w:outlineLvl w:val="1"/>
    </w:pPr>
    <w:rPr>
      <w:b/>
      <w:sz w:val="22"/>
    </w:rPr>
  </w:style>
  <w:style w:type="paragraph" w:styleId="Titolo3">
    <w:name w:val="heading 3"/>
    <w:aliases w:val="Titolo 3 corsivo"/>
    <w:basedOn w:val="Normale"/>
    <w:next w:val="Normale"/>
    <w:link w:val="Titolo3Carattere"/>
    <w:qFormat/>
    <w:rsid w:val="001034D7"/>
    <w:pPr>
      <w:keepNext/>
      <w:outlineLvl w:val="2"/>
    </w:pPr>
    <w:rPr>
      <w:b/>
      <w:bCs/>
      <w:i/>
    </w:rPr>
  </w:style>
  <w:style w:type="paragraph" w:styleId="Titolo4">
    <w:name w:val="heading 4"/>
    <w:basedOn w:val="Normale"/>
    <w:next w:val="Normale"/>
    <w:link w:val="Titolo4Carattere"/>
    <w:uiPriority w:val="99"/>
    <w:qFormat/>
    <w:rsid w:val="00AB49EA"/>
    <w:pPr>
      <w:keepNext/>
      <w:outlineLvl w:val="3"/>
    </w:pPr>
    <w:rPr>
      <w:i/>
      <w:lang w:val="it-IT"/>
    </w:rPr>
  </w:style>
  <w:style w:type="paragraph" w:styleId="Titolo5">
    <w:name w:val="heading 5"/>
    <w:basedOn w:val="Normale"/>
    <w:next w:val="Normale"/>
    <w:link w:val="Titolo5Carattere"/>
    <w:uiPriority w:val="99"/>
    <w:qFormat/>
    <w:rsid w:val="00C85498"/>
    <w:pPr>
      <w:spacing w:before="240" w:after="60"/>
      <w:outlineLvl w:val="4"/>
    </w:pPr>
    <w:rPr>
      <w:b/>
      <w:i/>
      <w:sz w:val="26"/>
    </w:rPr>
  </w:style>
  <w:style w:type="paragraph" w:styleId="Titolo6">
    <w:name w:val="heading 6"/>
    <w:basedOn w:val="Normale"/>
    <w:next w:val="Normale"/>
    <w:link w:val="Titolo6Carattere"/>
    <w:uiPriority w:val="99"/>
    <w:qFormat/>
    <w:rsid w:val="00C85498"/>
    <w:pPr>
      <w:spacing w:before="240" w:after="60"/>
      <w:outlineLvl w:val="5"/>
    </w:pPr>
    <w:rPr>
      <w:b/>
      <w:sz w:val="22"/>
    </w:rPr>
  </w:style>
  <w:style w:type="paragraph" w:styleId="Titolo7">
    <w:name w:val="heading 7"/>
    <w:basedOn w:val="Normale"/>
    <w:next w:val="Normale"/>
    <w:link w:val="Titolo7Carattere"/>
    <w:uiPriority w:val="99"/>
    <w:qFormat/>
    <w:rsid w:val="00C85498"/>
    <w:pPr>
      <w:spacing w:before="240" w:after="60"/>
      <w:outlineLvl w:val="6"/>
    </w:pPr>
    <w:rPr>
      <w:sz w:val="24"/>
    </w:rPr>
  </w:style>
  <w:style w:type="paragraph" w:styleId="Titolo8">
    <w:name w:val="heading 8"/>
    <w:basedOn w:val="Normale"/>
    <w:next w:val="Normale"/>
    <w:link w:val="Titolo8Carattere"/>
    <w:uiPriority w:val="99"/>
    <w:qFormat/>
    <w:rsid w:val="00C85498"/>
    <w:pPr>
      <w:spacing w:before="240" w:after="60"/>
      <w:outlineLvl w:val="7"/>
    </w:pPr>
    <w:rPr>
      <w:i/>
      <w:sz w:val="24"/>
    </w:rPr>
  </w:style>
  <w:style w:type="paragraph" w:styleId="Titolo9">
    <w:name w:val="heading 9"/>
    <w:basedOn w:val="Normale"/>
    <w:next w:val="Normale"/>
    <w:link w:val="Titolo9Carattere"/>
    <w:uiPriority w:val="99"/>
    <w:qFormat/>
    <w:rsid w:val="00C85498"/>
    <w:pPr>
      <w:spacing w:before="240" w:after="60"/>
      <w:outlineLvl w:val="8"/>
    </w:pPr>
    <w:rPr>
      <w:rFonts w:ascii="Arial" w:hAnsi="Arial"/>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uiPriority w:val="99"/>
    <w:rsid w:val="001422E7"/>
    <w:rPr>
      <w:rFonts w:ascii="Arial Narrow" w:hAnsi="Arial Narrow"/>
      <w:b/>
      <w:sz w:val="22"/>
      <w:lang w:eastAsia="en-US"/>
    </w:rPr>
  </w:style>
  <w:style w:type="character" w:customStyle="1" w:styleId="Titolo3Carattere">
    <w:name w:val="Titolo 3 Carattere"/>
    <w:aliases w:val="Titolo 3 corsivo Carattere"/>
    <w:link w:val="Titolo3"/>
    <w:rsid w:val="001034D7"/>
    <w:rPr>
      <w:rFonts w:ascii="Arial Narrow" w:hAnsi="Arial Narrow"/>
      <w:b/>
      <w:bCs/>
      <w:i/>
      <w:lang w:val="en-GB" w:eastAsia="en-US"/>
    </w:rPr>
  </w:style>
  <w:style w:type="paragraph" w:styleId="Intestazione">
    <w:name w:val="header"/>
    <w:basedOn w:val="Normale"/>
    <w:link w:val="IntestazioneCarattere"/>
    <w:uiPriority w:val="99"/>
    <w:rsid w:val="00C85498"/>
    <w:pPr>
      <w:pBdr>
        <w:bottom w:val="single" w:sz="4" w:space="1" w:color="auto"/>
      </w:pBdr>
      <w:tabs>
        <w:tab w:val="right" w:pos="9072"/>
      </w:tabs>
    </w:pPr>
    <w:rPr>
      <w:noProof/>
      <w:lang w:val="en-US"/>
    </w:rPr>
  </w:style>
  <w:style w:type="paragraph" w:styleId="Pidipagina">
    <w:name w:val="footer"/>
    <w:basedOn w:val="Normale"/>
    <w:link w:val="PidipaginaCarattere"/>
    <w:uiPriority w:val="99"/>
    <w:rsid w:val="00C85498"/>
    <w:pPr>
      <w:pBdr>
        <w:top w:val="single" w:sz="4" w:space="1" w:color="auto"/>
      </w:pBdr>
      <w:tabs>
        <w:tab w:val="center" w:pos="4536"/>
        <w:tab w:val="right" w:pos="9072"/>
      </w:tabs>
    </w:pPr>
    <w:rPr>
      <w:iCs/>
    </w:rPr>
  </w:style>
  <w:style w:type="character" w:styleId="Numeropagina">
    <w:name w:val="page number"/>
    <w:basedOn w:val="Carpredefinitoparagrafo"/>
    <w:uiPriority w:val="99"/>
    <w:rsid w:val="00C85498"/>
  </w:style>
  <w:style w:type="paragraph" w:styleId="Sommario1">
    <w:name w:val="toc 1"/>
    <w:basedOn w:val="Normale"/>
    <w:next w:val="Normale"/>
    <w:uiPriority w:val="39"/>
    <w:rsid w:val="00C85498"/>
    <w:pPr>
      <w:ind w:right="567"/>
    </w:pPr>
    <w:rPr>
      <w:noProof/>
    </w:rPr>
  </w:style>
  <w:style w:type="paragraph" w:styleId="Sommario2">
    <w:name w:val="toc 2"/>
    <w:basedOn w:val="Normale"/>
    <w:next w:val="Normale"/>
    <w:uiPriority w:val="39"/>
    <w:rsid w:val="00C85498"/>
    <w:pPr>
      <w:ind w:left="357" w:right="567" w:hanging="119"/>
    </w:pPr>
  </w:style>
  <w:style w:type="paragraph" w:styleId="Sommario3">
    <w:name w:val="toc 3"/>
    <w:basedOn w:val="Normale"/>
    <w:next w:val="Normale"/>
    <w:uiPriority w:val="99"/>
    <w:rsid w:val="00C85498"/>
    <w:pPr>
      <w:ind w:left="480"/>
    </w:pPr>
  </w:style>
  <w:style w:type="paragraph" w:styleId="Sommario4">
    <w:name w:val="toc 4"/>
    <w:basedOn w:val="Normale"/>
    <w:next w:val="Normale"/>
    <w:uiPriority w:val="99"/>
    <w:rsid w:val="00C85498"/>
    <w:pPr>
      <w:ind w:left="720"/>
    </w:pPr>
  </w:style>
  <w:style w:type="paragraph" w:styleId="Sommario5">
    <w:name w:val="toc 5"/>
    <w:basedOn w:val="Normale"/>
    <w:next w:val="Normale"/>
    <w:uiPriority w:val="99"/>
    <w:rsid w:val="00C85498"/>
    <w:pPr>
      <w:ind w:left="960"/>
    </w:pPr>
  </w:style>
  <w:style w:type="paragraph" w:styleId="Sommario6">
    <w:name w:val="toc 6"/>
    <w:basedOn w:val="Normale"/>
    <w:next w:val="Normale"/>
    <w:uiPriority w:val="99"/>
    <w:rsid w:val="00C85498"/>
    <w:pPr>
      <w:ind w:left="1200"/>
    </w:pPr>
  </w:style>
  <w:style w:type="paragraph" w:styleId="Sommario7">
    <w:name w:val="toc 7"/>
    <w:basedOn w:val="Normale"/>
    <w:next w:val="Normale"/>
    <w:uiPriority w:val="99"/>
    <w:rsid w:val="00C85498"/>
    <w:pPr>
      <w:ind w:left="1440"/>
    </w:pPr>
  </w:style>
  <w:style w:type="paragraph" w:styleId="Sommario8">
    <w:name w:val="toc 8"/>
    <w:basedOn w:val="Normale"/>
    <w:next w:val="Normale"/>
    <w:uiPriority w:val="99"/>
    <w:rsid w:val="00C85498"/>
    <w:pPr>
      <w:ind w:left="1680"/>
    </w:pPr>
  </w:style>
  <w:style w:type="paragraph" w:styleId="Sommario9">
    <w:name w:val="toc 9"/>
    <w:basedOn w:val="Normale"/>
    <w:next w:val="Normale"/>
    <w:uiPriority w:val="99"/>
    <w:rsid w:val="00C85498"/>
    <w:pPr>
      <w:ind w:left="1920"/>
    </w:pPr>
  </w:style>
  <w:style w:type="paragraph" w:styleId="Primorientrocorpodeltesto">
    <w:name w:val="Body Text First Indent"/>
    <w:basedOn w:val="Normale"/>
    <w:link w:val="PrimorientrocorpodeltestoCarattere"/>
    <w:uiPriority w:val="99"/>
    <w:rsid w:val="00F06675"/>
    <w:pPr>
      <w:spacing w:after="120"/>
      <w:ind w:firstLine="210"/>
    </w:pPr>
  </w:style>
  <w:style w:type="paragraph" w:styleId="Primorientrocorpodeltesto2">
    <w:name w:val="Body Text First Indent 2"/>
    <w:basedOn w:val="Normale"/>
    <w:link w:val="Primorientrocorpodeltesto2Carattere"/>
    <w:uiPriority w:val="99"/>
    <w:rsid w:val="00F06675"/>
    <w:pPr>
      <w:spacing w:after="120"/>
      <w:ind w:left="283" w:firstLine="210"/>
    </w:pPr>
  </w:style>
  <w:style w:type="paragraph" w:styleId="Rientrocorpodeltesto2">
    <w:name w:val="Body Text Indent 2"/>
    <w:basedOn w:val="Normale"/>
    <w:link w:val="Rientrocorpodeltesto2Carattere"/>
    <w:uiPriority w:val="99"/>
    <w:rsid w:val="00C85498"/>
    <w:pPr>
      <w:spacing w:after="120" w:line="480" w:lineRule="auto"/>
      <w:ind w:left="283"/>
    </w:pPr>
  </w:style>
  <w:style w:type="paragraph" w:styleId="Rientrocorpodeltesto3">
    <w:name w:val="Body Text Indent 3"/>
    <w:basedOn w:val="Normale"/>
    <w:link w:val="Rientrocorpodeltesto3Carattere"/>
    <w:uiPriority w:val="99"/>
    <w:rsid w:val="00C85498"/>
    <w:pPr>
      <w:spacing w:after="120"/>
      <w:ind w:left="283"/>
    </w:pPr>
    <w:rPr>
      <w:sz w:val="16"/>
    </w:rPr>
  </w:style>
  <w:style w:type="paragraph" w:styleId="Testocommento">
    <w:name w:val="annotation text"/>
    <w:basedOn w:val="Normale"/>
    <w:link w:val="TestocommentoCarattere"/>
    <w:uiPriority w:val="99"/>
    <w:rsid w:val="00C85498"/>
  </w:style>
  <w:style w:type="paragraph" w:styleId="Mappadocumento">
    <w:name w:val="Document Map"/>
    <w:basedOn w:val="Normale"/>
    <w:link w:val="MappadocumentoCarattere"/>
    <w:uiPriority w:val="99"/>
    <w:semiHidden/>
    <w:rsid w:val="00C85498"/>
    <w:pPr>
      <w:shd w:val="clear" w:color="auto" w:fill="000080"/>
    </w:pPr>
    <w:rPr>
      <w:rFonts w:ascii="Tahoma" w:hAnsi="Tahoma"/>
    </w:rPr>
  </w:style>
  <w:style w:type="paragraph" w:styleId="Testonotadichiusura">
    <w:name w:val="endnote text"/>
    <w:basedOn w:val="Normale"/>
    <w:link w:val="TestonotadichiusuraCarattere"/>
    <w:uiPriority w:val="99"/>
    <w:semiHidden/>
    <w:rsid w:val="00C85498"/>
  </w:style>
  <w:style w:type="paragraph" w:styleId="Testonotaapidipagina">
    <w:name w:val="footnote text"/>
    <w:basedOn w:val="Normale"/>
    <w:link w:val="TestonotaapidipaginaCarattere"/>
    <w:uiPriority w:val="99"/>
    <w:semiHidden/>
    <w:rsid w:val="00C85498"/>
  </w:style>
  <w:style w:type="paragraph" w:styleId="PreformattatoHTML">
    <w:name w:val="HTML Preformatted"/>
    <w:basedOn w:val="Normale"/>
    <w:link w:val="PreformattatoHTMLCarattere"/>
    <w:rsid w:val="00C85498"/>
    <w:rPr>
      <w:rFonts w:ascii="Courier New" w:hAnsi="Courier New"/>
    </w:rPr>
  </w:style>
  <w:style w:type="paragraph" w:styleId="Indice1">
    <w:name w:val="index 1"/>
    <w:basedOn w:val="Normale"/>
    <w:next w:val="Normale"/>
    <w:uiPriority w:val="99"/>
    <w:semiHidden/>
    <w:rsid w:val="00C85498"/>
    <w:pPr>
      <w:keepNext/>
      <w:pBdr>
        <w:bottom w:val="single" w:sz="4" w:space="0" w:color="auto"/>
      </w:pBdr>
      <w:tabs>
        <w:tab w:val="right" w:leader="dot" w:pos="1717"/>
        <w:tab w:val="right" w:leader="dot" w:pos="1859"/>
      </w:tabs>
      <w:spacing w:before="60"/>
      <w:ind w:left="198" w:hanging="198"/>
    </w:pPr>
    <w:rPr>
      <w:bCs/>
      <w:noProof/>
      <w:sz w:val="18"/>
      <w:szCs w:val="24"/>
      <w:lang w:val="en-US"/>
    </w:rPr>
  </w:style>
  <w:style w:type="paragraph" w:styleId="Indice2">
    <w:name w:val="index 2"/>
    <w:basedOn w:val="Normale"/>
    <w:next w:val="Normale"/>
    <w:uiPriority w:val="99"/>
    <w:semiHidden/>
    <w:rsid w:val="00C85498"/>
    <w:pPr>
      <w:tabs>
        <w:tab w:val="right" w:leader="dot" w:pos="1717"/>
        <w:tab w:val="right" w:leader="dot" w:pos="1859"/>
      </w:tabs>
      <w:ind w:left="198"/>
    </w:pPr>
    <w:rPr>
      <w:noProof/>
      <w:sz w:val="18"/>
      <w:szCs w:val="24"/>
      <w:lang w:val="en-US"/>
    </w:rPr>
  </w:style>
  <w:style w:type="paragraph" w:styleId="Indice3">
    <w:name w:val="index 3"/>
    <w:basedOn w:val="Normale"/>
    <w:next w:val="Normale"/>
    <w:uiPriority w:val="99"/>
    <w:semiHidden/>
    <w:rsid w:val="00C85498"/>
    <w:pPr>
      <w:ind w:left="600" w:hanging="200"/>
    </w:pPr>
    <w:rPr>
      <w:szCs w:val="24"/>
    </w:rPr>
  </w:style>
  <w:style w:type="paragraph" w:styleId="Indice4">
    <w:name w:val="index 4"/>
    <w:basedOn w:val="Normale"/>
    <w:next w:val="Normale"/>
    <w:uiPriority w:val="99"/>
    <w:semiHidden/>
    <w:rsid w:val="00C85498"/>
    <w:pPr>
      <w:ind w:left="800" w:hanging="200"/>
    </w:pPr>
    <w:rPr>
      <w:szCs w:val="24"/>
    </w:rPr>
  </w:style>
  <w:style w:type="paragraph" w:styleId="Indice5">
    <w:name w:val="index 5"/>
    <w:basedOn w:val="Normale"/>
    <w:next w:val="Normale"/>
    <w:uiPriority w:val="99"/>
    <w:semiHidden/>
    <w:rsid w:val="00C85498"/>
    <w:pPr>
      <w:ind w:left="1000" w:hanging="200"/>
    </w:pPr>
    <w:rPr>
      <w:szCs w:val="24"/>
    </w:rPr>
  </w:style>
  <w:style w:type="paragraph" w:styleId="Indice6">
    <w:name w:val="index 6"/>
    <w:basedOn w:val="Normale"/>
    <w:next w:val="Normale"/>
    <w:uiPriority w:val="99"/>
    <w:semiHidden/>
    <w:rsid w:val="00C85498"/>
    <w:pPr>
      <w:ind w:left="1200" w:hanging="200"/>
    </w:pPr>
    <w:rPr>
      <w:szCs w:val="24"/>
    </w:rPr>
  </w:style>
  <w:style w:type="paragraph" w:styleId="Indice7">
    <w:name w:val="index 7"/>
    <w:basedOn w:val="Normale"/>
    <w:next w:val="Normale"/>
    <w:uiPriority w:val="99"/>
    <w:semiHidden/>
    <w:rsid w:val="00C85498"/>
    <w:pPr>
      <w:ind w:left="1400" w:hanging="200"/>
    </w:pPr>
    <w:rPr>
      <w:szCs w:val="24"/>
    </w:rPr>
  </w:style>
  <w:style w:type="paragraph" w:styleId="Indice8">
    <w:name w:val="index 8"/>
    <w:basedOn w:val="Normale"/>
    <w:next w:val="Normale"/>
    <w:uiPriority w:val="99"/>
    <w:semiHidden/>
    <w:rsid w:val="00C85498"/>
    <w:pPr>
      <w:ind w:left="1600" w:hanging="200"/>
    </w:pPr>
    <w:rPr>
      <w:szCs w:val="24"/>
    </w:rPr>
  </w:style>
  <w:style w:type="paragraph" w:styleId="Indice9">
    <w:name w:val="index 9"/>
    <w:basedOn w:val="Normale"/>
    <w:next w:val="Normale"/>
    <w:uiPriority w:val="99"/>
    <w:semiHidden/>
    <w:rsid w:val="00C85498"/>
    <w:pPr>
      <w:ind w:left="1800" w:hanging="200"/>
    </w:pPr>
    <w:rPr>
      <w:szCs w:val="24"/>
    </w:rPr>
  </w:style>
  <w:style w:type="paragraph" w:styleId="Titoloindice">
    <w:name w:val="index heading"/>
    <w:basedOn w:val="Normale"/>
    <w:next w:val="Indice1"/>
    <w:uiPriority w:val="99"/>
    <w:semiHidden/>
    <w:rsid w:val="00C85498"/>
    <w:pPr>
      <w:spacing w:before="120" w:after="120"/>
    </w:pPr>
    <w:rPr>
      <w:b/>
      <w:bCs/>
      <w:i/>
      <w:iCs/>
      <w:szCs w:val="24"/>
    </w:rPr>
  </w:style>
  <w:style w:type="paragraph" w:styleId="Puntoelenco">
    <w:name w:val="List Bullet"/>
    <w:basedOn w:val="Normale"/>
    <w:link w:val="PuntoelencoCarattere"/>
    <w:uiPriority w:val="99"/>
    <w:rsid w:val="00D261E1"/>
    <w:pPr>
      <w:numPr>
        <w:numId w:val="1"/>
      </w:numPr>
      <w:overflowPunct/>
      <w:autoSpaceDE/>
      <w:autoSpaceDN/>
      <w:adjustRightInd/>
      <w:contextualSpacing/>
      <w:textAlignment w:val="auto"/>
    </w:pPr>
    <w:rPr>
      <w:lang w:val="it-IT"/>
    </w:rPr>
  </w:style>
  <w:style w:type="paragraph" w:styleId="Puntoelenco2">
    <w:name w:val="List Bullet 2"/>
    <w:basedOn w:val="Normale"/>
    <w:uiPriority w:val="99"/>
    <w:rsid w:val="00F304F6"/>
    <w:pPr>
      <w:numPr>
        <w:numId w:val="5"/>
      </w:numPr>
      <w:tabs>
        <w:tab w:val="left" w:pos="643"/>
      </w:tabs>
      <w:ind w:left="714" w:hanging="357"/>
    </w:pPr>
  </w:style>
  <w:style w:type="paragraph" w:styleId="Puntoelenco3">
    <w:name w:val="List Bullet 3"/>
    <w:basedOn w:val="Normale"/>
    <w:uiPriority w:val="99"/>
    <w:rsid w:val="00C85498"/>
    <w:pPr>
      <w:tabs>
        <w:tab w:val="left" w:pos="926"/>
      </w:tabs>
      <w:ind w:left="926" w:hanging="360"/>
    </w:pPr>
  </w:style>
  <w:style w:type="paragraph" w:styleId="Puntoelenco4">
    <w:name w:val="List Bullet 4"/>
    <w:basedOn w:val="Normale"/>
    <w:uiPriority w:val="99"/>
    <w:rsid w:val="00C85498"/>
    <w:pPr>
      <w:tabs>
        <w:tab w:val="left" w:pos="1209"/>
      </w:tabs>
      <w:ind w:left="1209" w:hanging="360"/>
    </w:pPr>
  </w:style>
  <w:style w:type="paragraph" w:styleId="Puntoelenco5">
    <w:name w:val="List Bullet 5"/>
    <w:basedOn w:val="Normale"/>
    <w:uiPriority w:val="99"/>
    <w:rsid w:val="00C85498"/>
    <w:pPr>
      <w:tabs>
        <w:tab w:val="left" w:pos="1492"/>
      </w:tabs>
      <w:ind w:left="1492" w:hanging="360"/>
    </w:pPr>
  </w:style>
  <w:style w:type="paragraph" w:styleId="Numeroelenco">
    <w:name w:val="List Number"/>
    <w:basedOn w:val="Normale"/>
    <w:uiPriority w:val="99"/>
    <w:rsid w:val="00D30095"/>
    <w:pPr>
      <w:numPr>
        <w:numId w:val="2"/>
      </w:numPr>
    </w:pPr>
  </w:style>
  <w:style w:type="paragraph" w:styleId="Numeroelenco2">
    <w:name w:val="List Number 2"/>
    <w:basedOn w:val="Normale"/>
    <w:uiPriority w:val="99"/>
    <w:rsid w:val="00C85498"/>
    <w:pPr>
      <w:tabs>
        <w:tab w:val="left" w:pos="643"/>
      </w:tabs>
      <w:ind w:left="643" w:hanging="360"/>
    </w:pPr>
  </w:style>
  <w:style w:type="paragraph" w:styleId="Numeroelenco3">
    <w:name w:val="List Number 3"/>
    <w:basedOn w:val="Normale"/>
    <w:uiPriority w:val="99"/>
    <w:rsid w:val="00C85498"/>
    <w:pPr>
      <w:tabs>
        <w:tab w:val="left" w:pos="926"/>
      </w:tabs>
      <w:ind w:left="926" w:hanging="360"/>
    </w:pPr>
  </w:style>
  <w:style w:type="paragraph" w:styleId="Numeroelenco4">
    <w:name w:val="List Number 4"/>
    <w:basedOn w:val="Normale"/>
    <w:uiPriority w:val="99"/>
    <w:rsid w:val="00C85498"/>
    <w:pPr>
      <w:tabs>
        <w:tab w:val="left" w:pos="1209"/>
      </w:tabs>
      <w:ind w:left="1209" w:hanging="360"/>
    </w:pPr>
  </w:style>
  <w:style w:type="paragraph" w:styleId="Numeroelenco5">
    <w:name w:val="List Number 5"/>
    <w:basedOn w:val="Normale"/>
    <w:uiPriority w:val="99"/>
    <w:rsid w:val="00C85498"/>
    <w:pPr>
      <w:tabs>
        <w:tab w:val="left" w:pos="1492"/>
      </w:tabs>
      <w:ind w:left="1492" w:hanging="360"/>
    </w:pPr>
  </w:style>
  <w:style w:type="paragraph" w:styleId="Testomacro">
    <w:name w:val="macro"/>
    <w:link w:val="TestomacroCarattere"/>
    <w:uiPriority w:val="99"/>
    <w:semiHidden/>
    <w:rsid w:val="00C85498"/>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before="20" w:after="20" w:line="220" w:lineRule="exact"/>
      <w:textAlignment w:val="baseline"/>
    </w:pPr>
    <w:rPr>
      <w:rFonts w:ascii="Courier New" w:hAnsi="Courier New"/>
      <w:lang w:val="en-GB" w:eastAsia="en-US"/>
    </w:rPr>
  </w:style>
  <w:style w:type="paragraph" w:styleId="Intestazionemessaggio">
    <w:name w:val="Message Header"/>
    <w:basedOn w:val="Normale"/>
    <w:link w:val="IntestazionemessaggioCarattere"/>
    <w:uiPriority w:val="99"/>
    <w:rsid w:val="00C8549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Rientronormale">
    <w:name w:val="Normal Indent"/>
    <w:basedOn w:val="Normale"/>
    <w:uiPriority w:val="99"/>
    <w:rsid w:val="00C85498"/>
    <w:pPr>
      <w:ind w:left="720"/>
    </w:pPr>
  </w:style>
  <w:style w:type="paragraph" w:styleId="Intestazionenota">
    <w:name w:val="Note Heading"/>
    <w:basedOn w:val="Normale"/>
    <w:next w:val="Normale"/>
    <w:link w:val="IntestazionenotaCarattere"/>
    <w:uiPriority w:val="99"/>
    <w:rsid w:val="00C85498"/>
  </w:style>
  <w:style w:type="paragraph" w:styleId="Indicefonti">
    <w:name w:val="table of authorities"/>
    <w:basedOn w:val="Normale"/>
    <w:next w:val="Normale"/>
    <w:uiPriority w:val="99"/>
    <w:semiHidden/>
    <w:rsid w:val="00C85498"/>
    <w:pPr>
      <w:ind w:left="200" w:hanging="200"/>
    </w:pPr>
  </w:style>
  <w:style w:type="paragraph" w:styleId="Indicedellefigure">
    <w:name w:val="table of figures"/>
    <w:basedOn w:val="Normale"/>
    <w:next w:val="Normale"/>
    <w:uiPriority w:val="99"/>
    <w:semiHidden/>
    <w:rsid w:val="00C85498"/>
    <w:pPr>
      <w:ind w:left="400" w:hanging="400"/>
    </w:pPr>
  </w:style>
  <w:style w:type="paragraph" w:styleId="Titolo">
    <w:name w:val="Title"/>
    <w:basedOn w:val="Normale"/>
    <w:link w:val="TitoloCarattere"/>
    <w:uiPriority w:val="99"/>
    <w:qFormat/>
    <w:rsid w:val="00C85498"/>
    <w:pPr>
      <w:spacing w:before="240" w:after="60"/>
      <w:jc w:val="center"/>
    </w:pPr>
    <w:rPr>
      <w:rFonts w:ascii="Arial" w:hAnsi="Arial"/>
      <w:b/>
      <w:kern w:val="28"/>
      <w:sz w:val="32"/>
    </w:rPr>
  </w:style>
  <w:style w:type="paragraph" w:styleId="Titoloindicefonti">
    <w:name w:val="toa heading"/>
    <w:basedOn w:val="Normale"/>
    <w:next w:val="Normale"/>
    <w:uiPriority w:val="99"/>
    <w:semiHidden/>
    <w:rsid w:val="00C85498"/>
    <w:pPr>
      <w:spacing w:before="120"/>
    </w:pPr>
    <w:rPr>
      <w:rFonts w:ascii="Arial" w:hAnsi="Arial"/>
      <w:b/>
      <w:sz w:val="24"/>
    </w:rPr>
  </w:style>
  <w:style w:type="character" w:styleId="Collegamentovisitato">
    <w:name w:val="FollowedHyperlink"/>
    <w:rsid w:val="00C85498"/>
    <w:rPr>
      <w:color w:val="800080"/>
      <w:u w:val="single"/>
    </w:rPr>
  </w:style>
  <w:style w:type="paragraph" w:styleId="Rientrocorpodeltesto">
    <w:name w:val="Body Text Indent"/>
    <w:basedOn w:val="Normale"/>
    <w:link w:val="RientrocorpodeltestoCarattere"/>
    <w:uiPriority w:val="99"/>
    <w:rsid w:val="00C85498"/>
    <w:pPr>
      <w:spacing w:after="120"/>
      <w:ind w:left="283"/>
    </w:pPr>
  </w:style>
  <w:style w:type="paragraph" w:styleId="Testofumetto">
    <w:name w:val="Balloon Text"/>
    <w:basedOn w:val="Normale"/>
    <w:link w:val="TestofumettoCarattere"/>
    <w:uiPriority w:val="99"/>
    <w:semiHidden/>
    <w:rsid w:val="00487F14"/>
    <w:rPr>
      <w:rFonts w:ascii="Tahoma" w:hAnsi="Tahoma" w:cs="Tahoma"/>
      <w:sz w:val="16"/>
      <w:szCs w:val="16"/>
    </w:rPr>
  </w:style>
  <w:style w:type="table" w:styleId="Grigliatabella">
    <w:name w:val="Table Grid"/>
    <w:basedOn w:val="Tabellanormale"/>
    <w:uiPriority w:val="59"/>
    <w:rsid w:val="006E11F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semiHidden/>
    <w:rsid w:val="008A1B05"/>
    <w:rPr>
      <w:sz w:val="16"/>
      <w:szCs w:val="16"/>
    </w:rPr>
  </w:style>
  <w:style w:type="paragraph" w:styleId="Soggettocommento">
    <w:name w:val="annotation subject"/>
    <w:basedOn w:val="Testocommento"/>
    <w:next w:val="Testocommento"/>
    <w:link w:val="SoggettocommentoCarattere"/>
    <w:uiPriority w:val="99"/>
    <w:semiHidden/>
    <w:rsid w:val="008A1B05"/>
    <w:rPr>
      <w:b/>
      <w:bCs/>
    </w:rPr>
  </w:style>
  <w:style w:type="paragraph" w:customStyle="1" w:styleId="tabletxtin2">
    <w:name w:val="tabletxtin2"/>
    <w:basedOn w:val="Normale"/>
    <w:link w:val="tabletxtin2Char"/>
    <w:semiHidden/>
    <w:rsid w:val="00A60581"/>
    <w:pPr>
      <w:spacing w:line="200" w:lineRule="exact"/>
      <w:ind w:left="353" w:hanging="197"/>
    </w:pPr>
    <w:rPr>
      <w:rFonts w:ascii="EY Gothic Comp BookPS" w:hAnsi="EY Gothic Comp BookPS"/>
      <w:color w:val="000000"/>
    </w:rPr>
  </w:style>
  <w:style w:type="character" w:customStyle="1" w:styleId="tabletxtin2Char">
    <w:name w:val="tabletxtin2 Char"/>
    <w:link w:val="tabletxtin2"/>
    <w:rsid w:val="00A60581"/>
    <w:rPr>
      <w:rFonts w:ascii="EY Gothic Comp BookPS" w:hAnsi="EY Gothic Comp BookPS"/>
      <w:color w:val="000000"/>
      <w:lang w:val="en-GB" w:eastAsia="en-US" w:bidi="ar-SA"/>
    </w:rPr>
  </w:style>
  <w:style w:type="paragraph" w:customStyle="1" w:styleId="tabletxtssm">
    <w:name w:val="tabletxt #s sm"/>
    <w:basedOn w:val="Normale"/>
    <w:link w:val="tabletxtssmChar"/>
    <w:semiHidden/>
    <w:rsid w:val="00736F7C"/>
    <w:pPr>
      <w:tabs>
        <w:tab w:val="decimal" w:pos="504"/>
      </w:tabs>
      <w:spacing w:line="200" w:lineRule="exact"/>
    </w:pPr>
    <w:rPr>
      <w:rFonts w:ascii="EY Gothic Comp BookPS" w:hAnsi="EY Gothic Comp BookPS"/>
      <w:noProof/>
      <w:color w:val="000000"/>
    </w:rPr>
  </w:style>
  <w:style w:type="character" w:customStyle="1" w:styleId="tabletxtssmChar">
    <w:name w:val="tabletxt #s sm Char"/>
    <w:link w:val="tabletxtssm"/>
    <w:rsid w:val="00736F7C"/>
    <w:rPr>
      <w:rFonts w:ascii="EY Gothic Comp BookPS" w:hAnsi="EY Gothic Comp BookPS"/>
      <w:noProof/>
      <w:color w:val="000000"/>
      <w:lang w:val="en-GB" w:eastAsia="en-US" w:bidi="ar-SA"/>
    </w:rPr>
  </w:style>
  <w:style w:type="paragraph" w:customStyle="1" w:styleId="tabletxteyg2af">
    <w:name w:val="tabletxt eyg 2af"/>
    <w:basedOn w:val="Normale"/>
    <w:uiPriority w:val="99"/>
    <w:semiHidden/>
    <w:rsid w:val="00B05C1F"/>
    <w:pPr>
      <w:tabs>
        <w:tab w:val="right" w:leader="dot" w:pos="9739"/>
      </w:tabs>
      <w:spacing w:after="40" w:line="240" w:lineRule="exact"/>
    </w:pPr>
    <w:rPr>
      <w:rFonts w:ascii="EY Gothic Comp BookPS" w:hAnsi="EY Gothic Comp BookPS"/>
      <w:color w:val="000000"/>
    </w:rPr>
  </w:style>
  <w:style w:type="paragraph" w:styleId="Paragrafoelenco">
    <w:name w:val="List Paragraph"/>
    <w:basedOn w:val="Normale"/>
    <w:link w:val="ParagrafoelencoCarattere"/>
    <w:uiPriority w:val="34"/>
    <w:qFormat/>
    <w:rsid w:val="00B97C3D"/>
    <w:pPr>
      <w:ind w:left="720"/>
      <w:contextualSpacing/>
    </w:pPr>
  </w:style>
  <w:style w:type="paragraph" w:styleId="Revisione">
    <w:name w:val="Revision"/>
    <w:hidden/>
    <w:uiPriority w:val="99"/>
    <w:semiHidden/>
    <w:rsid w:val="002A4AEA"/>
    <w:pPr>
      <w:spacing w:before="20" w:after="20" w:line="220" w:lineRule="exact"/>
    </w:pPr>
    <w:rPr>
      <w:rFonts w:ascii="Garamond" w:hAnsi="Garamond"/>
      <w:lang w:val="en-GB" w:eastAsia="en-US"/>
    </w:rPr>
  </w:style>
  <w:style w:type="paragraph" w:customStyle="1" w:styleId="Titolocolonna">
    <w:name w:val="Titolo colonna"/>
    <w:basedOn w:val="Normale"/>
    <w:uiPriority w:val="99"/>
    <w:qFormat/>
    <w:rsid w:val="00C3113A"/>
    <w:pPr>
      <w:overflowPunct/>
      <w:autoSpaceDE/>
      <w:autoSpaceDN/>
      <w:adjustRightInd/>
      <w:jc w:val="center"/>
      <w:textAlignment w:val="auto"/>
    </w:pPr>
    <w:rPr>
      <w:b/>
      <w:lang w:val="it-IT"/>
    </w:rPr>
  </w:style>
  <w:style w:type="paragraph" w:customStyle="1" w:styleId="Rientroa">
    <w:name w:val="Rientro a)"/>
    <w:basedOn w:val="Normale"/>
    <w:uiPriority w:val="99"/>
    <w:qFormat/>
    <w:rsid w:val="00DA0755"/>
    <w:pPr>
      <w:numPr>
        <w:numId w:val="3"/>
      </w:numPr>
      <w:overflowPunct/>
      <w:autoSpaceDE/>
      <w:autoSpaceDN/>
      <w:adjustRightInd/>
      <w:textAlignment w:val="auto"/>
    </w:pPr>
    <w:rPr>
      <w:lang w:val="it-IT"/>
    </w:rPr>
  </w:style>
  <w:style w:type="paragraph" w:customStyle="1" w:styleId="Normaletrattino">
    <w:name w:val="Normale trattino"/>
    <w:basedOn w:val="Normale"/>
    <w:uiPriority w:val="99"/>
    <w:rsid w:val="00AC0FA9"/>
    <w:pPr>
      <w:tabs>
        <w:tab w:val="num" w:pos="780"/>
      </w:tabs>
      <w:ind w:left="780" w:hanging="420"/>
    </w:pPr>
    <w:rPr>
      <w:spacing w:val="-2"/>
      <w:lang w:val="it-IT"/>
    </w:rPr>
  </w:style>
  <w:style w:type="paragraph" w:customStyle="1" w:styleId="Commentiriquadro">
    <w:name w:val="Commenti riquadro"/>
    <w:basedOn w:val="Normale"/>
    <w:link w:val="CommentiriquadroCarattere"/>
    <w:uiPriority w:val="99"/>
    <w:qFormat/>
    <w:rsid w:val="009F1254"/>
    <w:pPr>
      <w:pBdr>
        <w:top w:val="single" w:sz="4" w:space="1" w:color="auto"/>
        <w:left w:val="single" w:sz="4" w:space="4" w:color="auto"/>
        <w:bottom w:val="single" w:sz="4" w:space="1" w:color="auto"/>
        <w:right w:val="single" w:sz="4" w:space="4" w:color="auto"/>
      </w:pBdr>
      <w:spacing w:before="40" w:line="200" w:lineRule="exact"/>
      <w:ind w:left="57" w:right="57"/>
    </w:pPr>
    <w:rPr>
      <w:sz w:val="16"/>
      <w:szCs w:val="16"/>
      <w:lang w:val="it-IT"/>
    </w:rPr>
  </w:style>
  <w:style w:type="paragraph" w:customStyle="1" w:styleId="PrincCont">
    <w:name w:val="Princ Cont"/>
    <w:basedOn w:val="Normale"/>
    <w:uiPriority w:val="99"/>
    <w:qFormat/>
    <w:rsid w:val="00107636"/>
    <w:pPr>
      <w:spacing w:before="40" w:line="240" w:lineRule="auto"/>
      <w:ind w:right="28"/>
      <w:jc w:val="center"/>
    </w:pPr>
    <w:rPr>
      <w:sz w:val="13"/>
      <w:szCs w:val="13"/>
      <w:lang w:val="en-US"/>
    </w:rPr>
  </w:style>
  <w:style w:type="paragraph" w:customStyle="1" w:styleId="Commentiariquadro">
    <w:name w:val="Commenti a) riquadro"/>
    <w:basedOn w:val="Commentiriquadro"/>
    <w:uiPriority w:val="99"/>
    <w:rsid w:val="00AC0FA9"/>
    <w:pPr>
      <w:ind w:left="460" w:hanging="284"/>
    </w:pPr>
  </w:style>
  <w:style w:type="paragraph" w:customStyle="1" w:styleId="Rientro11">
    <w:name w:val="Rientro 1"/>
    <w:basedOn w:val="Normale"/>
    <w:uiPriority w:val="99"/>
    <w:rsid w:val="00AC0FA9"/>
    <w:pPr>
      <w:ind w:left="407"/>
    </w:pPr>
    <w:rPr>
      <w:lang w:val="it-IT"/>
    </w:rPr>
  </w:style>
  <w:style w:type="paragraph" w:customStyle="1" w:styleId="Rientrosottoi">
    <w:name w:val="Rientro sotto i)"/>
    <w:basedOn w:val="Normale"/>
    <w:uiPriority w:val="99"/>
    <w:rsid w:val="00CA1EC9"/>
    <w:pPr>
      <w:ind w:left="1031" w:hanging="284"/>
    </w:pPr>
    <w:rPr>
      <w:lang w:val="it-IT"/>
    </w:rPr>
  </w:style>
  <w:style w:type="paragraph" w:customStyle="1" w:styleId="Rientroisottoa">
    <w:name w:val="Rientro i) sotto a)"/>
    <w:basedOn w:val="Normale"/>
    <w:uiPriority w:val="99"/>
    <w:qFormat/>
    <w:rsid w:val="005E09F8"/>
    <w:pPr>
      <w:ind w:left="743" w:hanging="307"/>
    </w:pPr>
    <w:rPr>
      <w:lang w:val="it-IT"/>
    </w:rPr>
  </w:style>
  <w:style w:type="paragraph" w:customStyle="1" w:styleId="Normalegrassetto">
    <w:name w:val="Normale grassetto"/>
    <w:basedOn w:val="Normale"/>
    <w:uiPriority w:val="99"/>
    <w:rsid w:val="003A2B8D"/>
    <w:rPr>
      <w:b/>
    </w:rPr>
  </w:style>
  <w:style w:type="paragraph" w:customStyle="1" w:styleId="Titologenerale">
    <w:name w:val="Titolo generale"/>
    <w:basedOn w:val="Normale"/>
    <w:uiPriority w:val="99"/>
    <w:qFormat/>
    <w:rsid w:val="007C59ED"/>
    <w:pPr>
      <w:overflowPunct/>
      <w:autoSpaceDE/>
      <w:autoSpaceDN/>
      <w:adjustRightInd/>
      <w:spacing w:before="0" w:after="0" w:line="240" w:lineRule="exact"/>
      <w:jc w:val="center"/>
      <w:textAlignment w:val="auto"/>
    </w:pPr>
    <w:rPr>
      <w:rFonts w:cs="Arial"/>
      <w:b/>
      <w:sz w:val="24"/>
      <w:szCs w:val="22"/>
      <w:lang w:val="it-IT" w:eastAsia="it-IT"/>
    </w:rPr>
  </w:style>
  <w:style w:type="paragraph" w:styleId="Corpotesto">
    <w:name w:val="Body Text"/>
    <w:basedOn w:val="Normale"/>
    <w:link w:val="CorpotestoCarattere"/>
    <w:uiPriority w:val="99"/>
    <w:rsid w:val="00620DEC"/>
    <w:pPr>
      <w:spacing w:after="120"/>
    </w:pPr>
  </w:style>
  <w:style w:type="character" w:customStyle="1" w:styleId="CorpotestoCarattere">
    <w:name w:val="Corpo testo Carattere"/>
    <w:basedOn w:val="Carpredefinitoparagrafo"/>
    <w:link w:val="Corpotesto"/>
    <w:uiPriority w:val="99"/>
    <w:rsid w:val="00620DEC"/>
    <w:rPr>
      <w:rFonts w:ascii="Arial Narrow" w:hAnsi="Arial Narrow"/>
      <w:lang w:val="en-GB" w:eastAsia="en-US"/>
    </w:rPr>
  </w:style>
  <w:style w:type="paragraph" w:customStyle="1" w:styleId="Testots">
    <w:name w:val="Testo.ts"/>
    <w:basedOn w:val="Normale"/>
    <w:uiPriority w:val="99"/>
    <w:rsid w:val="008401B3"/>
    <w:pPr>
      <w:tabs>
        <w:tab w:val="right" w:pos="8560"/>
      </w:tabs>
      <w:overflowPunct/>
      <w:autoSpaceDE/>
      <w:autoSpaceDN/>
      <w:adjustRightInd/>
      <w:spacing w:before="0" w:after="130" w:line="260" w:lineRule="exact"/>
      <w:textAlignment w:val="auto"/>
    </w:pPr>
    <w:rPr>
      <w:rFonts w:ascii="Times" w:hAnsi="Times"/>
      <w:lang w:val="it-IT" w:eastAsia="it-IT"/>
    </w:rPr>
  </w:style>
  <w:style w:type="paragraph" w:styleId="Didascalia">
    <w:name w:val="caption"/>
    <w:basedOn w:val="Normale"/>
    <w:next w:val="Normale"/>
    <w:uiPriority w:val="99"/>
    <w:rsid w:val="00484C52"/>
    <w:pPr>
      <w:spacing w:before="0" w:after="200" w:line="240" w:lineRule="auto"/>
    </w:pPr>
    <w:rPr>
      <w:b/>
      <w:bCs/>
      <w:color w:val="4F81BD" w:themeColor="accent1"/>
      <w:sz w:val="18"/>
      <w:szCs w:val="18"/>
    </w:rPr>
  </w:style>
  <w:style w:type="paragraph" w:customStyle="1" w:styleId="CM4">
    <w:name w:val="CM4"/>
    <w:basedOn w:val="Normale"/>
    <w:next w:val="Normale"/>
    <w:uiPriority w:val="99"/>
    <w:rsid w:val="00106F2F"/>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Default">
    <w:name w:val="Default"/>
    <w:uiPriority w:val="99"/>
    <w:rsid w:val="00DE6470"/>
    <w:pPr>
      <w:autoSpaceDE w:val="0"/>
      <w:autoSpaceDN w:val="0"/>
      <w:adjustRightInd w:val="0"/>
    </w:pPr>
    <w:rPr>
      <w:color w:val="000000"/>
      <w:sz w:val="24"/>
      <w:szCs w:val="24"/>
      <w:lang w:val="en-US"/>
    </w:rPr>
  </w:style>
  <w:style w:type="paragraph" w:customStyle="1" w:styleId="IASBPrinciple">
    <w:name w:val="IASB Principle"/>
    <w:basedOn w:val="Default"/>
    <w:next w:val="Default"/>
    <w:uiPriority w:val="99"/>
    <w:rsid w:val="00DE6470"/>
    <w:rPr>
      <w:color w:val="auto"/>
    </w:rPr>
  </w:style>
  <w:style w:type="paragraph" w:customStyle="1" w:styleId="CM1">
    <w:name w:val="CM1"/>
    <w:basedOn w:val="Normale"/>
    <w:next w:val="Normale"/>
    <w:uiPriority w:val="99"/>
    <w:rsid w:val="00A70B81"/>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CM3">
    <w:name w:val="CM3"/>
    <w:basedOn w:val="Normale"/>
    <w:next w:val="Normale"/>
    <w:uiPriority w:val="99"/>
    <w:rsid w:val="00DF4DF0"/>
    <w:pPr>
      <w:overflowPunct/>
      <w:spacing w:before="0" w:after="0" w:line="240" w:lineRule="auto"/>
      <w:jc w:val="left"/>
      <w:textAlignment w:val="auto"/>
    </w:pPr>
    <w:rPr>
      <w:rFonts w:ascii="EUAlbertina" w:eastAsiaTheme="minorHAnsi" w:hAnsi="EUAlbertina" w:cstheme="minorBidi"/>
      <w:sz w:val="24"/>
      <w:szCs w:val="24"/>
      <w:lang w:val="it-IT"/>
    </w:rPr>
  </w:style>
  <w:style w:type="character" w:customStyle="1" w:styleId="IntestazionemessaggioCarattere">
    <w:name w:val="Intestazione messaggio Carattere"/>
    <w:basedOn w:val="Carpredefinitoparagrafo"/>
    <w:link w:val="Intestazionemessaggio"/>
    <w:uiPriority w:val="99"/>
    <w:rsid w:val="00986144"/>
    <w:rPr>
      <w:rFonts w:ascii="Arial" w:hAnsi="Arial"/>
      <w:sz w:val="24"/>
      <w:shd w:val="pct20" w:color="auto" w:fill="auto"/>
      <w:lang w:val="en-GB" w:eastAsia="en-US"/>
    </w:rPr>
  </w:style>
  <w:style w:type="character" w:customStyle="1" w:styleId="Rientrocorpodeltesto3Carattere">
    <w:name w:val="Rientro corpo del testo 3 Carattere"/>
    <w:basedOn w:val="Carpredefinitoparagrafo"/>
    <w:link w:val="Rientrocorpodeltesto3"/>
    <w:uiPriority w:val="99"/>
    <w:rsid w:val="002F6470"/>
    <w:rPr>
      <w:rFonts w:ascii="Arial Narrow" w:hAnsi="Arial Narrow"/>
      <w:sz w:val="16"/>
      <w:lang w:val="en-GB" w:eastAsia="en-US"/>
    </w:rPr>
  </w:style>
  <w:style w:type="character" w:customStyle="1" w:styleId="TestofumettoCarattere">
    <w:name w:val="Testo fumetto Carattere"/>
    <w:basedOn w:val="Carpredefinitoparagrafo"/>
    <w:link w:val="Testofumetto"/>
    <w:uiPriority w:val="99"/>
    <w:semiHidden/>
    <w:rsid w:val="000517CC"/>
    <w:rPr>
      <w:rFonts w:ascii="Tahoma" w:hAnsi="Tahoma" w:cs="Tahoma"/>
      <w:sz w:val="16"/>
      <w:szCs w:val="16"/>
      <w:lang w:val="en-GB" w:eastAsia="en-US"/>
    </w:rPr>
  </w:style>
  <w:style w:type="character" w:customStyle="1" w:styleId="Titolo1Carattere">
    <w:name w:val="Titolo 1 Carattere"/>
    <w:basedOn w:val="Carpredefinitoparagrafo"/>
    <w:link w:val="Titolo1"/>
    <w:uiPriority w:val="99"/>
    <w:rsid w:val="00FC301A"/>
    <w:rPr>
      <w:rFonts w:ascii="Arial Narrow" w:hAnsi="Arial Narrow"/>
      <w:b/>
      <w:caps/>
      <w:kern w:val="28"/>
      <w:sz w:val="22"/>
      <w:szCs w:val="22"/>
      <w:lang w:eastAsia="en-US"/>
    </w:rPr>
  </w:style>
  <w:style w:type="character" w:styleId="Enfasigrassetto">
    <w:name w:val="Strong"/>
    <w:basedOn w:val="Carpredefinitoparagrafo"/>
    <w:uiPriority w:val="22"/>
    <w:qFormat/>
    <w:rsid w:val="005B7410"/>
    <w:rPr>
      <w:b/>
      <w:bCs/>
    </w:rPr>
  </w:style>
  <w:style w:type="character" w:styleId="Enfasicorsivo">
    <w:name w:val="Emphasis"/>
    <w:basedOn w:val="Carpredefinitoparagrafo"/>
    <w:qFormat/>
    <w:rsid w:val="00E90307"/>
    <w:rPr>
      <w:i/>
      <w:iCs/>
    </w:rPr>
  </w:style>
  <w:style w:type="paragraph" w:styleId="Nessunaspaziatura">
    <w:name w:val="No Spacing"/>
    <w:uiPriority w:val="1"/>
    <w:qFormat/>
    <w:rsid w:val="00B406AC"/>
    <w:pPr>
      <w:overflowPunct w:val="0"/>
      <w:autoSpaceDE w:val="0"/>
      <w:autoSpaceDN w:val="0"/>
      <w:adjustRightInd w:val="0"/>
      <w:jc w:val="both"/>
      <w:textAlignment w:val="baseline"/>
    </w:pPr>
    <w:rPr>
      <w:rFonts w:ascii="Arial Narrow" w:hAnsi="Arial Narrow"/>
      <w:lang w:val="en-GB" w:eastAsia="en-US"/>
    </w:rPr>
  </w:style>
  <w:style w:type="paragraph" w:styleId="Testonormale">
    <w:name w:val="Plain Text"/>
    <w:basedOn w:val="Normale"/>
    <w:link w:val="TestonormaleCarattere"/>
    <w:uiPriority w:val="99"/>
    <w:unhideWhenUsed/>
    <w:rsid w:val="00001EE7"/>
    <w:pPr>
      <w:overflowPunct/>
      <w:autoSpaceDE/>
      <w:autoSpaceDN/>
      <w:adjustRightInd/>
      <w:spacing w:before="0" w:after="0" w:line="240" w:lineRule="auto"/>
      <w:jc w:val="left"/>
      <w:textAlignment w:val="auto"/>
    </w:pPr>
    <w:rPr>
      <w:rFonts w:ascii="Consolas" w:eastAsiaTheme="minorHAnsi" w:hAnsi="Consolas"/>
      <w:sz w:val="21"/>
      <w:szCs w:val="21"/>
      <w:lang w:val="it-IT" w:eastAsia="it-IT"/>
    </w:rPr>
  </w:style>
  <w:style w:type="character" w:customStyle="1" w:styleId="TestonormaleCarattere">
    <w:name w:val="Testo normale Carattere"/>
    <w:basedOn w:val="Carpredefinitoparagrafo"/>
    <w:link w:val="Testonormale"/>
    <w:uiPriority w:val="99"/>
    <w:rsid w:val="00001EE7"/>
    <w:rPr>
      <w:rFonts w:ascii="Consolas" w:eastAsiaTheme="minorHAnsi" w:hAnsi="Consolas"/>
      <w:sz w:val="21"/>
      <w:szCs w:val="21"/>
    </w:rPr>
  </w:style>
  <w:style w:type="paragraph" w:customStyle="1" w:styleId="trattinosottoa">
    <w:name w:val="trattino sotto a)"/>
    <w:basedOn w:val="Puntoelenco"/>
    <w:link w:val="trattinosottopuntoCarattere"/>
    <w:uiPriority w:val="99"/>
    <w:qFormat/>
    <w:rsid w:val="007E004E"/>
    <w:pPr>
      <w:spacing w:line="240" w:lineRule="exact"/>
      <w:ind w:left="545" w:hanging="180"/>
      <w:contextualSpacing w:val="0"/>
    </w:pPr>
  </w:style>
  <w:style w:type="paragraph" w:customStyle="1" w:styleId="rientrotrattinook">
    <w:name w:val="rientro trattino ok"/>
    <w:basedOn w:val="Puntoelenco"/>
    <w:link w:val="rientrotrattinookCarattere"/>
    <w:uiPriority w:val="99"/>
    <w:qFormat/>
    <w:rsid w:val="00840B93"/>
    <w:pPr>
      <w:contextualSpacing w:val="0"/>
    </w:pPr>
  </w:style>
  <w:style w:type="character" w:customStyle="1" w:styleId="PuntoelencoCarattere">
    <w:name w:val="Punto elenco Carattere"/>
    <w:basedOn w:val="Carpredefinitoparagrafo"/>
    <w:link w:val="Puntoelenco"/>
    <w:uiPriority w:val="99"/>
    <w:rsid w:val="00AD7F84"/>
    <w:rPr>
      <w:rFonts w:ascii="Arial Narrow" w:hAnsi="Arial Narrow"/>
      <w:lang w:eastAsia="en-US"/>
    </w:rPr>
  </w:style>
  <w:style w:type="character" w:customStyle="1" w:styleId="trattinosottopuntoCarattere">
    <w:name w:val="trattino sottopunto Carattere"/>
    <w:basedOn w:val="PuntoelencoCarattere"/>
    <w:link w:val="trattinosottoa"/>
    <w:uiPriority w:val="99"/>
    <w:rsid w:val="007E004E"/>
    <w:rPr>
      <w:rFonts w:ascii="Arial Narrow" w:hAnsi="Arial Narrow"/>
      <w:lang w:eastAsia="en-US"/>
    </w:rPr>
  </w:style>
  <w:style w:type="paragraph" w:customStyle="1" w:styleId="Puntoroman">
    <w:name w:val="Punto roman"/>
    <w:basedOn w:val="Puntoelenco"/>
    <w:next w:val="Puntoelenco2"/>
    <w:link w:val="PuntoromanCarattere"/>
    <w:uiPriority w:val="99"/>
    <w:qFormat/>
    <w:rsid w:val="00FF1D21"/>
    <w:pPr>
      <w:numPr>
        <w:numId w:val="4"/>
      </w:numPr>
      <w:ind w:left="391" w:hanging="357"/>
      <w:contextualSpacing w:val="0"/>
    </w:pPr>
  </w:style>
  <w:style w:type="character" w:customStyle="1" w:styleId="rientrotrattinookCarattere">
    <w:name w:val="rientro trattino ok Carattere"/>
    <w:basedOn w:val="PuntoelencoCarattere"/>
    <w:link w:val="rientrotrattinook"/>
    <w:uiPriority w:val="99"/>
    <w:rsid w:val="00840B93"/>
    <w:rPr>
      <w:rFonts w:ascii="Arial Narrow" w:hAnsi="Arial Narrow"/>
      <w:lang w:eastAsia="en-US"/>
    </w:rPr>
  </w:style>
  <w:style w:type="character" w:customStyle="1" w:styleId="PuntoromanCarattere">
    <w:name w:val="Punto roman Carattere"/>
    <w:basedOn w:val="PuntoelencoCarattere"/>
    <w:link w:val="Puntoroman"/>
    <w:uiPriority w:val="99"/>
    <w:rsid w:val="00FF1D21"/>
    <w:rPr>
      <w:rFonts w:ascii="Arial Narrow" w:hAnsi="Arial Narrow"/>
      <w:lang w:eastAsia="en-US"/>
    </w:rPr>
  </w:style>
  <w:style w:type="paragraph" w:customStyle="1" w:styleId="rientropuntino">
    <w:name w:val="rientro puntino"/>
    <w:basedOn w:val="Normale"/>
    <w:uiPriority w:val="99"/>
    <w:qFormat/>
    <w:rsid w:val="006479B1"/>
    <w:pPr>
      <w:ind w:left="635" w:hanging="180"/>
    </w:pPr>
    <w:rPr>
      <w:lang w:val="it-IT"/>
    </w:rPr>
  </w:style>
  <w:style w:type="paragraph" w:customStyle="1" w:styleId="Rientroi">
    <w:name w:val="Rientro i"/>
    <w:basedOn w:val="Normale"/>
    <w:uiPriority w:val="99"/>
    <w:qFormat/>
    <w:rsid w:val="003771B5"/>
    <w:pPr>
      <w:numPr>
        <w:numId w:val="6"/>
      </w:numPr>
      <w:tabs>
        <w:tab w:val="left" w:pos="1138"/>
      </w:tabs>
      <w:overflowPunct/>
      <w:autoSpaceDE/>
      <w:autoSpaceDN/>
      <w:adjustRightInd/>
      <w:ind w:left="1138" w:hanging="364"/>
      <w:textAlignment w:val="auto"/>
    </w:pPr>
    <w:rPr>
      <w:lang w:val="it-IT"/>
    </w:rPr>
  </w:style>
  <w:style w:type="character" w:customStyle="1" w:styleId="IntestazioneCarattere">
    <w:name w:val="Intestazione Carattere"/>
    <w:basedOn w:val="Carpredefinitoparagrafo"/>
    <w:link w:val="Intestazione"/>
    <w:uiPriority w:val="99"/>
    <w:rsid w:val="003771B5"/>
    <w:rPr>
      <w:rFonts w:ascii="Arial Narrow" w:hAnsi="Arial Narrow"/>
      <w:noProof/>
      <w:lang w:val="en-US" w:eastAsia="en-US"/>
    </w:rPr>
  </w:style>
  <w:style w:type="paragraph" w:customStyle="1" w:styleId="Introduzioneint">
    <w:name w:val="Introduzione.int"/>
    <w:basedOn w:val="Normale"/>
    <w:uiPriority w:val="99"/>
    <w:rsid w:val="003771B5"/>
    <w:pPr>
      <w:overflowPunct/>
      <w:autoSpaceDE/>
      <w:autoSpaceDN/>
      <w:adjustRightInd/>
      <w:spacing w:before="0" w:after="130" w:line="260" w:lineRule="exact"/>
      <w:textAlignment w:val="auto"/>
    </w:pPr>
    <w:rPr>
      <w:rFonts w:ascii="Univers 45 Light" w:hAnsi="Univers 45 Light"/>
      <w:sz w:val="18"/>
      <w:lang w:val="it-IT" w:eastAsia="it-IT"/>
    </w:rPr>
  </w:style>
  <w:style w:type="paragraph" w:styleId="NormaleWeb">
    <w:name w:val="Normal (Web)"/>
    <w:basedOn w:val="Normale"/>
    <w:uiPriority w:val="99"/>
    <w:unhideWhenUsed/>
    <w:rsid w:val="003771B5"/>
    <w:pPr>
      <w:overflowPunct/>
      <w:autoSpaceDE/>
      <w:autoSpaceDN/>
      <w:adjustRightInd/>
      <w:spacing w:before="0" w:after="0" w:line="240" w:lineRule="auto"/>
      <w:jc w:val="left"/>
      <w:textAlignment w:val="auto"/>
    </w:pPr>
    <w:rPr>
      <w:rFonts w:ascii="Arial" w:hAnsi="Arial" w:cs="Arial"/>
      <w:sz w:val="16"/>
      <w:szCs w:val="16"/>
      <w:lang w:val="en-US"/>
    </w:rPr>
  </w:style>
  <w:style w:type="numbering" w:customStyle="1" w:styleId="Stile1">
    <w:name w:val="Stile1"/>
    <w:uiPriority w:val="99"/>
    <w:rsid w:val="002B19AA"/>
    <w:pPr>
      <w:numPr>
        <w:numId w:val="8"/>
      </w:numPr>
    </w:pPr>
  </w:style>
  <w:style w:type="paragraph" w:customStyle="1" w:styleId="Normalecorsivo8pt">
    <w:name w:val="Normale corsivo 8pt"/>
    <w:basedOn w:val="Normale"/>
    <w:uiPriority w:val="99"/>
    <w:rsid w:val="002B19AA"/>
    <w:pPr>
      <w:overflowPunct/>
      <w:autoSpaceDE/>
      <w:autoSpaceDN/>
      <w:adjustRightInd/>
      <w:spacing w:before="0" w:after="0" w:line="200" w:lineRule="exact"/>
      <w:textAlignment w:val="auto"/>
    </w:pPr>
    <w:rPr>
      <w:i/>
      <w:sz w:val="16"/>
      <w:szCs w:val="16"/>
      <w:lang w:val="it-IT"/>
    </w:rPr>
  </w:style>
  <w:style w:type="paragraph" w:customStyle="1" w:styleId="Rientrovoci">
    <w:name w:val="Rientro voci"/>
    <w:basedOn w:val="Normale"/>
    <w:uiPriority w:val="99"/>
    <w:qFormat/>
    <w:rsid w:val="004E44D8"/>
    <w:pPr>
      <w:keepNext/>
      <w:overflowPunct/>
      <w:autoSpaceDE/>
      <w:autoSpaceDN/>
      <w:adjustRightInd/>
      <w:ind w:left="732"/>
      <w:textAlignment w:val="auto"/>
    </w:pPr>
    <w:rPr>
      <w:lang w:val="it-IT"/>
    </w:rPr>
  </w:style>
  <w:style w:type="paragraph" w:customStyle="1" w:styleId="Rientro3">
    <w:name w:val="Rientro 3"/>
    <w:basedOn w:val="Normale"/>
    <w:uiPriority w:val="99"/>
    <w:rsid w:val="004E44D8"/>
    <w:pPr>
      <w:overflowPunct/>
      <w:autoSpaceDE/>
      <w:autoSpaceDN/>
      <w:adjustRightInd/>
      <w:ind w:left="1348" w:hanging="294"/>
      <w:textAlignment w:val="auto"/>
    </w:pPr>
    <w:rPr>
      <w:lang w:val="it-IT"/>
    </w:rPr>
  </w:style>
  <w:style w:type="paragraph" w:customStyle="1" w:styleId="Rientrotrattino2">
    <w:name w:val="Rientro trattino 2"/>
    <w:basedOn w:val="Normale"/>
    <w:uiPriority w:val="99"/>
    <w:qFormat/>
    <w:rsid w:val="004E44D8"/>
    <w:pPr>
      <w:overflowPunct/>
      <w:autoSpaceDE/>
      <w:autoSpaceDN/>
      <w:adjustRightInd/>
      <w:ind w:left="1026" w:hanging="294"/>
      <w:textAlignment w:val="auto"/>
    </w:pPr>
    <w:rPr>
      <w:lang w:val="it-IT"/>
    </w:rPr>
  </w:style>
  <w:style w:type="paragraph" w:customStyle="1" w:styleId="Puntoelencosottolettere">
    <w:name w:val="Punto elenco sotto lettere"/>
    <w:basedOn w:val="Puntoelenco"/>
    <w:uiPriority w:val="99"/>
    <w:qFormat/>
    <w:rsid w:val="004E44D8"/>
  </w:style>
  <w:style w:type="paragraph" w:customStyle="1" w:styleId="Rientronumerato8pt">
    <w:name w:val="Rientro numerato 8pt"/>
    <w:basedOn w:val="Rientrotrattinocorsivo8pt"/>
    <w:uiPriority w:val="99"/>
    <w:qFormat/>
    <w:rsid w:val="004E44D8"/>
    <w:pPr>
      <w:spacing w:before="20" w:after="20"/>
      <w:ind w:left="369"/>
    </w:pPr>
    <w:rPr>
      <w:i w:val="0"/>
    </w:rPr>
  </w:style>
  <w:style w:type="paragraph" w:customStyle="1" w:styleId="Rientrotrattinonormalecorsivo8pt">
    <w:name w:val="Rientro trattino normale corsivo 8pt"/>
    <w:basedOn w:val="Rientrotrattinonormale"/>
    <w:uiPriority w:val="99"/>
    <w:qFormat/>
    <w:rsid w:val="004E44D8"/>
    <w:pPr>
      <w:ind w:left="732"/>
    </w:pPr>
    <w:rPr>
      <w:i/>
    </w:rPr>
  </w:style>
  <w:style w:type="paragraph" w:customStyle="1" w:styleId="Rientrosottonumero8pt">
    <w:name w:val="Rientro sottonumero 8pt"/>
    <w:basedOn w:val="Rientronumerato8pt"/>
    <w:uiPriority w:val="99"/>
    <w:qFormat/>
    <w:rsid w:val="004E44D8"/>
  </w:style>
  <w:style w:type="paragraph" w:customStyle="1" w:styleId="Rientrotrattinocorsivo8pt">
    <w:name w:val="Rientro trattino corsivo 8pt"/>
    <w:basedOn w:val="Normale"/>
    <w:uiPriority w:val="99"/>
    <w:qFormat/>
    <w:rsid w:val="004E44D8"/>
    <w:pPr>
      <w:overflowPunct/>
      <w:autoSpaceDE/>
      <w:autoSpaceDN/>
      <w:adjustRightInd/>
      <w:spacing w:before="0" w:after="0" w:line="200" w:lineRule="exact"/>
      <w:ind w:left="284"/>
      <w:textAlignment w:val="auto"/>
    </w:pPr>
    <w:rPr>
      <w:i/>
      <w:sz w:val="16"/>
      <w:szCs w:val="16"/>
      <w:lang w:val="it-IT"/>
    </w:rPr>
  </w:style>
  <w:style w:type="paragraph" w:customStyle="1" w:styleId="Normalecorsivo">
    <w:name w:val="Normale corsivo"/>
    <w:basedOn w:val="Normale"/>
    <w:uiPriority w:val="99"/>
    <w:rsid w:val="004E44D8"/>
    <w:pPr>
      <w:overflowPunct/>
      <w:autoSpaceDE/>
      <w:autoSpaceDN/>
      <w:adjustRightInd/>
      <w:spacing w:before="0" w:after="0"/>
      <w:textAlignment w:val="auto"/>
    </w:pPr>
    <w:rPr>
      <w:i/>
      <w:lang w:val="it-IT"/>
    </w:rPr>
  </w:style>
  <w:style w:type="character" w:customStyle="1" w:styleId="TestonotaapidipaginaCarattere">
    <w:name w:val="Testo nota a piè di pagina Carattere"/>
    <w:basedOn w:val="Carpredefinitoparagrafo"/>
    <w:link w:val="Testonotaapidipagina"/>
    <w:uiPriority w:val="99"/>
    <w:semiHidden/>
    <w:rsid w:val="004E44D8"/>
    <w:rPr>
      <w:rFonts w:ascii="Arial Narrow" w:hAnsi="Arial Narrow"/>
      <w:lang w:val="en-GB" w:eastAsia="en-US"/>
    </w:rPr>
  </w:style>
  <w:style w:type="character" w:customStyle="1" w:styleId="Titolo4Carattere">
    <w:name w:val="Titolo 4 Carattere"/>
    <w:basedOn w:val="Carpredefinitoparagrafo"/>
    <w:link w:val="Titolo4"/>
    <w:uiPriority w:val="99"/>
    <w:rsid w:val="00AB49EA"/>
    <w:rPr>
      <w:rFonts w:ascii="Arial Narrow" w:hAnsi="Arial Narrow"/>
      <w:i/>
      <w:lang w:eastAsia="en-US"/>
    </w:rPr>
  </w:style>
  <w:style w:type="character" w:customStyle="1" w:styleId="Titolo5Carattere">
    <w:name w:val="Titolo 5 Carattere"/>
    <w:basedOn w:val="Carpredefinitoparagrafo"/>
    <w:link w:val="Titolo5"/>
    <w:uiPriority w:val="99"/>
    <w:rsid w:val="004E44D8"/>
    <w:rPr>
      <w:rFonts w:ascii="Arial Narrow" w:hAnsi="Arial Narrow"/>
      <w:b/>
      <w:i/>
      <w:sz w:val="26"/>
      <w:lang w:val="en-GB" w:eastAsia="en-US"/>
    </w:rPr>
  </w:style>
  <w:style w:type="character" w:customStyle="1" w:styleId="Titolo6Carattere">
    <w:name w:val="Titolo 6 Carattere"/>
    <w:basedOn w:val="Carpredefinitoparagrafo"/>
    <w:link w:val="Titolo6"/>
    <w:uiPriority w:val="99"/>
    <w:rsid w:val="004E44D8"/>
    <w:rPr>
      <w:rFonts w:ascii="Arial Narrow" w:hAnsi="Arial Narrow"/>
      <w:b/>
      <w:sz w:val="22"/>
      <w:lang w:val="en-GB" w:eastAsia="en-US"/>
    </w:rPr>
  </w:style>
  <w:style w:type="character" w:customStyle="1" w:styleId="Titolo7Carattere">
    <w:name w:val="Titolo 7 Carattere"/>
    <w:basedOn w:val="Carpredefinitoparagrafo"/>
    <w:link w:val="Titolo7"/>
    <w:uiPriority w:val="99"/>
    <w:rsid w:val="004E44D8"/>
    <w:rPr>
      <w:rFonts w:ascii="Arial Narrow" w:hAnsi="Arial Narrow"/>
      <w:sz w:val="24"/>
      <w:lang w:val="en-GB" w:eastAsia="en-US"/>
    </w:rPr>
  </w:style>
  <w:style w:type="character" w:customStyle="1" w:styleId="Titolo8Carattere">
    <w:name w:val="Titolo 8 Carattere"/>
    <w:basedOn w:val="Carpredefinitoparagrafo"/>
    <w:link w:val="Titolo8"/>
    <w:uiPriority w:val="99"/>
    <w:rsid w:val="004E44D8"/>
    <w:rPr>
      <w:rFonts w:ascii="Arial Narrow" w:hAnsi="Arial Narrow"/>
      <w:i/>
      <w:sz w:val="24"/>
      <w:lang w:val="en-GB" w:eastAsia="en-US"/>
    </w:rPr>
  </w:style>
  <w:style w:type="character" w:customStyle="1" w:styleId="Titolo9Carattere">
    <w:name w:val="Titolo 9 Carattere"/>
    <w:basedOn w:val="Carpredefinitoparagrafo"/>
    <w:link w:val="Titolo9"/>
    <w:uiPriority w:val="99"/>
    <w:rsid w:val="004E44D8"/>
    <w:rPr>
      <w:rFonts w:ascii="Arial" w:hAnsi="Arial"/>
      <w:sz w:val="22"/>
      <w:lang w:val="en-GB" w:eastAsia="en-US"/>
    </w:rPr>
  </w:style>
  <w:style w:type="numbering" w:customStyle="1" w:styleId="Rientro1">
    <w:name w:val="Rientro 1."/>
    <w:uiPriority w:val="99"/>
    <w:rsid w:val="004E44D8"/>
    <w:pPr>
      <w:numPr>
        <w:numId w:val="9"/>
      </w:numPr>
    </w:pPr>
  </w:style>
  <w:style w:type="paragraph" w:customStyle="1" w:styleId="Rientro2trattinonormalecorsivo">
    <w:name w:val="Rientro 2 trattino normale corsivo"/>
    <w:basedOn w:val="Rientrotrattinonormalecorsivo8pt"/>
    <w:uiPriority w:val="99"/>
    <w:qFormat/>
    <w:rsid w:val="004E44D8"/>
    <w:pPr>
      <w:ind w:left="1026" w:hanging="294"/>
    </w:pPr>
  </w:style>
  <w:style w:type="paragraph" w:customStyle="1" w:styleId="Numeroelencorientro">
    <w:name w:val="Numero elenco rientro"/>
    <w:basedOn w:val="Normale"/>
    <w:uiPriority w:val="99"/>
    <w:qFormat/>
    <w:rsid w:val="004E44D8"/>
    <w:pPr>
      <w:overflowPunct/>
      <w:autoSpaceDE/>
      <w:autoSpaceDN/>
      <w:adjustRightInd/>
      <w:ind w:left="354" w:firstLine="5"/>
      <w:textAlignment w:val="auto"/>
    </w:pPr>
    <w:rPr>
      <w:lang w:val="it-IT"/>
    </w:rPr>
  </w:style>
  <w:style w:type="paragraph" w:customStyle="1" w:styleId="Numeroelencorientro2">
    <w:name w:val="Numero elenco rientro 2"/>
    <w:basedOn w:val="Numeroelencorientro"/>
    <w:uiPriority w:val="99"/>
    <w:qFormat/>
    <w:rsid w:val="004E44D8"/>
    <w:pPr>
      <w:ind w:left="863" w:hanging="238"/>
    </w:pPr>
  </w:style>
  <w:style w:type="paragraph" w:customStyle="1" w:styleId="Rientrotrattinomargine">
    <w:name w:val="Rientro trattino margine"/>
    <w:basedOn w:val="Numeroelencorientro"/>
    <w:uiPriority w:val="99"/>
    <w:qFormat/>
    <w:rsid w:val="004E44D8"/>
    <w:pPr>
      <w:ind w:left="256"/>
    </w:pPr>
  </w:style>
  <w:style w:type="paragraph" w:customStyle="1" w:styleId="Titolotesto1">
    <w:name w:val="Titolo testo 1"/>
    <w:basedOn w:val="Normale"/>
    <w:uiPriority w:val="99"/>
    <w:qFormat/>
    <w:rsid w:val="004E44D8"/>
    <w:pPr>
      <w:overflowPunct/>
      <w:autoSpaceDE/>
      <w:autoSpaceDN/>
      <w:adjustRightInd/>
      <w:jc w:val="left"/>
      <w:textAlignment w:val="auto"/>
    </w:pPr>
    <w:rPr>
      <w:b/>
      <w:lang w:val="it-IT"/>
    </w:rPr>
  </w:style>
  <w:style w:type="paragraph" w:customStyle="1" w:styleId="Titolotesto2">
    <w:name w:val="Titolo testo 2"/>
    <w:basedOn w:val="Normale"/>
    <w:uiPriority w:val="99"/>
    <w:qFormat/>
    <w:rsid w:val="004E44D8"/>
    <w:pPr>
      <w:overflowPunct/>
      <w:autoSpaceDE/>
      <w:autoSpaceDN/>
      <w:adjustRightInd/>
      <w:jc w:val="left"/>
      <w:textAlignment w:val="auto"/>
    </w:pPr>
    <w:rPr>
      <w:b/>
      <w:i/>
      <w:lang w:val="it-IT"/>
    </w:rPr>
  </w:style>
  <w:style w:type="paragraph" w:customStyle="1" w:styleId="Titolotesto3">
    <w:name w:val="Titolo testo 3"/>
    <w:basedOn w:val="Normale"/>
    <w:uiPriority w:val="99"/>
    <w:qFormat/>
    <w:rsid w:val="004E44D8"/>
    <w:pPr>
      <w:overflowPunct/>
      <w:autoSpaceDE/>
      <w:autoSpaceDN/>
      <w:adjustRightInd/>
      <w:jc w:val="left"/>
      <w:textAlignment w:val="auto"/>
    </w:pPr>
    <w:rPr>
      <w:i/>
      <w:lang w:val="it-IT"/>
    </w:rPr>
  </w:style>
  <w:style w:type="character" w:customStyle="1" w:styleId="PidipaginaCarattere">
    <w:name w:val="Piè di pagina Carattere"/>
    <w:basedOn w:val="Carpredefinitoparagrafo"/>
    <w:link w:val="Pidipagina"/>
    <w:uiPriority w:val="99"/>
    <w:rsid w:val="004E44D8"/>
    <w:rPr>
      <w:rFonts w:ascii="Arial Narrow" w:hAnsi="Arial Narrow"/>
      <w:iCs/>
      <w:lang w:val="en-GB" w:eastAsia="en-US"/>
    </w:rPr>
  </w:style>
  <w:style w:type="paragraph" w:customStyle="1" w:styleId="Titolotesto4">
    <w:name w:val="Titolo testo 4"/>
    <w:basedOn w:val="Normale"/>
    <w:uiPriority w:val="99"/>
    <w:qFormat/>
    <w:rsid w:val="004E44D8"/>
    <w:pPr>
      <w:overflowPunct/>
      <w:autoSpaceDE/>
      <w:autoSpaceDN/>
      <w:adjustRightInd/>
      <w:jc w:val="left"/>
      <w:textAlignment w:val="auto"/>
    </w:pPr>
    <w:rPr>
      <w:i/>
      <w:u w:val="single"/>
      <w:lang w:val="it-IT"/>
    </w:rPr>
  </w:style>
  <w:style w:type="paragraph" w:customStyle="1" w:styleId="Rientrotrattino10pt">
    <w:name w:val="Rientro trattino 10pt"/>
    <w:basedOn w:val="Rientrotrattinonormale"/>
    <w:uiPriority w:val="99"/>
    <w:qFormat/>
    <w:rsid w:val="004E44D8"/>
    <w:pPr>
      <w:spacing w:before="20" w:after="20" w:line="220" w:lineRule="exact"/>
    </w:pPr>
    <w:rPr>
      <w:sz w:val="20"/>
      <w:szCs w:val="20"/>
    </w:rPr>
  </w:style>
  <w:style w:type="paragraph" w:customStyle="1" w:styleId="Normale8pt">
    <w:name w:val="Normale 8pt"/>
    <w:basedOn w:val="Normale"/>
    <w:uiPriority w:val="99"/>
    <w:rsid w:val="004E44D8"/>
    <w:pPr>
      <w:overflowPunct/>
      <w:autoSpaceDE/>
      <w:autoSpaceDN/>
      <w:adjustRightInd/>
      <w:textAlignment w:val="auto"/>
    </w:pPr>
    <w:rPr>
      <w:sz w:val="16"/>
      <w:szCs w:val="16"/>
      <w:lang w:val="it-IT"/>
    </w:rPr>
  </w:style>
  <w:style w:type="character" w:customStyle="1" w:styleId="TestomacroCarattere">
    <w:name w:val="Testo macro Carattere"/>
    <w:basedOn w:val="Carpredefinitoparagrafo"/>
    <w:link w:val="Testomacro"/>
    <w:uiPriority w:val="99"/>
    <w:semiHidden/>
    <w:rsid w:val="004E44D8"/>
    <w:rPr>
      <w:rFonts w:ascii="Courier New" w:hAnsi="Courier New"/>
      <w:lang w:val="en-GB" w:eastAsia="en-US"/>
    </w:rPr>
  </w:style>
  <w:style w:type="character" w:customStyle="1" w:styleId="TestocommentoCarattere">
    <w:name w:val="Testo commento Carattere"/>
    <w:basedOn w:val="Carpredefinitoparagrafo"/>
    <w:link w:val="Testocommento"/>
    <w:uiPriority w:val="99"/>
    <w:rsid w:val="004E44D8"/>
    <w:rPr>
      <w:rFonts w:ascii="Arial Narrow" w:hAnsi="Arial Narrow"/>
      <w:lang w:val="en-GB" w:eastAsia="en-US"/>
    </w:rPr>
  </w:style>
  <w:style w:type="paragraph" w:customStyle="1" w:styleId="Numerorientratoa">
    <w:name w:val="Numero rientrato a."/>
    <w:basedOn w:val="Numeroelencorientro2"/>
    <w:uiPriority w:val="99"/>
    <w:qFormat/>
    <w:rsid w:val="004E44D8"/>
    <w:pPr>
      <w:ind w:left="743" w:hanging="380"/>
    </w:pPr>
  </w:style>
  <w:style w:type="paragraph" w:customStyle="1" w:styleId="Rientrovoci2">
    <w:name w:val="Rientro voci 2"/>
    <w:basedOn w:val="Rientrovoci"/>
    <w:uiPriority w:val="99"/>
    <w:qFormat/>
    <w:rsid w:val="004E44D8"/>
    <w:pPr>
      <w:ind w:left="961"/>
    </w:pPr>
  </w:style>
  <w:style w:type="paragraph" w:customStyle="1" w:styleId="Rientrotrattinonormale">
    <w:name w:val="Rientro trattino normale"/>
    <w:basedOn w:val="Rientrotrattinocorsivo8pt"/>
    <w:uiPriority w:val="99"/>
    <w:qFormat/>
    <w:rsid w:val="004E44D8"/>
    <w:pPr>
      <w:ind w:left="704"/>
    </w:pPr>
    <w:rPr>
      <w:i w:val="0"/>
    </w:rPr>
  </w:style>
  <w:style w:type="paragraph" w:customStyle="1" w:styleId="Rientronumerocorsivo8pt">
    <w:name w:val="Rientro numero corsivo 8pt"/>
    <w:basedOn w:val="Rientronumerocorsivo"/>
    <w:uiPriority w:val="99"/>
    <w:qFormat/>
    <w:rsid w:val="004E44D8"/>
    <w:rPr>
      <w:sz w:val="16"/>
      <w:szCs w:val="16"/>
    </w:rPr>
  </w:style>
  <w:style w:type="paragraph" w:customStyle="1" w:styleId="Numeratorientrato11">
    <w:name w:val="Numerato rientrato 1.1"/>
    <w:basedOn w:val="Numeroelencorientro"/>
    <w:uiPriority w:val="99"/>
    <w:qFormat/>
    <w:rsid w:val="004E44D8"/>
    <w:pPr>
      <w:ind w:hanging="354"/>
    </w:pPr>
  </w:style>
  <w:style w:type="paragraph" w:customStyle="1" w:styleId="Rientrosottonumero">
    <w:name w:val="Rientro sottonumero"/>
    <w:basedOn w:val="Numeroelencorientro"/>
    <w:uiPriority w:val="99"/>
    <w:qFormat/>
    <w:rsid w:val="004E44D8"/>
    <w:pPr>
      <w:ind w:left="357" w:firstLine="0"/>
    </w:pPr>
  </w:style>
  <w:style w:type="paragraph" w:customStyle="1" w:styleId="Rientrosottolettera">
    <w:name w:val="Rientro sottolettera"/>
    <w:basedOn w:val="Rientrotrattino10pt"/>
    <w:uiPriority w:val="99"/>
    <w:qFormat/>
    <w:rsid w:val="004E44D8"/>
    <w:pPr>
      <w:ind w:left="732"/>
    </w:pPr>
  </w:style>
  <w:style w:type="paragraph" w:customStyle="1" w:styleId="rientro8">
    <w:name w:val="rientro 8"/>
    <w:basedOn w:val="Rientrotrattino2"/>
    <w:uiPriority w:val="99"/>
    <w:rsid w:val="004E44D8"/>
    <w:pPr>
      <w:ind w:firstLine="38"/>
    </w:pPr>
    <w:rPr>
      <w:sz w:val="16"/>
      <w:szCs w:val="16"/>
    </w:rPr>
  </w:style>
  <w:style w:type="paragraph" w:customStyle="1" w:styleId="Puntoelencosottotesto8pt">
    <w:name w:val="Punto elenco sottotesto 8pt"/>
    <w:basedOn w:val="Rientrotrattinonormale"/>
    <w:uiPriority w:val="99"/>
    <w:qFormat/>
    <w:rsid w:val="004E44D8"/>
    <w:pPr>
      <w:spacing w:before="20" w:after="20"/>
      <w:ind w:left="718"/>
    </w:pPr>
  </w:style>
  <w:style w:type="numbering" w:customStyle="1" w:styleId="Stile2">
    <w:name w:val="Stile2"/>
    <w:uiPriority w:val="99"/>
    <w:rsid w:val="004E44D8"/>
    <w:pPr>
      <w:numPr>
        <w:numId w:val="10"/>
      </w:numPr>
    </w:pPr>
  </w:style>
  <w:style w:type="character" w:customStyle="1" w:styleId="SoggettocommentoCarattere">
    <w:name w:val="Soggetto commento Carattere"/>
    <w:basedOn w:val="TestocommentoCarattere"/>
    <w:link w:val="Soggettocommento"/>
    <w:uiPriority w:val="99"/>
    <w:semiHidden/>
    <w:rsid w:val="004E44D8"/>
    <w:rPr>
      <w:rFonts w:ascii="Arial Narrow" w:hAnsi="Arial Narrow"/>
      <w:b/>
      <w:bCs/>
      <w:lang w:val="en-GB" w:eastAsia="en-US"/>
    </w:rPr>
  </w:style>
  <w:style w:type="paragraph" w:customStyle="1" w:styleId="Puntoelencorientroa">
    <w:name w:val="Punto elenco rientro a)"/>
    <w:basedOn w:val="Normale"/>
    <w:uiPriority w:val="99"/>
    <w:rsid w:val="004E44D8"/>
    <w:pPr>
      <w:overflowPunct/>
      <w:autoSpaceDE/>
      <w:autoSpaceDN/>
      <w:adjustRightInd/>
      <w:ind w:left="1004" w:hanging="294"/>
      <w:textAlignment w:val="auto"/>
    </w:pPr>
    <w:rPr>
      <w:lang w:val="it-IT"/>
    </w:rPr>
  </w:style>
  <w:style w:type="paragraph" w:customStyle="1" w:styleId="Rientrosottolettera8pt">
    <w:name w:val="Rientro sottolettera 8pt"/>
    <w:basedOn w:val="Rientrosottolettera"/>
    <w:uiPriority w:val="99"/>
    <w:qFormat/>
    <w:rsid w:val="004E44D8"/>
    <w:rPr>
      <w:sz w:val="16"/>
      <w:szCs w:val="16"/>
    </w:rPr>
  </w:style>
  <w:style w:type="paragraph" w:customStyle="1" w:styleId="Rientrosottonumerocorsivo">
    <w:name w:val="Rientro sottonumero corsivo"/>
    <w:basedOn w:val="Rientrosottonumero"/>
    <w:uiPriority w:val="99"/>
    <w:qFormat/>
    <w:rsid w:val="004E44D8"/>
    <w:rPr>
      <w:i/>
    </w:rPr>
  </w:style>
  <w:style w:type="paragraph" w:customStyle="1" w:styleId="Rientrosottolettera8ptcorsivo">
    <w:name w:val="Rientro sottolettera 8pt corsivo"/>
    <w:basedOn w:val="Rientrosottolettera8pt"/>
    <w:uiPriority w:val="99"/>
    <w:qFormat/>
    <w:rsid w:val="004E44D8"/>
    <w:rPr>
      <w:i/>
    </w:rPr>
  </w:style>
  <w:style w:type="paragraph" w:customStyle="1" w:styleId="Rientronumerocorsivo">
    <w:name w:val="Rientro numero corsivo"/>
    <w:basedOn w:val="Normale"/>
    <w:uiPriority w:val="99"/>
    <w:qFormat/>
    <w:rsid w:val="004E44D8"/>
    <w:pPr>
      <w:overflowPunct/>
      <w:autoSpaceDE/>
      <w:autoSpaceDN/>
      <w:adjustRightInd/>
      <w:ind w:left="396"/>
      <w:textAlignment w:val="auto"/>
    </w:pPr>
    <w:rPr>
      <w:i/>
      <w:lang w:val="it-IT"/>
    </w:rPr>
  </w:style>
  <w:style w:type="paragraph" w:customStyle="1" w:styleId="Rientrosottonumero8ptcorsivo">
    <w:name w:val="Rientro sottonumero 8pt corsivo"/>
    <w:basedOn w:val="Rientrosottonumero8pt"/>
    <w:uiPriority w:val="99"/>
    <w:qFormat/>
    <w:rsid w:val="004E44D8"/>
    <w:rPr>
      <w:i/>
    </w:rPr>
  </w:style>
  <w:style w:type="character" w:customStyle="1" w:styleId="TestonotadichiusuraCarattere">
    <w:name w:val="Testo nota di chiusura Carattere"/>
    <w:basedOn w:val="Carpredefinitoparagrafo"/>
    <w:link w:val="Testonotadichiusura"/>
    <w:uiPriority w:val="99"/>
    <w:semiHidden/>
    <w:rsid w:val="004E44D8"/>
    <w:rPr>
      <w:rFonts w:ascii="Arial Narrow" w:hAnsi="Arial Narrow"/>
      <w:lang w:val="en-GB" w:eastAsia="en-US"/>
    </w:rPr>
  </w:style>
  <w:style w:type="paragraph" w:customStyle="1" w:styleId="Text">
    <w:name w:val="Text"/>
    <w:basedOn w:val="Normale"/>
    <w:uiPriority w:val="99"/>
    <w:rsid w:val="004E44D8"/>
    <w:pPr>
      <w:tabs>
        <w:tab w:val="left" w:pos="284"/>
      </w:tabs>
      <w:spacing w:before="0" w:after="260" w:line="240" w:lineRule="auto"/>
    </w:pPr>
    <w:rPr>
      <w:rFonts w:ascii="Times New Roman" w:hAnsi="Times New Roman"/>
      <w:sz w:val="22"/>
      <w:lang w:val="it-IT"/>
    </w:rPr>
  </w:style>
  <w:style w:type="character" w:styleId="Rimandonotaapidipagina">
    <w:name w:val="footnote reference"/>
    <w:basedOn w:val="Carpredefinitoparagrafo"/>
    <w:uiPriority w:val="99"/>
    <w:unhideWhenUsed/>
    <w:rsid w:val="004E44D8"/>
    <w:rPr>
      <w:vertAlign w:val="superscript"/>
    </w:rPr>
  </w:style>
  <w:style w:type="paragraph" w:customStyle="1" w:styleId="cors3">
    <w:name w:val="cors_3"/>
    <w:uiPriority w:val="99"/>
    <w:rsid w:val="00877773"/>
    <w:pPr>
      <w:autoSpaceDE w:val="0"/>
      <w:autoSpaceDN w:val="0"/>
      <w:ind w:firstLine="385"/>
      <w:jc w:val="both"/>
    </w:pPr>
    <w:rPr>
      <w:rFonts w:ascii="Garamond" w:hAnsi="Garamond"/>
      <w:sz w:val="18"/>
      <w:lang w:val="en-US"/>
    </w:rPr>
  </w:style>
  <w:style w:type="paragraph" w:customStyle="1" w:styleId="Rientro10">
    <w:name w:val="Rientro 1)"/>
    <w:basedOn w:val="Titolo2"/>
    <w:link w:val="Rientro1Carattere"/>
    <w:qFormat/>
    <w:rsid w:val="007E004E"/>
    <w:pPr>
      <w:numPr>
        <w:numId w:val="7"/>
      </w:numPr>
      <w:spacing w:line="220" w:lineRule="exact"/>
      <w:ind w:left="318" w:hanging="283"/>
      <w:jc w:val="both"/>
    </w:pPr>
    <w:rPr>
      <w:b w:val="0"/>
      <w:sz w:val="20"/>
      <w:lang w:val="it-IT"/>
    </w:rPr>
  </w:style>
  <w:style w:type="character" w:customStyle="1" w:styleId="ParagrafoelencoCarattere">
    <w:name w:val="Paragrafo elenco Carattere"/>
    <w:basedOn w:val="Carpredefinitoparagrafo"/>
    <w:link w:val="Paragrafoelenco"/>
    <w:uiPriority w:val="34"/>
    <w:rsid w:val="00CA16E4"/>
    <w:rPr>
      <w:rFonts w:ascii="Arial Narrow" w:hAnsi="Arial Narrow"/>
      <w:lang w:val="en-GB" w:eastAsia="en-US"/>
    </w:rPr>
  </w:style>
  <w:style w:type="character" w:customStyle="1" w:styleId="Rientro1Carattere">
    <w:name w:val="Rientro 1) Carattere"/>
    <w:basedOn w:val="ParagrafoelencoCarattere"/>
    <w:link w:val="Rientro10"/>
    <w:rsid w:val="007E004E"/>
    <w:rPr>
      <w:rFonts w:ascii="Arial Narrow" w:hAnsi="Arial Narrow"/>
      <w:lang w:val="en-GB" w:eastAsia="en-US"/>
    </w:rPr>
  </w:style>
  <w:style w:type="paragraph" w:customStyle="1" w:styleId="Stile3">
    <w:name w:val="Stile3"/>
    <w:basedOn w:val="Commentiriquadro"/>
    <w:link w:val="Stile3Carattere"/>
    <w:qFormat/>
    <w:rsid w:val="00680245"/>
  </w:style>
  <w:style w:type="paragraph" w:customStyle="1" w:styleId="Stile4">
    <w:name w:val="Stile4"/>
    <w:basedOn w:val="Commentiriquadro"/>
    <w:link w:val="Stile4Carattere"/>
    <w:qFormat/>
    <w:rsid w:val="00680245"/>
  </w:style>
  <w:style w:type="character" w:customStyle="1" w:styleId="CommentiriquadroCarattere">
    <w:name w:val="Commenti riquadro Carattere"/>
    <w:basedOn w:val="Carpredefinitoparagrafo"/>
    <w:link w:val="Commentiriquadro"/>
    <w:rsid w:val="00680245"/>
    <w:rPr>
      <w:rFonts w:ascii="Arial Narrow" w:hAnsi="Arial Narrow"/>
      <w:sz w:val="16"/>
      <w:szCs w:val="16"/>
      <w:lang w:eastAsia="en-US"/>
    </w:rPr>
  </w:style>
  <w:style w:type="character" w:customStyle="1" w:styleId="Stile3Carattere">
    <w:name w:val="Stile3 Carattere"/>
    <w:basedOn w:val="CommentiriquadroCarattere"/>
    <w:link w:val="Stile3"/>
    <w:rsid w:val="00680245"/>
    <w:rPr>
      <w:rFonts w:ascii="Arial Narrow" w:hAnsi="Arial Narrow"/>
      <w:sz w:val="16"/>
      <w:szCs w:val="16"/>
      <w:lang w:eastAsia="en-US"/>
    </w:rPr>
  </w:style>
  <w:style w:type="character" w:customStyle="1" w:styleId="Stile4Carattere">
    <w:name w:val="Stile4 Carattere"/>
    <w:basedOn w:val="CommentiriquadroCarattere"/>
    <w:link w:val="Stile4"/>
    <w:rsid w:val="00680245"/>
    <w:rPr>
      <w:rFonts w:ascii="Arial Narrow" w:hAnsi="Arial Narrow"/>
      <w:sz w:val="16"/>
      <w:szCs w:val="16"/>
      <w:lang w:eastAsia="en-US"/>
    </w:rPr>
  </w:style>
  <w:style w:type="character" w:styleId="Collegamentoipertestuale">
    <w:name w:val="Hyperlink"/>
    <w:uiPriority w:val="99"/>
    <w:rsid w:val="004D7697"/>
    <w:rPr>
      <w:noProof/>
      <w:color w:val="008000"/>
      <w:u w:val="single"/>
    </w:rPr>
  </w:style>
  <w:style w:type="paragraph" w:customStyle="1" w:styleId="20">
    <w:name w:val="20"/>
    <w:basedOn w:val="Normale"/>
    <w:uiPriority w:val="99"/>
    <w:rsid w:val="004D7697"/>
    <w:pPr>
      <w:spacing w:before="0" w:after="0"/>
      <w:jc w:val="center"/>
    </w:pPr>
    <w:rPr>
      <w:rFonts w:ascii="Garamond" w:hAnsi="Garamond"/>
    </w:rPr>
  </w:style>
  <w:style w:type="paragraph" w:customStyle="1" w:styleId="rientrotrattino">
    <w:name w:val="rientro trattino"/>
    <w:basedOn w:val="Puntoelenco"/>
    <w:link w:val="rientrotrattinoCarattere"/>
    <w:qFormat/>
    <w:rsid w:val="004D7697"/>
    <w:pPr>
      <w:contextualSpacing w:val="0"/>
    </w:pPr>
  </w:style>
  <w:style w:type="character" w:customStyle="1" w:styleId="rientrotrattinoCarattere">
    <w:name w:val="rientro trattino Carattere"/>
    <w:basedOn w:val="PuntoelencoCarattere"/>
    <w:link w:val="rientrotrattino"/>
    <w:rsid w:val="004D7697"/>
    <w:rPr>
      <w:rFonts w:ascii="Arial Narrow" w:hAnsi="Arial Narrow"/>
      <w:lang w:eastAsia="en-US"/>
    </w:rPr>
  </w:style>
  <w:style w:type="paragraph" w:customStyle="1" w:styleId="TitoloPRINCIPIOOIC">
    <w:name w:val="Titolo PRINCIPIO OIC"/>
    <w:basedOn w:val="Normale"/>
    <w:link w:val="TitoloPRINCIPIOOICCarattere"/>
    <w:qFormat/>
    <w:rsid w:val="004D7697"/>
    <w:pPr>
      <w:tabs>
        <w:tab w:val="left" w:pos="1890"/>
      </w:tabs>
      <w:spacing w:line="260" w:lineRule="exact"/>
      <w:ind w:left="990" w:hanging="990"/>
      <w:jc w:val="left"/>
    </w:pPr>
    <w:rPr>
      <w:sz w:val="28"/>
    </w:rPr>
  </w:style>
  <w:style w:type="character" w:customStyle="1" w:styleId="TitoloPRINCIPIOOICCarattere">
    <w:name w:val="Titolo PRINCIPIO OIC Carattere"/>
    <w:basedOn w:val="Carpredefinitoparagrafo"/>
    <w:link w:val="TitoloPRINCIPIOOIC"/>
    <w:rsid w:val="004D7697"/>
    <w:rPr>
      <w:rFonts w:ascii="Arial Narrow" w:hAnsi="Arial Narrow"/>
      <w:sz w:val="28"/>
      <w:lang w:val="en-GB" w:eastAsia="en-US"/>
    </w:rPr>
  </w:style>
  <w:style w:type="numbering" w:customStyle="1" w:styleId="Stile11">
    <w:name w:val="Stile11"/>
    <w:uiPriority w:val="99"/>
    <w:rsid w:val="0017721C"/>
  </w:style>
  <w:style w:type="numbering" w:customStyle="1" w:styleId="Rientro110">
    <w:name w:val="Rientro 1.1"/>
    <w:uiPriority w:val="99"/>
    <w:rsid w:val="0017721C"/>
  </w:style>
  <w:style w:type="numbering" w:customStyle="1" w:styleId="Stile21">
    <w:name w:val="Stile21"/>
    <w:uiPriority w:val="99"/>
    <w:rsid w:val="0017721C"/>
  </w:style>
  <w:style w:type="numbering" w:customStyle="1" w:styleId="Stile111">
    <w:name w:val="Stile111"/>
    <w:uiPriority w:val="99"/>
    <w:rsid w:val="0017721C"/>
  </w:style>
  <w:style w:type="numbering" w:customStyle="1" w:styleId="Rientro111">
    <w:name w:val="Rientro 1.11"/>
    <w:uiPriority w:val="99"/>
    <w:rsid w:val="0017721C"/>
  </w:style>
  <w:style w:type="numbering" w:customStyle="1" w:styleId="Stile211">
    <w:name w:val="Stile211"/>
    <w:uiPriority w:val="99"/>
    <w:rsid w:val="0017721C"/>
  </w:style>
  <w:style w:type="paragraph" w:customStyle="1" w:styleId="Datecreated">
    <w:name w:val="Date created"/>
    <w:basedOn w:val="Normale"/>
    <w:uiPriority w:val="99"/>
    <w:rsid w:val="0017721C"/>
    <w:pPr>
      <w:overflowPunct/>
      <w:autoSpaceDE/>
      <w:autoSpaceDN/>
      <w:adjustRightInd/>
      <w:spacing w:before="60" w:after="60" w:line="260" w:lineRule="atLeast"/>
      <w:jc w:val="left"/>
      <w:textAlignment w:val="auto"/>
    </w:pPr>
    <w:rPr>
      <w:rFonts w:ascii="Times New Roman" w:hAnsi="Times New Roman"/>
      <w:sz w:val="22"/>
      <w:lang w:val="it-IT"/>
    </w:rPr>
  </w:style>
  <w:style w:type="paragraph" w:customStyle="1" w:styleId="Preparedby">
    <w:name w:val="Prepared by"/>
    <w:basedOn w:val="Normale"/>
    <w:uiPriority w:val="99"/>
    <w:rsid w:val="0017721C"/>
    <w:pPr>
      <w:overflowPunct/>
      <w:autoSpaceDE/>
      <w:autoSpaceDN/>
      <w:adjustRightInd/>
      <w:spacing w:before="60" w:after="60" w:line="260" w:lineRule="atLeast"/>
      <w:jc w:val="left"/>
      <w:textAlignment w:val="auto"/>
    </w:pPr>
    <w:rPr>
      <w:rFonts w:ascii="Times New Roman" w:hAnsi="Times New Roman"/>
      <w:snapToGrid w:val="0"/>
      <w:sz w:val="22"/>
      <w:lang w:val="it-IT"/>
    </w:rPr>
  </w:style>
  <w:style w:type="paragraph" w:customStyle="1" w:styleId="Smalltableheading">
    <w:name w:val="Small table heading"/>
    <w:next w:val="Normale"/>
    <w:uiPriority w:val="99"/>
    <w:rsid w:val="0017721C"/>
    <w:pPr>
      <w:keepNext/>
      <w:spacing w:before="60"/>
    </w:pPr>
    <w:rPr>
      <w:b/>
      <w:noProof/>
      <w:sz w:val="18"/>
      <w:lang w:val="en-US" w:eastAsia="en-US"/>
    </w:rPr>
  </w:style>
  <w:style w:type="paragraph" w:customStyle="1" w:styleId="WPreference">
    <w:name w:val="WP reference"/>
    <w:basedOn w:val="Normale"/>
    <w:uiPriority w:val="99"/>
    <w:rsid w:val="0017721C"/>
    <w:pPr>
      <w:overflowPunct/>
      <w:autoSpaceDE/>
      <w:autoSpaceDN/>
      <w:adjustRightInd/>
      <w:spacing w:before="60" w:after="60" w:line="260" w:lineRule="atLeast"/>
      <w:jc w:val="left"/>
      <w:textAlignment w:val="auto"/>
    </w:pPr>
    <w:rPr>
      <w:rFonts w:ascii="Times New Roman" w:hAnsi="Times New Roman"/>
      <w:sz w:val="22"/>
      <w:lang w:val="it-IT"/>
    </w:rPr>
  </w:style>
  <w:style w:type="paragraph" w:customStyle="1" w:styleId="StileTitolo1TimesNewRoman">
    <w:name w:val="Stile Titolo 1 + Times New Roman"/>
    <w:basedOn w:val="Titolo1"/>
    <w:uiPriority w:val="99"/>
    <w:rsid w:val="0017721C"/>
    <w:pPr>
      <w:jc w:val="center"/>
    </w:pPr>
    <w:rPr>
      <w:rFonts w:ascii="Times New Roman" w:hAnsi="Times New Roman"/>
      <w:bCs/>
    </w:rPr>
  </w:style>
  <w:style w:type="paragraph" w:customStyle="1" w:styleId="StileRientroa8ptSinistro132cmSporgente059cm">
    <w:name w:val="Stile Rientro a) + 8 pt Sinistro:  132 cm Sporgente  059 cm"/>
    <w:basedOn w:val="Rientroa"/>
    <w:uiPriority w:val="99"/>
    <w:rsid w:val="0017721C"/>
    <w:pPr>
      <w:numPr>
        <w:numId w:val="0"/>
      </w:numPr>
      <w:tabs>
        <w:tab w:val="left" w:pos="718"/>
      </w:tabs>
      <w:ind w:left="1082" w:hanging="336"/>
    </w:pPr>
    <w:rPr>
      <w:rFonts w:ascii="Times New Roman" w:hAnsi="Times New Roman"/>
      <w:sz w:val="16"/>
    </w:rPr>
  </w:style>
  <w:style w:type="paragraph" w:customStyle="1" w:styleId="StileParagrafoelencoLatinoArialNarrow9ptPrima1pt">
    <w:name w:val="Stile Paragrafo elenco + (Latino) Arial Narrow 9 pt Prima:  1 pt..."/>
    <w:basedOn w:val="Paragrafoelenco"/>
    <w:uiPriority w:val="99"/>
    <w:rsid w:val="0017721C"/>
    <w:pPr>
      <w:overflowPunct/>
      <w:autoSpaceDE/>
      <w:autoSpaceDN/>
      <w:adjustRightInd/>
      <w:spacing w:line="200" w:lineRule="exact"/>
      <w:ind w:hanging="357"/>
      <w:textAlignment w:val="auto"/>
    </w:pPr>
    <w:rPr>
      <w:rFonts w:ascii="Times New Roman" w:hAnsi="Times New Roman"/>
      <w:sz w:val="18"/>
      <w:lang w:val="en-US"/>
    </w:rPr>
  </w:style>
  <w:style w:type="paragraph" w:customStyle="1" w:styleId="StileParagrafoelencoLatinoArialNarrow10ptPrima1pt">
    <w:name w:val="Stile Paragrafo elenco + (Latino) Arial Narrow 10 pt Prima:  1 pt..."/>
    <w:basedOn w:val="Paragrafoelenco"/>
    <w:uiPriority w:val="99"/>
    <w:rsid w:val="0017721C"/>
    <w:pPr>
      <w:overflowPunct/>
      <w:autoSpaceDE/>
      <w:autoSpaceDN/>
      <w:adjustRightInd/>
      <w:spacing w:line="216" w:lineRule="exact"/>
      <w:ind w:hanging="357"/>
      <w:textAlignment w:val="auto"/>
    </w:pPr>
    <w:rPr>
      <w:rFonts w:ascii="Times New Roman" w:hAnsi="Times New Roman"/>
      <w:lang w:val="en-US"/>
    </w:rPr>
  </w:style>
  <w:style w:type="paragraph" w:customStyle="1" w:styleId="StileParagrafoelencoLatinoArialNarrow10ptPrima1pt1">
    <w:name w:val="Stile Paragrafo elenco + (Latino) Arial Narrow 10 pt Prima:  1 pt...1"/>
    <w:basedOn w:val="Paragrafoelenco"/>
    <w:uiPriority w:val="99"/>
    <w:rsid w:val="0017721C"/>
    <w:pPr>
      <w:overflowPunct/>
      <w:autoSpaceDE/>
      <w:autoSpaceDN/>
      <w:adjustRightInd/>
      <w:spacing w:line="216" w:lineRule="exact"/>
      <w:ind w:hanging="357"/>
      <w:textAlignment w:val="auto"/>
    </w:pPr>
    <w:rPr>
      <w:rFonts w:ascii="Times New Roman" w:hAnsi="Times New Roman"/>
      <w:lang w:val="en-US"/>
    </w:rPr>
  </w:style>
  <w:style w:type="paragraph" w:customStyle="1" w:styleId="StileParagrafoelencoLatinoArialNarrow10pt">
    <w:name w:val="Stile Paragrafo elenco + (Latino) Arial Narrow 10 pt"/>
    <w:basedOn w:val="Paragrafoelenco"/>
    <w:uiPriority w:val="99"/>
    <w:rsid w:val="0017721C"/>
    <w:pPr>
      <w:overflowPunct/>
      <w:autoSpaceDE/>
      <w:autoSpaceDN/>
      <w:adjustRightInd/>
      <w:spacing w:before="120" w:after="120" w:line="240" w:lineRule="auto"/>
      <w:ind w:hanging="357"/>
      <w:textAlignment w:val="auto"/>
    </w:pPr>
    <w:rPr>
      <w:rFonts w:ascii="Times New Roman" w:eastAsiaTheme="minorHAnsi" w:hAnsi="Times New Roman" w:cstheme="minorBidi"/>
      <w:szCs w:val="22"/>
      <w:lang w:val="en-US"/>
    </w:rPr>
  </w:style>
  <w:style w:type="paragraph" w:customStyle="1" w:styleId="StileParagrafoelencoTimesNewRoman10ptPrima1ptDopo">
    <w:name w:val="Stile Paragrafo elenco + Times New Roman 10 pt Prima:  1 pt Dopo..."/>
    <w:basedOn w:val="Paragrafoelenco"/>
    <w:uiPriority w:val="99"/>
    <w:rsid w:val="0017721C"/>
    <w:pPr>
      <w:overflowPunct/>
      <w:autoSpaceDE/>
      <w:autoSpaceDN/>
      <w:adjustRightInd/>
      <w:ind w:hanging="357"/>
      <w:textAlignment w:val="auto"/>
    </w:pPr>
    <w:rPr>
      <w:rFonts w:ascii="Times New Roman" w:hAnsi="Times New Roman"/>
      <w:lang w:val="en-US"/>
    </w:rPr>
  </w:style>
  <w:style w:type="paragraph" w:customStyle="1" w:styleId="TITOLOCAPITOLO">
    <w:name w:val="TITOLO CAPITOLO"/>
    <w:basedOn w:val="Normale"/>
    <w:link w:val="TITOLOCAPITOLOCarattere"/>
    <w:qFormat/>
    <w:rsid w:val="0017721C"/>
    <w:pPr>
      <w:spacing w:before="240" w:after="240" w:line="240" w:lineRule="auto"/>
      <w:textAlignment w:val="auto"/>
    </w:pPr>
    <w:rPr>
      <w:rFonts w:ascii="Arial" w:hAnsi="Arial" w:cs="Arial"/>
      <w:color w:val="548DD4" w:themeColor="text2" w:themeTint="99"/>
      <w:sz w:val="28"/>
      <w:szCs w:val="24"/>
      <w:lang w:eastAsia="it-IT"/>
    </w:rPr>
  </w:style>
  <w:style w:type="character" w:customStyle="1" w:styleId="TITOLOCAPITOLOCarattere">
    <w:name w:val="TITOLO CAPITOLO Carattere"/>
    <w:basedOn w:val="Carpredefinitoparagrafo"/>
    <w:link w:val="TITOLOCAPITOLO"/>
    <w:rsid w:val="0017721C"/>
    <w:rPr>
      <w:rFonts w:ascii="Arial" w:hAnsi="Arial" w:cs="Arial"/>
      <w:color w:val="548DD4" w:themeColor="text2" w:themeTint="99"/>
      <w:sz w:val="28"/>
      <w:szCs w:val="24"/>
      <w:lang w:val="en-GB"/>
    </w:rPr>
  </w:style>
  <w:style w:type="paragraph" w:customStyle="1" w:styleId="PARAGRAFO">
    <w:name w:val="PARAGRAFO"/>
    <w:basedOn w:val="Paragrafoelenco"/>
    <w:link w:val="PARAGRAFOCarattere"/>
    <w:rsid w:val="0017721C"/>
    <w:pPr>
      <w:numPr>
        <w:numId w:val="92"/>
      </w:numPr>
      <w:spacing w:before="360" w:after="360" w:line="240" w:lineRule="auto"/>
      <w:ind w:left="567" w:hanging="567"/>
      <w:textAlignment w:val="auto"/>
    </w:pPr>
    <w:rPr>
      <w:rFonts w:ascii="Arial" w:hAnsi="Arial" w:cs="Arial"/>
      <w:color w:val="548DD4" w:themeColor="text2" w:themeTint="99"/>
      <w:sz w:val="26"/>
      <w:szCs w:val="26"/>
    </w:rPr>
  </w:style>
  <w:style w:type="character" w:customStyle="1" w:styleId="PARAGRAFOCarattere">
    <w:name w:val="PARAGRAFO Carattere"/>
    <w:basedOn w:val="Carpredefinitoparagrafo"/>
    <w:link w:val="PARAGRAFO"/>
    <w:rsid w:val="0017721C"/>
    <w:rPr>
      <w:rFonts w:ascii="Arial" w:hAnsi="Arial" w:cs="Arial"/>
      <w:color w:val="548DD4" w:themeColor="text2" w:themeTint="99"/>
      <w:sz w:val="26"/>
      <w:szCs w:val="26"/>
      <w:lang w:val="en-GB" w:eastAsia="en-US"/>
    </w:rPr>
  </w:style>
  <w:style w:type="character" w:customStyle="1" w:styleId="Titolo3Carattere1">
    <w:name w:val="Titolo 3 Carattere1"/>
    <w:aliases w:val="Titolo 3 corsivo Carattere1"/>
    <w:basedOn w:val="Carpredefinitoparagrafo"/>
    <w:semiHidden/>
    <w:rsid w:val="0017721C"/>
    <w:rPr>
      <w:rFonts w:asciiTheme="majorHAnsi" w:eastAsiaTheme="majorEastAsia" w:hAnsiTheme="majorHAnsi" w:cstheme="majorBidi"/>
      <w:b/>
      <w:bCs/>
      <w:color w:val="4F81BD" w:themeColor="accent1"/>
      <w:lang w:val="en-GB" w:eastAsia="en-US"/>
    </w:rPr>
  </w:style>
  <w:style w:type="character" w:customStyle="1" w:styleId="PreformattatoHTMLCarattere">
    <w:name w:val="Preformattato HTML Carattere"/>
    <w:basedOn w:val="Carpredefinitoparagrafo"/>
    <w:link w:val="PreformattatoHTML"/>
    <w:rsid w:val="0017721C"/>
    <w:rPr>
      <w:rFonts w:ascii="Courier New" w:hAnsi="Courier New"/>
      <w:lang w:val="en-GB" w:eastAsia="en-US"/>
    </w:rPr>
  </w:style>
  <w:style w:type="character" w:customStyle="1" w:styleId="TitoloCarattere">
    <w:name w:val="Titolo Carattere"/>
    <w:basedOn w:val="Carpredefinitoparagrafo"/>
    <w:link w:val="Titolo"/>
    <w:uiPriority w:val="99"/>
    <w:rsid w:val="0017721C"/>
    <w:rPr>
      <w:rFonts w:ascii="Arial" w:hAnsi="Arial"/>
      <w:b/>
      <w:kern w:val="28"/>
      <w:sz w:val="32"/>
      <w:lang w:val="en-GB" w:eastAsia="en-US"/>
    </w:rPr>
  </w:style>
  <w:style w:type="character" w:customStyle="1" w:styleId="RientrocorpodeltestoCarattere">
    <w:name w:val="Rientro corpo del testo Carattere"/>
    <w:basedOn w:val="Carpredefinitoparagrafo"/>
    <w:link w:val="Rientrocorpodeltesto"/>
    <w:uiPriority w:val="99"/>
    <w:rsid w:val="0017721C"/>
    <w:rPr>
      <w:rFonts w:ascii="Arial Narrow" w:hAnsi="Arial Narrow"/>
      <w:lang w:val="en-GB" w:eastAsia="en-US"/>
    </w:rPr>
  </w:style>
  <w:style w:type="character" w:customStyle="1" w:styleId="PrimorientrocorpodeltestoCarattere">
    <w:name w:val="Primo rientro corpo del testo Carattere"/>
    <w:basedOn w:val="CorpotestoCarattere"/>
    <w:link w:val="Primorientrocorpodeltesto"/>
    <w:uiPriority w:val="99"/>
    <w:rsid w:val="0017721C"/>
    <w:rPr>
      <w:rFonts w:ascii="Arial Narrow" w:hAnsi="Arial Narrow"/>
      <w:lang w:val="en-GB" w:eastAsia="en-US"/>
    </w:rPr>
  </w:style>
  <w:style w:type="character" w:customStyle="1" w:styleId="Primorientrocorpodeltesto2Carattere">
    <w:name w:val="Primo rientro corpo del testo 2 Carattere"/>
    <w:basedOn w:val="RientrocorpodeltestoCarattere"/>
    <w:link w:val="Primorientrocorpodeltesto2"/>
    <w:uiPriority w:val="99"/>
    <w:rsid w:val="0017721C"/>
    <w:rPr>
      <w:rFonts w:ascii="Arial Narrow" w:hAnsi="Arial Narrow"/>
      <w:lang w:val="en-GB" w:eastAsia="en-US"/>
    </w:rPr>
  </w:style>
  <w:style w:type="character" w:customStyle="1" w:styleId="IntestazionenotaCarattere">
    <w:name w:val="Intestazione nota Carattere"/>
    <w:basedOn w:val="Carpredefinitoparagrafo"/>
    <w:link w:val="Intestazionenota"/>
    <w:uiPriority w:val="99"/>
    <w:rsid w:val="0017721C"/>
    <w:rPr>
      <w:rFonts w:ascii="Arial Narrow" w:hAnsi="Arial Narrow"/>
      <w:lang w:val="en-GB" w:eastAsia="en-US"/>
    </w:rPr>
  </w:style>
  <w:style w:type="character" w:customStyle="1" w:styleId="Rientrocorpodeltesto2Carattere">
    <w:name w:val="Rientro corpo del testo 2 Carattere"/>
    <w:basedOn w:val="Carpredefinitoparagrafo"/>
    <w:link w:val="Rientrocorpodeltesto2"/>
    <w:uiPriority w:val="99"/>
    <w:rsid w:val="0017721C"/>
    <w:rPr>
      <w:rFonts w:ascii="Arial Narrow" w:hAnsi="Arial Narrow"/>
      <w:lang w:val="en-GB" w:eastAsia="en-US"/>
    </w:rPr>
  </w:style>
  <w:style w:type="character" w:customStyle="1" w:styleId="MappadocumentoCarattere">
    <w:name w:val="Mappa documento Carattere"/>
    <w:basedOn w:val="Carpredefinitoparagrafo"/>
    <w:link w:val="Mappadocumento"/>
    <w:uiPriority w:val="99"/>
    <w:semiHidden/>
    <w:rsid w:val="0017721C"/>
    <w:rPr>
      <w:rFonts w:ascii="Tahoma" w:hAnsi="Tahoma"/>
      <w:shd w:val="clear" w:color="auto" w:fill="000080"/>
      <w:lang w:val="en-GB" w:eastAsia="en-US"/>
    </w:rPr>
  </w:style>
  <w:style w:type="paragraph" w:customStyle="1" w:styleId="IAS">
    <w:name w:val="IAS"/>
    <w:basedOn w:val="Normale"/>
    <w:qFormat/>
    <w:rsid w:val="0017721C"/>
    <w:pPr>
      <w:spacing w:before="40" w:line="240" w:lineRule="auto"/>
      <w:ind w:right="28"/>
      <w:jc w:val="center"/>
    </w:pPr>
    <w:rPr>
      <w:sz w:val="13"/>
      <w:szCs w:val="13"/>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uiPriority="99" w:qFormat="1"/>
    <w:lsdException w:name="heading 9" w:uiPriority="9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99"/>
    <w:lsdException w:name="toc 4" w:uiPriority="99"/>
    <w:lsdException w:name="toc 5" w:uiPriority="99"/>
    <w:lsdException w:name="toc 6" w:uiPriority="99"/>
    <w:lsdException w:name="toc 7" w:uiPriority="99"/>
    <w:lsdException w:name="toc 8" w:uiPriority="99"/>
    <w:lsdException w:name="toc 9" w:uiPriority="99"/>
    <w:lsdException w:name="Normal Indent" w:uiPriority="99"/>
    <w:lsdException w:name="footnote text" w:uiPriority="99"/>
    <w:lsdException w:name="annotation text" w:uiPriority="99"/>
    <w:lsdException w:name="header" w:uiPriority="99"/>
    <w:lsdException w:name="footer" w:uiPriority="99"/>
    <w:lsdException w:name="index heading" w:uiPriority="99"/>
    <w:lsdException w:name="caption" w:uiPriority="99"/>
    <w:lsdException w:name="table of figures" w:uiPriority="99"/>
    <w:lsdException w:name="footnote reference" w:uiPriority="99"/>
    <w:lsdException w:name="page number" w:uiPriority="99"/>
    <w:lsdException w:name="endnote text" w:uiPriority="99"/>
    <w:lsdException w:name="table of authorities" w:uiPriority="99"/>
    <w:lsdException w:name="macro" w:uiPriority="99"/>
    <w:lsdException w:name="toa heading" w:uiPriority="99"/>
    <w:lsdException w:name="List Bullet"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iPriority="99" w:unhideWhenUsed="0" w:qFormat="1"/>
    <w:lsdException w:name="Default Paragraph Font" w:uiPriority="1"/>
    <w:lsdException w:name="Body Text" w:uiPriority="99"/>
    <w:lsdException w:name="Body Text Indent" w:uiPriority="99"/>
    <w:lsdException w:name="Message Header" w:uiPriority="99"/>
    <w:lsdException w:name="Subtitle" w:semiHidden="0" w:unhideWhenUsed="0"/>
    <w:lsdException w:name="Salutation" w:semiHidden="0" w:unhideWhenUsed="0"/>
    <w:lsdException w:name="Date" w:semiHidden="0" w:unhideWhenUsed="0"/>
    <w:lsdException w:name="Body Text First Indent" w:semiHidden="0" w:uiPriority="99" w:unhideWhenUsed="0"/>
    <w:lsdException w:name="Body Text First Indent 2" w:uiPriority="99"/>
    <w:lsdException w:name="Note Heading" w:uiPriority="99"/>
    <w:lsdException w:name="Body Text Indent 2" w:uiPriority="99"/>
    <w:lsdException w:name="Body Text Indent 3" w:uiPriority="99"/>
    <w:lsdException w:name="Hyperlink" w:uiPriority="99"/>
    <w:lsdException w:name="Strong" w:semiHidden="0" w:uiPriority="22" w:unhideWhenUsed="0" w:qFormat="1"/>
    <w:lsdException w:name="Emphasis" w:semiHidden="0" w:unhideWhenUsed="0" w:qFormat="1"/>
    <w:lsdException w:name="Document Map" w:uiPriority="99"/>
    <w:lsdException w:name="Plain Text" w:uiPriority="99"/>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e">
    <w:name w:val="Normal"/>
    <w:qFormat/>
    <w:rsid w:val="00D81798"/>
    <w:pPr>
      <w:overflowPunct w:val="0"/>
      <w:autoSpaceDE w:val="0"/>
      <w:autoSpaceDN w:val="0"/>
      <w:adjustRightInd w:val="0"/>
      <w:spacing w:before="20" w:after="20" w:line="220" w:lineRule="exact"/>
      <w:jc w:val="both"/>
      <w:textAlignment w:val="baseline"/>
    </w:pPr>
    <w:rPr>
      <w:rFonts w:ascii="Arial Narrow" w:hAnsi="Arial Narrow"/>
      <w:lang w:val="en-GB" w:eastAsia="en-US"/>
    </w:rPr>
  </w:style>
  <w:style w:type="paragraph" w:styleId="Titolo1">
    <w:name w:val="heading 1"/>
    <w:basedOn w:val="Normale"/>
    <w:next w:val="Normale"/>
    <w:link w:val="Titolo1Carattere"/>
    <w:uiPriority w:val="99"/>
    <w:qFormat/>
    <w:rsid w:val="00175655"/>
    <w:pPr>
      <w:keepNext/>
      <w:overflowPunct/>
      <w:autoSpaceDE/>
      <w:autoSpaceDN/>
      <w:adjustRightInd/>
      <w:spacing w:before="0" w:after="0" w:line="240" w:lineRule="exact"/>
      <w:jc w:val="left"/>
      <w:textAlignment w:val="auto"/>
      <w:outlineLvl w:val="0"/>
    </w:pPr>
    <w:rPr>
      <w:b/>
      <w:caps/>
      <w:kern w:val="28"/>
      <w:sz w:val="22"/>
      <w:szCs w:val="22"/>
      <w:lang w:val="it-IT"/>
    </w:rPr>
  </w:style>
  <w:style w:type="paragraph" w:styleId="Titolo2">
    <w:name w:val="heading 2"/>
    <w:basedOn w:val="Normale"/>
    <w:next w:val="Normale"/>
    <w:link w:val="Titolo2Carattere"/>
    <w:uiPriority w:val="99"/>
    <w:qFormat/>
    <w:rsid w:val="001422E7"/>
    <w:pPr>
      <w:keepNext/>
      <w:overflowPunct/>
      <w:autoSpaceDE/>
      <w:autoSpaceDN/>
      <w:adjustRightInd/>
      <w:spacing w:line="240" w:lineRule="exact"/>
      <w:jc w:val="left"/>
      <w:textAlignment w:val="auto"/>
      <w:outlineLvl w:val="1"/>
    </w:pPr>
    <w:rPr>
      <w:b/>
      <w:sz w:val="22"/>
    </w:rPr>
  </w:style>
  <w:style w:type="paragraph" w:styleId="Titolo3">
    <w:name w:val="heading 3"/>
    <w:aliases w:val="Titolo 3 corsivo"/>
    <w:basedOn w:val="Normale"/>
    <w:next w:val="Normale"/>
    <w:link w:val="Titolo3Carattere"/>
    <w:qFormat/>
    <w:rsid w:val="001034D7"/>
    <w:pPr>
      <w:keepNext/>
      <w:outlineLvl w:val="2"/>
    </w:pPr>
    <w:rPr>
      <w:b/>
      <w:bCs/>
      <w:i/>
    </w:rPr>
  </w:style>
  <w:style w:type="paragraph" w:styleId="Titolo4">
    <w:name w:val="heading 4"/>
    <w:basedOn w:val="Normale"/>
    <w:next w:val="Normale"/>
    <w:link w:val="Titolo4Carattere"/>
    <w:uiPriority w:val="99"/>
    <w:qFormat/>
    <w:rsid w:val="00AB49EA"/>
    <w:pPr>
      <w:keepNext/>
      <w:outlineLvl w:val="3"/>
    </w:pPr>
    <w:rPr>
      <w:i/>
      <w:lang w:val="it-IT"/>
    </w:rPr>
  </w:style>
  <w:style w:type="paragraph" w:styleId="Titolo5">
    <w:name w:val="heading 5"/>
    <w:basedOn w:val="Normale"/>
    <w:next w:val="Normale"/>
    <w:link w:val="Titolo5Carattere"/>
    <w:uiPriority w:val="99"/>
    <w:qFormat/>
    <w:rsid w:val="00C85498"/>
    <w:pPr>
      <w:spacing w:before="240" w:after="60"/>
      <w:outlineLvl w:val="4"/>
    </w:pPr>
    <w:rPr>
      <w:b/>
      <w:i/>
      <w:sz w:val="26"/>
    </w:rPr>
  </w:style>
  <w:style w:type="paragraph" w:styleId="Titolo6">
    <w:name w:val="heading 6"/>
    <w:basedOn w:val="Normale"/>
    <w:next w:val="Normale"/>
    <w:link w:val="Titolo6Carattere"/>
    <w:uiPriority w:val="99"/>
    <w:qFormat/>
    <w:rsid w:val="00C85498"/>
    <w:pPr>
      <w:spacing w:before="240" w:after="60"/>
      <w:outlineLvl w:val="5"/>
    </w:pPr>
    <w:rPr>
      <w:b/>
      <w:sz w:val="22"/>
    </w:rPr>
  </w:style>
  <w:style w:type="paragraph" w:styleId="Titolo7">
    <w:name w:val="heading 7"/>
    <w:basedOn w:val="Normale"/>
    <w:next w:val="Normale"/>
    <w:link w:val="Titolo7Carattere"/>
    <w:uiPriority w:val="99"/>
    <w:qFormat/>
    <w:rsid w:val="00C85498"/>
    <w:pPr>
      <w:spacing w:before="240" w:after="60"/>
      <w:outlineLvl w:val="6"/>
    </w:pPr>
    <w:rPr>
      <w:sz w:val="24"/>
    </w:rPr>
  </w:style>
  <w:style w:type="paragraph" w:styleId="Titolo8">
    <w:name w:val="heading 8"/>
    <w:basedOn w:val="Normale"/>
    <w:next w:val="Normale"/>
    <w:link w:val="Titolo8Carattere"/>
    <w:uiPriority w:val="99"/>
    <w:qFormat/>
    <w:rsid w:val="00C85498"/>
    <w:pPr>
      <w:spacing w:before="240" w:after="60"/>
      <w:outlineLvl w:val="7"/>
    </w:pPr>
    <w:rPr>
      <w:i/>
      <w:sz w:val="24"/>
    </w:rPr>
  </w:style>
  <w:style w:type="paragraph" w:styleId="Titolo9">
    <w:name w:val="heading 9"/>
    <w:basedOn w:val="Normale"/>
    <w:next w:val="Normale"/>
    <w:link w:val="Titolo9Carattere"/>
    <w:uiPriority w:val="99"/>
    <w:qFormat/>
    <w:rsid w:val="00C85498"/>
    <w:pPr>
      <w:spacing w:before="240" w:after="60"/>
      <w:outlineLvl w:val="8"/>
    </w:pPr>
    <w:rPr>
      <w:rFonts w:ascii="Arial" w:hAnsi="Arial"/>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uiPriority w:val="99"/>
    <w:rsid w:val="001422E7"/>
    <w:rPr>
      <w:rFonts w:ascii="Arial Narrow" w:hAnsi="Arial Narrow"/>
      <w:b/>
      <w:sz w:val="22"/>
      <w:lang w:eastAsia="en-US"/>
    </w:rPr>
  </w:style>
  <w:style w:type="character" w:customStyle="1" w:styleId="Titolo3Carattere">
    <w:name w:val="Titolo 3 Carattere"/>
    <w:aliases w:val="Titolo 3 corsivo Carattere"/>
    <w:link w:val="Titolo3"/>
    <w:rsid w:val="001034D7"/>
    <w:rPr>
      <w:rFonts w:ascii="Arial Narrow" w:hAnsi="Arial Narrow"/>
      <w:b/>
      <w:bCs/>
      <w:i/>
      <w:lang w:val="en-GB" w:eastAsia="en-US"/>
    </w:rPr>
  </w:style>
  <w:style w:type="paragraph" w:styleId="Intestazione">
    <w:name w:val="header"/>
    <w:basedOn w:val="Normale"/>
    <w:link w:val="IntestazioneCarattere"/>
    <w:uiPriority w:val="99"/>
    <w:rsid w:val="00C85498"/>
    <w:pPr>
      <w:pBdr>
        <w:bottom w:val="single" w:sz="4" w:space="1" w:color="auto"/>
      </w:pBdr>
      <w:tabs>
        <w:tab w:val="right" w:pos="9072"/>
      </w:tabs>
    </w:pPr>
    <w:rPr>
      <w:noProof/>
      <w:lang w:val="en-US"/>
    </w:rPr>
  </w:style>
  <w:style w:type="paragraph" w:styleId="Pidipagina">
    <w:name w:val="footer"/>
    <w:basedOn w:val="Normale"/>
    <w:link w:val="PidipaginaCarattere"/>
    <w:uiPriority w:val="99"/>
    <w:rsid w:val="00C85498"/>
    <w:pPr>
      <w:pBdr>
        <w:top w:val="single" w:sz="4" w:space="1" w:color="auto"/>
      </w:pBdr>
      <w:tabs>
        <w:tab w:val="center" w:pos="4536"/>
        <w:tab w:val="right" w:pos="9072"/>
      </w:tabs>
    </w:pPr>
    <w:rPr>
      <w:iCs/>
    </w:rPr>
  </w:style>
  <w:style w:type="character" w:styleId="Numeropagina">
    <w:name w:val="page number"/>
    <w:basedOn w:val="Carpredefinitoparagrafo"/>
    <w:uiPriority w:val="99"/>
    <w:rsid w:val="00C85498"/>
  </w:style>
  <w:style w:type="paragraph" w:styleId="Sommario1">
    <w:name w:val="toc 1"/>
    <w:basedOn w:val="Normale"/>
    <w:next w:val="Normale"/>
    <w:uiPriority w:val="39"/>
    <w:rsid w:val="00C85498"/>
    <w:pPr>
      <w:ind w:right="567"/>
    </w:pPr>
    <w:rPr>
      <w:noProof/>
    </w:rPr>
  </w:style>
  <w:style w:type="paragraph" w:styleId="Sommario2">
    <w:name w:val="toc 2"/>
    <w:basedOn w:val="Normale"/>
    <w:next w:val="Normale"/>
    <w:uiPriority w:val="39"/>
    <w:rsid w:val="00C85498"/>
    <w:pPr>
      <w:ind w:left="357" w:right="567" w:hanging="119"/>
    </w:pPr>
  </w:style>
  <w:style w:type="paragraph" w:styleId="Sommario3">
    <w:name w:val="toc 3"/>
    <w:basedOn w:val="Normale"/>
    <w:next w:val="Normale"/>
    <w:uiPriority w:val="99"/>
    <w:rsid w:val="00C85498"/>
    <w:pPr>
      <w:ind w:left="480"/>
    </w:pPr>
  </w:style>
  <w:style w:type="paragraph" w:styleId="Sommario4">
    <w:name w:val="toc 4"/>
    <w:basedOn w:val="Normale"/>
    <w:next w:val="Normale"/>
    <w:uiPriority w:val="99"/>
    <w:rsid w:val="00C85498"/>
    <w:pPr>
      <w:ind w:left="720"/>
    </w:pPr>
  </w:style>
  <w:style w:type="paragraph" w:styleId="Sommario5">
    <w:name w:val="toc 5"/>
    <w:basedOn w:val="Normale"/>
    <w:next w:val="Normale"/>
    <w:uiPriority w:val="99"/>
    <w:rsid w:val="00C85498"/>
    <w:pPr>
      <w:ind w:left="960"/>
    </w:pPr>
  </w:style>
  <w:style w:type="paragraph" w:styleId="Sommario6">
    <w:name w:val="toc 6"/>
    <w:basedOn w:val="Normale"/>
    <w:next w:val="Normale"/>
    <w:uiPriority w:val="99"/>
    <w:rsid w:val="00C85498"/>
    <w:pPr>
      <w:ind w:left="1200"/>
    </w:pPr>
  </w:style>
  <w:style w:type="paragraph" w:styleId="Sommario7">
    <w:name w:val="toc 7"/>
    <w:basedOn w:val="Normale"/>
    <w:next w:val="Normale"/>
    <w:uiPriority w:val="99"/>
    <w:rsid w:val="00C85498"/>
    <w:pPr>
      <w:ind w:left="1440"/>
    </w:pPr>
  </w:style>
  <w:style w:type="paragraph" w:styleId="Sommario8">
    <w:name w:val="toc 8"/>
    <w:basedOn w:val="Normale"/>
    <w:next w:val="Normale"/>
    <w:uiPriority w:val="99"/>
    <w:rsid w:val="00C85498"/>
    <w:pPr>
      <w:ind w:left="1680"/>
    </w:pPr>
  </w:style>
  <w:style w:type="paragraph" w:styleId="Sommario9">
    <w:name w:val="toc 9"/>
    <w:basedOn w:val="Normale"/>
    <w:next w:val="Normale"/>
    <w:uiPriority w:val="99"/>
    <w:rsid w:val="00C85498"/>
    <w:pPr>
      <w:ind w:left="1920"/>
    </w:pPr>
  </w:style>
  <w:style w:type="paragraph" w:styleId="Primorientrocorpodeltesto">
    <w:name w:val="Body Text First Indent"/>
    <w:basedOn w:val="Normale"/>
    <w:link w:val="PrimorientrocorpodeltestoCarattere"/>
    <w:uiPriority w:val="99"/>
    <w:rsid w:val="00F06675"/>
    <w:pPr>
      <w:spacing w:after="120"/>
      <w:ind w:firstLine="210"/>
    </w:pPr>
  </w:style>
  <w:style w:type="paragraph" w:styleId="Primorientrocorpodeltesto2">
    <w:name w:val="Body Text First Indent 2"/>
    <w:basedOn w:val="Normale"/>
    <w:link w:val="Primorientrocorpodeltesto2Carattere"/>
    <w:uiPriority w:val="99"/>
    <w:rsid w:val="00F06675"/>
    <w:pPr>
      <w:spacing w:after="120"/>
      <w:ind w:left="283" w:firstLine="210"/>
    </w:pPr>
  </w:style>
  <w:style w:type="paragraph" w:styleId="Rientrocorpodeltesto2">
    <w:name w:val="Body Text Indent 2"/>
    <w:basedOn w:val="Normale"/>
    <w:link w:val="Rientrocorpodeltesto2Carattere"/>
    <w:uiPriority w:val="99"/>
    <w:rsid w:val="00C85498"/>
    <w:pPr>
      <w:spacing w:after="120" w:line="480" w:lineRule="auto"/>
      <w:ind w:left="283"/>
    </w:pPr>
  </w:style>
  <w:style w:type="paragraph" w:styleId="Rientrocorpodeltesto3">
    <w:name w:val="Body Text Indent 3"/>
    <w:basedOn w:val="Normale"/>
    <w:link w:val="Rientrocorpodeltesto3Carattere"/>
    <w:uiPriority w:val="99"/>
    <w:rsid w:val="00C85498"/>
    <w:pPr>
      <w:spacing w:after="120"/>
      <w:ind w:left="283"/>
    </w:pPr>
    <w:rPr>
      <w:sz w:val="16"/>
    </w:rPr>
  </w:style>
  <w:style w:type="paragraph" w:styleId="Testocommento">
    <w:name w:val="annotation text"/>
    <w:basedOn w:val="Normale"/>
    <w:link w:val="TestocommentoCarattere"/>
    <w:uiPriority w:val="99"/>
    <w:rsid w:val="00C85498"/>
  </w:style>
  <w:style w:type="paragraph" w:styleId="Mappadocumento">
    <w:name w:val="Document Map"/>
    <w:basedOn w:val="Normale"/>
    <w:link w:val="MappadocumentoCarattere"/>
    <w:uiPriority w:val="99"/>
    <w:semiHidden/>
    <w:rsid w:val="00C85498"/>
    <w:pPr>
      <w:shd w:val="clear" w:color="auto" w:fill="000080"/>
    </w:pPr>
    <w:rPr>
      <w:rFonts w:ascii="Tahoma" w:hAnsi="Tahoma"/>
    </w:rPr>
  </w:style>
  <w:style w:type="paragraph" w:styleId="Testonotadichiusura">
    <w:name w:val="endnote text"/>
    <w:basedOn w:val="Normale"/>
    <w:link w:val="TestonotadichiusuraCarattere"/>
    <w:uiPriority w:val="99"/>
    <w:semiHidden/>
    <w:rsid w:val="00C85498"/>
  </w:style>
  <w:style w:type="paragraph" w:styleId="Testonotaapidipagina">
    <w:name w:val="footnote text"/>
    <w:basedOn w:val="Normale"/>
    <w:link w:val="TestonotaapidipaginaCarattere"/>
    <w:uiPriority w:val="99"/>
    <w:semiHidden/>
    <w:rsid w:val="00C85498"/>
  </w:style>
  <w:style w:type="paragraph" w:styleId="PreformattatoHTML">
    <w:name w:val="HTML Preformatted"/>
    <w:basedOn w:val="Normale"/>
    <w:link w:val="PreformattatoHTMLCarattere"/>
    <w:rsid w:val="00C85498"/>
    <w:rPr>
      <w:rFonts w:ascii="Courier New" w:hAnsi="Courier New"/>
    </w:rPr>
  </w:style>
  <w:style w:type="paragraph" w:styleId="Indice1">
    <w:name w:val="index 1"/>
    <w:basedOn w:val="Normale"/>
    <w:next w:val="Normale"/>
    <w:uiPriority w:val="99"/>
    <w:semiHidden/>
    <w:rsid w:val="00C85498"/>
    <w:pPr>
      <w:keepNext/>
      <w:pBdr>
        <w:bottom w:val="single" w:sz="4" w:space="0" w:color="auto"/>
      </w:pBdr>
      <w:tabs>
        <w:tab w:val="right" w:leader="dot" w:pos="1717"/>
        <w:tab w:val="right" w:leader="dot" w:pos="1859"/>
      </w:tabs>
      <w:spacing w:before="60"/>
      <w:ind w:left="198" w:hanging="198"/>
    </w:pPr>
    <w:rPr>
      <w:bCs/>
      <w:noProof/>
      <w:sz w:val="18"/>
      <w:szCs w:val="24"/>
      <w:lang w:val="en-US"/>
    </w:rPr>
  </w:style>
  <w:style w:type="paragraph" w:styleId="Indice2">
    <w:name w:val="index 2"/>
    <w:basedOn w:val="Normale"/>
    <w:next w:val="Normale"/>
    <w:uiPriority w:val="99"/>
    <w:semiHidden/>
    <w:rsid w:val="00C85498"/>
    <w:pPr>
      <w:tabs>
        <w:tab w:val="right" w:leader="dot" w:pos="1717"/>
        <w:tab w:val="right" w:leader="dot" w:pos="1859"/>
      </w:tabs>
      <w:ind w:left="198"/>
    </w:pPr>
    <w:rPr>
      <w:noProof/>
      <w:sz w:val="18"/>
      <w:szCs w:val="24"/>
      <w:lang w:val="en-US"/>
    </w:rPr>
  </w:style>
  <w:style w:type="paragraph" w:styleId="Indice3">
    <w:name w:val="index 3"/>
    <w:basedOn w:val="Normale"/>
    <w:next w:val="Normale"/>
    <w:uiPriority w:val="99"/>
    <w:semiHidden/>
    <w:rsid w:val="00C85498"/>
    <w:pPr>
      <w:ind w:left="600" w:hanging="200"/>
    </w:pPr>
    <w:rPr>
      <w:szCs w:val="24"/>
    </w:rPr>
  </w:style>
  <w:style w:type="paragraph" w:styleId="Indice4">
    <w:name w:val="index 4"/>
    <w:basedOn w:val="Normale"/>
    <w:next w:val="Normale"/>
    <w:uiPriority w:val="99"/>
    <w:semiHidden/>
    <w:rsid w:val="00C85498"/>
    <w:pPr>
      <w:ind w:left="800" w:hanging="200"/>
    </w:pPr>
    <w:rPr>
      <w:szCs w:val="24"/>
    </w:rPr>
  </w:style>
  <w:style w:type="paragraph" w:styleId="Indice5">
    <w:name w:val="index 5"/>
    <w:basedOn w:val="Normale"/>
    <w:next w:val="Normale"/>
    <w:uiPriority w:val="99"/>
    <w:semiHidden/>
    <w:rsid w:val="00C85498"/>
    <w:pPr>
      <w:ind w:left="1000" w:hanging="200"/>
    </w:pPr>
    <w:rPr>
      <w:szCs w:val="24"/>
    </w:rPr>
  </w:style>
  <w:style w:type="paragraph" w:styleId="Indice6">
    <w:name w:val="index 6"/>
    <w:basedOn w:val="Normale"/>
    <w:next w:val="Normale"/>
    <w:uiPriority w:val="99"/>
    <w:semiHidden/>
    <w:rsid w:val="00C85498"/>
    <w:pPr>
      <w:ind w:left="1200" w:hanging="200"/>
    </w:pPr>
    <w:rPr>
      <w:szCs w:val="24"/>
    </w:rPr>
  </w:style>
  <w:style w:type="paragraph" w:styleId="Indice7">
    <w:name w:val="index 7"/>
    <w:basedOn w:val="Normale"/>
    <w:next w:val="Normale"/>
    <w:uiPriority w:val="99"/>
    <w:semiHidden/>
    <w:rsid w:val="00C85498"/>
    <w:pPr>
      <w:ind w:left="1400" w:hanging="200"/>
    </w:pPr>
    <w:rPr>
      <w:szCs w:val="24"/>
    </w:rPr>
  </w:style>
  <w:style w:type="paragraph" w:styleId="Indice8">
    <w:name w:val="index 8"/>
    <w:basedOn w:val="Normale"/>
    <w:next w:val="Normale"/>
    <w:uiPriority w:val="99"/>
    <w:semiHidden/>
    <w:rsid w:val="00C85498"/>
    <w:pPr>
      <w:ind w:left="1600" w:hanging="200"/>
    </w:pPr>
    <w:rPr>
      <w:szCs w:val="24"/>
    </w:rPr>
  </w:style>
  <w:style w:type="paragraph" w:styleId="Indice9">
    <w:name w:val="index 9"/>
    <w:basedOn w:val="Normale"/>
    <w:next w:val="Normale"/>
    <w:uiPriority w:val="99"/>
    <w:semiHidden/>
    <w:rsid w:val="00C85498"/>
    <w:pPr>
      <w:ind w:left="1800" w:hanging="200"/>
    </w:pPr>
    <w:rPr>
      <w:szCs w:val="24"/>
    </w:rPr>
  </w:style>
  <w:style w:type="paragraph" w:styleId="Titoloindice">
    <w:name w:val="index heading"/>
    <w:basedOn w:val="Normale"/>
    <w:next w:val="Indice1"/>
    <w:uiPriority w:val="99"/>
    <w:semiHidden/>
    <w:rsid w:val="00C85498"/>
    <w:pPr>
      <w:spacing w:before="120" w:after="120"/>
    </w:pPr>
    <w:rPr>
      <w:b/>
      <w:bCs/>
      <w:i/>
      <w:iCs/>
      <w:szCs w:val="24"/>
    </w:rPr>
  </w:style>
  <w:style w:type="paragraph" w:styleId="Puntoelenco">
    <w:name w:val="List Bullet"/>
    <w:basedOn w:val="Normale"/>
    <w:link w:val="PuntoelencoCarattere"/>
    <w:uiPriority w:val="99"/>
    <w:rsid w:val="00D261E1"/>
    <w:pPr>
      <w:numPr>
        <w:numId w:val="1"/>
      </w:numPr>
      <w:overflowPunct/>
      <w:autoSpaceDE/>
      <w:autoSpaceDN/>
      <w:adjustRightInd/>
      <w:contextualSpacing/>
      <w:textAlignment w:val="auto"/>
    </w:pPr>
    <w:rPr>
      <w:lang w:val="it-IT"/>
    </w:rPr>
  </w:style>
  <w:style w:type="paragraph" w:styleId="Puntoelenco2">
    <w:name w:val="List Bullet 2"/>
    <w:basedOn w:val="Normale"/>
    <w:uiPriority w:val="99"/>
    <w:rsid w:val="00F304F6"/>
    <w:pPr>
      <w:numPr>
        <w:numId w:val="5"/>
      </w:numPr>
      <w:tabs>
        <w:tab w:val="left" w:pos="643"/>
      </w:tabs>
      <w:ind w:left="714" w:hanging="357"/>
    </w:pPr>
  </w:style>
  <w:style w:type="paragraph" w:styleId="Puntoelenco3">
    <w:name w:val="List Bullet 3"/>
    <w:basedOn w:val="Normale"/>
    <w:uiPriority w:val="99"/>
    <w:rsid w:val="00C85498"/>
    <w:pPr>
      <w:tabs>
        <w:tab w:val="left" w:pos="926"/>
      </w:tabs>
      <w:ind w:left="926" w:hanging="360"/>
    </w:pPr>
  </w:style>
  <w:style w:type="paragraph" w:styleId="Puntoelenco4">
    <w:name w:val="List Bullet 4"/>
    <w:basedOn w:val="Normale"/>
    <w:uiPriority w:val="99"/>
    <w:rsid w:val="00C85498"/>
    <w:pPr>
      <w:tabs>
        <w:tab w:val="left" w:pos="1209"/>
      </w:tabs>
      <w:ind w:left="1209" w:hanging="360"/>
    </w:pPr>
  </w:style>
  <w:style w:type="paragraph" w:styleId="Puntoelenco5">
    <w:name w:val="List Bullet 5"/>
    <w:basedOn w:val="Normale"/>
    <w:uiPriority w:val="99"/>
    <w:rsid w:val="00C85498"/>
    <w:pPr>
      <w:tabs>
        <w:tab w:val="left" w:pos="1492"/>
      </w:tabs>
      <w:ind w:left="1492" w:hanging="360"/>
    </w:pPr>
  </w:style>
  <w:style w:type="paragraph" w:styleId="Numeroelenco">
    <w:name w:val="List Number"/>
    <w:basedOn w:val="Normale"/>
    <w:uiPriority w:val="99"/>
    <w:rsid w:val="00D30095"/>
    <w:pPr>
      <w:numPr>
        <w:numId w:val="2"/>
      </w:numPr>
    </w:pPr>
  </w:style>
  <w:style w:type="paragraph" w:styleId="Numeroelenco2">
    <w:name w:val="List Number 2"/>
    <w:basedOn w:val="Normale"/>
    <w:uiPriority w:val="99"/>
    <w:rsid w:val="00C85498"/>
    <w:pPr>
      <w:tabs>
        <w:tab w:val="left" w:pos="643"/>
      </w:tabs>
      <w:ind w:left="643" w:hanging="360"/>
    </w:pPr>
  </w:style>
  <w:style w:type="paragraph" w:styleId="Numeroelenco3">
    <w:name w:val="List Number 3"/>
    <w:basedOn w:val="Normale"/>
    <w:uiPriority w:val="99"/>
    <w:rsid w:val="00C85498"/>
    <w:pPr>
      <w:tabs>
        <w:tab w:val="left" w:pos="926"/>
      </w:tabs>
      <w:ind w:left="926" w:hanging="360"/>
    </w:pPr>
  </w:style>
  <w:style w:type="paragraph" w:styleId="Numeroelenco4">
    <w:name w:val="List Number 4"/>
    <w:basedOn w:val="Normale"/>
    <w:uiPriority w:val="99"/>
    <w:rsid w:val="00C85498"/>
    <w:pPr>
      <w:tabs>
        <w:tab w:val="left" w:pos="1209"/>
      </w:tabs>
      <w:ind w:left="1209" w:hanging="360"/>
    </w:pPr>
  </w:style>
  <w:style w:type="paragraph" w:styleId="Numeroelenco5">
    <w:name w:val="List Number 5"/>
    <w:basedOn w:val="Normale"/>
    <w:uiPriority w:val="99"/>
    <w:rsid w:val="00C85498"/>
    <w:pPr>
      <w:tabs>
        <w:tab w:val="left" w:pos="1492"/>
      </w:tabs>
      <w:ind w:left="1492" w:hanging="360"/>
    </w:pPr>
  </w:style>
  <w:style w:type="paragraph" w:styleId="Testomacro">
    <w:name w:val="macro"/>
    <w:link w:val="TestomacroCarattere"/>
    <w:uiPriority w:val="99"/>
    <w:semiHidden/>
    <w:rsid w:val="00C85498"/>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before="20" w:after="20" w:line="220" w:lineRule="exact"/>
      <w:textAlignment w:val="baseline"/>
    </w:pPr>
    <w:rPr>
      <w:rFonts w:ascii="Courier New" w:hAnsi="Courier New"/>
      <w:lang w:val="en-GB" w:eastAsia="en-US"/>
    </w:rPr>
  </w:style>
  <w:style w:type="paragraph" w:styleId="Intestazionemessaggio">
    <w:name w:val="Message Header"/>
    <w:basedOn w:val="Normale"/>
    <w:link w:val="IntestazionemessaggioCarattere"/>
    <w:uiPriority w:val="99"/>
    <w:rsid w:val="00C8549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Rientronormale">
    <w:name w:val="Normal Indent"/>
    <w:basedOn w:val="Normale"/>
    <w:uiPriority w:val="99"/>
    <w:rsid w:val="00C85498"/>
    <w:pPr>
      <w:ind w:left="720"/>
    </w:pPr>
  </w:style>
  <w:style w:type="paragraph" w:styleId="Intestazionenota">
    <w:name w:val="Note Heading"/>
    <w:basedOn w:val="Normale"/>
    <w:next w:val="Normale"/>
    <w:link w:val="IntestazionenotaCarattere"/>
    <w:uiPriority w:val="99"/>
    <w:rsid w:val="00C85498"/>
  </w:style>
  <w:style w:type="paragraph" w:styleId="Indicefonti">
    <w:name w:val="table of authorities"/>
    <w:basedOn w:val="Normale"/>
    <w:next w:val="Normale"/>
    <w:uiPriority w:val="99"/>
    <w:semiHidden/>
    <w:rsid w:val="00C85498"/>
    <w:pPr>
      <w:ind w:left="200" w:hanging="200"/>
    </w:pPr>
  </w:style>
  <w:style w:type="paragraph" w:styleId="Indicedellefigure">
    <w:name w:val="table of figures"/>
    <w:basedOn w:val="Normale"/>
    <w:next w:val="Normale"/>
    <w:uiPriority w:val="99"/>
    <w:semiHidden/>
    <w:rsid w:val="00C85498"/>
    <w:pPr>
      <w:ind w:left="400" w:hanging="400"/>
    </w:pPr>
  </w:style>
  <w:style w:type="paragraph" w:styleId="Titolo">
    <w:name w:val="Title"/>
    <w:basedOn w:val="Normale"/>
    <w:link w:val="TitoloCarattere"/>
    <w:uiPriority w:val="99"/>
    <w:qFormat/>
    <w:rsid w:val="00C85498"/>
    <w:pPr>
      <w:spacing w:before="240" w:after="60"/>
      <w:jc w:val="center"/>
    </w:pPr>
    <w:rPr>
      <w:rFonts w:ascii="Arial" w:hAnsi="Arial"/>
      <w:b/>
      <w:kern w:val="28"/>
      <w:sz w:val="32"/>
    </w:rPr>
  </w:style>
  <w:style w:type="paragraph" w:styleId="Titoloindicefonti">
    <w:name w:val="toa heading"/>
    <w:basedOn w:val="Normale"/>
    <w:next w:val="Normale"/>
    <w:uiPriority w:val="99"/>
    <w:semiHidden/>
    <w:rsid w:val="00C85498"/>
    <w:pPr>
      <w:spacing w:before="120"/>
    </w:pPr>
    <w:rPr>
      <w:rFonts w:ascii="Arial" w:hAnsi="Arial"/>
      <w:b/>
      <w:sz w:val="24"/>
    </w:rPr>
  </w:style>
  <w:style w:type="character" w:styleId="Collegamentovisitato">
    <w:name w:val="FollowedHyperlink"/>
    <w:rsid w:val="00C85498"/>
    <w:rPr>
      <w:color w:val="800080"/>
      <w:u w:val="single"/>
    </w:rPr>
  </w:style>
  <w:style w:type="paragraph" w:styleId="Rientrocorpodeltesto">
    <w:name w:val="Body Text Indent"/>
    <w:basedOn w:val="Normale"/>
    <w:link w:val="RientrocorpodeltestoCarattere"/>
    <w:uiPriority w:val="99"/>
    <w:rsid w:val="00C85498"/>
    <w:pPr>
      <w:spacing w:after="120"/>
      <w:ind w:left="283"/>
    </w:pPr>
  </w:style>
  <w:style w:type="paragraph" w:styleId="Testofumetto">
    <w:name w:val="Balloon Text"/>
    <w:basedOn w:val="Normale"/>
    <w:link w:val="TestofumettoCarattere"/>
    <w:uiPriority w:val="99"/>
    <w:semiHidden/>
    <w:rsid w:val="00487F14"/>
    <w:rPr>
      <w:rFonts w:ascii="Tahoma" w:hAnsi="Tahoma" w:cs="Tahoma"/>
      <w:sz w:val="16"/>
      <w:szCs w:val="16"/>
    </w:rPr>
  </w:style>
  <w:style w:type="table" w:styleId="Grigliatabella">
    <w:name w:val="Table Grid"/>
    <w:basedOn w:val="Tabellanormale"/>
    <w:uiPriority w:val="59"/>
    <w:rsid w:val="006E11F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semiHidden/>
    <w:rsid w:val="008A1B05"/>
    <w:rPr>
      <w:sz w:val="16"/>
      <w:szCs w:val="16"/>
    </w:rPr>
  </w:style>
  <w:style w:type="paragraph" w:styleId="Soggettocommento">
    <w:name w:val="annotation subject"/>
    <w:basedOn w:val="Testocommento"/>
    <w:next w:val="Testocommento"/>
    <w:link w:val="SoggettocommentoCarattere"/>
    <w:uiPriority w:val="99"/>
    <w:semiHidden/>
    <w:rsid w:val="008A1B05"/>
    <w:rPr>
      <w:b/>
      <w:bCs/>
    </w:rPr>
  </w:style>
  <w:style w:type="paragraph" w:customStyle="1" w:styleId="tabletxtin2">
    <w:name w:val="tabletxtin2"/>
    <w:basedOn w:val="Normale"/>
    <w:link w:val="tabletxtin2Char"/>
    <w:semiHidden/>
    <w:rsid w:val="00A60581"/>
    <w:pPr>
      <w:spacing w:line="200" w:lineRule="exact"/>
      <w:ind w:left="353" w:hanging="197"/>
    </w:pPr>
    <w:rPr>
      <w:rFonts w:ascii="EY Gothic Comp BookPS" w:hAnsi="EY Gothic Comp BookPS"/>
      <w:color w:val="000000"/>
    </w:rPr>
  </w:style>
  <w:style w:type="character" w:customStyle="1" w:styleId="tabletxtin2Char">
    <w:name w:val="tabletxtin2 Char"/>
    <w:link w:val="tabletxtin2"/>
    <w:rsid w:val="00A60581"/>
    <w:rPr>
      <w:rFonts w:ascii="EY Gothic Comp BookPS" w:hAnsi="EY Gothic Comp BookPS"/>
      <w:color w:val="000000"/>
      <w:lang w:val="en-GB" w:eastAsia="en-US" w:bidi="ar-SA"/>
    </w:rPr>
  </w:style>
  <w:style w:type="paragraph" w:customStyle="1" w:styleId="tabletxtssm">
    <w:name w:val="tabletxt #s sm"/>
    <w:basedOn w:val="Normale"/>
    <w:link w:val="tabletxtssmChar"/>
    <w:semiHidden/>
    <w:rsid w:val="00736F7C"/>
    <w:pPr>
      <w:tabs>
        <w:tab w:val="decimal" w:pos="504"/>
      </w:tabs>
      <w:spacing w:line="200" w:lineRule="exact"/>
    </w:pPr>
    <w:rPr>
      <w:rFonts w:ascii="EY Gothic Comp BookPS" w:hAnsi="EY Gothic Comp BookPS"/>
      <w:noProof/>
      <w:color w:val="000000"/>
    </w:rPr>
  </w:style>
  <w:style w:type="character" w:customStyle="1" w:styleId="tabletxtssmChar">
    <w:name w:val="tabletxt #s sm Char"/>
    <w:link w:val="tabletxtssm"/>
    <w:rsid w:val="00736F7C"/>
    <w:rPr>
      <w:rFonts w:ascii="EY Gothic Comp BookPS" w:hAnsi="EY Gothic Comp BookPS"/>
      <w:noProof/>
      <w:color w:val="000000"/>
      <w:lang w:val="en-GB" w:eastAsia="en-US" w:bidi="ar-SA"/>
    </w:rPr>
  </w:style>
  <w:style w:type="paragraph" w:customStyle="1" w:styleId="tabletxteyg2af">
    <w:name w:val="tabletxt eyg 2af"/>
    <w:basedOn w:val="Normale"/>
    <w:uiPriority w:val="99"/>
    <w:semiHidden/>
    <w:rsid w:val="00B05C1F"/>
    <w:pPr>
      <w:tabs>
        <w:tab w:val="right" w:leader="dot" w:pos="9739"/>
      </w:tabs>
      <w:spacing w:after="40" w:line="240" w:lineRule="exact"/>
    </w:pPr>
    <w:rPr>
      <w:rFonts w:ascii="EY Gothic Comp BookPS" w:hAnsi="EY Gothic Comp BookPS"/>
      <w:color w:val="000000"/>
    </w:rPr>
  </w:style>
  <w:style w:type="paragraph" w:styleId="Paragrafoelenco">
    <w:name w:val="List Paragraph"/>
    <w:basedOn w:val="Normale"/>
    <w:link w:val="ParagrafoelencoCarattere"/>
    <w:uiPriority w:val="34"/>
    <w:qFormat/>
    <w:rsid w:val="00B97C3D"/>
    <w:pPr>
      <w:ind w:left="720"/>
      <w:contextualSpacing/>
    </w:pPr>
  </w:style>
  <w:style w:type="paragraph" w:styleId="Revisione">
    <w:name w:val="Revision"/>
    <w:hidden/>
    <w:uiPriority w:val="99"/>
    <w:semiHidden/>
    <w:rsid w:val="002A4AEA"/>
    <w:pPr>
      <w:spacing w:before="20" w:after="20" w:line="220" w:lineRule="exact"/>
    </w:pPr>
    <w:rPr>
      <w:rFonts w:ascii="Garamond" w:hAnsi="Garamond"/>
      <w:lang w:val="en-GB" w:eastAsia="en-US"/>
    </w:rPr>
  </w:style>
  <w:style w:type="paragraph" w:customStyle="1" w:styleId="Titolocolonna">
    <w:name w:val="Titolo colonna"/>
    <w:basedOn w:val="Normale"/>
    <w:uiPriority w:val="99"/>
    <w:qFormat/>
    <w:rsid w:val="00C3113A"/>
    <w:pPr>
      <w:overflowPunct/>
      <w:autoSpaceDE/>
      <w:autoSpaceDN/>
      <w:adjustRightInd/>
      <w:jc w:val="center"/>
      <w:textAlignment w:val="auto"/>
    </w:pPr>
    <w:rPr>
      <w:b/>
      <w:lang w:val="it-IT"/>
    </w:rPr>
  </w:style>
  <w:style w:type="paragraph" w:customStyle="1" w:styleId="Rientroa">
    <w:name w:val="Rientro a)"/>
    <w:basedOn w:val="Normale"/>
    <w:uiPriority w:val="99"/>
    <w:qFormat/>
    <w:rsid w:val="00DA0755"/>
    <w:pPr>
      <w:numPr>
        <w:numId w:val="3"/>
      </w:numPr>
      <w:overflowPunct/>
      <w:autoSpaceDE/>
      <w:autoSpaceDN/>
      <w:adjustRightInd/>
      <w:textAlignment w:val="auto"/>
    </w:pPr>
    <w:rPr>
      <w:lang w:val="it-IT"/>
    </w:rPr>
  </w:style>
  <w:style w:type="paragraph" w:customStyle="1" w:styleId="Normaletrattino">
    <w:name w:val="Normale trattino"/>
    <w:basedOn w:val="Normale"/>
    <w:uiPriority w:val="99"/>
    <w:rsid w:val="00AC0FA9"/>
    <w:pPr>
      <w:tabs>
        <w:tab w:val="num" w:pos="780"/>
      </w:tabs>
      <w:ind w:left="780" w:hanging="420"/>
    </w:pPr>
    <w:rPr>
      <w:spacing w:val="-2"/>
      <w:lang w:val="it-IT"/>
    </w:rPr>
  </w:style>
  <w:style w:type="paragraph" w:customStyle="1" w:styleId="Commentiriquadro">
    <w:name w:val="Commenti riquadro"/>
    <w:basedOn w:val="Normale"/>
    <w:link w:val="CommentiriquadroCarattere"/>
    <w:uiPriority w:val="99"/>
    <w:qFormat/>
    <w:rsid w:val="009F1254"/>
    <w:pPr>
      <w:pBdr>
        <w:top w:val="single" w:sz="4" w:space="1" w:color="auto"/>
        <w:left w:val="single" w:sz="4" w:space="4" w:color="auto"/>
        <w:bottom w:val="single" w:sz="4" w:space="1" w:color="auto"/>
        <w:right w:val="single" w:sz="4" w:space="4" w:color="auto"/>
      </w:pBdr>
      <w:spacing w:before="40" w:line="200" w:lineRule="exact"/>
      <w:ind w:left="57" w:right="57"/>
    </w:pPr>
    <w:rPr>
      <w:sz w:val="16"/>
      <w:szCs w:val="16"/>
      <w:lang w:val="it-IT"/>
    </w:rPr>
  </w:style>
  <w:style w:type="paragraph" w:customStyle="1" w:styleId="PrincCont">
    <w:name w:val="Princ Cont"/>
    <w:basedOn w:val="Normale"/>
    <w:uiPriority w:val="99"/>
    <w:qFormat/>
    <w:rsid w:val="00107636"/>
    <w:pPr>
      <w:spacing w:before="40" w:line="240" w:lineRule="auto"/>
      <w:ind w:right="28"/>
      <w:jc w:val="center"/>
    </w:pPr>
    <w:rPr>
      <w:sz w:val="13"/>
      <w:szCs w:val="13"/>
      <w:lang w:val="en-US"/>
    </w:rPr>
  </w:style>
  <w:style w:type="paragraph" w:customStyle="1" w:styleId="Commentiariquadro">
    <w:name w:val="Commenti a) riquadro"/>
    <w:basedOn w:val="Commentiriquadro"/>
    <w:uiPriority w:val="99"/>
    <w:rsid w:val="00AC0FA9"/>
    <w:pPr>
      <w:ind w:left="460" w:hanging="284"/>
    </w:pPr>
  </w:style>
  <w:style w:type="paragraph" w:customStyle="1" w:styleId="Rientro11">
    <w:name w:val="Rientro 1"/>
    <w:basedOn w:val="Normale"/>
    <w:uiPriority w:val="99"/>
    <w:rsid w:val="00AC0FA9"/>
    <w:pPr>
      <w:ind w:left="407"/>
    </w:pPr>
    <w:rPr>
      <w:lang w:val="it-IT"/>
    </w:rPr>
  </w:style>
  <w:style w:type="paragraph" w:customStyle="1" w:styleId="Rientrosottoi">
    <w:name w:val="Rientro sotto i)"/>
    <w:basedOn w:val="Normale"/>
    <w:uiPriority w:val="99"/>
    <w:rsid w:val="00CA1EC9"/>
    <w:pPr>
      <w:ind w:left="1031" w:hanging="284"/>
    </w:pPr>
    <w:rPr>
      <w:lang w:val="it-IT"/>
    </w:rPr>
  </w:style>
  <w:style w:type="paragraph" w:customStyle="1" w:styleId="Rientroisottoa">
    <w:name w:val="Rientro i) sotto a)"/>
    <w:basedOn w:val="Normale"/>
    <w:uiPriority w:val="99"/>
    <w:qFormat/>
    <w:rsid w:val="005E09F8"/>
    <w:pPr>
      <w:ind w:left="743" w:hanging="307"/>
    </w:pPr>
    <w:rPr>
      <w:lang w:val="it-IT"/>
    </w:rPr>
  </w:style>
  <w:style w:type="paragraph" w:customStyle="1" w:styleId="Normalegrassetto">
    <w:name w:val="Normale grassetto"/>
    <w:basedOn w:val="Normale"/>
    <w:uiPriority w:val="99"/>
    <w:rsid w:val="003A2B8D"/>
    <w:rPr>
      <w:b/>
    </w:rPr>
  </w:style>
  <w:style w:type="paragraph" w:customStyle="1" w:styleId="Titologenerale">
    <w:name w:val="Titolo generale"/>
    <w:basedOn w:val="Normale"/>
    <w:uiPriority w:val="99"/>
    <w:qFormat/>
    <w:rsid w:val="007C59ED"/>
    <w:pPr>
      <w:overflowPunct/>
      <w:autoSpaceDE/>
      <w:autoSpaceDN/>
      <w:adjustRightInd/>
      <w:spacing w:before="0" w:after="0" w:line="240" w:lineRule="exact"/>
      <w:jc w:val="center"/>
      <w:textAlignment w:val="auto"/>
    </w:pPr>
    <w:rPr>
      <w:rFonts w:cs="Arial"/>
      <w:b/>
      <w:sz w:val="24"/>
      <w:szCs w:val="22"/>
      <w:lang w:val="it-IT" w:eastAsia="it-IT"/>
    </w:rPr>
  </w:style>
  <w:style w:type="paragraph" w:styleId="Corpotesto">
    <w:name w:val="Body Text"/>
    <w:basedOn w:val="Normale"/>
    <w:link w:val="CorpotestoCarattere"/>
    <w:uiPriority w:val="99"/>
    <w:rsid w:val="00620DEC"/>
    <w:pPr>
      <w:spacing w:after="120"/>
    </w:pPr>
  </w:style>
  <w:style w:type="character" w:customStyle="1" w:styleId="CorpotestoCarattere">
    <w:name w:val="Corpo testo Carattere"/>
    <w:basedOn w:val="Carpredefinitoparagrafo"/>
    <w:link w:val="Corpotesto"/>
    <w:uiPriority w:val="99"/>
    <w:rsid w:val="00620DEC"/>
    <w:rPr>
      <w:rFonts w:ascii="Arial Narrow" w:hAnsi="Arial Narrow"/>
      <w:lang w:val="en-GB" w:eastAsia="en-US"/>
    </w:rPr>
  </w:style>
  <w:style w:type="paragraph" w:customStyle="1" w:styleId="Testots">
    <w:name w:val="Testo.ts"/>
    <w:basedOn w:val="Normale"/>
    <w:uiPriority w:val="99"/>
    <w:rsid w:val="008401B3"/>
    <w:pPr>
      <w:tabs>
        <w:tab w:val="right" w:pos="8560"/>
      </w:tabs>
      <w:overflowPunct/>
      <w:autoSpaceDE/>
      <w:autoSpaceDN/>
      <w:adjustRightInd/>
      <w:spacing w:before="0" w:after="130" w:line="260" w:lineRule="exact"/>
      <w:textAlignment w:val="auto"/>
    </w:pPr>
    <w:rPr>
      <w:rFonts w:ascii="Times" w:hAnsi="Times"/>
      <w:lang w:val="it-IT" w:eastAsia="it-IT"/>
    </w:rPr>
  </w:style>
  <w:style w:type="paragraph" w:styleId="Didascalia">
    <w:name w:val="caption"/>
    <w:basedOn w:val="Normale"/>
    <w:next w:val="Normale"/>
    <w:uiPriority w:val="99"/>
    <w:rsid w:val="00484C52"/>
    <w:pPr>
      <w:spacing w:before="0" w:after="200" w:line="240" w:lineRule="auto"/>
    </w:pPr>
    <w:rPr>
      <w:b/>
      <w:bCs/>
      <w:color w:val="4F81BD" w:themeColor="accent1"/>
      <w:sz w:val="18"/>
      <w:szCs w:val="18"/>
    </w:rPr>
  </w:style>
  <w:style w:type="paragraph" w:customStyle="1" w:styleId="CM4">
    <w:name w:val="CM4"/>
    <w:basedOn w:val="Normale"/>
    <w:next w:val="Normale"/>
    <w:uiPriority w:val="99"/>
    <w:rsid w:val="00106F2F"/>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Default">
    <w:name w:val="Default"/>
    <w:uiPriority w:val="99"/>
    <w:rsid w:val="00DE6470"/>
    <w:pPr>
      <w:autoSpaceDE w:val="0"/>
      <w:autoSpaceDN w:val="0"/>
      <w:adjustRightInd w:val="0"/>
    </w:pPr>
    <w:rPr>
      <w:color w:val="000000"/>
      <w:sz w:val="24"/>
      <w:szCs w:val="24"/>
      <w:lang w:val="en-US"/>
    </w:rPr>
  </w:style>
  <w:style w:type="paragraph" w:customStyle="1" w:styleId="IASBPrinciple">
    <w:name w:val="IASB Principle"/>
    <w:basedOn w:val="Default"/>
    <w:next w:val="Default"/>
    <w:uiPriority w:val="99"/>
    <w:rsid w:val="00DE6470"/>
    <w:rPr>
      <w:color w:val="auto"/>
    </w:rPr>
  </w:style>
  <w:style w:type="paragraph" w:customStyle="1" w:styleId="CM1">
    <w:name w:val="CM1"/>
    <w:basedOn w:val="Normale"/>
    <w:next w:val="Normale"/>
    <w:uiPriority w:val="99"/>
    <w:rsid w:val="00A70B81"/>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CM3">
    <w:name w:val="CM3"/>
    <w:basedOn w:val="Normale"/>
    <w:next w:val="Normale"/>
    <w:uiPriority w:val="99"/>
    <w:rsid w:val="00DF4DF0"/>
    <w:pPr>
      <w:overflowPunct/>
      <w:spacing w:before="0" w:after="0" w:line="240" w:lineRule="auto"/>
      <w:jc w:val="left"/>
      <w:textAlignment w:val="auto"/>
    </w:pPr>
    <w:rPr>
      <w:rFonts w:ascii="EUAlbertina" w:eastAsiaTheme="minorHAnsi" w:hAnsi="EUAlbertina" w:cstheme="minorBidi"/>
      <w:sz w:val="24"/>
      <w:szCs w:val="24"/>
      <w:lang w:val="it-IT"/>
    </w:rPr>
  </w:style>
  <w:style w:type="character" w:customStyle="1" w:styleId="IntestazionemessaggioCarattere">
    <w:name w:val="Intestazione messaggio Carattere"/>
    <w:basedOn w:val="Carpredefinitoparagrafo"/>
    <w:link w:val="Intestazionemessaggio"/>
    <w:uiPriority w:val="99"/>
    <w:rsid w:val="00986144"/>
    <w:rPr>
      <w:rFonts w:ascii="Arial" w:hAnsi="Arial"/>
      <w:sz w:val="24"/>
      <w:shd w:val="pct20" w:color="auto" w:fill="auto"/>
      <w:lang w:val="en-GB" w:eastAsia="en-US"/>
    </w:rPr>
  </w:style>
  <w:style w:type="character" w:customStyle="1" w:styleId="Rientrocorpodeltesto3Carattere">
    <w:name w:val="Rientro corpo del testo 3 Carattere"/>
    <w:basedOn w:val="Carpredefinitoparagrafo"/>
    <w:link w:val="Rientrocorpodeltesto3"/>
    <w:uiPriority w:val="99"/>
    <w:rsid w:val="002F6470"/>
    <w:rPr>
      <w:rFonts w:ascii="Arial Narrow" w:hAnsi="Arial Narrow"/>
      <w:sz w:val="16"/>
      <w:lang w:val="en-GB" w:eastAsia="en-US"/>
    </w:rPr>
  </w:style>
  <w:style w:type="character" w:customStyle="1" w:styleId="TestofumettoCarattere">
    <w:name w:val="Testo fumetto Carattere"/>
    <w:basedOn w:val="Carpredefinitoparagrafo"/>
    <w:link w:val="Testofumetto"/>
    <w:uiPriority w:val="99"/>
    <w:semiHidden/>
    <w:rsid w:val="000517CC"/>
    <w:rPr>
      <w:rFonts w:ascii="Tahoma" w:hAnsi="Tahoma" w:cs="Tahoma"/>
      <w:sz w:val="16"/>
      <w:szCs w:val="16"/>
      <w:lang w:val="en-GB" w:eastAsia="en-US"/>
    </w:rPr>
  </w:style>
  <w:style w:type="character" w:customStyle="1" w:styleId="Titolo1Carattere">
    <w:name w:val="Titolo 1 Carattere"/>
    <w:basedOn w:val="Carpredefinitoparagrafo"/>
    <w:link w:val="Titolo1"/>
    <w:uiPriority w:val="99"/>
    <w:rsid w:val="00FC301A"/>
    <w:rPr>
      <w:rFonts w:ascii="Arial Narrow" w:hAnsi="Arial Narrow"/>
      <w:b/>
      <w:caps/>
      <w:kern w:val="28"/>
      <w:sz w:val="22"/>
      <w:szCs w:val="22"/>
      <w:lang w:eastAsia="en-US"/>
    </w:rPr>
  </w:style>
  <w:style w:type="character" w:styleId="Enfasigrassetto">
    <w:name w:val="Strong"/>
    <w:basedOn w:val="Carpredefinitoparagrafo"/>
    <w:uiPriority w:val="22"/>
    <w:qFormat/>
    <w:rsid w:val="005B7410"/>
    <w:rPr>
      <w:b/>
      <w:bCs/>
    </w:rPr>
  </w:style>
  <w:style w:type="character" w:styleId="Enfasicorsivo">
    <w:name w:val="Emphasis"/>
    <w:basedOn w:val="Carpredefinitoparagrafo"/>
    <w:qFormat/>
    <w:rsid w:val="00E90307"/>
    <w:rPr>
      <w:i/>
      <w:iCs/>
    </w:rPr>
  </w:style>
  <w:style w:type="paragraph" w:styleId="Nessunaspaziatura">
    <w:name w:val="No Spacing"/>
    <w:uiPriority w:val="1"/>
    <w:qFormat/>
    <w:rsid w:val="00B406AC"/>
    <w:pPr>
      <w:overflowPunct w:val="0"/>
      <w:autoSpaceDE w:val="0"/>
      <w:autoSpaceDN w:val="0"/>
      <w:adjustRightInd w:val="0"/>
      <w:jc w:val="both"/>
      <w:textAlignment w:val="baseline"/>
    </w:pPr>
    <w:rPr>
      <w:rFonts w:ascii="Arial Narrow" w:hAnsi="Arial Narrow"/>
      <w:lang w:val="en-GB" w:eastAsia="en-US"/>
    </w:rPr>
  </w:style>
  <w:style w:type="paragraph" w:styleId="Testonormale">
    <w:name w:val="Plain Text"/>
    <w:basedOn w:val="Normale"/>
    <w:link w:val="TestonormaleCarattere"/>
    <w:uiPriority w:val="99"/>
    <w:unhideWhenUsed/>
    <w:rsid w:val="00001EE7"/>
    <w:pPr>
      <w:overflowPunct/>
      <w:autoSpaceDE/>
      <w:autoSpaceDN/>
      <w:adjustRightInd/>
      <w:spacing w:before="0" w:after="0" w:line="240" w:lineRule="auto"/>
      <w:jc w:val="left"/>
      <w:textAlignment w:val="auto"/>
    </w:pPr>
    <w:rPr>
      <w:rFonts w:ascii="Consolas" w:eastAsiaTheme="minorHAnsi" w:hAnsi="Consolas"/>
      <w:sz w:val="21"/>
      <w:szCs w:val="21"/>
      <w:lang w:val="it-IT" w:eastAsia="it-IT"/>
    </w:rPr>
  </w:style>
  <w:style w:type="character" w:customStyle="1" w:styleId="TestonormaleCarattere">
    <w:name w:val="Testo normale Carattere"/>
    <w:basedOn w:val="Carpredefinitoparagrafo"/>
    <w:link w:val="Testonormale"/>
    <w:uiPriority w:val="99"/>
    <w:rsid w:val="00001EE7"/>
    <w:rPr>
      <w:rFonts w:ascii="Consolas" w:eastAsiaTheme="minorHAnsi" w:hAnsi="Consolas"/>
      <w:sz w:val="21"/>
      <w:szCs w:val="21"/>
    </w:rPr>
  </w:style>
  <w:style w:type="paragraph" w:customStyle="1" w:styleId="trattinosottoa">
    <w:name w:val="trattino sotto a)"/>
    <w:basedOn w:val="Puntoelenco"/>
    <w:link w:val="trattinosottopuntoCarattere"/>
    <w:uiPriority w:val="99"/>
    <w:qFormat/>
    <w:rsid w:val="007E004E"/>
    <w:pPr>
      <w:spacing w:line="240" w:lineRule="exact"/>
      <w:ind w:left="545" w:hanging="180"/>
      <w:contextualSpacing w:val="0"/>
    </w:pPr>
  </w:style>
  <w:style w:type="paragraph" w:customStyle="1" w:styleId="rientrotrattinook">
    <w:name w:val="rientro trattino ok"/>
    <w:basedOn w:val="Puntoelenco"/>
    <w:link w:val="rientrotrattinookCarattere"/>
    <w:uiPriority w:val="99"/>
    <w:qFormat/>
    <w:rsid w:val="00840B93"/>
    <w:pPr>
      <w:contextualSpacing w:val="0"/>
    </w:pPr>
  </w:style>
  <w:style w:type="character" w:customStyle="1" w:styleId="PuntoelencoCarattere">
    <w:name w:val="Punto elenco Carattere"/>
    <w:basedOn w:val="Carpredefinitoparagrafo"/>
    <w:link w:val="Puntoelenco"/>
    <w:uiPriority w:val="99"/>
    <w:rsid w:val="00AD7F84"/>
    <w:rPr>
      <w:rFonts w:ascii="Arial Narrow" w:hAnsi="Arial Narrow"/>
      <w:lang w:eastAsia="en-US"/>
    </w:rPr>
  </w:style>
  <w:style w:type="character" w:customStyle="1" w:styleId="trattinosottopuntoCarattere">
    <w:name w:val="trattino sottopunto Carattere"/>
    <w:basedOn w:val="PuntoelencoCarattere"/>
    <w:link w:val="trattinosottoa"/>
    <w:uiPriority w:val="99"/>
    <w:rsid w:val="007E004E"/>
    <w:rPr>
      <w:rFonts w:ascii="Arial Narrow" w:hAnsi="Arial Narrow"/>
      <w:lang w:eastAsia="en-US"/>
    </w:rPr>
  </w:style>
  <w:style w:type="paragraph" w:customStyle="1" w:styleId="Puntoroman">
    <w:name w:val="Punto roman"/>
    <w:basedOn w:val="Puntoelenco"/>
    <w:next w:val="Puntoelenco2"/>
    <w:link w:val="PuntoromanCarattere"/>
    <w:uiPriority w:val="99"/>
    <w:qFormat/>
    <w:rsid w:val="00FF1D21"/>
    <w:pPr>
      <w:numPr>
        <w:numId w:val="4"/>
      </w:numPr>
      <w:ind w:left="391" w:hanging="357"/>
      <w:contextualSpacing w:val="0"/>
    </w:pPr>
  </w:style>
  <w:style w:type="character" w:customStyle="1" w:styleId="rientrotrattinookCarattere">
    <w:name w:val="rientro trattino ok Carattere"/>
    <w:basedOn w:val="PuntoelencoCarattere"/>
    <w:link w:val="rientrotrattinook"/>
    <w:uiPriority w:val="99"/>
    <w:rsid w:val="00840B93"/>
    <w:rPr>
      <w:rFonts w:ascii="Arial Narrow" w:hAnsi="Arial Narrow"/>
      <w:lang w:eastAsia="en-US"/>
    </w:rPr>
  </w:style>
  <w:style w:type="character" w:customStyle="1" w:styleId="PuntoromanCarattere">
    <w:name w:val="Punto roman Carattere"/>
    <w:basedOn w:val="PuntoelencoCarattere"/>
    <w:link w:val="Puntoroman"/>
    <w:uiPriority w:val="99"/>
    <w:rsid w:val="00FF1D21"/>
    <w:rPr>
      <w:rFonts w:ascii="Arial Narrow" w:hAnsi="Arial Narrow"/>
      <w:lang w:eastAsia="en-US"/>
    </w:rPr>
  </w:style>
  <w:style w:type="paragraph" w:customStyle="1" w:styleId="rientropuntino">
    <w:name w:val="rientro puntino"/>
    <w:basedOn w:val="Normale"/>
    <w:uiPriority w:val="99"/>
    <w:qFormat/>
    <w:rsid w:val="006479B1"/>
    <w:pPr>
      <w:ind w:left="635" w:hanging="180"/>
    </w:pPr>
    <w:rPr>
      <w:lang w:val="it-IT"/>
    </w:rPr>
  </w:style>
  <w:style w:type="paragraph" w:customStyle="1" w:styleId="Rientroi">
    <w:name w:val="Rientro i"/>
    <w:basedOn w:val="Normale"/>
    <w:uiPriority w:val="99"/>
    <w:qFormat/>
    <w:rsid w:val="003771B5"/>
    <w:pPr>
      <w:numPr>
        <w:numId w:val="6"/>
      </w:numPr>
      <w:tabs>
        <w:tab w:val="left" w:pos="1138"/>
      </w:tabs>
      <w:overflowPunct/>
      <w:autoSpaceDE/>
      <w:autoSpaceDN/>
      <w:adjustRightInd/>
      <w:ind w:left="1138" w:hanging="364"/>
      <w:textAlignment w:val="auto"/>
    </w:pPr>
    <w:rPr>
      <w:lang w:val="it-IT"/>
    </w:rPr>
  </w:style>
  <w:style w:type="character" w:customStyle="1" w:styleId="IntestazioneCarattere">
    <w:name w:val="Intestazione Carattere"/>
    <w:basedOn w:val="Carpredefinitoparagrafo"/>
    <w:link w:val="Intestazione"/>
    <w:uiPriority w:val="99"/>
    <w:rsid w:val="003771B5"/>
    <w:rPr>
      <w:rFonts w:ascii="Arial Narrow" w:hAnsi="Arial Narrow"/>
      <w:noProof/>
      <w:lang w:val="en-US" w:eastAsia="en-US"/>
    </w:rPr>
  </w:style>
  <w:style w:type="paragraph" w:customStyle="1" w:styleId="Introduzioneint">
    <w:name w:val="Introduzione.int"/>
    <w:basedOn w:val="Normale"/>
    <w:uiPriority w:val="99"/>
    <w:rsid w:val="003771B5"/>
    <w:pPr>
      <w:overflowPunct/>
      <w:autoSpaceDE/>
      <w:autoSpaceDN/>
      <w:adjustRightInd/>
      <w:spacing w:before="0" w:after="130" w:line="260" w:lineRule="exact"/>
      <w:textAlignment w:val="auto"/>
    </w:pPr>
    <w:rPr>
      <w:rFonts w:ascii="Univers 45 Light" w:hAnsi="Univers 45 Light"/>
      <w:sz w:val="18"/>
      <w:lang w:val="it-IT" w:eastAsia="it-IT"/>
    </w:rPr>
  </w:style>
  <w:style w:type="paragraph" w:styleId="NormaleWeb">
    <w:name w:val="Normal (Web)"/>
    <w:basedOn w:val="Normale"/>
    <w:uiPriority w:val="99"/>
    <w:unhideWhenUsed/>
    <w:rsid w:val="003771B5"/>
    <w:pPr>
      <w:overflowPunct/>
      <w:autoSpaceDE/>
      <w:autoSpaceDN/>
      <w:adjustRightInd/>
      <w:spacing w:before="0" w:after="0" w:line="240" w:lineRule="auto"/>
      <w:jc w:val="left"/>
      <w:textAlignment w:val="auto"/>
    </w:pPr>
    <w:rPr>
      <w:rFonts w:ascii="Arial" w:hAnsi="Arial" w:cs="Arial"/>
      <w:sz w:val="16"/>
      <w:szCs w:val="16"/>
      <w:lang w:val="en-US"/>
    </w:rPr>
  </w:style>
  <w:style w:type="numbering" w:customStyle="1" w:styleId="Stile1">
    <w:name w:val="Stile1"/>
    <w:uiPriority w:val="99"/>
    <w:rsid w:val="002B19AA"/>
    <w:pPr>
      <w:numPr>
        <w:numId w:val="8"/>
      </w:numPr>
    </w:pPr>
  </w:style>
  <w:style w:type="paragraph" w:customStyle="1" w:styleId="Normalecorsivo8pt">
    <w:name w:val="Normale corsivo 8pt"/>
    <w:basedOn w:val="Normale"/>
    <w:uiPriority w:val="99"/>
    <w:rsid w:val="002B19AA"/>
    <w:pPr>
      <w:overflowPunct/>
      <w:autoSpaceDE/>
      <w:autoSpaceDN/>
      <w:adjustRightInd/>
      <w:spacing w:before="0" w:after="0" w:line="200" w:lineRule="exact"/>
      <w:textAlignment w:val="auto"/>
    </w:pPr>
    <w:rPr>
      <w:i/>
      <w:sz w:val="16"/>
      <w:szCs w:val="16"/>
      <w:lang w:val="it-IT"/>
    </w:rPr>
  </w:style>
  <w:style w:type="paragraph" w:customStyle="1" w:styleId="Rientrovoci">
    <w:name w:val="Rientro voci"/>
    <w:basedOn w:val="Normale"/>
    <w:uiPriority w:val="99"/>
    <w:qFormat/>
    <w:rsid w:val="004E44D8"/>
    <w:pPr>
      <w:keepNext/>
      <w:overflowPunct/>
      <w:autoSpaceDE/>
      <w:autoSpaceDN/>
      <w:adjustRightInd/>
      <w:ind w:left="732"/>
      <w:textAlignment w:val="auto"/>
    </w:pPr>
    <w:rPr>
      <w:lang w:val="it-IT"/>
    </w:rPr>
  </w:style>
  <w:style w:type="paragraph" w:customStyle="1" w:styleId="Rientro3">
    <w:name w:val="Rientro 3"/>
    <w:basedOn w:val="Normale"/>
    <w:uiPriority w:val="99"/>
    <w:rsid w:val="004E44D8"/>
    <w:pPr>
      <w:overflowPunct/>
      <w:autoSpaceDE/>
      <w:autoSpaceDN/>
      <w:adjustRightInd/>
      <w:ind w:left="1348" w:hanging="294"/>
      <w:textAlignment w:val="auto"/>
    </w:pPr>
    <w:rPr>
      <w:lang w:val="it-IT"/>
    </w:rPr>
  </w:style>
  <w:style w:type="paragraph" w:customStyle="1" w:styleId="Rientrotrattino2">
    <w:name w:val="Rientro trattino 2"/>
    <w:basedOn w:val="Normale"/>
    <w:uiPriority w:val="99"/>
    <w:qFormat/>
    <w:rsid w:val="004E44D8"/>
    <w:pPr>
      <w:overflowPunct/>
      <w:autoSpaceDE/>
      <w:autoSpaceDN/>
      <w:adjustRightInd/>
      <w:ind w:left="1026" w:hanging="294"/>
      <w:textAlignment w:val="auto"/>
    </w:pPr>
    <w:rPr>
      <w:lang w:val="it-IT"/>
    </w:rPr>
  </w:style>
  <w:style w:type="paragraph" w:customStyle="1" w:styleId="Puntoelencosottolettere">
    <w:name w:val="Punto elenco sotto lettere"/>
    <w:basedOn w:val="Puntoelenco"/>
    <w:uiPriority w:val="99"/>
    <w:qFormat/>
    <w:rsid w:val="004E44D8"/>
  </w:style>
  <w:style w:type="paragraph" w:customStyle="1" w:styleId="Rientronumerato8pt">
    <w:name w:val="Rientro numerato 8pt"/>
    <w:basedOn w:val="Rientrotrattinocorsivo8pt"/>
    <w:uiPriority w:val="99"/>
    <w:qFormat/>
    <w:rsid w:val="004E44D8"/>
    <w:pPr>
      <w:spacing w:before="20" w:after="20"/>
      <w:ind w:left="369"/>
    </w:pPr>
    <w:rPr>
      <w:i w:val="0"/>
    </w:rPr>
  </w:style>
  <w:style w:type="paragraph" w:customStyle="1" w:styleId="Rientrotrattinonormalecorsivo8pt">
    <w:name w:val="Rientro trattino normale corsivo 8pt"/>
    <w:basedOn w:val="Rientrotrattinonormale"/>
    <w:uiPriority w:val="99"/>
    <w:qFormat/>
    <w:rsid w:val="004E44D8"/>
    <w:pPr>
      <w:ind w:left="732"/>
    </w:pPr>
    <w:rPr>
      <w:i/>
    </w:rPr>
  </w:style>
  <w:style w:type="paragraph" w:customStyle="1" w:styleId="Rientrosottonumero8pt">
    <w:name w:val="Rientro sottonumero 8pt"/>
    <w:basedOn w:val="Rientronumerato8pt"/>
    <w:uiPriority w:val="99"/>
    <w:qFormat/>
    <w:rsid w:val="004E44D8"/>
  </w:style>
  <w:style w:type="paragraph" w:customStyle="1" w:styleId="Rientrotrattinocorsivo8pt">
    <w:name w:val="Rientro trattino corsivo 8pt"/>
    <w:basedOn w:val="Normale"/>
    <w:uiPriority w:val="99"/>
    <w:qFormat/>
    <w:rsid w:val="004E44D8"/>
    <w:pPr>
      <w:overflowPunct/>
      <w:autoSpaceDE/>
      <w:autoSpaceDN/>
      <w:adjustRightInd/>
      <w:spacing w:before="0" w:after="0" w:line="200" w:lineRule="exact"/>
      <w:ind w:left="284"/>
      <w:textAlignment w:val="auto"/>
    </w:pPr>
    <w:rPr>
      <w:i/>
      <w:sz w:val="16"/>
      <w:szCs w:val="16"/>
      <w:lang w:val="it-IT"/>
    </w:rPr>
  </w:style>
  <w:style w:type="paragraph" w:customStyle="1" w:styleId="Normalecorsivo">
    <w:name w:val="Normale corsivo"/>
    <w:basedOn w:val="Normale"/>
    <w:uiPriority w:val="99"/>
    <w:rsid w:val="004E44D8"/>
    <w:pPr>
      <w:overflowPunct/>
      <w:autoSpaceDE/>
      <w:autoSpaceDN/>
      <w:adjustRightInd/>
      <w:spacing w:before="0" w:after="0"/>
      <w:textAlignment w:val="auto"/>
    </w:pPr>
    <w:rPr>
      <w:i/>
      <w:lang w:val="it-IT"/>
    </w:rPr>
  </w:style>
  <w:style w:type="character" w:customStyle="1" w:styleId="TestonotaapidipaginaCarattere">
    <w:name w:val="Testo nota a piè di pagina Carattere"/>
    <w:basedOn w:val="Carpredefinitoparagrafo"/>
    <w:link w:val="Testonotaapidipagina"/>
    <w:uiPriority w:val="99"/>
    <w:semiHidden/>
    <w:rsid w:val="004E44D8"/>
    <w:rPr>
      <w:rFonts w:ascii="Arial Narrow" w:hAnsi="Arial Narrow"/>
      <w:lang w:val="en-GB" w:eastAsia="en-US"/>
    </w:rPr>
  </w:style>
  <w:style w:type="character" w:customStyle="1" w:styleId="Titolo4Carattere">
    <w:name w:val="Titolo 4 Carattere"/>
    <w:basedOn w:val="Carpredefinitoparagrafo"/>
    <w:link w:val="Titolo4"/>
    <w:uiPriority w:val="99"/>
    <w:rsid w:val="00AB49EA"/>
    <w:rPr>
      <w:rFonts w:ascii="Arial Narrow" w:hAnsi="Arial Narrow"/>
      <w:i/>
      <w:lang w:eastAsia="en-US"/>
    </w:rPr>
  </w:style>
  <w:style w:type="character" w:customStyle="1" w:styleId="Titolo5Carattere">
    <w:name w:val="Titolo 5 Carattere"/>
    <w:basedOn w:val="Carpredefinitoparagrafo"/>
    <w:link w:val="Titolo5"/>
    <w:uiPriority w:val="99"/>
    <w:rsid w:val="004E44D8"/>
    <w:rPr>
      <w:rFonts w:ascii="Arial Narrow" w:hAnsi="Arial Narrow"/>
      <w:b/>
      <w:i/>
      <w:sz w:val="26"/>
      <w:lang w:val="en-GB" w:eastAsia="en-US"/>
    </w:rPr>
  </w:style>
  <w:style w:type="character" w:customStyle="1" w:styleId="Titolo6Carattere">
    <w:name w:val="Titolo 6 Carattere"/>
    <w:basedOn w:val="Carpredefinitoparagrafo"/>
    <w:link w:val="Titolo6"/>
    <w:uiPriority w:val="99"/>
    <w:rsid w:val="004E44D8"/>
    <w:rPr>
      <w:rFonts w:ascii="Arial Narrow" w:hAnsi="Arial Narrow"/>
      <w:b/>
      <w:sz w:val="22"/>
      <w:lang w:val="en-GB" w:eastAsia="en-US"/>
    </w:rPr>
  </w:style>
  <w:style w:type="character" w:customStyle="1" w:styleId="Titolo7Carattere">
    <w:name w:val="Titolo 7 Carattere"/>
    <w:basedOn w:val="Carpredefinitoparagrafo"/>
    <w:link w:val="Titolo7"/>
    <w:uiPriority w:val="99"/>
    <w:rsid w:val="004E44D8"/>
    <w:rPr>
      <w:rFonts w:ascii="Arial Narrow" w:hAnsi="Arial Narrow"/>
      <w:sz w:val="24"/>
      <w:lang w:val="en-GB" w:eastAsia="en-US"/>
    </w:rPr>
  </w:style>
  <w:style w:type="character" w:customStyle="1" w:styleId="Titolo8Carattere">
    <w:name w:val="Titolo 8 Carattere"/>
    <w:basedOn w:val="Carpredefinitoparagrafo"/>
    <w:link w:val="Titolo8"/>
    <w:uiPriority w:val="99"/>
    <w:rsid w:val="004E44D8"/>
    <w:rPr>
      <w:rFonts w:ascii="Arial Narrow" w:hAnsi="Arial Narrow"/>
      <w:i/>
      <w:sz w:val="24"/>
      <w:lang w:val="en-GB" w:eastAsia="en-US"/>
    </w:rPr>
  </w:style>
  <w:style w:type="character" w:customStyle="1" w:styleId="Titolo9Carattere">
    <w:name w:val="Titolo 9 Carattere"/>
    <w:basedOn w:val="Carpredefinitoparagrafo"/>
    <w:link w:val="Titolo9"/>
    <w:uiPriority w:val="99"/>
    <w:rsid w:val="004E44D8"/>
    <w:rPr>
      <w:rFonts w:ascii="Arial" w:hAnsi="Arial"/>
      <w:sz w:val="22"/>
      <w:lang w:val="en-GB" w:eastAsia="en-US"/>
    </w:rPr>
  </w:style>
  <w:style w:type="numbering" w:customStyle="1" w:styleId="Rientro1">
    <w:name w:val="Rientro 1."/>
    <w:uiPriority w:val="99"/>
    <w:rsid w:val="004E44D8"/>
    <w:pPr>
      <w:numPr>
        <w:numId w:val="9"/>
      </w:numPr>
    </w:pPr>
  </w:style>
  <w:style w:type="paragraph" w:customStyle="1" w:styleId="Rientro2trattinonormalecorsivo">
    <w:name w:val="Rientro 2 trattino normale corsivo"/>
    <w:basedOn w:val="Rientrotrattinonormalecorsivo8pt"/>
    <w:uiPriority w:val="99"/>
    <w:qFormat/>
    <w:rsid w:val="004E44D8"/>
    <w:pPr>
      <w:ind w:left="1026" w:hanging="294"/>
    </w:pPr>
  </w:style>
  <w:style w:type="paragraph" w:customStyle="1" w:styleId="Numeroelencorientro">
    <w:name w:val="Numero elenco rientro"/>
    <w:basedOn w:val="Normale"/>
    <w:uiPriority w:val="99"/>
    <w:qFormat/>
    <w:rsid w:val="004E44D8"/>
    <w:pPr>
      <w:overflowPunct/>
      <w:autoSpaceDE/>
      <w:autoSpaceDN/>
      <w:adjustRightInd/>
      <w:ind w:left="354" w:firstLine="5"/>
      <w:textAlignment w:val="auto"/>
    </w:pPr>
    <w:rPr>
      <w:lang w:val="it-IT"/>
    </w:rPr>
  </w:style>
  <w:style w:type="paragraph" w:customStyle="1" w:styleId="Numeroelencorientro2">
    <w:name w:val="Numero elenco rientro 2"/>
    <w:basedOn w:val="Numeroelencorientro"/>
    <w:uiPriority w:val="99"/>
    <w:qFormat/>
    <w:rsid w:val="004E44D8"/>
    <w:pPr>
      <w:ind w:left="863" w:hanging="238"/>
    </w:pPr>
  </w:style>
  <w:style w:type="paragraph" w:customStyle="1" w:styleId="Rientrotrattinomargine">
    <w:name w:val="Rientro trattino margine"/>
    <w:basedOn w:val="Numeroelencorientro"/>
    <w:uiPriority w:val="99"/>
    <w:qFormat/>
    <w:rsid w:val="004E44D8"/>
    <w:pPr>
      <w:ind w:left="256"/>
    </w:pPr>
  </w:style>
  <w:style w:type="paragraph" w:customStyle="1" w:styleId="Titolotesto1">
    <w:name w:val="Titolo testo 1"/>
    <w:basedOn w:val="Normale"/>
    <w:uiPriority w:val="99"/>
    <w:qFormat/>
    <w:rsid w:val="004E44D8"/>
    <w:pPr>
      <w:overflowPunct/>
      <w:autoSpaceDE/>
      <w:autoSpaceDN/>
      <w:adjustRightInd/>
      <w:jc w:val="left"/>
      <w:textAlignment w:val="auto"/>
    </w:pPr>
    <w:rPr>
      <w:b/>
      <w:lang w:val="it-IT"/>
    </w:rPr>
  </w:style>
  <w:style w:type="paragraph" w:customStyle="1" w:styleId="Titolotesto2">
    <w:name w:val="Titolo testo 2"/>
    <w:basedOn w:val="Normale"/>
    <w:uiPriority w:val="99"/>
    <w:qFormat/>
    <w:rsid w:val="004E44D8"/>
    <w:pPr>
      <w:overflowPunct/>
      <w:autoSpaceDE/>
      <w:autoSpaceDN/>
      <w:adjustRightInd/>
      <w:jc w:val="left"/>
      <w:textAlignment w:val="auto"/>
    </w:pPr>
    <w:rPr>
      <w:b/>
      <w:i/>
      <w:lang w:val="it-IT"/>
    </w:rPr>
  </w:style>
  <w:style w:type="paragraph" w:customStyle="1" w:styleId="Titolotesto3">
    <w:name w:val="Titolo testo 3"/>
    <w:basedOn w:val="Normale"/>
    <w:uiPriority w:val="99"/>
    <w:qFormat/>
    <w:rsid w:val="004E44D8"/>
    <w:pPr>
      <w:overflowPunct/>
      <w:autoSpaceDE/>
      <w:autoSpaceDN/>
      <w:adjustRightInd/>
      <w:jc w:val="left"/>
      <w:textAlignment w:val="auto"/>
    </w:pPr>
    <w:rPr>
      <w:i/>
      <w:lang w:val="it-IT"/>
    </w:rPr>
  </w:style>
  <w:style w:type="character" w:customStyle="1" w:styleId="PidipaginaCarattere">
    <w:name w:val="Piè di pagina Carattere"/>
    <w:basedOn w:val="Carpredefinitoparagrafo"/>
    <w:link w:val="Pidipagina"/>
    <w:uiPriority w:val="99"/>
    <w:rsid w:val="004E44D8"/>
    <w:rPr>
      <w:rFonts w:ascii="Arial Narrow" w:hAnsi="Arial Narrow"/>
      <w:iCs/>
      <w:lang w:val="en-GB" w:eastAsia="en-US"/>
    </w:rPr>
  </w:style>
  <w:style w:type="paragraph" w:customStyle="1" w:styleId="Titolotesto4">
    <w:name w:val="Titolo testo 4"/>
    <w:basedOn w:val="Normale"/>
    <w:uiPriority w:val="99"/>
    <w:qFormat/>
    <w:rsid w:val="004E44D8"/>
    <w:pPr>
      <w:overflowPunct/>
      <w:autoSpaceDE/>
      <w:autoSpaceDN/>
      <w:adjustRightInd/>
      <w:jc w:val="left"/>
      <w:textAlignment w:val="auto"/>
    </w:pPr>
    <w:rPr>
      <w:i/>
      <w:u w:val="single"/>
      <w:lang w:val="it-IT"/>
    </w:rPr>
  </w:style>
  <w:style w:type="paragraph" w:customStyle="1" w:styleId="Rientrotrattino10pt">
    <w:name w:val="Rientro trattino 10pt"/>
    <w:basedOn w:val="Rientrotrattinonormale"/>
    <w:uiPriority w:val="99"/>
    <w:qFormat/>
    <w:rsid w:val="004E44D8"/>
    <w:pPr>
      <w:spacing w:before="20" w:after="20" w:line="220" w:lineRule="exact"/>
    </w:pPr>
    <w:rPr>
      <w:sz w:val="20"/>
      <w:szCs w:val="20"/>
    </w:rPr>
  </w:style>
  <w:style w:type="paragraph" w:customStyle="1" w:styleId="Normale8pt">
    <w:name w:val="Normale 8pt"/>
    <w:basedOn w:val="Normale"/>
    <w:uiPriority w:val="99"/>
    <w:rsid w:val="004E44D8"/>
    <w:pPr>
      <w:overflowPunct/>
      <w:autoSpaceDE/>
      <w:autoSpaceDN/>
      <w:adjustRightInd/>
      <w:textAlignment w:val="auto"/>
    </w:pPr>
    <w:rPr>
      <w:sz w:val="16"/>
      <w:szCs w:val="16"/>
      <w:lang w:val="it-IT"/>
    </w:rPr>
  </w:style>
  <w:style w:type="character" w:customStyle="1" w:styleId="TestomacroCarattere">
    <w:name w:val="Testo macro Carattere"/>
    <w:basedOn w:val="Carpredefinitoparagrafo"/>
    <w:link w:val="Testomacro"/>
    <w:uiPriority w:val="99"/>
    <w:semiHidden/>
    <w:rsid w:val="004E44D8"/>
    <w:rPr>
      <w:rFonts w:ascii="Courier New" w:hAnsi="Courier New"/>
      <w:lang w:val="en-GB" w:eastAsia="en-US"/>
    </w:rPr>
  </w:style>
  <w:style w:type="character" w:customStyle="1" w:styleId="TestocommentoCarattere">
    <w:name w:val="Testo commento Carattere"/>
    <w:basedOn w:val="Carpredefinitoparagrafo"/>
    <w:link w:val="Testocommento"/>
    <w:uiPriority w:val="99"/>
    <w:rsid w:val="004E44D8"/>
    <w:rPr>
      <w:rFonts w:ascii="Arial Narrow" w:hAnsi="Arial Narrow"/>
      <w:lang w:val="en-GB" w:eastAsia="en-US"/>
    </w:rPr>
  </w:style>
  <w:style w:type="paragraph" w:customStyle="1" w:styleId="Numerorientratoa">
    <w:name w:val="Numero rientrato a."/>
    <w:basedOn w:val="Numeroelencorientro2"/>
    <w:uiPriority w:val="99"/>
    <w:qFormat/>
    <w:rsid w:val="004E44D8"/>
    <w:pPr>
      <w:ind w:left="743" w:hanging="380"/>
    </w:pPr>
  </w:style>
  <w:style w:type="paragraph" w:customStyle="1" w:styleId="Rientrovoci2">
    <w:name w:val="Rientro voci 2"/>
    <w:basedOn w:val="Rientrovoci"/>
    <w:uiPriority w:val="99"/>
    <w:qFormat/>
    <w:rsid w:val="004E44D8"/>
    <w:pPr>
      <w:ind w:left="961"/>
    </w:pPr>
  </w:style>
  <w:style w:type="paragraph" w:customStyle="1" w:styleId="Rientrotrattinonormale">
    <w:name w:val="Rientro trattino normale"/>
    <w:basedOn w:val="Rientrotrattinocorsivo8pt"/>
    <w:uiPriority w:val="99"/>
    <w:qFormat/>
    <w:rsid w:val="004E44D8"/>
    <w:pPr>
      <w:ind w:left="704"/>
    </w:pPr>
    <w:rPr>
      <w:i w:val="0"/>
    </w:rPr>
  </w:style>
  <w:style w:type="paragraph" w:customStyle="1" w:styleId="Rientronumerocorsivo8pt">
    <w:name w:val="Rientro numero corsivo 8pt"/>
    <w:basedOn w:val="Rientronumerocorsivo"/>
    <w:uiPriority w:val="99"/>
    <w:qFormat/>
    <w:rsid w:val="004E44D8"/>
    <w:rPr>
      <w:sz w:val="16"/>
      <w:szCs w:val="16"/>
    </w:rPr>
  </w:style>
  <w:style w:type="paragraph" w:customStyle="1" w:styleId="Numeratorientrato11">
    <w:name w:val="Numerato rientrato 1.1"/>
    <w:basedOn w:val="Numeroelencorientro"/>
    <w:uiPriority w:val="99"/>
    <w:qFormat/>
    <w:rsid w:val="004E44D8"/>
    <w:pPr>
      <w:ind w:hanging="354"/>
    </w:pPr>
  </w:style>
  <w:style w:type="paragraph" w:customStyle="1" w:styleId="Rientrosottonumero">
    <w:name w:val="Rientro sottonumero"/>
    <w:basedOn w:val="Numeroelencorientro"/>
    <w:uiPriority w:val="99"/>
    <w:qFormat/>
    <w:rsid w:val="004E44D8"/>
    <w:pPr>
      <w:ind w:left="357" w:firstLine="0"/>
    </w:pPr>
  </w:style>
  <w:style w:type="paragraph" w:customStyle="1" w:styleId="Rientrosottolettera">
    <w:name w:val="Rientro sottolettera"/>
    <w:basedOn w:val="Rientrotrattino10pt"/>
    <w:uiPriority w:val="99"/>
    <w:qFormat/>
    <w:rsid w:val="004E44D8"/>
    <w:pPr>
      <w:ind w:left="732"/>
    </w:pPr>
  </w:style>
  <w:style w:type="paragraph" w:customStyle="1" w:styleId="rientro8">
    <w:name w:val="rientro 8"/>
    <w:basedOn w:val="Rientrotrattino2"/>
    <w:uiPriority w:val="99"/>
    <w:rsid w:val="004E44D8"/>
    <w:pPr>
      <w:ind w:firstLine="38"/>
    </w:pPr>
    <w:rPr>
      <w:sz w:val="16"/>
      <w:szCs w:val="16"/>
    </w:rPr>
  </w:style>
  <w:style w:type="paragraph" w:customStyle="1" w:styleId="Puntoelencosottotesto8pt">
    <w:name w:val="Punto elenco sottotesto 8pt"/>
    <w:basedOn w:val="Rientrotrattinonormale"/>
    <w:uiPriority w:val="99"/>
    <w:qFormat/>
    <w:rsid w:val="004E44D8"/>
    <w:pPr>
      <w:spacing w:before="20" w:after="20"/>
      <w:ind w:left="718"/>
    </w:pPr>
  </w:style>
  <w:style w:type="numbering" w:customStyle="1" w:styleId="Stile2">
    <w:name w:val="Stile2"/>
    <w:uiPriority w:val="99"/>
    <w:rsid w:val="004E44D8"/>
    <w:pPr>
      <w:numPr>
        <w:numId w:val="10"/>
      </w:numPr>
    </w:pPr>
  </w:style>
  <w:style w:type="character" w:customStyle="1" w:styleId="SoggettocommentoCarattere">
    <w:name w:val="Soggetto commento Carattere"/>
    <w:basedOn w:val="TestocommentoCarattere"/>
    <w:link w:val="Soggettocommento"/>
    <w:uiPriority w:val="99"/>
    <w:semiHidden/>
    <w:rsid w:val="004E44D8"/>
    <w:rPr>
      <w:rFonts w:ascii="Arial Narrow" w:hAnsi="Arial Narrow"/>
      <w:b/>
      <w:bCs/>
      <w:lang w:val="en-GB" w:eastAsia="en-US"/>
    </w:rPr>
  </w:style>
  <w:style w:type="paragraph" w:customStyle="1" w:styleId="Puntoelencorientroa">
    <w:name w:val="Punto elenco rientro a)"/>
    <w:basedOn w:val="Normale"/>
    <w:uiPriority w:val="99"/>
    <w:rsid w:val="004E44D8"/>
    <w:pPr>
      <w:overflowPunct/>
      <w:autoSpaceDE/>
      <w:autoSpaceDN/>
      <w:adjustRightInd/>
      <w:ind w:left="1004" w:hanging="294"/>
      <w:textAlignment w:val="auto"/>
    </w:pPr>
    <w:rPr>
      <w:lang w:val="it-IT"/>
    </w:rPr>
  </w:style>
  <w:style w:type="paragraph" w:customStyle="1" w:styleId="Rientrosottolettera8pt">
    <w:name w:val="Rientro sottolettera 8pt"/>
    <w:basedOn w:val="Rientrosottolettera"/>
    <w:uiPriority w:val="99"/>
    <w:qFormat/>
    <w:rsid w:val="004E44D8"/>
    <w:rPr>
      <w:sz w:val="16"/>
      <w:szCs w:val="16"/>
    </w:rPr>
  </w:style>
  <w:style w:type="paragraph" w:customStyle="1" w:styleId="Rientrosottonumerocorsivo">
    <w:name w:val="Rientro sottonumero corsivo"/>
    <w:basedOn w:val="Rientrosottonumero"/>
    <w:uiPriority w:val="99"/>
    <w:qFormat/>
    <w:rsid w:val="004E44D8"/>
    <w:rPr>
      <w:i/>
    </w:rPr>
  </w:style>
  <w:style w:type="paragraph" w:customStyle="1" w:styleId="Rientrosottolettera8ptcorsivo">
    <w:name w:val="Rientro sottolettera 8pt corsivo"/>
    <w:basedOn w:val="Rientrosottolettera8pt"/>
    <w:uiPriority w:val="99"/>
    <w:qFormat/>
    <w:rsid w:val="004E44D8"/>
    <w:rPr>
      <w:i/>
    </w:rPr>
  </w:style>
  <w:style w:type="paragraph" w:customStyle="1" w:styleId="Rientronumerocorsivo">
    <w:name w:val="Rientro numero corsivo"/>
    <w:basedOn w:val="Normale"/>
    <w:uiPriority w:val="99"/>
    <w:qFormat/>
    <w:rsid w:val="004E44D8"/>
    <w:pPr>
      <w:overflowPunct/>
      <w:autoSpaceDE/>
      <w:autoSpaceDN/>
      <w:adjustRightInd/>
      <w:ind w:left="396"/>
      <w:textAlignment w:val="auto"/>
    </w:pPr>
    <w:rPr>
      <w:i/>
      <w:lang w:val="it-IT"/>
    </w:rPr>
  </w:style>
  <w:style w:type="paragraph" w:customStyle="1" w:styleId="Rientrosottonumero8ptcorsivo">
    <w:name w:val="Rientro sottonumero 8pt corsivo"/>
    <w:basedOn w:val="Rientrosottonumero8pt"/>
    <w:uiPriority w:val="99"/>
    <w:qFormat/>
    <w:rsid w:val="004E44D8"/>
    <w:rPr>
      <w:i/>
    </w:rPr>
  </w:style>
  <w:style w:type="character" w:customStyle="1" w:styleId="TestonotadichiusuraCarattere">
    <w:name w:val="Testo nota di chiusura Carattere"/>
    <w:basedOn w:val="Carpredefinitoparagrafo"/>
    <w:link w:val="Testonotadichiusura"/>
    <w:uiPriority w:val="99"/>
    <w:semiHidden/>
    <w:rsid w:val="004E44D8"/>
    <w:rPr>
      <w:rFonts w:ascii="Arial Narrow" w:hAnsi="Arial Narrow"/>
      <w:lang w:val="en-GB" w:eastAsia="en-US"/>
    </w:rPr>
  </w:style>
  <w:style w:type="paragraph" w:customStyle="1" w:styleId="Text">
    <w:name w:val="Text"/>
    <w:basedOn w:val="Normale"/>
    <w:uiPriority w:val="99"/>
    <w:rsid w:val="004E44D8"/>
    <w:pPr>
      <w:tabs>
        <w:tab w:val="left" w:pos="284"/>
      </w:tabs>
      <w:spacing w:before="0" w:after="260" w:line="240" w:lineRule="auto"/>
    </w:pPr>
    <w:rPr>
      <w:rFonts w:ascii="Times New Roman" w:hAnsi="Times New Roman"/>
      <w:sz w:val="22"/>
      <w:lang w:val="it-IT"/>
    </w:rPr>
  </w:style>
  <w:style w:type="character" w:styleId="Rimandonotaapidipagina">
    <w:name w:val="footnote reference"/>
    <w:basedOn w:val="Carpredefinitoparagrafo"/>
    <w:uiPriority w:val="99"/>
    <w:unhideWhenUsed/>
    <w:rsid w:val="004E44D8"/>
    <w:rPr>
      <w:vertAlign w:val="superscript"/>
    </w:rPr>
  </w:style>
  <w:style w:type="paragraph" w:customStyle="1" w:styleId="cors3">
    <w:name w:val="cors_3"/>
    <w:uiPriority w:val="99"/>
    <w:rsid w:val="00877773"/>
    <w:pPr>
      <w:autoSpaceDE w:val="0"/>
      <w:autoSpaceDN w:val="0"/>
      <w:ind w:firstLine="385"/>
      <w:jc w:val="both"/>
    </w:pPr>
    <w:rPr>
      <w:rFonts w:ascii="Garamond" w:hAnsi="Garamond"/>
      <w:sz w:val="18"/>
      <w:lang w:val="en-US"/>
    </w:rPr>
  </w:style>
  <w:style w:type="paragraph" w:customStyle="1" w:styleId="Rientro10">
    <w:name w:val="Rientro 1)"/>
    <w:basedOn w:val="Titolo2"/>
    <w:link w:val="Rientro1Carattere"/>
    <w:qFormat/>
    <w:rsid w:val="007E004E"/>
    <w:pPr>
      <w:numPr>
        <w:numId w:val="7"/>
      </w:numPr>
      <w:spacing w:line="220" w:lineRule="exact"/>
      <w:ind w:left="318" w:hanging="283"/>
      <w:jc w:val="both"/>
    </w:pPr>
    <w:rPr>
      <w:b w:val="0"/>
      <w:sz w:val="20"/>
      <w:lang w:val="it-IT"/>
    </w:rPr>
  </w:style>
  <w:style w:type="character" w:customStyle="1" w:styleId="ParagrafoelencoCarattere">
    <w:name w:val="Paragrafo elenco Carattere"/>
    <w:basedOn w:val="Carpredefinitoparagrafo"/>
    <w:link w:val="Paragrafoelenco"/>
    <w:uiPriority w:val="34"/>
    <w:rsid w:val="00CA16E4"/>
    <w:rPr>
      <w:rFonts w:ascii="Arial Narrow" w:hAnsi="Arial Narrow"/>
      <w:lang w:val="en-GB" w:eastAsia="en-US"/>
    </w:rPr>
  </w:style>
  <w:style w:type="character" w:customStyle="1" w:styleId="Rientro1Carattere">
    <w:name w:val="Rientro 1) Carattere"/>
    <w:basedOn w:val="ParagrafoelencoCarattere"/>
    <w:link w:val="Rientro10"/>
    <w:rsid w:val="007E004E"/>
    <w:rPr>
      <w:rFonts w:ascii="Arial Narrow" w:hAnsi="Arial Narrow"/>
      <w:lang w:val="en-GB" w:eastAsia="en-US"/>
    </w:rPr>
  </w:style>
  <w:style w:type="paragraph" w:customStyle="1" w:styleId="Stile3">
    <w:name w:val="Stile3"/>
    <w:basedOn w:val="Commentiriquadro"/>
    <w:link w:val="Stile3Carattere"/>
    <w:qFormat/>
    <w:rsid w:val="00680245"/>
  </w:style>
  <w:style w:type="paragraph" w:customStyle="1" w:styleId="Stile4">
    <w:name w:val="Stile4"/>
    <w:basedOn w:val="Commentiriquadro"/>
    <w:link w:val="Stile4Carattere"/>
    <w:qFormat/>
    <w:rsid w:val="00680245"/>
  </w:style>
  <w:style w:type="character" w:customStyle="1" w:styleId="CommentiriquadroCarattere">
    <w:name w:val="Commenti riquadro Carattere"/>
    <w:basedOn w:val="Carpredefinitoparagrafo"/>
    <w:link w:val="Commentiriquadro"/>
    <w:rsid w:val="00680245"/>
    <w:rPr>
      <w:rFonts w:ascii="Arial Narrow" w:hAnsi="Arial Narrow"/>
      <w:sz w:val="16"/>
      <w:szCs w:val="16"/>
      <w:lang w:eastAsia="en-US"/>
    </w:rPr>
  </w:style>
  <w:style w:type="character" w:customStyle="1" w:styleId="Stile3Carattere">
    <w:name w:val="Stile3 Carattere"/>
    <w:basedOn w:val="CommentiriquadroCarattere"/>
    <w:link w:val="Stile3"/>
    <w:rsid w:val="00680245"/>
    <w:rPr>
      <w:rFonts w:ascii="Arial Narrow" w:hAnsi="Arial Narrow"/>
      <w:sz w:val="16"/>
      <w:szCs w:val="16"/>
      <w:lang w:eastAsia="en-US"/>
    </w:rPr>
  </w:style>
  <w:style w:type="character" w:customStyle="1" w:styleId="Stile4Carattere">
    <w:name w:val="Stile4 Carattere"/>
    <w:basedOn w:val="CommentiriquadroCarattere"/>
    <w:link w:val="Stile4"/>
    <w:rsid w:val="00680245"/>
    <w:rPr>
      <w:rFonts w:ascii="Arial Narrow" w:hAnsi="Arial Narrow"/>
      <w:sz w:val="16"/>
      <w:szCs w:val="16"/>
      <w:lang w:eastAsia="en-US"/>
    </w:rPr>
  </w:style>
  <w:style w:type="character" w:styleId="Collegamentoipertestuale">
    <w:name w:val="Hyperlink"/>
    <w:uiPriority w:val="99"/>
    <w:rsid w:val="004D7697"/>
    <w:rPr>
      <w:noProof/>
      <w:color w:val="008000"/>
      <w:u w:val="single"/>
    </w:rPr>
  </w:style>
  <w:style w:type="paragraph" w:customStyle="1" w:styleId="20">
    <w:name w:val="20"/>
    <w:basedOn w:val="Normale"/>
    <w:uiPriority w:val="99"/>
    <w:rsid w:val="004D7697"/>
    <w:pPr>
      <w:spacing w:before="0" w:after="0"/>
      <w:jc w:val="center"/>
    </w:pPr>
    <w:rPr>
      <w:rFonts w:ascii="Garamond" w:hAnsi="Garamond"/>
    </w:rPr>
  </w:style>
  <w:style w:type="paragraph" w:customStyle="1" w:styleId="rientrotrattino">
    <w:name w:val="rientro trattino"/>
    <w:basedOn w:val="Puntoelenco"/>
    <w:link w:val="rientrotrattinoCarattere"/>
    <w:qFormat/>
    <w:rsid w:val="004D7697"/>
    <w:pPr>
      <w:contextualSpacing w:val="0"/>
    </w:pPr>
  </w:style>
  <w:style w:type="character" w:customStyle="1" w:styleId="rientrotrattinoCarattere">
    <w:name w:val="rientro trattino Carattere"/>
    <w:basedOn w:val="PuntoelencoCarattere"/>
    <w:link w:val="rientrotrattino"/>
    <w:rsid w:val="004D7697"/>
    <w:rPr>
      <w:rFonts w:ascii="Arial Narrow" w:hAnsi="Arial Narrow"/>
      <w:lang w:eastAsia="en-US"/>
    </w:rPr>
  </w:style>
  <w:style w:type="paragraph" w:customStyle="1" w:styleId="TitoloPRINCIPIOOIC">
    <w:name w:val="Titolo PRINCIPIO OIC"/>
    <w:basedOn w:val="Normale"/>
    <w:link w:val="TitoloPRINCIPIOOICCarattere"/>
    <w:qFormat/>
    <w:rsid w:val="004D7697"/>
    <w:pPr>
      <w:tabs>
        <w:tab w:val="left" w:pos="1890"/>
      </w:tabs>
      <w:spacing w:line="260" w:lineRule="exact"/>
      <w:ind w:left="990" w:hanging="990"/>
      <w:jc w:val="left"/>
    </w:pPr>
    <w:rPr>
      <w:sz w:val="28"/>
    </w:rPr>
  </w:style>
  <w:style w:type="character" w:customStyle="1" w:styleId="TitoloPRINCIPIOOICCarattere">
    <w:name w:val="Titolo PRINCIPIO OIC Carattere"/>
    <w:basedOn w:val="Carpredefinitoparagrafo"/>
    <w:link w:val="TitoloPRINCIPIOOIC"/>
    <w:rsid w:val="004D7697"/>
    <w:rPr>
      <w:rFonts w:ascii="Arial Narrow" w:hAnsi="Arial Narrow"/>
      <w:sz w:val="28"/>
      <w:lang w:val="en-GB" w:eastAsia="en-US"/>
    </w:rPr>
  </w:style>
  <w:style w:type="numbering" w:customStyle="1" w:styleId="Stile11">
    <w:name w:val="Stile11"/>
    <w:uiPriority w:val="99"/>
    <w:rsid w:val="0017721C"/>
  </w:style>
  <w:style w:type="numbering" w:customStyle="1" w:styleId="Rientro110">
    <w:name w:val="Rientro 1.1"/>
    <w:uiPriority w:val="99"/>
    <w:rsid w:val="0017721C"/>
  </w:style>
  <w:style w:type="numbering" w:customStyle="1" w:styleId="Stile21">
    <w:name w:val="Stile21"/>
    <w:uiPriority w:val="99"/>
    <w:rsid w:val="0017721C"/>
  </w:style>
  <w:style w:type="numbering" w:customStyle="1" w:styleId="Stile111">
    <w:name w:val="Stile111"/>
    <w:uiPriority w:val="99"/>
    <w:rsid w:val="0017721C"/>
  </w:style>
  <w:style w:type="numbering" w:customStyle="1" w:styleId="Rientro111">
    <w:name w:val="Rientro 1.11"/>
    <w:uiPriority w:val="99"/>
    <w:rsid w:val="0017721C"/>
  </w:style>
  <w:style w:type="numbering" w:customStyle="1" w:styleId="Stile211">
    <w:name w:val="Stile211"/>
    <w:uiPriority w:val="99"/>
    <w:rsid w:val="0017721C"/>
  </w:style>
  <w:style w:type="paragraph" w:customStyle="1" w:styleId="Datecreated">
    <w:name w:val="Date created"/>
    <w:basedOn w:val="Normale"/>
    <w:uiPriority w:val="99"/>
    <w:rsid w:val="0017721C"/>
    <w:pPr>
      <w:overflowPunct/>
      <w:autoSpaceDE/>
      <w:autoSpaceDN/>
      <w:adjustRightInd/>
      <w:spacing w:before="60" w:after="60" w:line="260" w:lineRule="atLeast"/>
      <w:jc w:val="left"/>
      <w:textAlignment w:val="auto"/>
    </w:pPr>
    <w:rPr>
      <w:rFonts w:ascii="Times New Roman" w:hAnsi="Times New Roman"/>
      <w:sz w:val="22"/>
      <w:lang w:val="it-IT"/>
    </w:rPr>
  </w:style>
  <w:style w:type="paragraph" w:customStyle="1" w:styleId="Preparedby">
    <w:name w:val="Prepared by"/>
    <w:basedOn w:val="Normale"/>
    <w:uiPriority w:val="99"/>
    <w:rsid w:val="0017721C"/>
    <w:pPr>
      <w:overflowPunct/>
      <w:autoSpaceDE/>
      <w:autoSpaceDN/>
      <w:adjustRightInd/>
      <w:spacing w:before="60" w:after="60" w:line="260" w:lineRule="atLeast"/>
      <w:jc w:val="left"/>
      <w:textAlignment w:val="auto"/>
    </w:pPr>
    <w:rPr>
      <w:rFonts w:ascii="Times New Roman" w:hAnsi="Times New Roman"/>
      <w:snapToGrid w:val="0"/>
      <w:sz w:val="22"/>
      <w:lang w:val="it-IT"/>
    </w:rPr>
  </w:style>
  <w:style w:type="paragraph" w:customStyle="1" w:styleId="Smalltableheading">
    <w:name w:val="Small table heading"/>
    <w:next w:val="Normale"/>
    <w:uiPriority w:val="99"/>
    <w:rsid w:val="0017721C"/>
    <w:pPr>
      <w:keepNext/>
      <w:spacing w:before="60"/>
    </w:pPr>
    <w:rPr>
      <w:b/>
      <w:noProof/>
      <w:sz w:val="18"/>
      <w:lang w:val="en-US" w:eastAsia="en-US"/>
    </w:rPr>
  </w:style>
  <w:style w:type="paragraph" w:customStyle="1" w:styleId="WPreference">
    <w:name w:val="WP reference"/>
    <w:basedOn w:val="Normale"/>
    <w:uiPriority w:val="99"/>
    <w:rsid w:val="0017721C"/>
    <w:pPr>
      <w:overflowPunct/>
      <w:autoSpaceDE/>
      <w:autoSpaceDN/>
      <w:adjustRightInd/>
      <w:spacing w:before="60" w:after="60" w:line="260" w:lineRule="atLeast"/>
      <w:jc w:val="left"/>
      <w:textAlignment w:val="auto"/>
    </w:pPr>
    <w:rPr>
      <w:rFonts w:ascii="Times New Roman" w:hAnsi="Times New Roman"/>
      <w:sz w:val="22"/>
      <w:lang w:val="it-IT"/>
    </w:rPr>
  </w:style>
  <w:style w:type="paragraph" w:customStyle="1" w:styleId="StileTitolo1TimesNewRoman">
    <w:name w:val="Stile Titolo 1 + Times New Roman"/>
    <w:basedOn w:val="Titolo1"/>
    <w:uiPriority w:val="99"/>
    <w:rsid w:val="0017721C"/>
    <w:pPr>
      <w:jc w:val="center"/>
    </w:pPr>
    <w:rPr>
      <w:rFonts w:ascii="Times New Roman" w:hAnsi="Times New Roman"/>
      <w:bCs/>
    </w:rPr>
  </w:style>
  <w:style w:type="paragraph" w:customStyle="1" w:styleId="StileRientroa8ptSinistro132cmSporgente059cm">
    <w:name w:val="Stile Rientro a) + 8 pt Sinistro:  132 cm Sporgente  059 cm"/>
    <w:basedOn w:val="Rientroa"/>
    <w:uiPriority w:val="99"/>
    <w:rsid w:val="0017721C"/>
    <w:pPr>
      <w:numPr>
        <w:numId w:val="0"/>
      </w:numPr>
      <w:tabs>
        <w:tab w:val="left" w:pos="718"/>
      </w:tabs>
      <w:ind w:left="1082" w:hanging="336"/>
    </w:pPr>
    <w:rPr>
      <w:rFonts w:ascii="Times New Roman" w:hAnsi="Times New Roman"/>
      <w:sz w:val="16"/>
    </w:rPr>
  </w:style>
  <w:style w:type="paragraph" w:customStyle="1" w:styleId="StileParagrafoelencoLatinoArialNarrow9ptPrima1pt">
    <w:name w:val="Stile Paragrafo elenco + (Latino) Arial Narrow 9 pt Prima:  1 pt..."/>
    <w:basedOn w:val="Paragrafoelenco"/>
    <w:uiPriority w:val="99"/>
    <w:rsid w:val="0017721C"/>
    <w:pPr>
      <w:overflowPunct/>
      <w:autoSpaceDE/>
      <w:autoSpaceDN/>
      <w:adjustRightInd/>
      <w:spacing w:line="200" w:lineRule="exact"/>
      <w:ind w:hanging="357"/>
      <w:textAlignment w:val="auto"/>
    </w:pPr>
    <w:rPr>
      <w:rFonts w:ascii="Times New Roman" w:hAnsi="Times New Roman"/>
      <w:sz w:val="18"/>
      <w:lang w:val="en-US"/>
    </w:rPr>
  </w:style>
  <w:style w:type="paragraph" w:customStyle="1" w:styleId="StileParagrafoelencoLatinoArialNarrow10ptPrima1pt">
    <w:name w:val="Stile Paragrafo elenco + (Latino) Arial Narrow 10 pt Prima:  1 pt..."/>
    <w:basedOn w:val="Paragrafoelenco"/>
    <w:uiPriority w:val="99"/>
    <w:rsid w:val="0017721C"/>
    <w:pPr>
      <w:overflowPunct/>
      <w:autoSpaceDE/>
      <w:autoSpaceDN/>
      <w:adjustRightInd/>
      <w:spacing w:line="216" w:lineRule="exact"/>
      <w:ind w:hanging="357"/>
      <w:textAlignment w:val="auto"/>
    </w:pPr>
    <w:rPr>
      <w:rFonts w:ascii="Times New Roman" w:hAnsi="Times New Roman"/>
      <w:lang w:val="en-US"/>
    </w:rPr>
  </w:style>
  <w:style w:type="paragraph" w:customStyle="1" w:styleId="StileParagrafoelencoLatinoArialNarrow10ptPrima1pt1">
    <w:name w:val="Stile Paragrafo elenco + (Latino) Arial Narrow 10 pt Prima:  1 pt...1"/>
    <w:basedOn w:val="Paragrafoelenco"/>
    <w:uiPriority w:val="99"/>
    <w:rsid w:val="0017721C"/>
    <w:pPr>
      <w:overflowPunct/>
      <w:autoSpaceDE/>
      <w:autoSpaceDN/>
      <w:adjustRightInd/>
      <w:spacing w:line="216" w:lineRule="exact"/>
      <w:ind w:hanging="357"/>
      <w:textAlignment w:val="auto"/>
    </w:pPr>
    <w:rPr>
      <w:rFonts w:ascii="Times New Roman" w:hAnsi="Times New Roman"/>
      <w:lang w:val="en-US"/>
    </w:rPr>
  </w:style>
  <w:style w:type="paragraph" w:customStyle="1" w:styleId="StileParagrafoelencoLatinoArialNarrow10pt">
    <w:name w:val="Stile Paragrafo elenco + (Latino) Arial Narrow 10 pt"/>
    <w:basedOn w:val="Paragrafoelenco"/>
    <w:uiPriority w:val="99"/>
    <w:rsid w:val="0017721C"/>
    <w:pPr>
      <w:overflowPunct/>
      <w:autoSpaceDE/>
      <w:autoSpaceDN/>
      <w:adjustRightInd/>
      <w:spacing w:before="120" w:after="120" w:line="240" w:lineRule="auto"/>
      <w:ind w:hanging="357"/>
      <w:textAlignment w:val="auto"/>
    </w:pPr>
    <w:rPr>
      <w:rFonts w:ascii="Times New Roman" w:eastAsiaTheme="minorHAnsi" w:hAnsi="Times New Roman" w:cstheme="minorBidi"/>
      <w:szCs w:val="22"/>
      <w:lang w:val="en-US"/>
    </w:rPr>
  </w:style>
  <w:style w:type="paragraph" w:customStyle="1" w:styleId="StileParagrafoelencoTimesNewRoman10ptPrima1ptDopo">
    <w:name w:val="Stile Paragrafo elenco + Times New Roman 10 pt Prima:  1 pt Dopo..."/>
    <w:basedOn w:val="Paragrafoelenco"/>
    <w:uiPriority w:val="99"/>
    <w:rsid w:val="0017721C"/>
    <w:pPr>
      <w:overflowPunct/>
      <w:autoSpaceDE/>
      <w:autoSpaceDN/>
      <w:adjustRightInd/>
      <w:ind w:hanging="357"/>
      <w:textAlignment w:val="auto"/>
    </w:pPr>
    <w:rPr>
      <w:rFonts w:ascii="Times New Roman" w:hAnsi="Times New Roman"/>
      <w:lang w:val="en-US"/>
    </w:rPr>
  </w:style>
  <w:style w:type="paragraph" w:customStyle="1" w:styleId="TITOLOCAPITOLO">
    <w:name w:val="TITOLO CAPITOLO"/>
    <w:basedOn w:val="Normale"/>
    <w:link w:val="TITOLOCAPITOLOCarattere"/>
    <w:qFormat/>
    <w:rsid w:val="0017721C"/>
    <w:pPr>
      <w:spacing w:before="240" w:after="240" w:line="240" w:lineRule="auto"/>
      <w:textAlignment w:val="auto"/>
    </w:pPr>
    <w:rPr>
      <w:rFonts w:ascii="Arial" w:hAnsi="Arial" w:cs="Arial"/>
      <w:color w:val="548DD4" w:themeColor="text2" w:themeTint="99"/>
      <w:sz w:val="28"/>
      <w:szCs w:val="24"/>
      <w:lang w:eastAsia="it-IT"/>
    </w:rPr>
  </w:style>
  <w:style w:type="character" w:customStyle="1" w:styleId="TITOLOCAPITOLOCarattere">
    <w:name w:val="TITOLO CAPITOLO Carattere"/>
    <w:basedOn w:val="Carpredefinitoparagrafo"/>
    <w:link w:val="TITOLOCAPITOLO"/>
    <w:rsid w:val="0017721C"/>
    <w:rPr>
      <w:rFonts w:ascii="Arial" w:hAnsi="Arial" w:cs="Arial"/>
      <w:color w:val="548DD4" w:themeColor="text2" w:themeTint="99"/>
      <w:sz w:val="28"/>
      <w:szCs w:val="24"/>
      <w:lang w:val="en-GB"/>
    </w:rPr>
  </w:style>
  <w:style w:type="paragraph" w:customStyle="1" w:styleId="PARAGRAFO">
    <w:name w:val="PARAGRAFO"/>
    <w:basedOn w:val="Paragrafoelenco"/>
    <w:link w:val="PARAGRAFOCarattere"/>
    <w:rsid w:val="0017721C"/>
    <w:pPr>
      <w:numPr>
        <w:numId w:val="92"/>
      </w:numPr>
      <w:spacing w:before="360" w:after="360" w:line="240" w:lineRule="auto"/>
      <w:ind w:left="567" w:hanging="567"/>
      <w:textAlignment w:val="auto"/>
    </w:pPr>
    <w:rPr>
      <w:rFonts w:ascii="Arial" w:hAnsi="Arial" w:cs="Arial"/>
      <w:color w:val="548DD4" w:themeColor="text2" w:themeTint="99"/>
      <w:sz w:val="26"/>
      <w:szCs w:val="26"/>
    </w:rPr>
  </w:style>
  <w:style w:type="character" w:customStyle="1" w:styleId="PARAGRAFOCarattere">
    <w:name w:val="PARAGRAFO Carattere"/>
    <w:basedOn w:val="Carpredefinitoparagrafo"/>
    <w:link w:val="PARAGRAFO"/>
    <w:rsid w:val="0017721C"/>
    <w:rPr>
      <w:rFonts w:ascii="Arial" w:hAnsi="Arial" w:cs="Arial"/>
      <w:color w:val="548DD4" w:themeColor="text2" w:themeTint="99"/>
      <w:sz w:val="26"/>
      <w:szCs w:val="26"/>
      <w:lang w:val="en-GB" w:eastAsia="en-US"/>
    </w:rPr>
  </w:style>
  <w:style w:type="character" w:customStyle="1" w:styleId="Titolo3Carattere1">
    <w:name w:val="Titolo 3 Carattere1"/>
    <w:aliases w:val="Titolo 3 corsivo Carattere1"/>
    <w:basedOn w:val="Carpredefinitoparagrafo"/>
    <w:semiHidden/>
    <w:rsid w:val="0017721C"/>
    <w:rPr>
      <w:rFonts w:asciiTheme="majorHAnsi" w:eastAsiaTheme="majorEastAsia" w:hAnsiTheme="majorHAnsi" w:cstheme="majorBidi"/>
      <w:b/>
      <w:bCs/>
      <w:color w:val="4F81BD" w:themeColor="accent1"/>
      <w:lang w:val="en-GB" w:eastAsia="en-US"/>
    </w:rPr>
  </w:style>
  <w:style w:type="character" w:customStyle="1" w:styleId="PreformattatoHTMLCarattere">
    <w:name w:val="Preformattato HTML Carattere"/>
    <w:basedOn w:val="Carpredefinitoparagrafo"/>
    <w:link w:val="PreformattatoHTML"/>
    <w:rsid w:val="0017721C"/>
    <w:rPr>
      <w:rFonts w:ascii="Courier New" w:hAnsi="Courier New"/>
      <w:lang w:val="en-GB" w:eastAsia="en-US"/>
    </w:rPr>
  </w:style>
  <w:style w:type="character" w:customStyle="1" w:styleId="TitoloCarattere">
    <w:name w:val="Titolo Carattere"/>
    <w:basedOn w:val="Carpredefinitoparagrafo"/>
    <w:link w:val="Titolo"/>
    <w:uiPriority w:val="99"/>
    <w:rsid w:val="0017721C"/>
    <w:rPr>
      <w:rFonts w:ascii="Arial" w:hAnsi="Arial"/>
      <w:b/>
      <w:kern w:val="28"/>
      <w:sz w:val="32"/>
      <w:lang w:val="en-GB" w:eastAsia="en-US"/>
    </w:rPr>
  </w:style>
  <w:style w:type="character" w:customStyle="1" w:styleId="RientrocorpodeltestoCarattere">
    <w:name w:val="Rientro corpo del testo Carattere"/>
    <w:basedOn w:val="Carpredefinitoparagrafo"/>
    <w:link w:val="Rientrocorpodeltesto"/>
    <w:uiPriority w:val="99"/>
    <w:rsid w:val="0017721C"/>
    <w:rPr>
      <w:rFonts w:ascii="Arial Narrow" w:hAnsi="Arial Narrow"/>
      <w:lang w:val="en-GB" w:eastAsia="en-US"/>
    </w:rPr>
  </w:style>
  <w:style w:type="character" w:customStyle="1" w:styleId="PrimorientrocorpodeltestoCarattere">
    <w:name w:val="Primo rientro corpo del testo Carattere"/>
    <w:basedOn w:val="CorpotestoCarattere"/>
    <w:link w:val="Primorientrocorpodeltesto"/>
    <w:uiPriority w:val="99"/>
    <w:rsid w:val="0017721C"/>
    <w:rPr>
      <w:rFonts w:ascii="Arial Narrow" w:hAnsi="Arial Narrow"/>
      <w:lang w:val="en-GB" w:eastAsia="en-US"/>
    </w:rPr>
  </w:style>
  <w:style w:type="character" w:customStyle="1" w:styleId="Primorientrocorpodeltesto2Carattere">
    <w:name w:val="Primo rientro corpo del testo 2 Carattere"/>
    <w:basedOn w:val="RientrocorpodeltestoCarattere"/>
    <w:link w:val="Primorientrocorpodeltesto2"/>
    <w:uiPriority w:val="99"/>
    <w:rsid w:val="0017721C"/>
    <w:rPr>
      <w:rFonts w:ascii="Arial Narrow" w:hAnsi="Arial Narrow"/>
      <w:lang w:val="en-GB" w:eastAsia="en-US"/>
    </w:rPr>
  </w:style>
  <w:style w:type="character" w:customStyle="1" w:styleId="IntestazionenotaCarattere">
    <w:name w:val="Intestazione nota Carattere"/>
    <w:basedOn w:val="Carpredefinitoparagrafo"/>
    <w:link w:val="Intestazionenota"/>
    <w:uiPriority w:val="99"/>
    <w:rsid w:val="0017721C"/>
    <w:rPr>
      <w:rFonts w:ascii="Arial Narrow" w:hAnsi="Arial Narrow"/>
      <w:lang w:val="en-GB" w:eastAsia="en-US"/>
    </w:rPr>
  </w:style>
  <w:style w:type="character" w:customStyle="1" w:styleId="Rientrocorpodeltesto2Carattere">
    <w:name w:val="Rientro corpo del testo 2 Carattere"/>
    <w:basedOn w:val="Carpredefinitoparagrafo"/>
    <w:link w:val="Rientrocorpodeltesto2"/>
    <w:uiPriority w:val="99"/>
    <w:rsid w:val="0017721C"/>
    <w:rPr>
      <w:rFonts w:ascii="Arial Narrow" w:hAnsi="Arial Narrow"/>
      <w:lang w:val="en-GB" w:eastAsia="en-US"/>
    </w:rPr>
  </w:style>
  <w:style w:type="character" w:customStyle="1" w:styleId="MappadocumentoCarattere">
    <w:name w:val="Mappa documento Carattere"/>
    <w:basedOn w:val="Carpredefinitoparagrafo"/>
    <w:link w:val="Mappadocumento"/>
    <w:uiPriority w:val="99"/>
    <w:semiHidden/>
    <w:rsid w:val="0017721C"/>
    <w:rPr>
      <w:rFonts w:ascii="Tahoma" w:hAnsi="Tahoma"/>
      <w:shd w:val="clear" w:color="auto" w:fill="000080"/>
      <w:lang w:val="en-GB" w:eastAsia="en-US"/>
    </w:rPr>
  </w:style>
  <w:style w:type="paragraph" w:customStyle="1" w:styleId="IAS">
    <w:name w:val="IAS"/>
    <w:basedOn w:val="Normale"/>
    <w:qFormat/>
    <w:rsid w:val="0017721C"/>
    <w:pPr>
      <w:spacing w:before="40" w:line="240" w:lineRule="auto"/>
      <w:ind w:right="28"/>
      <w:jc w:val="center"/>
    </w:pPr>
    <w:rPr>
      <w:sz w:val="13"/>
      <w:szCs w:val="13"/>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6279">
      <w:bodyDiv w:val="1"/>
      <w:marLeft w:val="0"/>
      <w:marRight w:val="0"/>
      <w:marTop w:val="0"/>
      <w:marBottom w:val="0"/>
      <w:divBdr>
        <w:top w:val="none" w:sz="0" w:space="0" w:color="auto"/>
        <w:left w:val="none" w:sz="0" w:space="0" w:color="auto"/>
        <w:bottom w:val="none" w:sz="0" w:space="0" w:color="auto"/>
        <w:right w:val="none" w:sz="0" w:space="0" w:color="auto"/>
      </w:divBdr>
    </w:div>
    <w:div w:id="24526590">
      <w:bodyDiv w:val="1"/>
      <w:marLeft w:val="0"/>
      <w:marRight w:val="0"/>
      <w:marTop w:val="0"/>
      <w:marBottom w:val="0"/>
      <w:divBdr>
        <w:top w:val="none" w:sz="0" w:space="0" w:color="auto"/>
        <w:left w:val="none" w:sz="0" w:space="0" w:color="auto"/>
        <w:bottom w:val="none" w:sz="0" w:space="0" w:color="auto"/>
        <w:right w:val="none" w:sz="0" w:space="0" w:color="auto"/>
      </w:divBdr>
    </w:div>
    <w:div w:id="35586961">
      <w:bodyDiv w:val="1"/>
      <w:marLeft w:val="0"/>
      <w:marRight w:val="0"/>
      <w:marTop w:val="0"/>
      <w:marBottom w:val="0"/>
      <w:divBdr>
        <w:top w:val="none" w:sz="0" w:space="0" w:color="auto"/>
        <w:left w:val="none" w:sz="0" w:space="0" w:color="auto"/>
        <w:bottom w:val="none" w:sz="0" w:space="0" w:color="auto"/>
        <w:right w:val="none" w:sz="0" w:space="0" w:color="auto"/>
      </w:divBdr>
    </w:div>
    <w:div w:id="55475131">
      <w:bodyDiv w:val="1"/>
      <w:marLeft w:val="0"/>
      <w:marRight w:val="0"/>
      <w:marTop w:val="0"/>
      <w:marBottom w:val="0"/>
      <w:divBdr>
        <w:top w:val="none" w:sz="0" w:space="0" w:color="auto"/>
        <w:left w:val="none" w:sz="0" w:space="0" w:color="auto"/>
        <w:bottom w:val="none" w:sz="0" w:space="0" w:color="auto"/>
        <w:right w:val="none" w:sz="0" w:space="0" w:color="auto"/>
      </w:divBdr>
    </w:div>
    <w:div w:id="56250358">
      <w:bodyDiv w:val="1"/>
      <w:marLeft w:val="0"/>
      <w:marRight w:val="0"/>
      <w:marTop w:val="0"/>
      <w:marBottom w:val="0"/>
      <w:divBdr>
        <w:top w:val="none" w:sz="0" w:space="0" w:color="auto"/>
        <w:left w:val="none" w:sz="0" w:space="0" w:color="auto"/>
        <w:bottom w:val="none" w:sz="0" w:space="0" w:color="auto"/>
        <w:right w:val="none" w:sz="0" w:space="0" w:color="auto"/>
      </w:divBdr>
    </w:div>
    <w:div w:id="75784719">
      <w:bodyDiv w:val="1"/>
      <w:marLeft w:val="0"/>
      <w:marRight w:val="0"/>
      <w:marTop w:val="0"/>
      <w:marBottom w:val="0"/>
      <w:divBdr>
        <w:top w:val="none" w:sz="0" w:space="0" w:color="auto"/>
        <w:left w:val="none" w:sz="0" w:space="0" w:color="auto"/>
        <w:bottom w:val="none" w:sz="0" w:space="0" w:color="auto"/>
        <w:right w:val="none" w:sz="0" w:space="0" w:color="auto"/>
      </w:divBdr>
    </w:div>
    <w:div w:id="85926366">
      <w:bodyDiv w:val="1"/>
      <w:marLeft w:val="0"/>
      <w:marRight w:val="0"/>
      <w:marTop w:val="0"/>
      <w:marBottom w:val="0"/>
      <w:divBdr>
        <w:top w:val="none" w:sz="0" w:space="0" w:color="auto"/>
        <w:left w:val="none" w:sz="0" w:space="0" w:color="auto"/>
        <w:bottom w:val="none" w:sz="0" w:space="0" w:color="auto"/>
        <w:right w:val="none" w:sz="0" w:space="0" w:color="auto"/>
      </w:divBdr>
    </w:div>
    <w:div w:id="87891191">
      <w:bodyDiv w:val="1"/>
      <w:marLeft w:val="0"/>
      <w:marRight w:val="0"/>
      <w:marTop w:val="0"/>
      <w:marBottom w:val="0"/>
      <w:divBdr>
        <w:top w:val="none" w:sz="0" w:space="0" w:color="auto"/>
        <w:left w:val="none" w:sz="0" w:space="0" w:color="auto"/>
        <w:bottom w:val="none" w:sz="0" w:space="0" w:color="auto"/>
        <w:right w:val="none" w:sz="0" w:space="0" w:color="auto"/>
      </w:divBdr>
    </w:div>
    <w:div w:id="88819566">
      <w:bodyDiv w:val="1"/>
      <w:marLeft w:val="0"/>
      <w:marRight w:val="0"/>
      <w:marTop w:val="0"/>
      <w:marBottom w:val="0"/>
      <w:divBdr>
        <w:top w:val="none" w:sz="0" w:space="0" w:color="auto"/>
        <w:left w:val="none" w:sz="0" w:space="0" w:color="auto"/>
        <w:bottom w:val="none" w:sz="0" w:space="0" w:color="auto"/>
        <w:right w:val="none" w:sz="0" w:space="0" w:color="auto"/>
      </w:divBdr>
    </w:div>
    <w:div w:id="89745284">
      <w:bodyDiv w:val="1"/>
      <w:marLeft w:val="0"/>
      <w:marRight w:val="0"/>
      <w:marTop w:val="0"/>
      <w:marBottom w:val="0"/>
      <w:divBdr>
        <w:top w:val="none" w:sz="0" w:space="0" w:color="auto"/>
        <w:left w:val="none" w:sz="0" w:space="0" w:color="auto"/>
        <w:bottom w:val="none" w:sz="0" w:space="0" w:color="auto"/>
        <w:right w:val="none" w:sz="0" w:space="0" w:color="auto"/>
      </w:divBdr>
    </w:div>
    <w:div w:id="93668430">
      <w:bodyDiv w:val="1"/>
      <w:marLeft w:val="0"/>
      <w:marRight w:val="0"/>
      <w:marTop w:val="0"/>
      <w:marBottom w:val="0"/>
      <w:divBdr>
        <w:top w:val="none" w:sz="0" w:space="0" w:color="auto"/>
        <w:left w:val="none" w:sz="0" w:space="0" w:color="auto"/>
        <w:bottom w:val="none" w:sz="0" w:space="0" w:color="auto"/>
        <w:right w:val="none" w:sz="0" w:space="0" w:color="auto"/>
      </w:divBdr>
    </w:div>
    <w:div w:id="95445796">
      <w:bodyDiv w:val="1"/>
      <w:marLeft w:val="0"/>
      <w:marRight w:val="0"/>
      <w:marTop w:val="0"/>
      <w:marBottom w:val="0"/>
      <w:divBdr>
        <w:top w:val="none" w:sz="0" w:space="0" w:color="auto"/>
        <w:left w:val="none" w:sz="0" w:space="0" w:color="auto"/>
        <w:bottom w:val="none" w:sz="0" w:space="0" w:color="auto"/>
        <w:right w:val="none" w:sz="0" w:space="0" w:color="auto"/>
      </w:divBdr>
    </w:div>
    <w:div w:id="101922512">
      <w:bodyDiv w:val="1"/>
      <w:marLeft w:val="0"/>
      <w:marRight w:val="0"/>
      <w:marTop w:val="0"/>
      <w:marBottom w:val="0"/>
      <w:divBdr>
        <w:top w:val="none" w:sz="0" w:space="0" w:color="auto"/>
        <w:left w:val="none" w:sz="0" w:space="0" w:color="auto"/>
        <w:bottom w:val="none" w:sz="0" w:space="0" w:color="auto"/>
        <w:right w:val="none" w:sz="0" w:space="0" w:color="auto"/>
      </w:divBdr>
    </w:div>
    <w:div w:id="102961385">
      <w:bodyDiv w:val="1"/>
      <w:marLeft w:val="0"/>
      <w:marRight w:val="0"/>
      <w:marTop w:val="0"/>
      <w:marBottom w:val="0"/>
      <w:divBdr>
        <w:top w:val="none" w:sz="0" w:space="0" w:color="auto"/>
        <w:left w:val="none" w:sz="0" w:space="0" w:color="auto"/>
        <w:bottom w:val="none" w:sz="0" w:space="0" w:color="auto"/>
        <w:right w:val="none" w:sz="0" w:space="0" w:color="auto"/>
      </w:divBdr>
    </w:div>
    <w:div w:id="103500637">
      <w:bodyDiv w:val="1"/>
      <w:marLeft w:val="0"/>
      <w:marRight w:val="0"/>
      <w:marTop w:val="0"/>
      <w:marBottom w:val="0"/>
      <w:divBdr>
        <w:top w:val="none" w:sz="0" w:space="0" w:color="auto"/>
        <w:left w:val="none" w:sz="0" w:space="0" w:color="auto"/>
        <w:bottom w:val="none" w:sz="0" w:space="0" w:color="auto"/>
        <w:right w:val="none" w:sz="0" w:space="0" w:color="auto"/>
      </w:divBdr>
    </w:div>
    <w:div w:id="110636762">
      <w:bodyDiv w:val="1"/>
      <w:marLeft w:val="0"/>
      <w:marRight w:val="0"/>
      <w:marTop w:val="0"/>
      <w:marBottom w:val="0"/>
      <w:divBdr>
        <w:top w:val="none" w:sz="0" w:space="0" w:color="auto"/>
        <w:left w:val="none" w:sz="0" w:space="0" w:color="auto"/>
        <w:bottom w:val="none" w:sz="0" w:space="0" w:color="auto"/>
        <w:right w:val="none" w:sz="0" w:space="0" w:color="auto"/>
      </w:divBdr>
    </w:div>
    <w:div w:id="117385192">
      <w:bodyDiv w:val="1"/>
      <w:marLeft w:val="0"/>
      <w:marRight w:val="0"/>
      <w:marTop w:val="0"/>
      <w:marBottom w:val="0"/>
      <w:divBdr>
        <w:top w:val="none" w:sz="0" w:space="0" w:color="auto"/>
        <w:left w:val="none" w:sz="0" w:space="0" w:color="auto"/>
        <w:bottom w:val="none" w:sz="0" w:space="0" w:color="auto"/>
        <w:right w:val="none" w:sz="0" w:space="0" w:color="auto"/>
      </w:divBdr>
    </w:div>
    <w:div w:id="119036881">
      <w:bodyDiv w:val="1"/>
      <w:marLeft w:val="0"/>
      <w:marRight w:val="0"/>
      <w:marTop w:val="0"/>
      <w:marBottom w:val="0"/>
      <w:divBdr>
        <w:top w:val="none" w:sz="0" w:space="0" w:color="auto"/>
        <w:left w:val="none" w:sz="0" w:space="0" w:color="auto"/>
        <w:bottom w:val="none" w:sz="0" w:space="0" w:color="auto"/>
        <w:right w:val="none" w:sz="0" w:space="0" w:color="auto"/>
      </w:divBdr>
    </w:div>
    <w:div w:id="173689201">
      <w:bodyDiv w:val="1"/>
      <w:marLeft w:val="0"/>
      <w:marRight w:val="0"/>
      <w:marTop w:val="0"/>
      <w:marBottom w:val="0"/>
      <w:divBdr>
        <w:top w:val="none" w:sz="0" w:space="0" w:color="auto"/>
        <w:left w:val="none" w:sz="0" w:space="0" w:color="auto"/>
        <w:bottom w:val="none" w:sz="0" w:space="0" w:color="auto"/>
        <w:right w:val="none" w:sz="0" w:space="0" w:color="auto"/>
      </w:divBdr>
    </w:div>
    <w:div w:id="174075760">
      <w:bodyDiv w:val="1"/>
      <w:marLeft w:val="0"/>
      <w:marRight w:val="0"/>
      <w:marTop w:val="0"/>
      <w:marBottom w:val="0"/>
      <w:divBdr>
        <w:top w:val="none" w:sz="0" w:space="0" w:color="auto"/>
        <w:left w:val="none" w:sz="0" w:space="0" w:color="auto"/>
        <w:bottom w:val="none" w:sz="0" w:space="0" w:color="auto"/>
        <w:right w:val="none" w:sz="0" w:space="0" w:color="auto"/>
      </w:divBdr>
    </w:div>
    <w:div w:id="175198630">
      <w:bodyDiv w:val="1"/>
      <w:marLeft w:val="0"/>
      <w:marRight w:val="0"/>
      <w:marTop w:val="0"/>
      <w:marBottom w:val="0"/>
      <w:divBdr>
        <w:top w:val="none" w:sz="0" w:space="0" w:color="auto"/>
        <w:left w:val="none" w:sz="0" w:space="0" w:color="auto"/>
        <w:bottom w:val="none" w:sz="0" w:space="0" w:color="auto"/>
        <w:right w:val="none" w:sz="0" w:space="0" w:color="auto"/>
      </w:divBdr>
    </w:div>
    <w:div w:id="181600596">
      <w:bodyDiv w:val="1"/>
      <w:marLeft w:val="0"/>
      <w:marRight w:val="0"/>
      <w:marTop w:val="0"/>
      <w:marBottom w:val="0"/>
      <w:divBdr>
        <w:top w:val="none" w:sz="0" w:space="0" w:color="auto"/>
        <w:left w:val="none" w:sz="0" w:space="0" w:color="auto"/>
        <w:bottom w:val="none" w:sz="0" w:space="0" w:color="auto"/>
        <w:right w:val="none" w:sz="0" w:space="0" w:color="auto"/>
      </w:divBdr>
    </w:div>
    <w:div w:id="183834974">
      <w:bodyDiv w:val="1"/>
      <w:marLeft w:val="0"/>
      <w:marRight w:val="0"/>
      <w:marTop w:val="0"/>
      <w:marBottom w:val="0"/>
      <w:divBdr>
        <w:top w:val="none" w:sz="0" w:space="0" w:color="auto"/>
        <w:left w:val="none" w:sz="0" w:space="0" w:color="auto"/>
        <w:bottom w:val="none" w:sz="0" w:space="0" w:color="auto"/>
        <w:right w:val="none" w:sz="0" w:space="0" w:color="auto"/>
      </w:divBdr>
    </w:div>
    <w:div w:id="202448981">
      <w:bodyDiv w:val="1"/>
      <w:marLeft w:val="0"/>
      <w:marRight w:val="0"/>
      <w:marTop w:val="0"/>
      <w:marBottom w:val="0"/>
      <w:divBdr>
        <w:top w:val="none" w:sz="0" w:space="0" w:color="auto"/>
        <w:left w:val="none" w:sz="0" w:space="0" w:color="auto"/>
        <w:bottom w:val="none" w:sz="0" w:space="0" w:color="auto"/>
        <w:right w:val="none" w:sz="0" w:space="0" w:color="auto"/>
      </w:divBdr>
    </w:div>
    <w:div w:id="204022864">
      <w:bodyDiv w:val="1"/>
      <w:marLeft w:val="0"/>
      <w:marRight w:val="0"/>
      <w:marTop w:val="0"/>
      <w:marBottom w:val="0"/>
      <w:divBdr>
        <w:top w:val="none" w:sz="0" w:space="0" w:color="auto"/>
        <w:left w:val="none" w:sz="0" w:space="0" w:color="auto"/>
        <w:bottom w:val="none" w:sz="0" w:space="0" w:color="auto"/>
        <w:right w:val="none" w:sz="0" w:space="0" w:color="auto"/>
      </w:divBdr>
    </w:div>
    <w:div w:id="217977152">
      <w:bodyDiv w:val="1"/>
      <w:marLeft w:val="0"/>
      <w:marRight w:val="0"/>
      <w:marTop w:val="0"/>
      <w:marBottom w:val="0"/>
      <w:divBdr>
        <w:top w:val="none" w:sz="0" w:space="0" w:color="auto"/>
        <w:left w:val="none" w:sz="0" w:space="0" w:color="auto"/>
        <w:bottom w:val="none" w:sz="0" w:space="0" w:color="auto"/>
        <w:right w:val="none" w:sz="0" w:space="0" w:color="auto"/>
      </w:divBdr>
    </w:div>
    <w:div w:id="226913640">
      <w:bodyDiv w:val="1"/>
      <w:marLeft w:val="0"/>
      <w:marRight w:val="0"/>
      <w:marTop w:val="0"/>
      <w:marBottom w:val="0"/>
      <w:divBdr>
        <w:top w:val="none" w:sz="0" w:space="0" w:color="auto"/>
        <w:left w:val="none" w:sz="0" w:space="0" w:color="auto"/>
        <w:bottom w:val="none" w:sz="0" w:space="0" w:color="auto"/>
        <w:right w:val="none" w:sz="0" w:space="0" w:color="auto"/>
      </w:divBdr>
    </w:div>
    <w:div w:id="246497696">
      <w:bodyDiv w:val="1"/>
      <w:marLeft w:val="0"/>
      <w:marRight w:val="0"/>
      <w:marTop w:val="0"/>
      <w:marBottom w:val="0"/>
      <w:divBdr>
        <w:top w:val="none" w:sz="0" w:space="0" w:color="auto"/>
        <w:left w:val="none" w:sz="0" w:space="0" w:color="auto"/>
        <w:bottom w:val="none" w:sz="0" w:space="0" w:color="auto"/>
        <w:right w:val="none" w:sz="0" w:space="0" w:color="auto"/>
      </w:divBdr>
    </w:div>
    <w:div w:id="247272061">
      <w:bodyDiv w:val="1"/>
      <w:marLeft w:val="0"/>
      <w:marRight w:val="0"/>
      <w:marTop w:val="0"/>
      <w:marBottom w:val="0"/>
      <w:divBdr>
        <w:top w:val="none" w:sz="0" w:space="0" w:color="auto"/>
        <w:left w:val="none" w:sz="0" w:space="0" w:color="auto"/>
        <w:bottom w:val="none" w:sz="0" w:space="0" w:color="auto"/>
        <w:right w:val="none" w:sz="0" w:space="0" w:color="auto"/>
      </w:divBdr>
    </w:div>
    <w:div w:id="252595545">
      <w:bodyDiv w:val="1"/>
      <w:marLeft w:val="0"/>
      <w:marRight w:val="0"/>
      <w:marTop w:val="0"/>
      <w:marBottom w:val="0"/>
      <w:divBdr>
        <w:top w:val="none" w:sz="0" w:space="0" w:color="auto"/>
        <w:left w:val="none" w:sz="0" w:space="0" w:color="auto"/>
        <w:bottom w:val="none" w:sz="0" w:space="0" w:color="auto"/>
        <w:right w:val="none" w:sz="0" w:space="0" w:color="auto"/>
      </w:divBdr>
    </w:div>
    <w:div w:id="265239834">
      <w:bodyDiv w:val="1"/>
      <w:marLeft w:val="0"/>
      <w:marRight w:val="0"/>
      <w:marTop w:val="0"/>
      <w:marBottom w:val="0"/>
      <w:divBdr>
        <w:top w:val="none" w:sz="0" w:space="0" w:color="auto"/>
        <w:left w:val="none" w:sz="0" w:space="0" w:color="auto"/>
        <w:bottom w:val="none" w:sz="0" w:space="0" w:color="auto"/>
        <w:right w:val="none" w:sz="0" w:space="0" w:color="auto"/>
      </w:divBdr>
    </w:div>
    <w:div w:id="270937008">
      <w:bodyDiv w:val="1"/>
      <w:marLeft w:val="0"/>
      <w:marRight w:val="0"/>
      <w:marTop w:val="0"/>
      <w:marBottom w:val="0"/>
      <w:divBdr>
        <w:top w:val="none" w:sz="0" w:space="0" w:color="auto"/>
        <w:left w:val="none" w:sz="0" w:space="0" w:color="auto"/>
        <w:bottom w:val="none" w:sz="0" w:space="0" w:color="auto"/>
        <w:right w:val="none" w:sz="0" w:space="0" w:color="auto"/>
      </w:divBdr>
    </w:div>
    <w:div w:id="274021791">
      <w:bodyDiv w:val="1"/>
      <w:marLeft w:val="0"/>
      <w:marRight w:val="0"/>
      <w:marTop w:val="0"/>
      <w:marBottom w:val="0"/>
      <w:divBdr>
        <w:top w:val="none" w:sz="0" w:space="0" w:color="auto"/>
        <w:left w:val="none" w:sz="0" w:space="0" w:color="auto"/>
        <w:bottom w:val="none" w:sz="0" w:space="0" w:color="auto"/>
        <w:right w:val="none" w:sz="0" w:space="0" w:color="auto"/>
      </w:divBdr>
    </w:div>
    <w:div w:id="276523757">
      <w:bodyDiv w:val="1"/>
      <w:marLeft w:val="0"/>
      <w:marRight w:val="0"/>
      <w:marTop w:val="0"/>
      <w:marBottom w:val="0"/>
      <w:divBdr>
        <w:top w:val="none" w:sz="0" w:space="0" w:color="auto"/>
        <w:left w:val="none" w:sz="0" w:space="0" w:color="auto"/>
        <w:bottom w:val="none" w:sz="0" w:space="0" w:color="auto"/>
        <w:right w:val="none" w:sz="0" w:space="0" w:color="auto"/>
      </w:divBdr>
    </w:div>
    <w:div w:id="277950307">
      <w:bodyDiv w:val="1"/>
      <w:marLeft w:val="0"/>
      <w:marRight w:val="0"/>
      <w:marTop w:val="0"/>
      <w:marBottom w:val="0"/>
      <w:divBdr>
        <w:top w:val="none" w:sz="0" w:space="0" w:color="auto"/>
        <w:left w:val="none" w:sz="0" w:space="0" w:color="auto"/>
        <w:bottom w:val="none" w:sz="0" w:space="0" w:color="auto"/>
        <w:right w:val="none" w:sz="0" w:space="0" w:color="auto"/>
      </w:divBdr>
    </w:div>
    <w:div w:id="280260110">
      <w:bodyDiv w:val="1"/>
      <w:marLeft w:val="0"/>
      <w:marRight w:val="0"/>
      <w:marTop w:val="0"/>
      <w:marBottom w:val="0"/>
      <w:divBdr>
        <w:top w:val="none" w:sz="0" w:space="0" w:color="auto"/>
        <w:left w:val="none" w:sz="0" w:space="0" w:color="auto"/>
        <w:bottom w:val="none" w:sz="0" w:space="0" w:color="auto"/>
        <w:right w:val="none" w:sz="0" w:space="0" w:color="auto"/>
      </w:divBdr>
    </w:div>
    <w:div w:id="281570226">
      <w:bodyDiv w:val="1"/>
      <w:marLeft w:val="0"/>
      <w:marRight w:val="0"/>
      <w:marTop w:val="0"/>
      <w:marBottom w:val="0"/>
      <w:divBdr>
        <w:top w:val="none" w:sz="0" w:space="0" w:color="auto"/>
        <w:left w:val="none" w:sz="0" w:space="0" w:color="auto"/>
        <w:bottom w:val="none" w:sz="0" w:space="0" w:color="auto"/>
        <w:right w:val="none" w:sz="0" w:space="0" w:color="auto"/>
      </w:divBdr>
    </w:div>
    <w:div w:id="287204002">
      <w:bodyDiv w:val="1"/>
      <w:marLeft w:val="0"/>
      <w:marRight w:val="0"/>
      <w:marTop w:val="0"/>
      <w:marBottom w:val="0"/>
      <w:divBdr>
        <w:top w:val="none" w:sz="0" w:space="0" w:color="auto"/>
        <w:left w:val="none" w:sz="0" w:space="0" w:color="auto"/>
        <w:bottom w:val="none" w:sz="0" w:space="0" w:color="auto"/>
        <w:right w:val="none" w:sz="0" w:space="0" w:color="auto"/>
      </w:divBdr>
    </w:div>
    <w:div w:id="321279287">
      <w:bodyDiv w:val="1"/>
      <w:marLeft w:val="0"/>
      <w:marRight w:val="0"/>
      <w:marTop w:val="0"/>
      <w:marBottom w:val="0"/>
      <w:divBdr>
        <w:top w:val="none" w:sz="0" w:space="0" w:color="auto"/>
        <w:left w:val="none" w:sz="0" w:space="0" w:color="auto"/>
        <w:bottom w:val="none" w:sz="0" w:space="0" w:color="auto"/>
        <w:right w:val="none" w:sz="0" w:space="0" w:color="auto"/>
      </w:divBdr>
    </w:div>
    <w:div w:id="323582279">
      <w:bodyDiv w:val="1"/>
      <w:marLeft w:val="0"/>
      <w:marRight w:val="0"/>
      <w:marTop w:val="0"/>
      <w:marBottom w:val="0"/>
      <w:divBdr>
        <w:top w:val="none" w:sz="0" w:space="0" w:color="auto"/>
        <w:left w:val="none" w:sz="0" w:space="0" w:color="auto"/>
        <w:bottom w:val="none" w:sz="0" w:space="0" w:color="auto"/>
        <w:right w:val="none" w:sz="0" w:space="0" w:color="auto"/>
      </w:divBdr>
    </w:div>
    <w:div w:id="324090780">
      <w:bodyDiv w:val="1"/>
      <w:marLeft w:val="0"/>
      <w:marRight w:val="0"/>
      <w:marTop w:val="0"/>
      <w:marBottom w:val="0"/>
      <w:divBdr>
        <w:top w:val="none" w:sz="0" w:space="0" w:color="auto"/>
        <w:left w:val="none" w:sz="0" w:space="0" w:color="auto"/>
        <w:bottom w:val="none" w:sz="0" w:space="0" w:color="auto"/>
        <w:right w:val="none" w:sz="0" w:space="0" w:color="auto"/>
      </w:divBdr>
    </w:div>
    <w:div w:id="332296520">
      <w:bodyDiv w:val="1"/>
      <w:marLeft w:val="0"/>
      <w:marRight w:val="0"/>
      <w:marTop w:val="0"/>
      <w:marBottom w:val="0"/>
      <w:divBdr>
        <w:top w:val="none" w:sz="0" w:space="0" w:color="auto"/>
        <w:left w:val="none" w:sz="0" w:space="0" w:color="auto"/>
        <w:bottom w:val="none" w:sz="0" w:space="0" w:color="auto"/>
        <w:right w:val="none" w:sz="0" w:space="0" w:color="auto"/>
      </w:divBdr>
    </w:div>
    <w:div w:id="358090286">
      <w:bodyDiv w:val="1"/>
      <w:marLeft w:val="0"/>
      <w:marRight w:val="0"/>
      <w:marTop w:val="0"/>
      <w:marBottom w:val="0"/>
      <w:divBdr>
        <w:top w:val="none" w:sz="0" w:space="0" w:color="auto"/>
        <w:left w:val="none" w:sz="0" w:space="0" w:color="auto"/>
        <w:bottom w:val="none" w:sz="0" w:space="0" w:color="auto"/>
        <w:right w:val="none" w:sz="0" w:space="0" w:color="auto"/>
      </w:divBdr>
    </w:div>
    <w:div w:id="364600479">
      <w:bodyDiv w:val="1"/>
      <w:marLeft w:val="0"/>
      <w:marRight w:val="0"/>
      <w:marTop w:val="0"/>
      <w:marBottom w:val="0"/>
      <w:divBdr>
        <w:top w:val="none" w:sz="0" w:space="0" w:color="auto"/>
        <w:left w:val="none" w:sz="0" w:space="0" w:color="auto"/>
        <w:bottom w:val="none" w:sz="0" w:space="0" w:color="auto"/>
        <w:right w:val="none" w:sz="0" w:space="0" w:color="auto"/>
      </w:divBdr>
    </w:div>
    <w:div w:id="369383840">
      <w:bodyDiv w:val="1"/>
      <w:marLeft w:val="0"/>
      <w:marRight w:val="0"/>
      <w:marTop w:val="0"/>
      <w:marBottom w:val="0"/>
      <w:divBdr>
        <w:top w:val="none" w:sz="0" w:space="0" w:color="auto"/>
        <w:left w:val="none" w:sz="0" w:space="0" w:color="auto"/>
        <w:bottom w:val="none" w:sz="0" w:space="0" w:color="auto"/>
        <w:right w:val="none" w:sz="0" w:space="0" w:color="auto"/>
      </w:divBdr>
    </w:div>
    <w:div w:id="376393100">
      <w:bodyDiv w:val="1"/>
      <w:marLeft w:val="0"/>
      <w:marRight w:val="0"/>
      <w:marTop w:val="0"/>
      <w:marBottom w:val="0"/>
      <w:divBdr>
        <w:top w:val="none" w:sz="0" w:space="0" w:color="auto"/>
        <w:left w:val="none" w:sz="0" w:space="0" w:color="auto"/>
        <w:bottom w:val="none" w:sz="0" w:space="0" w:color="auto"/>
        <w:right w:val="none" w:sz="0" w:space="0" w:color="auto"/>
      </w:divBdr>
    </w:div>
    <w:div w:id="377172238">
      <w:bodyDiv w:val="1"/>
      <w:marLeft w:val="0"/>
      <w:marRight w:val="0"/>
      <w:marTop w:val="0"/>
      <w:marBottom w:val="0"/>
      <w:divBdr>
        <w:top w:val="none" w:sz="0" w:space="0" w:color="auto"/>
        <w:left w:val="none" w:sz="0" w:space="0" w:color="auto"/>
        <w:bottom w:val="none" w:sz="0" w:space="0" w:color="auto"/>
        <w:right w:val="none" w:sz="0" w:space="0" w:color="auto"/>
      </w:divBdr>
    </w:div>
    <w:div w:id="392697397">
      <w:bodyDiv w:val="1"/>
      <w:marLeft w:val="0"/>
      <w:marRight w:val="0"/>
      <w:marTop w:val="0"/>
      <w:marBottom w:val="0"/>
      <w:divBdr>
        <w:top w:val="none" w:sz="0" w:space="0" w:color="auto"/>
        <w:left w:val="none" w:sz="0" w:space="0" w:color="auto"/>
        <w:bottom w:val="none" w:sz="0" w:space="0" w:color="auto"/>
        <w:right w:val="none" w:sz="0" w:space="0" w:color="auto"/>
      </w:divBdr>
    </w:div>
    <w:div w:id="394620758">
      <w:bodyDiv w:val="1"/>
      <w:marLeft w:val="0"/>
      <w:marRight w:val="0"/>
      <w:marTop w:val="0"/>
      <w:marBottom w:val="0"/>
      <w:divBdr>
        <w:top w:val="none" w:sz="0" w:space="0" w:color="auto"/>
        <w:left w:val="none" w:sz="0" w:space="0" w:color="auto"/>
        <w:bottom w:val="none" w:sz="0" w:space="0" w:color="auto"/>
        <w:right w:val="none" w:sz="0" w:space="0" w:color="auto"/>
      </w:divBdr>
    </w:div>
    <w:div w:id="398410423">
      <w:bodyDiv w:val="1"/>
      <w:marLeft w:val="0"/>
      <w:marRight w:val="0"/>
      <w:marTop w:val="0"/>
      <w:marBottom w:val="0"/>
      <w:divBdr>
        <w:top w:val="none" w:sz="0" w:space="0" w:color="auto"/>
        <w:left w:val="none" w:sz="0" w:space="0" w:color="auto"/>
        <w:bottom w:val="none" w:sz="0" w:space="0" w:color="auto"/>
        <w:right w:val="none" w:sz="0" w:space="0" w:color="auto"/>
      </w:divBdr>
    </w:div>
    <w:div w:id="412900507">
      <w:bodyDiv w:val="1"/>
      <w:marLeft w:val="0"/>
      <w:marRight w:val="0"/>
      <w:marTop w:val="0"/>
      <w:marBottom w:val="0"/>
      <w:divBdr>
        <w:top w:val="none" w:sz="0" w:space="0" w:color="auto"/>
        <w:left w:val="none" w:sz="0" w:space="0" w:color="auto"/>
        <w:bottom w:val="none" w:sz="0" w:space="0" w:color="auto"/>
        <w:right w:val="none" w:sz="0" w:space="0" w:color="auto"/>
      </w:divBdr>
    </w:div>
    <w:div w:id="418529442">
      <w:bodyDiv w:val="1"/>
      <w:marLeft w:val="0"/>
      <w:marRight w:val="0"/>
      <w:marTop w:val="0"/>
      <w:marBottom w:val="0"/>
      <w:divBdr>
        <w:top w:val="none" w:sz="0" w:space="0" w:color="auto"/>
        <w:left w:val="none" w:sz="0" w:space="0" w:color="auto"/>
        <w:bottom w:val="none" w:sz="0" w:space="0" w:color="auto"/>
        <w:right w:val="none" w:sz="0" w:space="0" w:color="auto"/>
      </w:divBdr>
    </w:div>
    <w:div w:id="432434936">
      <w:bodyDiv w:val="1"/>
      <w:marLeft w:val="0"/>
      <w:marRight w:val="0"/>
      <w:marTop w:val="0"/>
      <w:marBottom w:val="0"/>
      <w:divBdr>
        <w:top w:val="none" w:sz="0" w:space="0" w:color="auto"/>
        <w:left w:val="none" w:sz="0" w:space="0" w:color="auto"/>
        <w:bottom w:val="none" w:sz="0" w:space="0" w:color="auto"/>
        <w:right w:val="none" w:sz="0" w:space="0" w:color="auto"/>
      </w:divBdr>
    </w:div>
    <w:div w:id="432671639">
      <w:bodyDiv w:val="1"/>
      <w:marLeft w:val="0"/>
      <w:marRight w:val="0"/>
      <w:marTop w:val="0"/>
      <w:marBottom w:val="0"/>
      <w:divBdr>
        <w:top w:val="none" w:sz="0" w:space="0" w:color="auto"/>
        <w:left w:val="none" w:sz="0" w:space="0" w:color="auto"/>
        <w:bottom w:val="none" w:sz="0" w:space="0" w:color="auto"/>
        <w:right w:val="none" w:sz="0" w:space="0" w:color="auto"/>
      </w:divBdr>
    </w:div>
    <w:div w:id="440684201">
      <w:bodyDiv w:val="1"/>
      <w:marLeft w:val="0"/>
      <w:marRight w:val="0"/>
      <w:marTop w:val="0"/>
      <w:marBottom w:val="0"/>
      <w:divBdr>
        <w:top w:val="none" w:sz="0" w:space="0" w:color="auto"/>
        <w:left w:val="none" w:sz="0" w:space="0" w:color="auto"/>
        <w:bottom w:val="none" w:sz="0" w:space="0" w:color="auto"/>
        <w:right w:val="none" w:sz="0" w:space="0" w:color="auto"/>
      </w:divBdr>
    </w:div>
    <w:div w:id="452796469">
      <w:bodyDiv w:val="1"/>
      <w:marLeft w:val="0"/>
      <w:marRight w:val="0"/>
      <w:marTop w:val="0"/>
      <w:marBottom w:val="0"/>
      <w:divBdr>
        <w:top w:val="none" w:sz="0" w:space="0" w:color="auto"/>
        <w:left w:val="none" w:sz="0" w:space="0" w:color="auto"/>
        <w:bottom w:val="none" w:sz="0" w:space="0" w:color="auto"/>
        <w:right w:val="none" w:sz="0" w:space="0" w:color="auto"/>
      </w:divBdr>
    </w:div>
    <w:div w:id="453989488">
      <w:bodyDiv w:val="1"/>
      <w:marLeft w:val="0"/>
      <w:marRight w:val="0"/>
      <w:marTop w:val="0"/>
      <w:marBottom w:val="0"/>
      <w:divBdr>
        <w:top w:val="none" w:sz="0" w:space="0" w:color="auto"/>
        <w:left w:val="none" w:sz="0" w:space="0" w:color="auto"/>
        <w:bottom w:val="none" w:sz="0" w:space="0" w:color="auto"/>
        <w:right w:val="none" w:sz="0" w:space="0" w:color="auto"/>
      </w:divBdr>
    </w:div>
    <w:div w:id="455685619">
      <w:bodyDiv w:val="1"/>
      <w:marLeft w:val="0"/>
      <w:marRight w:val="0"/>
      <w:marTop w:val="0"/>
      <w:marBottom w:val="0"/>
      <w:divBdr>
        <w:top w:val="none" w:sz="0" w:space="0" w:color="auto"/>
        <w:left w:val="none" w:sz="0" w:space="0" w:color="auto"/>
        <w:bottom w:val="none" w:sz="0" w:space="0" w:color="auto"/>
        <w:right w:val="none" w:sz="0" w:space="0" w:color="auto"/>
      </w:divBdr>
    </w:div>
    <w:div w:id="470828430">
      <w:bodyDiv w:val="1"/>
      <w:marLeft w:val="0"/>
      <w:marRight w:val="0"/>
      <w:marTop w:val="0"/>
      <w:marBottom w:val="0"/>
      <w:divBdr>
        <w:top w:val="none" w:sz="0" w:space="0" w:color="auto"/>
        <w:left w:val="none" w:sz="0" w:space="0" w:color="auto"/>
        <w:bottom w:val="none" w:sz="0" w:space="0" w:color="auto"/>
        <w:right w:val="none" w:sz="0" w:space="0" w:color="auto"/>
      </w:divBdr>
    </w:div>
    <w:div w:id="482700740">
      <w:bodyDiv w:val="1"/>
      <w:marLeft w:val="0"/>
      <w:marRight w:val="0"/>
      <w:marTop w:val="0"/>
      <w:marBottom w:val="0"/>
      <w:divBdr>
        <w:top w:val="none" w:sz="0" w:space="0" w:color="auto"/>
        <w:left w:val="none" w:sz="0" w:space="0" w:color="auto"/>
        <w:bottom w:val="none" w:sz="0" w:space="0" w:color="auto"/>
        <w:right w:val="none" w:sz="0" w:space="0" w:color="auto"/>
      </w:divBdr>
    </w:div>
    <w:div w:id="484249803">
      <w:bodyDiv w:val="1"/>
      <w:marLeft w:val="0"/>
      <w:marRight w:val="0"/>
      <w:marTop w:val="0"/>
      <w:marBottom w:val="0"/>
      <w:divBdr>
        <w:top w:val="none" w:sz="0" w:space="0" w:color="auto"/>
        <w:left w:val="none" w:sz="0" w:space="0" w:color="auto"/>
        <w:bottom w:val="none" w:sz="0" w:space="0" w:color="auto"/>
        <w:right w:val="none" w:sz="0" w:space="0" w:color="auto"/>
      </w:divBdr>
    </w:div>
    <w:div w:id="485165411">
      <w:bodyDiv w:val="1"/>
      <w:marLeft w:val="0"/>
      <w:marRight w:val="0"/>
      <w:marTop w:val="0"/>
      <w:marBottom w:val="0"/>
      <w:divBdr>
        <w:top w:val="none" w:sz="0" w:space="0" w:color="auto"/>
        <w:left w:val="none" w:sz="0" w:space="0" w:color="auto"/>
        <w:bottom w:val="none" w:sz="0" w:space="0" w:color="auto"/>
        <w:right w:val="none" w:sz="0" w:space="0" w:color="auto"/>
      </w:divBdr>
    </w:div>
    <w:div w:id="487720267">
      <w:bodyDiv w:val="1"/>
      <w:marLeft w:val="0"/>
      <w:marRight w:val="0"/>
      <w:marTop w:val="0"/>
      <w:marBottom w:val="0"/>
      <w:divBdr>
        <w:top w:val="none" w:sz="0" w:space="0" w:color="auto"/>
        <w:left w:val="none" w:sz="0" w:space="0" w:color="auto"/>
        <w:bottom w:val="none" w:sz="0" w:space="0" w:color="auto"/>
        <w:right w:val="none" w:sz="0" w:space="0" w:color="auto"/>
      </w:divBdr>
    </w:div>
    <w:div w:id="498011334">
      <w:bodyDiv w:val="1"/>
      <w:marLeft w:val="0"/>
      <w:marRight w:val="0"/>
      <w:marTop w:val="0"/>
      <w:marBottom w:val="0"/>
      <w:divBdr>
        <w:top w:val="none" w:sz="0" w:space="0" w:color="auto"/>
        <w:left w:val="none" w:sz="0" w:space="0" w:color="auto"/>
        <w:bottom w:val="none" w:sz="0" w:space="0" w:color="auto"/>
        <w:right w:val="none" w:sz="0" w:space="0" w:color="auto"/>
      </w:divBdr>
    </w:div>
    <w:div w:id="499658689">
      <w:bodyDiv w:val="1"/>
      <w:marLeft w:val="0"/>
      <w:marRight w:val="0"/>
      <w:marTop w:val="0"/>
      <w:marBottom w:val="0"/>
      <w:divBdr>
        <w:top w:val="none" w:sz="0" w:space="0" w:color="auto"/>
        <w:left w:val="none" w:sz="0" w:space="0" w:color="auto"/>
        <w:bottom w:val="none" w:sz="0" w:space="0" w:color="auto"/>
        <w:right w:val="none" w:sz="0" w:space="0" w:color="auto"/>
      </w:divBdr>
    </w:div>
    <w:div w:id="500509581">
      <w:bodyDiv w:val="1"/>
      <w:marLeft w:val="0"/>
      <w:marRight w:val="0"/>
      <w:marTop w:val="0"/>
      <w:marBottom w:val="0"/>
      <w:divBdr>
        <w:top w:val="none" w:sz="0" w:space="0" w:color="auto"/>
        <w:left w:val="none" w:sz="0" w:space="0" w:color="auto"/>
        <w:bottom w:val="none" w:sz="0" w:space="0" w:color="auto"/>
        <w:right w:val="none" w:sz="0" w:space="0" w:color="auto"/>
      </w:divBdr>
    </w:div>
    <w:div w:id="527331451">
      <w:bodyDiv w:val="1"/>
      <w:marLeft w:val="0"/>
      <w:marRight w:val="0"/>
      <w:marTop w:val="0"/>
      <w:marBottom w:val="0"/>
      <w:divBdr>
        <w:top w:val="none" w:sz="0" w:space="0" w:color="auto"/>
        <w:left w:val="none" w:sz="0" w:space="0" w:color="auto"/>
        <w:bottom w:val="none" w:sz="0" w:space="0" w:color="auto"/>
        <w:right w:val="none" w:sz="0" w:space="0" w:color="auto"/>
      </w:divBdr>
    </w:div>
    <w:div w:id="527794000">
      <w:bodyDiv w:val="1"/>
      <w:marLeft w:val="0"/>
      <w:marRight w:val="0"/>
      <w:marTop w:val="0"/>
      <w:marBottom w:val="0"/>
      <w:divBdr>
        <w:top w:val="none" w:sz="0" w:space="0" w:color="auto"/>
        <w:left w:val="none" w:sz="0" w:space="0" w:color="auto"/>
        <w:bottom w:val="none" w:sz="0" w:space="0" w:color="auto"/>
        <w:right w:val="none" w:sz="0" w:space="0" w:color="auto"/>
      </w:divBdr>
    </w:div>
    <w:div w:id="535312961">
      <w:bodyDiv w:val="1"/>
      <w:marLeft w:val="0"/>
      <w:marRight w:val="0"/>
      <w:marTop w:val="0"/>
      <w:marBottom w:val="0"/>
      <w:divBdr>
        <w:top w:val="none" w:sz="0" w:space="0" w:color="auto"/>
        <w:left w:val="none" w:sz="0" w:space="0" w:color="auto"/>
        <w:bottom w:val="none" w:sz="0" w:space="0" w:color="auto"/>
        <w:right w:val="none" w:sz="0" w:space="0" w:color="auto"/>
      </w:divBdr>
    </w:div>
    <w:div w:id="541678187">
      <w:bodyDiv w:val="1"/>
      <w:marLeft w:val="0"/>
      <w:marRight w:val="0"/>
      <w:marTop w:val="0"/>
      <w:marBottom w:val="0"/>
      <w:divBdr>
        <w:top w:val="none" w:sz="0" w:space="0" w:color="auto"/>
        <w:left w:val="none" w:sz="0" w:space="0" w:color="auto"/>
        <w:bottom w:val="none" w:sz="0" w:space="0" w:color="auto"/>
        <w:right w:val="none" w:sz="0" w:space="0" w:color="auto"/>
      </w:divBdr>
    </w:div>
    <w:div w:id="558127362">
      <w:bodyDiv w:val="1"/>
      <w:marLeft w:val="0"/>
      <w:marRight w:val="0"/>
      <w:marTop w:val="0"/>
      <w:marBottom w:val="0"/>
      <w:divBdr>
        <w:top w:val="none" w:sz="0" w:space="0" w:color="auto"/>
        <w:left w:val="none" w:sz="0" w:space="0" w:color="auto"/>
        <w:bottom w:val="none" w:sz="0" w:space="0" w:color="auto"/>
        <w:right w:val="none" w:sz="0" w:space="0" w:color="auto"/>
      </w:divBdr>
    </w:div>
    <w:div w:id="559247109">
      <w:bodyDiv w:val="1"/>
      <w:marLeft w:val="0"/>
      <w:marRight w:val="0"/>
      <w:marTop w:val="0"/>
      <w:marBottom w:val="0"/>
      <w:divBdr>
        <w:top w:val="none" w:sz="0" w:space="0" w:color="auto"/>
        <w:left w:val="none" w:sz="0" w:space="0" w:color="auto"/>
        <w:bottom w:val="none" w:sz="0" w:space="0" w:color="auto"/>
        <w:right w:val="none" w:sz="0" w:space="0" w:color="auto"/>
      </w:divBdr>
    </w:div>
    <w:div w:id="586352237">
      <w:bodyDiv w:val="1"/>
      <w:marLeft w:val="0"/>
      <w:marRight w:val="0"/>
      <w:marTop w:val="0"/>
      <w:marBottom w:val="0"/>
      <w:divBdr>
        <w:top w:val="none" w:sz="0" w:space="0" w:color="auto"/>
        <w:left w:val="none" w:sz="0" w:space="0" w:color="auto"/>
        <w:bottom w:val="none" w:sz="0" w:space="0" w:color="auto"/>
        <w:right w:val="none" w:sz="0" w:space="0" w:color="auto"/>
      </w:divBdr>
    </w:div>
    <w:div w:id="601450348">
      <w:bodyDiv w:val="1"/>
      <w:marLeft w:val="0"/>
      <w:marRight w:val="0"/>
      <w:marTop w:val="0"/>
      <w:marBottom w:val="0"/>
      <w:divBdr>
        <w:top w:val="none" w:sz="0" w:space="0" w:color="auto"/>
        <w:left w:val="none" w:sz="0" w:space="0" w:color="auto"/>
        <w:bottom w:val="none" w:sz="0" w:space="0" w:color="auto"/>
        <w:right w:val="none" w:sz="0" w:space="0" w:color="auto"/>
      </w:divBdr>
    </w:div>
    <w:div w:id="617563250">
      <w:bodyDiv w:val="1"/>
      <w:marLeft w:val="0"/>
      <w:marRight w:val="0"/>
      <w:marTop w:val="0"/>
      <w:marBottom w:val="0"/>
      <w:divBdr>
        <w:top w:val="none" w:sz="0" w:space="0" w:color="auto"/>
        <w:left w:val="none" w:sz="0" w:space="0" w:color="auto"/>
        <w:bottom w:val="none" w:sz="0" w:space="0" w:color="auto"/>
        <w:right w:val="none" w:sz="0" w:space="0" w:color="auto"/>
      </w:divBdr>
    </w:div>
    <w:div w:id="617567633">
      <w:bodyDiv w:val="1"/>
      <w:marLeft w:val="0"/>
      <w:marRight w:val="0"/>
      <w:marTop w:val="0"/>
      <w:marBottom w:val="0"/>
      <w:divBdr>
        <w:top w:val="none" w:sz="0" w:space="0" w:color="auto"/>
        <w:left w:val="none" w:sz="0" w:space="0" w:color="auto"/>
        <w:bottom w:val="none" w:sz="0" w:space="0" w:color="auto"/>
        <w:right w:val="none" w:sz="0" w:space="0" w:color="auto"/>
      </w:divBdr>
    </w:div>
    <w:div w:id="637106893">
      <w:bodyDiv w:val="1"/>
      <w:marLeft w:val="0"/>
      <w:marRight w:val="0"/>
      <w:marTop w:val="0"/>
      <w:marBottom w:val="0"/>
      <w:divBdr>
        <w:top w:val="none" w:sz="0" w:space="0" w:color="auto"/>
        <w:left w:val="none" w:sz="0" w:space="0" w:color="auto"/>
        <w:bottom w:val="none" w:sz="0" w:space="0" w:color="auto"/>
        <w:right w:val="none" w:sz="0" w:space="0" w:color="auto"/>
      </w:divBdr>
    </w:div>
    <w:div w:id="660542378">
      <w:bodyDiv w:val="1"/>
      <w:marLeft w:val="0"/>
      <w:marRight w:val="0"/>
      <w:marTop w:val="0"/>
      <w:marBottom w:val="0"/>
      <w:divBdr>
        <w:top w:val="none" w:sz="0" w:space="0" w:color="auto"/>
        <w:left w:val="none" w:sz="0" w:space="0" w:color="auto"/>
        <w:bottom w:val="none" w:sz="0" w:space="0" w:color="auto"/>
        <w:right w:val="none" w:sz="0" w:space="0" w:color="auto"/>
      </w:divBdr>
    </w:div>
    <w:div w:id="661547657">
      <w:bodyDiv w:val="1"/>
      <w:marLeft w:val="0"/>
      <w:marRight w:val="0"/>
      <w:marTop w:val="0"/>
      <w:marBottom w:val="0"/>
      <w:divBdr>
        <w:top w:val="none" w:sz="0" w:space="0" w:color="auto"/>
        <w:left w:val="none" w:sz="0" w:space="0" w:color="auto"/>
        <w:bottom w:val="none" w:sz="0" w:space="0" w:color="auto"/>
        <w:right w:val="none" w:sz="0" w:space="0" w:color="auto"/>
      </w:divBdr>
    </w:div>
    <w:div w:id="662705744">
      <w:bodyDiv w:val="1"/>
      <w:marLeft w:val="0"/>
      <w:marRight w:val="0"/>
      <w:marTop w:val="0"/>
      <w:marBottom w:val="0"/>
      <w:divBdr>
        <w:top w:val="none" w:sz="0" w:space="0" w:color="auto"/>
        <w:left w:val="none" w:sz="0" w:space="0" w:color="auto"/>
        <w:bottom w:val="none" w:sz="0" w:space="0" w:color="auto"/>
        <w:right w:val="none" w:sz="0" w:space="0" w:color="auto"/>
      </w:divBdr>
    </w:div>
    <w:div w:id="667370961">
      <w:bodyDiv w:val="1"/>
      <w:marLeft w:val="0"/>
      <w:marRight w:val="0"/>
      <w:marTop w:val="0"/>
      <w:marBottom w:val="0"/>
      <w:divBdr>
        <w:top w:val="none" w:sz="0" w:space="0" w:color="auto"/>
        <w:left w:val="none" w:sz="0" w:space="0" w:color="auto"/>
        <w:bottom w:val="none" w:sz="0" w:space="0" w:color="auto"/>
        <w:right w:val="none" w:sz="0" w:space="0" w:color="auto"/>
      </w:divBdr>
    </w:div>
    <w:div w:id="681787072">
      <w:bodyDiv w:val="1"/>
      <w:marLeft w:val="0"/>
      <w:marRight w:val="0"/>
      <w:marTop w:val="0"/>
      <w:marBottom w:val="0"/>
      <w:divBdr>
        <w:top w:val="none" w:sz="0" w:space="0" w:color="auto"/>
        <w:left w:val="none" w:sz="0" w:space="0" w:color="auto"/>
        <w:bottom w:val="none" w:sz="0" w:space="0" w:color="auto"/>
        <w:right w:val="none" w:sz="0" w:space="0" w:color="auto"/>
      </w:divBdr>
    </w:div>
    <w:div w:id="690684112">
      <w:bodyDiv w:val="1"/>
      <w:marLeft w:val="0"/>
      <w:marRight w:val="0"/>
      <w:marTop w:val="0"/>
      <w:marBottom w:val="0"/>
      <w:divBdr>
        <w:top w:val="none" w:sz="0" w:space="0" w:color="auto"/>
        <w:left w:val="none" w:sz="0" w:space="0" w:color="auto"/>
        <w:bottom w:val="none" w:sz="0" w:space="0" w:color="auto"/>
        <w:right w:val="none" w:sz="0" w:space="0" w:color="auto"/>
      </w:divBdr>
    </w:div>
    <w:div w:id="691151703">
      <w:bodyDiv w:val="1"/>
      <w:marLeft w:val="0"/>
      <w:marRight w:val="0"/>
      <w:marTop w:val="0"/>
      <w:marBottom w:val="0"/>
      <w:divBdr>
        <w:top w:val="none" w:sz="0" w:space="0" w:color="auto"/>
        <w:left w:val="none" w:sz="0" w:space="0" w:color="auto"/>
        <w:bottom w:val="none" w:sz="0" w:space="0" w:color="auto"/>
        <w:right w:val="none" w:sz="0" w:space="0" w:color="auto"/>
      </w:divBdr>
    </w:div>
    <w:div w:id="693073534">
      <w:bodyDiv w:val="1"/>
      <w:marLeft w:val="0"/>
      <w:marRight w:val="0"/>
      <w:marTop w:val="0"/>
      <w:marBottom w:val="0"/>
      <w:divBdr>
        <w:top w:val="none" w:sz="0" w:space="0" w:color="auto"/>
        <w:left w:val="none" w:sz="0" w:space="0" w:color="auto"/>
        <w:bottom w:val="none" w:sz="0" w:space="0" w:color="auto"/>
        <w:right w:val="none" w:sz="0" w:space="0" w:color="auto"/>
      </w:divBdr>
    </w:div>
    <w:div w:id="701128180">
      <w:bodyDiv w:val="1"/>
      <w:marLeft w:val="0"/>
      <w:marRight w:val="0"/>
      <w:marTop w:val="0"/>
      <w:marBottom w:val="0"/>
      <w:divBdr>
        <w:top w:val="none" w:sz="0" w:space="0" w:color="auto"/>
        <w:left w:val="none" w:sz="0" w:space="0" w:color="auto"/>
        <w:bottom w:val="none" w:sz="0" w:space="0" w:color="auto"/>
        <w:right w:val="none" w:sz="0" w:space="0" w:color="auto"/>
      </w:divBdr>
    </w:div>
    <w:div w:id="701633492">
      <w:bodyDiv w:val="1"/>
      <w:marLeft w:val="0"/>
      <w:marRight w:val="0"/>
      <w:marTop w:val="0"/>
      <w:marBottom w:val="0"/>
      <w:divBdr>
        <w:top w:val="none" w:sz="0" w:space="0" w:color="auto"/>
        <w:left w:val="none" w:sz="0" w:space="0" w:color="auto"/>
        <w:bottom w:val="none" w:sz="0" w:space="0" w:color="auto"/>
        <w:right w:val="none" w:sz="0" w:space="0" w:color="auto"/>
      </w:divBdr>
    </w:div>
    <w:div w:id="705524344">
      <w:bodyDiv w:val="1"/>
      <w:marLeft w:val="0"/>
      <w:marRight w:val="0"/>
      <w:marTop w:val="0"/>
      <w:marBottom w:val="0"/>
      <w:divBdr>
        <w:top w:val="none" w:sz="0" w:space="0" w:color="auto"/>
        <w:left w:val="none" w:sz="0" w:space="0" w:color="auto"/>
        <w:bottom w:val="none" w:sz="0" w:space="0" w:color="auto"/>
        <w:right w:val="none" w:sz="0" w:space="0" w:color="auto"/>
      </w:divBdr>
    </w:div>
    <w:div w:id="706494468">
      <w:bodyDiv w:val="1"/>
      <w:marLeft w:val="0"/>
      <w:marRight w:val="0"/>
      <w:marTop w:val="0"/>
      <w:marBottom w:val="0"/>
      <w:divBdr>
        <w:top w:val="none" w:sz="0" w:space="0" w:color="auto"/>
        <w:left w:val="none" w:sz="0" w:space="0" w:color="auto"/>
        <w:bottom w:val="none" w:sz="0" w:space="0" w:color="auto"/>
        <w:right w:val="none" w:sz="0" w:space="0" w:color="auto"/>
      </w:divBdr>
    </w:div>
    <w:div w:id="721102912">
      <w:bodyDiv w:val="1"/>
      <w:marLeft w:val="0"/>
      <w:marRight w:val="0"/>
      <w:marTop w:val="0"/>
      <w:marBottom w:val="0"/>
      <w:divBdr>
        <w:top w:val="none" w:sz="0" w:space="0" w:color="auto"/>
        <w:left w:val="none" w:sz="0" w:space="0" w:color="auto"/>
        <w:bottom w:val="none" w:sz="0" w:space="0" w:color="auto"/>
        <w:right w:val="none" w:sz="0" w:space="0" w:color="auto"/>
      </w:divBdr>
    </w:div>
    <w:div w:id="723985429">
      <w:bodyDiv w:val="1"/>
      <w:marLeft w:val="0"/>
      <w:marRight w:val="0"/>
      <w:marTop w:val="0"/>
      <w:marBottom w:val="0"/>
      <w:divBdr>
        <w:top w:val="none" w:sz="0" w:space="0" w:color="auto"/>
        <w:left w:val="none" w:sz="0" w:space="0" w:color="auto"/>
        <w:bottom w:val="none" w:sz="0" w:space="0" w:color="auto"/>
        <w:right w:val="none" w:sz="0" w:space="0" w:color="auto"/>
      </w:divBdr>
    </w:div>
    <w:div w:id="726145752">
      <w:bodyDiv w:val="1"/>
      <w:marLeft w:val="0"/>
      <w:marRight w:val="0"/>
      <w:marTop w:val="0"/>
      <w:marBottom w:val="0"/>
      <w:divBdr>
        <w:top w:val="none" w:sz="0" w:space="0" w:color="auto"/>
        <w:left w:val="none" w:sz="0" w:space="0" w:color="auto"/>
        <w:bottom w:val="none" w:sz="0" w:space="0" w:color="auto"/>
        <w:right w:val="none" w:sz="0" w:space="0" w:color="auto"/>
      </w:divBdr>
    </w:div>
    <w:div w:id="732236265">
      <w:bodyDiv w:val="1"/>
      <w:marLeft w:val="0"/>
      <w:marRight w:val="0"/>
      <w:marTop w:val="0"/>
      <w:marBottom w:val="0"/>
      <w:divBdr>
        <w:top w:val="none" w:sz="0" w:space="0" w:color="auto"/>
        <w:left w:val="none" w:sz="0" w:space="0" w:color="auto"/>
        <w:bottom w:val="none" w:sz="0" w:space="0" w:color="auto"/>
        <w:right w:val="none" w:sz="0" w:space="0" w:color="auto"/>
      </w:divBdr>
    </w:div>
    <w:div w:id="738022460">
      <w:bodyDiv w:val="1"/>
      <w:marLeft w:val="0"/>
      <w:marRight w:val="0"/>
      <w:marTop w:val="0"/>
      <w:marBottom w:val="0"/>
      <w:divBdr>
        <w:top w:val="none" w:sz="0" w:space="0" w:color="auto"/>
        <w:left w:val="none" w:sz="0" w:space="0" w:color="auto"/>
        <w:bottom w:val="none" w:sz="0" w:space="0" w:color="auto"/>
        <w:right w:val="none" w:sz="0" w:space="0" w:color="auto"/>
      </w:divBdr>
    </w:div>
    <w:div w:id="738794723">
      <w:bodyDiv w:val="1"/>
      <w:marLeft w:val="0"/>
      <w:marRight w:val="0"/>
      <w:marTop w:val="0"/>
      <w:marBottom w:val="0"/>
      <w:divBdr>
        <w:top w:val="none" w:sz="0" w:space="0" w:color="auto"/>
        <w:left w:val="none" w:sz="0" w:space="0" w:color="auto"/>
        <w:bottom w:val="none" w:sz="0" w:space="0" w:color="auto"/>
        <w:right w:val="none" w:sz="0" w:space="0" w:color="auto"/>
      </w:divBdr>
    </w:div>
    <w:div w:id="767314770">
      <w:bodyDiv w:val="1"/>
      <w:marLeft w:val="0"/>
      <w:marRight w:val="0"/>
      <w:marTop w:val="0"/>
      <w:marBottom w:val="0"/>
      <w:divBdr>
        <w:top w:val="none" w:sz="0" w:space="0" w:color="auto"/>
        <w:left w:val="none" w:sz="0" w:space="0" w:color="auto"/>
        <w:bottom w:val="none" w:sz="0" w:space="0" w:color="auto"/>
        <w:right w:val="none" w:sz="0" w:space="0" w:color="auto"/>
      </w:divBdr>
    </w:div>
    <w:div w:id="774446498">
      <w:bodyDiv w:val="1"/>
      <w:marLeft w:val="0"/>
      <w:marRight w:val="0"/>
      <w:marTop w:val="0"/>
      <w:marBottom w:val="0"/>
      <w:divBdr>
        <w:top w:val="none" w:sz="0" w:space="0" w:color="auto"/>
        <w:left w:val="none" w:sz="0" w:space="0" w:color="auto"/>
        <w:bottom w:val="none" w:sz="0" w:space="0" w:color="auto"/>
        <w:right w:val="none" w:sz="0" w:space="0" w:color="auto"/>
      </w:divBdr>
    </w:div>
    <w:div w:id="782655210">
      <w:bodyDiv w:val="1"/>
      <w:marLeft w:val="0"/>
      <w:marRight w:val="0"/>
      <w:marTop w:val="0"/>
      <w:marBottom w:val="0"/>
      <w:divBdr>
        <w:top w:val="none" w:sz="0" w:space="0" w:color="auto"/>
        <w:left w:val="none" w:sz="0" w:space="0" w:color="auto"/>
        <w:bottom w:val="none" w:sz="0" w:space="0" w:color="auto"/>
        <w:right w:val="none" w:sz="0" w:space="0" w:color="auto"/>
      </w:divBdr>
      <w:divsChild>
        <w:div w:id="1226598629">
          <w:marLeft w:val="0"/>
          <w:marRight w:val="0"/>
          <w:marTop w:val="0"/>
          <w:marBottom w:val="0"/>
          <w:divBdr>
            <w:top w:val="none" w:sz="0" w:space="0" w:color="auto"/>
            <w:left w:val="none" w:sz="0" w:space="0" w:color="auto"/>
            <w:bottom w:val="none" w:sz="0" w:space="0" w:color="auto"/>
            <w:right w:val="none" w:sz="0" w:space="0" w:color="auto"/>
          </w:divBdr>
          <w:divsChild>
            <w:div w:id="762800207">
              <w:marLeft w:val="0"/>
              <w:marRight w:val="0"/>
              <w:marTop w:val="0"/>
              <w:marBottom w:val="0"/>
              <w:divBdr>
                <w:top w:val="none" w:sz="0" w:space="0" w:color="auto"/>
                <w:left w:val="none" w:sz="0" w:space="0" w:color="auto"/>
                <w:bottom w:val="none" w:sz="0" w:space="0" w:color="auto"/>
                <w:right w:val="none" w:sz="0" w:space="0" w:color="auto"/>
              </w:divBdr>
              <w:divsChild>
                <w:div w:id="35156538">
                  <w:marLeft w:val="0"/>
                  <w:marRight w:val="0"/>
                  <w:marTop w:val="0"/>
                  <w:marBottom w:val="0"/>
                  <w:divBdr>
                    <w:top w:val="none" w:sz="0" w:space="0" w:color="auto"/>
                    <w:left w:val="none" w:sz="0" w:space="0" w:color="auto"/>
                    <w:bottom w:val="none" w:sz="0" w:space="0" w:color="auto"/>
                    <w:right w:val="none" w:sz="0" w:space="0" w:color="auto"/>
                  </w:divBdr>
                </w:div>
                <w:div w:id="160700994">
                  <w:marLeft w:val="0"/>
                  <w:marRight w:val="0"/>
                  <w:marTop w:val="0"/>
                  <w:marBottom w:val="0"/>
                  <w:divBdr>
                    <w:top w:val="none" w:sz="0" w:space="0" w:color="auto"/>
                    <w:left w:val="none" w:sz="0" w:space="0" w:color="auto"/>
                    <w:bottom w:val="none" w:sz="0" w:space="0" w:color="auto"/>
                    <w:right w:val="none" w:sz="0" w:space="0" w:color="auto"/>
                  </w:divBdr>
                </w:div>
                <w:div w:id="407457403">
                  <w:marLeft w:val="0"/>
                  <w:marRight w:val="0"/>
                  <w:marTop w:val="0"/>
                  <w:marBottom w:val="0"/>
                  <w:divBdr>
                    <w:top w:val="none" w:sz="0" w:space="0" w:color="auto"/>
                    <w:left w:val="none" w:sz="0" w:space="0" w:color="auto"/>
                    <w:bottom w:val="none" w:sz="0" w:space="0" w:color="auto"/>
                    <w:right w:val="none" w:sz="0" w:space="0" w:color="auto"/>
                  </w:divBdr>
                </w:div>
                <w:div w:id="948777403">
                  <w:marLeft w:val="0"/>
                  <w:marRight w:val="0"/>
                  <w:marTop w:val="0"/>
                  <w:marBottom w:val="0"/>
                  <w:divBdr>
                    <w:top w:val="none" w:sz="0" w:space="0" w:color="auto"/>
                    <w:left w:val="none" w:sz="0" w:space="0" w:color="auto"/>
                    <w:bottom w:val="none" w:sz="0" w:space="0" w:color="auto"/>
                    <w:right w:val="none" w:sz="0" w:space="0" w:color="auto"/>
                  </w:divBdr>
                </w:div>
                <w:div w:id="1083339310">
                  <w:marLeft w:val="0"/>
                  <w:marRight w:val="0"/>
                  <w:marTop w:val="0"/>
                  <w:marBottom w:val="0"/>
                  <w:divBdr>
                    <w:top w:val="none" w:sz="0" w:space="0" w:color="auto"/>
                    <w:left w:val="none" w:sz="0" w:space="0" w:color="auto"/>
                    <w:bottom w:val="none" w:sz="0" w:space="0" w:color="auto"/>
                    <w:right w:val="none" w:sz="0" w:space="0" w:color="auto"/>
                  </w:divBdr>
                </w:div>
                <w:div w:id="1229997909">
                  <w:marLeft w:val="0"/>
                  <w:marRight w:val="0"/>
                  <w:marTop w:val="0"/>
                  <w:marBottom w:val="0"/>
                  <w:divBdr>
                    <w:top w:val="none" w:sz="0" w:space="0" w:color="auto"/>
                    <w:left w:val="none" w:sz="0" w:space="0" w:color="auto"/>
                    <w:bottom w:val="none" w:sz="0" w:space="0" w:color="auto"/>
                    <w:right w:val="none" w:sz="0" w:space="0" w:color="auto"/>
                  </w:divBdr>
                </w:div>
                <w:div w:id="1263874169">
                  <w:marLeft w:val="0"/>
                  <w:marRight w:val="0"/>
                  <w:marTop w:val="0"/>
                  <w:marBottom w:val="0"/>
                  <w:divBdr>
                    <w:top w:val="none" w:sz="0" w:space="0" w:color="auto"/>
                    <w:left w:val="none" w:sz="0" w:space="0" w:color="auto"/>
                    <w:bottom w:val="none" w:sz="0" w:space="0" w:color="auto"/>
                    <w:right w:val="none" w:sz="0" w:space="0" w:color="auto"/>
                  </w:divBdr>
                </w:div>
                <w:div w:id="1323118451">
                  <w:marLeft w:val="0"/>
                  <w:marRight w:val="0"/>
                  <w:marTop w:val="0"/>
                  <w:marBottom w:val="0"/>
                  <w:divBdr>
                    <w:top w:val="none" w:sz="0" w:space="0" w:color="auto"/>
                    <w:left w:val="none" w:sz="0" w:space="0" w:color="auto"/>
                    <w:bottom w:val="none" w:sz="0" w:space="0" w:color="auto"/>
                    <w:right w:val="none" w:sz="0" w:space="0" w:color="auto"/>
                  </w:divBdr>
                </w:div>
                <w:div w:id="1499426188">
                  <w:marLeft w:val="0"/>
                  <w:marRight w:val="0"/>
                  <w:marTop w:val="0"/>
                  <w:marBottom w:val="0"/>
                  <w:divBdr>
                    <w:top w:val="none" w:sz="0" w:space="0" w:color="auto"/>
                    <w:left w:val="none" w:sz="0" w:space="0" w:color="auto"/>
                    <w:bottom w:val="none" w:sz="0" w:space="0" w:color="auto"/>
                    <w:right w:val="none" w:sz="0" w:space="0" w:color="auto"/>
                  </w:divBdr>
                </w:div>
                <w:div w:id="1512138446">
                  <w:marLeft w:val="0"/>
                  <w:marRight w:val="0"/>
                  <w:marTop w:val="0"/>
                  <w:marBottom w:val="0"/>
                  <w:divBdr>
                    <w:top w:val="none" w:sz="0" w:space="0" w:color="auto"/>
                    <w:left w:val="none" w:sz="0" w:space="0" w:color="auto"/>
                    <w:bottom w:val="none" w:sz="0" w:space="0" w:color="auto"/>
                    <w:right w:val="none" w:sz="0" w:space="0" w:color="auto"/>
                  </w:divBdr>
                </w:div>
                <w:div w:id="1540312289">
                  <w:marLeft w:val="0"/>
                  <w:marRight w:val="0"/>
                  <w:marTop w:val="0"/>
                  <w:marBottom w:val="0"/>
                  <w:divBdr>
                    <w:top w:val="none" w:sz="0" w:space="0" w:color="auto"/>
                    <w:left w:val="none" w:sz="0" w:space="0" w:color="auto"/>
                    <w:bottom w:val="none" w:sz="0" w:space="0" w:color="auto"/>
                    <w:right w:val="none" w:sz="0" w:space="0" w:color="auto"/>
                  </w:divBdr>
                </w:div>
                <w:div w:id="1560945348">
                  <w:marLeft w:val="0"/>
                  <w:marRight w:val="0"/>
                  <w:marTop w:val="0"/>
                  <w:marBottom w:val="0"/>
                  <w:divBdr>
                    <w:top w:val="none" w:sz="0" w:space="0" w:color="auto"/>
                    <w:left w:val="none" w:sz="0" w:space="0" w:color="auto"/>
                    <w:bottom w:val="none" w:sz="0" w:space="0" w:color="auto"/>
                    <w:right w:val="none" w:sz="0" w:space="0" w:color="auto"/>
                  </w:divBdr>
                </w:div>
                <w:div w:id="186601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85395">
      <w:bodyDiv w:val="1"/>
      <w:marLeft w:val="0"/>
      <w:marRight w:val="0"/>
      <w:marTop w:val="0"/>
      <w:marBottom w:val="0"/>
      <w:divBdr>
        <w:top w:val="none" w:sz="0" w:space="0" w:color="auto"/>
        <w:left w:val="none" w:sz="0" w:space="0" w:color="auto"/>
        <w:bottom w:val="none" w:sz="0" w:space="0" w:color="auto"/>
        <w:right w:val="none" w:sz="0" w:space="0" w:color="auto"/>
      </w:divBdr>
    </w:div>
    <w:div w:id="789399018">
      <w:bodyDiv w:val="1"/>
      <w:marLeft w:val="0"/>
      <w:marRight w:val="0"/>
      <w:marTop w:val="0"/>
      <w:marBottom w:val="0"/>
      <w:divBdr>
        <w:top w:val="none" w:sz="0" w:space="0" w:color="auto"/>
        <w:left w:val="none" w:sz="0" w:space="0" w:color="auto"/>
        <w:bottom w:val="none" w:sz="0" w:space="0" w:color="auto"/>
        <w:right w:val="none" w:sz="0" w:space="0" w:color="auto"/>
      </w:divBdr>
    </w:div>
    <w:div w:id="805198086">
      <w:bodyDiv w:val="1"/>
      <w:marLeft w:val="0"/>
      <w:marRight w:val="0"/>
      <w:marTop w:val="0"/>
      <w:marBottom w:val="0"/>
      <w:divBdr>
        <w:top w:val="none" w:sz="0" w:space="0" w:color="auto"/>
        <w:left w:val="none" w:sz="0" w:space="0" w:color="auto"/>
        <w:bottom w:val="none" w:sz="0" w:space="0" w:color="auto"/>
        <w:right w:val="none" w:sz="0" w:space="0" w:color="auto"/>
      </w:divBdr>
    </w:div>
    <w:div w:id="805702932">
      <w:bodyDiv w:val="1"/>
      <w:marLeft w:val="0"/>
      <w:marRight w:val="0"/>
      <w:marTop w:val="0"/>
      <w:marBottom w:val="0"/>
      <w:divBdr>
        <w:top w:val="none" w:sz="0" w:space="0" w:color="auto"/>
        <w:left w:val="none" w:sz="0" w:space="0" w:color="auto"/>
        <w:bottom w:val="none" w:sz="0" w:space="0" w:color="auto"/>
        <w:right w:val="none" w:sz="0" w:space="0" w:color="auto"/>
      </w:divBdr>
    </w:div>
    <w:div w:id="824666542">
      <w:bodyDiv w:val="1"/>
      <w:marLeft w:val="0"/>
      <w:marRight w:val="0"/>
      <w:marTop w:val="0"/>
      <w:marBottom w:val="0"/>
      <w:divBdr>
        <w:top w:val="none" w:sz="0" w:space="0" w:color="auto"/>
        <w:left w:val="none" w:sz="0" w:space="0" w:color="auto"/>
        <w:bottom w:val="none" w:sz="0" w:space="0" w:color="auto"/>
        <w:right w:val="none" w:sz="0" w:space="0" w:color="auto"/>
      </w:divBdr>
    </w:div>
    <w:div w:id="829097965">
      <w:bodyDiv w:val="1"/>
      <w:marLeft w:val="0"/>
      <w:marRight w:val="0"/>
      <w:marTop w:val="0"/>
      <w:marBottom w:val="0"/>
      <w:divBdr>
        <w:top w:val="none" w:sz="0" w:space="0" w:color="auto"/>
        <w:left w:val="none" w:sz="0" w:space="0" w:color="auto"/>
        <w:bottom w:val="none" w:sz="0" w:space="0" w:color="auto"/>
        <w:right w:val="none" w:sz="0" w:space="0" w:color="auto"/>
      </w:divBdr>
    </w:div>
    <w:div w:id="832525934">
      <w:bodyDiv w:val="1"/>
      <w:marLeft w:val="0"/>
      <w:marRight w:val="0"/>
      <w:marTop w:val="0"/>
      <w:marBottom w:val="0"/>
      <w:divBdr>
        <w:top w:val="none" w:sz="0" w:space="0" w:color="auto"/>
        <w:left w:val="none" w:sz="0" w:space="0" w:color="auto"/>
        <w:bottom w:val="none" w:sz="0" w:space="0" w:color="auto"/>
        <w:right w:val="none" w:sz="0" w:space="0" w:color="auto"/>
      </w:divBdr>
    </w:div>
    <w:div w:id="834958096">
      <w:bodyDiv w:val="1"/>
      <w:marLeft w:val="0"/>
      <w:marRight w:val="0"/>
      <w:marTop w:val="0"/>
      <w:marBottom w:val="0"/>
      <w:divBdr>
        <w:top w:val="none" w:sz="0" w:space="0" w:color="auto"/>
        <w:left w:val="none" w:sz="0" w:space="0" w:color="auto"/>
        <w:bottom w:val="none" w:sz="0" w:space="0" w:color="auto"/>
        <w:right w:val="none" w:sz="0" w:space="0" w:color="auto"/>
      </w:divBdr>
    </w:div>
    <w:div w:id="840042832">
      <w:bodyDiv w:val="1"/>
      <w:marLeft w:val="0"/>
      <w:marRight w:val="0"/>
      <w:marTop w:val="0"/>
      <w:marBottom w:val="0"/>
      <w:divBdr>
        <w:top w:val="none" w:sz="0" w:space="0" w:color="auto"/>
        <w:left w:val="none" w:sz="0" w:space="0" w:color="auto"/>
        <w:bottom w:val="none" w:sz="0" w:space="0" w:color="auto"/>
        <w:right w:val="none" w:sz="0" w:space="0" w:color="auto"/>
      </w:divBdr>
    </w:div>
    <w:div w:id="842158717">
      <w:bodyDiv w:val="1"/>
      <w:marLeft w:val="0"/>
      <w:marRight w:val="0"/>
      <w:marTop w:val="0"/>
      <w:marBottom w:val="0"/>
      <w:divBdr>
        <w:top w:val="none" w:sz="0" w:space="0" w:color="auto"/>
        <w:left w:val="none" w:sz="0" w:space="0" w:color="auto"/>
        <w:bottom w:val="none" w:sz="0" w:space="0" w:color="auto"/>
        <w:right w:val="none" w:sz="0" w:space="0" w:color="auto"/>
      </w:divBdr>
    </w:div>
    <w:div w:id="852451169">
      <w:bodyDiv w:val="1"/>
      <w:marLeft w:val="0"/>
      <w:marRight w:val="0"/>
      <w:marTop w:val="0"/>
      <w:marBottom w:val="0"/>
      <w:divBdr>
        <w:top w:val="none" w:sz="0" w:space="0" w:color="auto"/>
        <w:left w:val="none" w:sz="0" w:space="0" w:color="auto"/>
        <w:bottom w:val="none" w:sz="0" w:space="0" w:color="auto"/>
        <w:right w:val="none" w:sz="0" w:space="0" w:color="auto"/>
      </w:divBdr>
    </w:div>
    <w:div w:id="853618458">
      <w:bodyDiv w:val="1"/>
      <w:marLeft w:val="0"/>
      <w:marRight w:val="0"/>
      <w:marTop w:val="0"/>
      <w:marBottom w:val="0"/>
      <w:divBdr>
        <w:top w:val="none" w:sz="0" w:space="0" w:color="auto"/>
        <w:left w:val="none" w:sz="0" w:space="0" w:color="auto"/>
        <w:bottom w:val="none" w:sz="0" w:space="0" w:color="auto"/>
        <w:right w:val="none" w:sz="0" w:space="0" w:color="auto"/>
      </w:divBdr>
    </w:div>
    <w:div w:id="865337916">
      <w:bodyDiv w:val="1"/>
      <w:marLeft w:val="0"/>
      <w:marRight w:val="0"/>
      <w:marTop w:val="0"/>
      <w:marBottom w:val="0"/>
      <w:divBdr>
        <w:top w:val="none" w:sz="0" w:space="0" w:color="auto"/>
        <w:left w:val="none" w:sz="0" w:space="0" w:color="auto"/>
        <w:bottom w:val="none" w:sz="0" w:space="0" w:color="auto"/>
        <w:right w:val="none" w:sz="0" w:space="0" w:color="auto"/>
      </w:divBdr>
    </w:div>
    <w:div w:id="881095997">
      <w:bodyDiv w:val="1"/>
      <w:marLeft w:val="0"/>
      <w:marRight w:val="0"/>
      <w:marTop w:val="0"/>
      <w:marBottom w:val="0"/>
      <w:divBdr>
        <w:top w:val="none" w:sz="0" w:space="0" w:color="auto"/>
        <w:left w:val="none" w:sz="0" w:space="0" w:color="auto"/>
        <w:bottom w:val="none" w:sz="0" w:space="0" w:color="auto"/>
        <w:right w:val="none" w:sz="0" w:space="0" w:color="auto"/>
      </w:divBdr>
    </w:div>
    <w:div w:id="881791456">
      <w:bodyDiv w:val="1"/>
      <w:marLeft w:val="0"/>
      <w:marRight w:val="0"/>
      <w:marTop w:val="0"/>
      <w:marBottom w:val="0"/>
      <w:divBdr>
        <w:top w:val="none" w:sz="0" w:space="0" w:color="auto"/>
        <w:left w:val="none" w:sz="0" w:space="0" w:color="auto"/>
        <w:bottom w:val="none" w:sz="0" w:space="0" w:color="auto"/>
        <w:right w:val="none" w:sz="0" w:space="0" w:color="auto"/>
      </w:divBdr>
    </w:div>
    <w:div w:id="883982175">
      <w:bodyDiv w:val="1"/>
      <w:marLeft w:val="0"/>
      <w:marRight w:val="0"/>
      <w:marTop w:val="0"/>
      <w:marBottom w:val="0"/>
      <w:divBdr>
        <w:top w:val="none" w:sz="0" w:space="0" w:color="auto"/>
        <w:left w:val="none" w:sz="0" w:space="0" w:color="auto"/>
        <w:bottom w:val="none" w:sz="0" w:space="0" w:color="auto"/>
        <w:right w:val="none" w:sz="0" w:space="0" w:color="auto"/>
      </w:divBdr>
    </w:div>
    <w:div w:id="884682076">
      <w:bodyDiv w:val="1"/>
      <w:marLeft w:val="0"/>
      <w:marRight w:val="0"/>
      <w:marTop w:val="0"/>
      <w:marBottom w:val="0"/>
      <w:divBdr>
        <w:top w:val="none" w:sz="0" w:space="0" w:color="auto"/>
        <w:left w:val="none" w:sz="0" w:space="0" w:color="auto"/>
        <w:bottom w:val="none" w:sz="0" w:space="0" w:color="auto"/>
        <w:right w:val="none" w:sz="0" w:space="0" w:color="auto"/>
      </w:divBdr>
    </w:div>
    <w:div w:id="886838088">
      <w:bodyDiv w:val="1"/>
      <w:marLeft w:val="0"/>
      <w:marRight w:val="0"/>
      <w:marTop w:val="0"/>
      <w:marBottom w:val="0"/>
      <w:divBdr>
        <w:top w:val="none" w:sz="0" w:space="0" w:color="auto"/>
        <w:left w:val="none" w:sz="0" w:space="0" w:color="auto"/>
        <w:bottom w:val="none" w:sz="0" w:space="0" w:color="auto"/>
        <w:right w:val="none" w:sz="0" w:space="0" w:color="auto"/>
      </w:divBdr>
    </w:div>
    <w:div w:id="908266225">
      <w:bodyDiv w:val="1"/>
      <w:marLeft w:val="0"/>
      <w:marRight w:val="0"/>
      <w:marTop w:val="0"/>
      <w:marBottom w:val="0"/>
      <w:divBdr>
        <w:top w:val="none" w:sz="0" w:space="0" w:color="auto"/>
        <w:left w:val="none" w:sz="0" w:space="0" w:color="auto"/>
        <w:bottom w:val="none" w:sz="0" w:space="0" w:color="auto"/>
        <w:right w:val="none" w:sz="0" w:space="0" w:color="auto"/>
      </w:divBdr>
    </w:div>
    <w:div w:id="911236784">
      <w:bodyDiv w:val="1"/>
      <w:marLeft w:val="0"/>
      <w:marRight w:val="0"/>
      <w:marTop w:val="0"/>
      <w:marBottom w:val="0"/>
      <w:divBdr>
        <w:top w:val="none" w:sz="0" w:space="0" w:color="auto"/>
        <w:left w:val="none" w:sz="0" w:space="0" w:color="auto"/>
        <w:bottom w:val="none" w:sz="0" w:space="0" w:color="auto"/>
        <w:right w:val="none" w:sz="0" w:space="0" w:color="auto"/>
      </w:divBdr>
    </w:div>
    <w:div w:id="915938638">
      <w:bodyDiv w:val="1"/>
      <w:marLeft w:val="0"/>
      <w:marRight w:val="0"/>
      <w:marTop w:val="0"/>
      <w:marBottom w:val="0"/>
      <w:divBdr>
        <w:top w:val="none" w:sz="0" w:space="0" w:color="auto"/>
        <w:left w:val="none" w:sz="0" w:space="0" w:color="auto"/>
        <w:bottom w:val="none" w:sz="0" w:space="0" w:color="auto"/>
        <w:right w:val="none" w:sz="0" w:space="0" w:color="auto"/>
      </w:divBdr>
    </w:div>
    <w:div w:id="919825137">
      <w:bodyDiv w:val="1"/>
      <w:marLeft w:val="0"/>
      <w:marRight w:val="0"/>
      <w:marTop w:val="0"/>
      <w:marBottom w:val="0"/>
      <w:divBdr>
        <w:top w:val="none" w:sz="0" w:space="0" w:color="auto"/>
        <w:left w:val="none" w:sz="0" w:space="0" w:color="auto"/>
        <w:bottom w:val="none" w:sz="0" w:space="0" w:color="auto"/>
        <w:right w:val="none" w:sz="0" w:space="0" w:color="auto"/>
      </w:divBdr>
    </w:div>
    <w:div w:id="920483936">
      <w:bodyDiv w:val="1"/>
      <w:marLeft w:val="0"/>
      <w:marRight w:val="0"/>
      <w:marTop w:val="0"/>
      <w:marBottom w:val="0"/>
      <w:divBdr>
        <w:top w:val="none" w:sz="0" w:space="0" w:color="auto"/>
        <w:left w:val="none" w:sz="0" w:space="0" w:color="auto"/>
        <w:bottom w:val="none" w:sz="0" w:space="0" w:color="auto"/>
        <w:right w:val="none" w:sz="0" w:space="0" w:color="auto"/>
      </w:divBdr>
    </w:div>
    <w:div w:id="929124834">
      <w:bodyDiv w:val="1"/>
      <w:marLeft w:val="0"/>
      <w:marRight w:val="0"/>
      <w:marTop w:val="0"/>
      <w:marBottom w:val="0"/>
      <w:divBdr>
        <w:top w:val="none" w:sz="0" w:space="0" w:color="auto"/>
        <w:left w:val="none" w:sz="0" w:space="0" w:color="auto"/>
        <w:bottom w:val="none" w:sz="0" w:space="0" w:color="auto"/>
        <w:right w:val="none" w:sz="0" w:space="0" w:color="auto"/>
      </w:divBdr>
    </w:div>
    <w:div w:id="950091829">
      <w:bodyDiv w:val="1"/>
      <w:marLeft w:val="0"/>
      <w:marRight w:val="0"/>
      <w:marTop w:val="0"/>
      <w:marBottom w:val="0"/>
      <w:divBdr>
        <w:top w:val="none" w:sz="0" w:space="0" w:color="auto"/>
        <w:left w:val="none" w:sz="0" w:space="0" w:color="auto"/>
        <w:bottom w:val="none" w:sz="0" w:space="0" w:color="auto"/>
        <w:right w:val="none" w:sz="0" w:space="0" w:color="auto"/>
      </w:divBdr>
    </w:div>
    <w:div w:id="952832602">
      <w:bodyDiv w:val="1"/>
      <w:marLeft w:val="0"/>
      <w:marRight w:val="0"/>
      <w:marTop w:val="0"/>
      <w:marBottom w:val="0"/>
      <w:divBdr>
        <w:top w:val="none" w:sz="0" w:space="0" w:color="auto"/>
        <w:left w:val="none" w:sz="0" w:space="0" w:color="auto"/>
        <w:bottom w:val="none" w:sz="0" w:space="0" w:color="auto"/>
        <w:right w:val="none" w:sz="0" w:space="0" w:color="auto"/>
      </w:divBdr>
    </w:div>
    <w:div w:id="955873301">
      <w:bodyDiv w:val="1"/>
      <w:marLeft w:val="0"/>
      <w:marRight w:val="0"/>
      <w:marTop w:val="0"/>
      <w:marBottom w:val="0"/>
      <w:divBdr>
        <w:top w:val="none" w:sz="0" w:space="0" w:color="auto"/>
        <w:left w:val="none" w:sz="0" w:space="0" w:color="auto"/>
        <w:bottom w:val="none" w:sz="0" w:space="0" w:color="auto"/>
        <w:right w:val="none" w:sz="0" w:space="0" w:color="auto"/>
      </w:divBdr>
    </w:div>
    <w:div w:id="962733288">
      <w:bodyDiv w:val="1"/>
      <w:marLeft w:val="0"/>
      <w:marRight w:val="0"/>
      <w:marTop w:val="0"/>
      <w:marBottom w:val="0"/>
      <w:divBdr>
        <w:top w:val="none" w:sz="0" w:space="0" w:color="auto"/>
        <w:left w:val="none" w:sz="0" w:space="0" w:color="auto"/>
        <w:bottom w:val="none" w:sz="0" w:space="0" w:color="auto"/>
        <w:right w:val="none" w:sz="0" w:space="0" w:color="auto"/>
      </w:divBdr>
    </w:div>
    <w:div w:id="963736042">
      <w:bodyDiv w:val="1"/>
      <w:marLeft w:val="0"/>
      <w:marRight w:val="0"/>
      <w:marTop w:val="0"/>
      <w:marBottom w:val="0"/>
      <w:divBdr>
        <w:top w:val="none" w:sz="0" w:space="0" w:color="auto"/>
        <w:left w:val="none" w:sz="0" w:space="0" w:color="auto"/>
        <w:bottom w:val="none" w:sz="0" w:space="0" w:color="auto"/>
        <w:right w:val="none" w:sz="0" w:space="0" w:color="auto"/>
      </w:divBdr>
    </w:div>
    <w:div w:id="979504579">
      <w:bodyDiv w:val="1"/>
      <w:marLeft w:val="0"/>
      <w:marRight w:val="0"/>
      <w:marTop w:val="0"/>
      <w:marBottom w:val="0"/>
      <w:divBdr>
        <w:top w:val="none" w:sz="0" w:space="0" w:color="auto"/>
        <w:left w:val="none" w:sz="0" w:space="0" w:color="auto"/>
        <w:bottom w:val="none" w:sz="0" w:space="0" w:color="auto"/>
        <w:right w:val="none" w:sz="0" w:space="0" w:color="auto"/>
      </w:divBdr>
    </w:div>
    <w:div w:id="992756024">
      <w:bodyDiv w:val="1"/>
      <w:marLeft w:val="0"/>
      <w:marRight w:val="0"/>
      <w:marTop w:val="0"/>
      <w:marBottom w:val="0"/>
      <w:divBdr>
        <w:top w:val="none" w:sz="0" w:space="0" w:color="auto"/>
        <w:left w:val="none" w:sz="0" w:space="0" w:color="auto"/>
        <w:bottom w:val="none" w:sz="0" w:space="0" w:color="auto"/>
        <w:right w:val="none" w:sz="0" w:space="0" w:color="auto"/>
      </w:divBdr>
    </w:div>
    <w:div w:id="996109998">
      <w:bodyDiv w:val="1"/>
      <w:marLeft w:val="0"/>
      <w:marRight w:val="0"/>
      <w:marTop w:val="0"/>
      <w:marBottom w:val="0"/>
      <w:divBdr>
        <w:top w:val="none" w:sz="0" w:space="0" w:color="auto"/>
        <w:left w:val="none" w:sz="0" w:space="0" w:color="auto"/>
        <w:bottom w:val="none" w:sz="0" w:space="0" w:color="auto"/>
        <w:right w:val="none" w:sz="0" w:space="0" w:color="auto"/>
      </w:divBdr>
    </w:div>
    <w:div w:id="998263942">
      <w:bodyDiv w:val="1"/>
      <w:marLeft w:val="0"/>
      <w:marRight w:val="0"/>
      <w:marTop w:val="0"/>
      <w:marBottom w:val="0"/>
      <w:divBdr>
        <w:top w:val="none" w:sz="0" w:space="0" w:color="auto"/>
        <w:left w:val="none" w:sz="0" w:space="0" w:color="auto"/>
        <w:bottom w:val="none" w:sz="0" w:space="0" w:color="auto"/>
        <w:right w:val="none" w:sz="0" w:space="0" w:color="auto"/>
      </w:divBdr>
    </w:div>
    <w:div w:id="1007949112">
      <w:bodyDiv w:val="1"/>
      <w:marLeft w:val="0"/>
      <w:marRight w:val="0"/>
      <w:marTop w:val="0"/>
      <w:marBottom w:val="0"/>
      <w:divBdr>
        <w:top w:val="none" w:sz="0" w:space="0" w:color="auto"/>
        <w:left w:val="none" w:sz="0" w:space="0" w:color="auto"/>
        <w:bottom w:val="none" w:sz="0" w:space="0" w:color="auto"/>
        <w:right w:val="none" w:sz="0" w:space="0" w:color="auto"/>
      </w:divBdr>
    </w:div>
    <w:div w:id="1025905708">
      <w:bodyDiv w:val="1"/>
      <w:marLeft w:val="0"/>
      <w:marRight w:val="0"/>
      <w:marTop w:val="0"/>
      <w:marBottom w:val="0"/>
      <w:divBdr>
        <w:top w:val="none" w:sz="0" w:space="0" w:color="auto"/>
        <w:left w:val="none" w:sz="0" w:space="0" w:color="auto"/>
        <w:bottom w:val="none" w:sz="0" w:space="0" w:color="auto"/>
        <w:right w:val="none" w:sz="0" w:space="0" w:color="auto"/>
      </w:divBdr>
    </w:div>
    <w:div w:id="1033265050">
      <w:bodyDiv w:val="1"/>
      <w:marLeft w:val="0"/>
      <w:marRight w:val="0"/>
      <w:marTop w:val="0"/>
      <w:marBottom w:val="0"/>
      <w:divBdr>
        <w:top w:val="none" w:sz="0" w:space="0" w:color="auto"/>
        <w:left w:val="none" w:sz="0" w:space="0" w:color="auto"/>
        <w:bottom w:val="none" w:sz="0" w:space="0" w:color="auto"/>
        <w:right w:val="none" w:sz="0" w:space="0" w:color="auto"/>
      </w:divBdr>
    </w:div>
    <w:div w:id="1036078223">
      <w:bodyDiv w:val="1"/>
      <w:marLeft w:val="0"/>
      <w:marRight w:val="0"/>
      <w:marTop w:val="0"/>
      <w:marBottom w:val="0"/>
      <w:divBdr>
        <w:top w:val="none" w:sz="0" w:space="0" w:color="auto"/>
        <w:left w:val="none" w:sz="0" w:space="0" w:color="auto"/>
        <w:bottom w:val="none" w:sz="0" w:space="0" w:color="auto"/>
        <w:right w:val="none" w:sz="0" w:space="0" w:color="auto"/>
      </w:divBdr>
    </w:div>
    <w:div w:id="1038629964">
      <w:bodyDiv w:val="1"/>
      <w:marLeft w:val="0"/>
      <w:marRight w:val="0"/>
      <w:marTop w:val="0"/>
      <w:marBottom w:val="0"/>
      <w:divBdr>
        <w:top w:val="none" w:sz="0" w:space="0" w:color="auto"/>
        <w:left w:val="none" w:sz="0" w:space="0" w:color="auto"/>
        <w:bottom w:val="none" w:sz="0" w:space="0" w:color="auto"/>
        <w:right w:val="none" w:sz="0" w:space="0" w:color="auto"/>
      </w:divBdr>
    </w:div>
    <w:div w:id="1049841652">
      <w:bodyDiv w:val="1"/>
      <w:marLeft w:val="0"/>
      <w:marRight w:val="0"/>
      <w:marTop w:val="0"/>
      <w:marBottom w:val="0"/>
      <w:divBdr>
        <w:top w:val="none" w:sz="0" w:space="0" w:color="auto"/>
        <w:left w:val="none" w:sz="0" w:space="0" w:color="auto"/>
        <w:bottom w:val="none" w:sz="0" w:space="0" w:color="auto"/>
        <w:right w:val="none" w:sz="0" w:space="0" w:color="auto"/>
      </w:divBdr>
    </w:div>
    <w:div w:id="1059017759">
      <w:bodyDiv w:val="1"/>
      <w:marLeft w:val="0"/>
      <w:marRight w:val="0"/>
      <w:marTop w:val="0"/>
      <w:marBottom w:val="0"/>
      <w:divBdr>
        <w:top w:val="none" w:sz="0" w:space="0" w:color="auto"/>
        <w:left w:val="none" w:sz="0" w:space="0" w:color="auto"/>
        <w:bottom w:val="none" w:sz="0" w:space="0" w:color="auto"/>
        <w:right w:val="none" w:sz="0" w:space="0" w:color="auto"/>
      </w:divBdr>
    </w:div>
    <w:div w:id="1071931167">
      <w:bodyDiv w:val="1"/>
      <w:marLeft w:val="0"/>
      <w:marRight w:val="0"/>
      <w:marTop w:val="0"/>
      <w:marBottom w:val="0"/>
      <w:divBdr>
        <w:top w:val="none" w:sz="0" w:space="0" w:color="auto"/>
        <w:left w:val="none" w:sz="0" w:space="0" w:color="auto"/>
        <w:bottom w:val="none" w:sz="0" w:space="0" w:color="auto"/>
        <w:right w:val="none" w:sz="0" w:space="0" w:color="auto"/>
      </w:divBdr>
    </w:div>
    <w:div w:id="1072655445">
      <w:bodyDiv w:val="1"/>
      <w:marLeft w:val="0"/>
      <w:marRight w:val="0"/>
      <w:marTop w:val="0"/>
      <w:marBottom w:val="0"/>
      <w:divBdr>
        <w:top w:val="none" w:sz="0" w:space="0" w:color="auto"/>
        <w:left w:val="none" w:sz="0" w:space="0" w:color="auto"/>
        <w:bottom w:val="none" w:sz="0" w:space="0" w:color="auto"/>
        <w:right w:val="none" w:sz="0" w:space="0" w:color="auto"/>
      </w:divBdr>
    </w:div>
    <w:div w:id="1075662420">
      <w:bodyDiv w:val="1"/>
      <w:marLeft w:val="0"/>
      <w:marRight w:val="0"/>
      <w:marTop w:val="0"/>
      <w:marBottom w:val="0"/>
      <w:divBdr>
        <w:top w:val="none" w:sz="0" w:space="0" w:color="auto"/>
        <w:left w:val="none" w:sz="0" w:space="0" w:color="auto"/>
        <w:bottom w:val="none" w:sz="0" w:space="0" w:color="auto"/>
        <w:right w:val="none" w:sz="0" w:space="0" w:color="auto"/>
      </w:divBdr>
    </w:div>
    <w:div w:id="1080831666">
      <w:bodyDiv w:val="1"/>
      <w:marLeft w:val="0"/>
      <w:marRight w:val="0"/>
      <w:marTop w:val="0"/>
      <w:marBottom w:val="0"/>
      <w:divBdr>
        <w:top w:val="none" w:sz="0" w:space="0" w:color="auto"/>
        <w:left w:val="none" w:sz="0" w:space="0" w:color="auto"/>
        <w:bottom w:val="none" w:sz="0" w:space="0" w:color="auto"/>
        <w:right w:val="none" w:sz="0" w:space="0" w:color="auto"/>
      </w:divBdr>
    </w:div>
    <w:div w:id="1082608606">
      <w:bodyDiv w:val="1"/>
      <w:marLeft w:val="0"/>
      <w:marRight w:val="0"/>
      <w:marTop w:val="0"/>
      <w:marBottom w:val="0"/>
      <w:divBdr>
        <w:top w:val="none" w:sz="0" w:space="0" w:color="auto"/>
        <w:left w:val="none" w:sz="0" w:space="0" w:color="auto"/>
        <w:bottom w:val="none" w:sz="0" w:space="0" w:color="auto"/>
        <w:right w:val="none" w:sz="0" w:space="0" w:color="auto"/>
      </w:divBdr>
    </w:div>
    <w:div w:id="1083798224">
      <w:bodyDiv w:val="1"/>
      <w:marLeft w:val="0"/>
      <w:marRight w:val="0"/>
      <w:marTop w:val="0"/>
      <w:marBottom w:val="0"/>
      <w:divBdr>
        <w:top w:val="none" w:sz="0" w:space="0" w:color="auto"/>
        <w:left w:val="none" w:sz="0" w:space="0" w:color="auto"/>
        <w:bottom w:val="none" w:sz="0" w:space="0" w:color="auto"/>
        <w:right w:val="none" w:sz="0" w:space="0" w:color="auto"/>
      </w:divBdr>
    </w:div>
    <w:div w:id="1086655225">
      <w:bodyDiv w:val="1"/>
      <w:marLeft w:val="0"/>
      <w:marRight w:val="0"/>
      <w:marTop w:val="0"/>
      <w:marBottom w:val="0"/>
      <w:divBdr>
        <w:top w:val="none" w:sz="0" w:space="0" w:color="auto"/>
        <w:left w:val="none" w:sz="0" w:space="0" w:color="auto"/>
        <w:bottom w:val="none" w:sz="0" w:space="0" w:color="auto"/>
        <w:right w:val="none" w:sz="0" w:space="0" w:color="auto"/>
      </w:divBdr>
    </w:div>
    <w:div w:id="1107652147">
      <w:bodyDiv w:val="1"/>
      <w:marLeft w:val="0"/>
      <w:marRight w:val="0"/>
      <w:marTop w:val="0"/>
      <w:marBottom w:val="0"/>
      <w:divBdr>
        <w:top w:val="none" w:sz="0" w:space="0" w:color="auto"/>
        <w:left w:val="none" w:sz="0" w:space="0" w:color="auto"/>
        <w:bottom w:val="none" w:sz="0" w:space="0" w:color="auto"/>
        <w:right w:val="none" w:sz="0" w:space="0" w:color="auto"/>
      </w:divBdr>
    </w:div>
    <w:div w:id="1112478402">
      <w:bodyDiv w:val="1"/>
      <w:marLeft w:val="0"/>
      <w:marRight w:val="0"/>
      <w:marTop w:val="0"/>
      <w:marBottom w:val="0"/>
      <w:divBdr>
        <w:top w:val="none" w:sz="0" w:space="0" w:color="auto"/>
        <w:left w:val="none" w:sz="0" w:space="0" w:color="auto"/>
        <w:bottom w:val="none" w:sz="0" w:space="0" w:color="auto"/>
        <w:right w:val="none" w:sz="0" w:space="0" w:color="auto"/>
      </w:divBdr>
    </w:div>
    <w:div w:id="1113785288">
      <w:bodyDiv w:val="1"/>
      <w:marLeft w:val="0"/>
      <w:marRight w:val="0"/>
      <w:marTop w:val="0"/>
      <w:marBottom w:val="0"/>
      <w:divBdr>
        <w:top w:val="none" w:sz="0" w:space="0" w:color="auto"/>
        <w:left w:val="none" w:sz="0" w:space="0" w:color="auto"/>
        <w:bottom w:val="none" w:sz="0" w:space="0" w:color="auto"/>
        <w:right w:val="none" w:sz="0" w:space="0" w:color="auto"/>
      </w:divBdr>
    </w:div>
    <w:div w:id="1129322573">
      <w:bodyDiv w:val="1"/>
      <w:marLeft w:val="0"/>
      <w:marRight w:val="0"/>
      <w:marTop w:val="0"/>
      <w:marBottom w:val="0"/>
      <w:divBdr>
        <w:top w:val="none" w:sz="0" w:space="0" w:color="auto"/>
        <w:left w:val="none" w:sz="0" w:space="0" w:color="auto"/>
        <w:bottom w:val="none" w:sz="0" w:space="0" w:color="auto"/>
        <w:right w:val="none" w:sz="0" w:space="0" w:color="auto"/>
      </w:divBdr>
    </w:div>
    <w:div w:id="1130830096">
      <w:bodyDiv w:val="1"/>
      <w:marLeft w:val="0"/>
      <w:marRight w:val="0"/>
      <w:marTop w:val="0"/>
      <w:marBottom w:val="0"/>
      <w:divBdr>
        <w:top w:val="none" w:sz="0" w:space="0" w:color="auto"/>
        <w:left w:val="none" w:sz="0" w:space="0" w:color="auto"/>
        <w:bottom w:val="none" w:sz="0" w:space="0" w:color="auto"/>
        <w:right w:val="none" w:sz="0" w:space="0" w:color="auto"/>
      </w:divBdr>
    </w:div>
    <w:div w:id="1147743011">
      <w:bodyDiv w:val="1"/>
      <w:marLeft w:val="0"/>
      <w:marRight w:val="0"/>
      <w:marTop w:val="0"/>
      <w:marBottom w:val="0"/>
      <w:divBdr>
        <w:top w:val="none" w:sz="0" w:space="0" w:color="auto"/>
        <w:left w:val="none" w:sz="0" w:space="0" w:color="auto"/>
        <w:bottom w:val="none" w:sz="0" w:space="0" w:color="auto"/>
        <w:right w:val="none" w:sz="0" w:space="0" w:color="auto"/>
      </w:divBdr>
    </w:div>
    <w:div w:id="1152719820">
      <w:bodyDiv w:val="1"/>
      <w:marLeft w:val="0"/>
      <w:marRight w:val="0"/>
      <w:marTop w:val="0"/>
      <w:marBottom w:val="0"/>
      <w:divBdr>
        <w:top w:val="none" w:sz="0" w:space="0" w:color="auto"/>
        <w:left w:val="none" w:sz="0" w:space="0" w:color="auto"/>
        <w:bottom w:val="none" w:sz="0" w:space="0" w:color="auto"/>
        <w:right w:val="none" w:sz="0" w:space="0" w:color="auto"/>
      </w:divBdr>
    </w:div>
    <w:div w:id="1156995816">
      <w:bodyDiv w:val="1"/>
      <w:marLeft w:val="0"/>
      <w:marRight w:val="0"/>
      <w:marTop w:val="0"/>
      <w:marBottom w:val="0"/>
      <w:divBdr>
        <w:top w:val="none" w:sz="0" w:space="0" w:color="auto"/>
        <w:left w:val="none" w:sz="0" w:space="0" w:color="auto"/>
        <w:bottom w:val="none" w:sz="0" w:space="0" w:color="auto"/>
        <w:right w:val="none" w:sz="0" w:space="0" w:color="auto"/>
      </w:divBdr>
    </w:div>
    <w:div w:id="1158350183">
      <w:bodyDiv w:val="1"/>
      <w:marLeft w:val="0"/>
      <w:marRight w:val="0"/>
      <w:marTop w:val="0"/>
      <w:marBottom w:val="0"/>
      <w:divBdr>
        <w:top w:val="none" w:sz="0" w:space="0" w:color="auto"/>
        <w:left w:val="none" w:sz="0" w:space="0" w:color="auto"/>
        <w:bottom w:val="none" w:sz="0" w:space="0" w:color="auto"/>
        <w:right w:val="none" w:sz="0" w:space="0" w:color="auto"/>
      </w:divBdr>
    </w:div>
    <w:div w:id="1159004881">
      <w:bodyDiv w:val="1"/>
      <w:marLeft w:val="0"/>
      <w:marRight w:val="0"/>
      <w:marTop w:val="0"/>
      <w:marBottom w:val="0"/>
      <w:divBdr>
        <w:top w:val="none" w:sz="0" w:space="0" w:color="auto"/>
        <w:left w:val="none" w:sz="0" w:space="0" w:color="auto"/>
        <w:bottom w:val="none" w:sz="0" w:space="0" w:color="auto"/>
        <w:right w:val="none" w:sz="0" w:space="0" w:color="auto"/>
      </w:divBdr>
    </w:div>
    <w:div w:id="1161655963">
      <w:bodyDiv w:val="1"/>
      <w:marLeft w:val="0"/>
      <w:marRight w:val="0"/>
      <w:marTop w:val="0"/>
      <w:marBottom w:val="0"/>
      <w:divBdr>
        <w:top w:val="none" w:sz="0" w:space="0" w:color="auto"/>
        <w:left w:val="none" w:sz="0" w:space="0" w:color="auto"/>
        <w:bottom w:val="none" w:sz="0" w:space="0" w:color="auto"/>
        <w:right w:val="none" w:sz="0" w:space="0" w:color="auto"/>
      </w:divBdr>
    </w:div>
    <w:div w:id="1162090345">
      <w:bodyDiv w:val="1"/>
      <w:marLeft w:val="0"/>
      <w:marRight w:val="0"/>
      <w:marTop w:val="0"/>
      <w:marBottom w:val="0"/>
      <w:divBdr>
        <w:top w:val="none" w:sz="0" w:space="0" w:color="auto"/>
        <w:left w:val="none" w:sz="0" w:space="0" w:color="auto"/>
        <w:bottom w:val="none" w:sz="0" w:space="0" w:color="auto"/>
        <w:right w:val="none" w:sz="0" w:space="0" w:color="auto"/>
      </w:divBdr>
    </w:div>
    <w:div w:id="1173840126">
      <w:bodyDiv w:val="1"/>
      <w:marLeft w:val="0"/>
      <w:marRight w:val="0"/>
      <w:marTop w:val="0"/>
      <w:marBottom w:val="0"/>
      <w:divBdr>
        <w:top w:val="none" w:sz="0" w:space="0" w:color="auto"/>
        <w:left w:val="none" w:sz="0" w:space="0" w:color="auto"/>
        <w:bottom w:val="none" w:sz="0" w:space="0" w:color="auto"/>
        <w:right w:val="none" w:sz="0" w:space="0" w:color="auto"/>
      </w:divBdr>
    </w:div>
    <w:div w:id="1174759019">
      <w:bodyDiv w:val="1"/>
      <w:marLeft w:val="0"/>
      <w:marRight w:val="0"/>
      <w:marTop w:val="0"/>
      <w:marBottom w:val="0"/>
      <w:divBdr>
        <w:top w:val="none" w:sz="0" w:space="0" w:color="auto"/>
        <w:left w:val="none" w:sz="0" w:space="0" w:color="auto"/>
        <w:bottom w:val="none" w:sz="0" w:space="0" w:color="auto"/>
        <w:right w:val="none" w:sz="0" w:space="0" w:color="auto"/>
      </w:divBdr>
    </w:div>
    <w:div w:id="1177962625">
      <w:bodyDiv w:val="1"/>
      <w:marLeft w:val="0"/>
      <w:marRight w:val="0"/>
      <w:marTop w:val="0"/>
      <w:marBottom w:val="0"/>
      <w:divBdr>
        <w:top w:val="none" w:sz="0" w:space="0" w:color="auto"/>
        <w:left w:val="none" w:sz="0" w:space="0" w:color="auto"/>
        <w:bottom w:val="none" w:sz="0" w:space="0" w:color="auto"/>
        <w:right w:val="none" w:sz="0" w:space="0" w:color="auto"/>
      </w:divBdr>
    </w:div>
    <w:div w:id="1197238444">
      <w:bodyDiv w:val="1"/>
      <w:marLeft w:val="0"/>
      <w:marRight w:val="0"/>
      <w:marTop w:val="0"/>
      <w:marBottom w:val="0"/>
      <w:divBdr>
        <w:top w:val="none" w:sz="0" w:space="0" w:color="auto"/>
        <w:left w:val="none" w:sz="0" w:space="0" w:color="auto"/>
        <w:bottom w:val="none" w:sz="0" w:space="0" w:color="auto"/>
        <w:right w:val="none" w:sz="0" w:space="0" w:color="auto"/>
      </w:divBdr>
    </w:div>
    <w:div w:id="1202787487">
      <w:bodyDiv w:val="1"/>
      <w:marLeft w:val="0"/>
      <w:marRight w:val="0"/>
      <w:marTop w:val="0"/>
      <w:marBottom w:val="0"/>
      <w:divBdr>
        <w:top w:val="none" w:sz="0" w:space="0" w:color="auto"/>
        <w:left w:val="none" w:sz="0" w:space="0" w:color="auto"/>
        <w:bottom w:val="none" w:sz="0" w:space="0" w:color="auto"/>
        <w:right w:val="none" w:sz="0" w:space="0" w:color="auto"/>
      </w:divBdr>
    </w:div>
    <w:div w:id="1215042848">
      <w:bodyDiv w:val="1"/>
      <w:marLeft w:val="0"/>
      <w:marRight w:val="0"/>
      <w:marTop w:val="0"/>
      <w:marBottom w:val="0"/>
      <w:divBdr>
        <w:top w:val="none" w:sz="0" w:space="0" w:color="auto"/>
        <w:left w:val="none" w:sz="0" w:space="0" w:color="auto"/>
        <w:bottom w:val="none" w:sz="0" w:space="0" w:color="auto"/>
        <w:right w:val="none" w:sz="0" w:space="0" w:color="auto"/>
      </w:divBdr>
    </w:div>
    <w:div w:id="1215510071">
      <w:bodyDiv w:val="1"/>
      <w:marLeft w:val="0"/>
      <w:marRight w:val="0"/>
      <w:marTop w:val="0"/>
      <w:marBottom w:val="0"/>
      <w:divBdr>
        <w:top w:val="none" w:sz="0" w:space="0" w:color="auto"/>
        <w:left w:val="none" w:sz="0" w:space="0" w:color="auto"/>
        <w:bottom w:val="none" w:sz="0" w:space="0" w:color="auto"/>
        <w:right w:val="none" w:sz="0" w:space="0" w:color="auto"/>
      </w:divBdr>
    </w:div>
    <w:div w:id="1217815811">
      <w:bodyDiv w:val="1"/>
      <w:marLeft w:val="0"/>
      <w:marRight w:val="0"/>
      <w:marTop w:val="0"/>
      <w:marBottom w:val="0"/>
      <w:divBdr>
        <w:top w:val="none" w:sz="0" w:space="0" w:color="auto"/>
        <w:left w:val="none" w:sz="0" w:space="0" w:color="auto"/>
        <w:bottom w:val="none" w:sz="0" w:space="0" w:color="auto"/>
        <w:right w:val="none" w:sz="0" w:space="0" w:color="auto"/>
      </w:divBdr>
    </w:div>
    <w:div w:id="1218978196">
      <w:bodyDiv w:val="1"/>
      <w:marLeft w:val="0"/>
      <w:marRight w:val="0"/>
      <w:marTop w:val="0"/>
      <w:marBottom w:val="0"/>
      <w:divBdr>
        <w:top w:val="none" w:sz="0" w:space="0" w:color="auto"/>
        <w:left w:val="none" w:sz="0" w:space="0" w:color="auto"/>
        <w:bottom w:val="none" w:sz="0" w:space="0" w:color="auto"/>
        <w:right w:val="none" w:sz="0" w:space="0" w:color="auto"/>
      </w:divBdr>
    </w:div>
    <w:div w:id="1219052641">
      <w:bodyDiv w:val="1"/>
      <w:marLeft w:val="0"/>
      <w:marRight w:val="0"/>
      <w:marTop w:val="0"/>
      <w:marBottom w:val="0"/>
      <w:divBdr>
        <w:top w:val="none" w:sz="0" w:space="0" w:color="auto"/>
        <w:left w:val="none" w:sz="0" w:space="0" w:color="auto"/>
        <w:bottom w:val="none" w:sz="0" w:space="0" w:color="auto"/>
        <w:right w:val="none" w:sz="0" w:space="0" w:color="auto"/>
      </w:divBdr>
    </w:div>
    <w:div w:id="1228417024">
      <w:bodyDiv w:val="1"/>
      <w:marLeft w:val="0"/>
      <w:marRight w:val="0"/>
      <w:marTop w:val="0"/>
      <w:marBottom w:val="0"/>
      <w:divBdr>
        <w:top w:val="none" w:sz="0" w:space="0" w:color="auto"/>
        <w:left w:val="none" w:sz="0" w:space="0" w:color="auto"/>
        <w:bottom w:val="none" w:sz="0" w:space="0" w:color="auto"/>
        <w:right w:val="none" w:sz="0" w:space="0" w:color="auto"/>
      </w:divBdr>
    </w:div>
    <w:div w:id="1230655039">
      <w:bodyDiv w:val="1"/>
      <w:marLeft w:val="0"/>
      <w:marRight w:val="0"/>
      <w:marTop w:val="0"/>
      <w:marBottom w:val="0"/>
      <w:divBdr>
        <w:top w:val="none" w:sz="0" w:space="0" w:color="auto"/>
        <w:left w:val="none" w:sz="0" w:space="0" w:color="auto"/>
        <w:bottom w:val="none" w:sz="0" w:space="0" w:color="auto"/>
        <w:right w:val="none" w:sz="0" w:space="0" w:color="auto"/>
      </w:divBdr>
    </w:div>
    <w:div w:id="1251351955">
      <w:bodyDiv w:val="1"/>
      <w:marLeft w:val="0"/>
      <w:marRight w:val="0"/>
      <w:marTop w:val="0"/>
      <w:marBottom w:val="0"/>
      <w:divBdr>
        <w:top w:val="none" w:sz="0" w:space="0" w:color="auto"/>
        <w:left w:val="none" w:sz="0" w:space="0" w:color="auto"/>
        <w:bottom w:val="none" w:sz="0" w:space="0" w:color="auto"/>
        <w:right w:val="none" w:sz="0" w:space="0" w:color="auto"/>
      </w:divBdr>
    </w:div>
    <w:div w:id="1256596058">
      <w:bodyDiv w:val="1"/>
      <w:marLeft w:val="0"/>
      <w:marRight w:val="0"/>
      <w:marTop w:val="0"/>
      <w:marBottom w:val="0"/>
      <w:divBdr>
        <w:top w:val="none" w:sz="0" w:space="0" w:color="auto"/>
        <w:left w:val="none" w:sz="0" w:space="0" w:color="auto"/>
        <w:bottom w:val="none" w:sz="0" w:space="0" w:color="auto"/>
        <w:right w:val="none" w:sz="0" w:space="0" w:color="auto"/>
      </w:divBdr>
    </w:div>
    <w:div w:id="1267352072">
      <w:bodyDiv w:val="1"/>
      <w:marLeft w:val="0"/>
      <w:marRight w:val="0"/>
      <w:marTop w:val="0"/>
      <w:marBottom w:val="0"/>
      <w:divBdr>
        <w:top w:val="none" w:sz="0" w:space="0" w:color="auto"/>
        <w:left w:val="none" w:sz="0" w:space="0" w:color="auto"/>
        <w:bottom w:val="none" w:sz="0" w:space="0" w:color="auto"/>
        <w:right w:val="none" w:sz="0" w:space="0" w:color="auto"/>
      </w:divBdr>
    </w:div>
    <w:div w:id="1267694038">
      <w:bodyDiv w:val="1"/>
      <w:marLeft w:val="0"/>
      <w:marRight w:val="0"/>
      <w:marTop w:val="0"/>
      <w:marBottom w:val="0"/>
      <w:divBdr>
        <w:top w:val="none" w:sz="0" w:space="0" w:color="auto"/>
        <w:left w:val="none" w:sz="0" w:space="0" w:color="auto"/>
        <w:bottom w:val="none" w:sz="0" w:space="0" w:color="auto"/>
        <w:right w:val="none" w:sz="0" w:space="0" w:color="auto"/>
      </w:divBdr>
    </w:div>
    <w:div w:id="1272467766">
      <w:bodyDiv w:val="1"/>
      <w:marLeft w:val="0"/>
      <w:marRight w:val="0"/>
      <w:marTop w:val="0"/>
      <w:marBottom w:val="0"/>
      <w:divBdr>
        <w:top w:val="none" w:sz="0" w:space="0" w:color="auto"/>
        <w:left w:val="none" w:sz="0" w:space="0" w:color="auto"/>
        <w:bottom w:val="none" w:sz="0" w:space="0" w:color="auto"/>
        <w:right w:val="none" w:sz="0" w:space="0" w:color="auto"/>
      </w:divBdr>
    </w:div>
    <w:div w:id="1273979899">
      <w:bodyDiv w:val="1"/>
      <w:marLeft w:val="0"/>
      <w:marRight w:val="0"/>
      <w:marTop w:val="0"/>
      <w:marBottom w:val="0"/>
      <w:divBdr>
        <w:top w:val="none" w:sz="0" w:space="0" w:color="auto"/>
        <w:left w:val="none" w:sz="0" w:space="0" w:color="auto"/>
        <w:bottom w:val="none" w:sz="0" w:space="0" w:color="auto"/>
        <w:right w:val="none" w:sz="0" w:space="0" w:color="auto"/>
      </w:divBdr>
    </w:div>
    <w:div w:id="1286892690">
      <w:bodyDiv w:val="1"/>
      <w:marLeft w:val="0"/>
      <w:marRight w:val="0"/>
      <w:marTop w:val="0"/>
      <w:marBottom w:val="0"/>
      <w:divBdr>
        <w:top w:val="none" w:sz="0" w:space="0" w:color="auto"/>
        <w:left w:val="none" w:sz="0" w:space="0" w:color="auto"/>
        <w:bottom w:val="none" w:sz="0" w:space="0" w:color="auto"/>
        <w:right w:val="none" w:sz="0" w:space="0" w:color="auto"/>
      </w:divBdr>
    </w:div>
    <w:div w:id="1298144702">
      <w:bodyDiv w:val="1"/>
      <w:marLeft w:val="0"/>
      <w:marRight w:val="0"/>
      <w:marTop w:val="0"/>
      <w:marBottom w:val="0"/>
      <w:divBdr>
        <w:top w:val="none" w:sz="0" w:space="0" w:color="auto"/>
        <w:left w:val="none" w:sz="0" w:space="0" w:color="auto"/>
        <w:bottom w:val="none" w:sz="0" w:space="0" w:color="auto"/>
        <w:right w:val="none" w:sz="0" w:space="0" w:color="auto"/>
      </w:divBdr>
    </w:div>
    <w:div w:id="1303389333">
      <w:bodyDiv w:val="1"/>
      <w:marLeft w:val="0"/>
      <w:marRight w:val="0"/>
      <w:marTop w:val="0"/>
      <w:marBottom w:val="0"/>
      <w:divBdr>
        <w:top w:val="none" w:sz="0" w:space="0" w:color="auto"/>
        <w:left w:val="none" w:sz="0" w:space="0" w:color="auto"/>
        <w:bottom w:val="none" w:sz="0" w:space="0" w:color="auto"/>
        <w:right w:val="none" w:sz="0" w:space="0" w:color="auto"/>
      </w:divBdr>
    </w:div>
    <w:div w:id="1344865347">
      <w:bodyDiv w:val="1"/>
      <w:marLeft w:val="0"/>
      <w:marRight w:val="0"/>
      <w:marTop w:val="0"/>
      <w:marBottom w:val="0"/>
      <w:divBdr>
        <w:top w:val="none" w:sz="0" w:space="0" w:color="auto"/>
        <w:left w:val="none" w:sz="0" w:space="0" w:color="auto"/>
        <w:bottom w:val="none" w:sz="0" w:space="0" w:color="auto"/>
        <w:right w:val="none" w:sz="0" w:space="0" w:color="auto"/>
      </w:divBdr>
    </w:div>
    <w:div w:id="1346326265">
      <w:bodyDiv w:val="1"/>
      <w:marLeft w:val="0"/>
      <w:marRight w:val="0"/>
      <w:marTop w:val="0"/>
      <w:marBottom w:val="0"/>
      <w:divBdr>
        <w:top w:val="none" w:sz="0" w:space="0" w:color="auto"/>
        <w:left w:val="none" w:sz="0" w:space="0" w:color="auto"/>
        <w:bottom w:val="none" w:sz="0" w:space="0" w:color="auto"/>
        <w:right w:val="none" w:sz="0" w:space="0" w:color="auto"/>
      </w:divBdr>
    </w:div>
    <w:div w:id="1366056569">
      <w:bodyDiv w:val="1"/>
      <w:marLeft w:val="0"/>
      <w:marRight w:val="0"/>
      <w:marTop w:val="0"/>
      <w:marBottom w:val="0"/>
      <w:divBdr>
        <w:top w:val="none" w:sz="0" w:space="0" w:color="auto"/>
        <w:left w:val="none" w:sz="0" w:space="0" w:color="auto"/>
        <w:bottom w:val="none" w:sz="0" w:space="0" w:color="auto"/>
        <w:right w:val="none" w:sz="0" w:space="0" w:color="auto"/>
      </w:divBdr>
    </w:div>
    <w:div w:id="1377122639">
      <w:bodyDiv w:val="1"/>
      <w:marLeft w:val="0"/>
      <w:marRight w:val="0"/>
      <w:marTop w:val="0"/>
      <w:marBottom w:val="0"/>
      <w:divBdr>
        <w:top w:val="none" w:sz="0" w:space="0" w:color="auto"/>
        <w:left w:val="none" w:sz="0" w:space="0" w:color="auto"/>
        <w:bottom w:val="none" w:sz="0" w:space="0" w:color="auto"/>
        <w:right w:val="none" w:sz="0" w:space="0" w:color="auto"/>
      </w:divBdr>
    </w:div>
    <w:div w:id="1377659666">
      <w:bodyDiv w:val="1"/>
      <w:marLeft w:val="0"/>
      <w:marRight w:val="0"/>
      <w:marTop w:val="0"/>
      <w:marBottom w:val="0"/>
      <w:divBdr>
        <w:top w:val="none" w:sz="0" w:space="0" w:color="auto"/>
        <w:left w:val="none" w:sz="0" w:space="0" w:color="auto"/>
        <w:bottom w:val="none" w:sz="0" w:space="0" w:color="auto"/>
        <w:right w:val="none" w:sz="0" w:space="0" w:color="auto"/>
      </w:divBdr>
    </w:div>
    <w:div w:id="1379165867">
      <w:bodyDiv w:val="1"/>
      <w:marLeft w:val="0"/>
      <w:marRight w:val="0"/>
      <w:marTop w:val="0"/>
      <w:marBottom w:val="0"/>
      <w:divBdr>
        <w:top w:val="none" w:sz="0" w:space="0" w:color="auto"/>
        <w:left w:val="none" w:sz="0" w:space="0" w:color="auto"/>
        <w:bottom w:val="none" w:sz="0" w:space="0" w:color="auto"/>
        <w:right w:val="none" w:sz="0" w:space="0" w:color="auto"/>
      </w:divBdr>
    </w:div>
    <w:div w:id="1387528958">
      <w:bodyDiv w:val="1"/>
      <w:marLeft w:val="0"/>
      <w:marRight w:val="0"/>
      <w:marTop w:val="0"/>
      <w:marBottom w:val="0"/>
      <w:divBdr>
        <w:top w:val="none" w:sz="0" w:space="0" w:color="auto"/>
        <w:left w:val="none" w:sz="0" w:space="0" w:color="auto"/>
        <w:bottom w:val="none" w:sz="0" w:space="0" w:color="auto"/>
        <w:right w:val="none" w:sz="0" w:space="0" w:color="auto"/>
      </w:divBdr>
    </w:div>
    <w:div w:id="1406881240">
      <w:bodyDiv w:val="1"/>
      <w:marLeft w:val="0"/>
      <w:marRight w:val="0"/>
      <w:marTop w:val="0"/>
      <w:marBottom w:val="0"/>
      <w:divBdr>
        <w:top w:val="none" w:sz="0" w:space="0" w:color="auto"/>
        <w:left w:val="none" w:sz="0" w:space="0" w:color="auto"/>
        <w:bottom w:val="none" w:sz="0" w:space="0" w:color="auto"/>
        <w:right w:val="none" w:sz="0" w:space="0" w:color="auto"/>
      </w:divBdr>
    </w:div>
    <w:div w:id="1407923120">
      <w:bodyDiv w:val="1"/>
      <w:marLeft w:val="0"/>
      <w:marRight w:val="0"/>
      <w:marTop w:val="0"/>
      <w:marBottom w:val="0"/>
      <w:divBdr>
        <w:top w:val="none" w:sz="0" w:space="0" w:color="auto"/>
        <w:left w:val="none" w:sz="0" w:space="0" w:color="auto"/>
        <w:bottom w:val="none" w:sz="0" w:space="0" w:color="auto"/>
        <w:right w:val="none" w:sz="0" w:space="0" w:color="auto"/>
      </w:divBdr>
    </w:div>
    <w:div w:id="1418479819">
      <w:bodyDiv w:val="1"/>
      <w:marLeft w:val="0"/>
      <w:marRight w:val="0"/>
      <w:marTop w:val="0"/>
      <w:marBottom w:val="0"/>
      <w:divBdr>
        <w:top w:val="none" w:sz="0" w:space="0" w:color="auto"/>
        <w:left w:val="none" w:sz="0" w:space="0" w:color="auto"/>
        <w:bottom w:val="none" w:sz="0" w:space="0" w:color="auto"/>
        <w:right w:val="none" w:sz="0" w:space="0" w:color="auto"/>
      </w:divBdr>
    </w:div>
    <w:div w:id="1428841745">
      <w:bodyDiv w:val="1"/>
      <w:marLeft w:val="0"/>
      <w:marRight w:val="0"/>
      <w:marTop w:val="0"/>
      <w:marBottom w:val="0"/>
      <w:divBdr>
        <w:top w:val="none" w:sz="0" w:space="0" w:color="auto"/>
        <w:left w:val="none" w:sz="0" w:space="0" w:color="auto"/>
        <w:bottom w:val="none" w:sz="0" w:space="0" w:color="auto"/>
        <w:right w:val="none" w:sz="0" w:space="0" w:color="auto"/>
      </w:divBdr>
    </w:div>
    <w:div w:id="1447192927">
      <w:bodyDiv w:val="1"/>
      <w:marLeft w:val="0"/>
      <w:marRight w:val="0"/>
      <w:marTop w:val="0"/>
      <w:marBottom w:val="0"/>
      <w:divBdr>
        <w:top w:val="none" w:sz="0" w:space="0" w:color="auto"/>
        <w:left w:val="none" w:sz="0" w:space="0" w:color="auto"/>
        <w:bottom w:val="none" w:sz="0" w:space="0" w:color="auto"/>
        <w:right w:val="none" w:sz="0" w:space="0" w:color="auto"/>
      </w:divBdr>
    </w:div>
    <w:div w:id="1467967346">
      <w:bodyDiv w:val="1"/>
      <w:marLeft w:val="0"/>
      <w:marRight w:val="0"/>
      <w:marTop w:val="0"/>
      <w:marBottom w:val="0"/>
      <w:divBdr>
        <w:top w:val="none" w:sz="0" w:space="0" w:color="auto"/>
        <w:left w:val="none" w:sz="0" w:space="0" w:color="auto"/>
        <w:bottom w:val="none" w:sz="0" w:space="0" w:color="auto"/>
        <w:right w:val="none" w:sz="0" w:space="0" w:color="auto"/>
      </w:divBdr>
    </w:div>
    <w:div w:id="1484735117">
      <w:bodyDiv w:val="1"/>
      <w:marLeft w:val="0"/>
      <w:marRight w:val="0"/>
      <w:marTop w:val="0"/>
      <w:marBottom w:val="0"/>
      <w:divBdr>
        <w:top w:val="none" w:sz="0" w:space="0" w:color="auto"/>
        <w:left w:val="none" w:sz="0" w:space="0" w:color="auto"/>
        <w:bottom w:val="none" w:sz="0" w:space="0" w:color="auto"/>
        <w:right w:val="none" w:sz="0" w:space="0" w:color="auto"/>
      </w:divBdr>
    </w:div>
    <w:div w:id="1512404168">
      <w:bodyDiv w:val="1"/>
      <w:marLeft w:val="0"/>
      <w:marRight w:val="0"/>
      <w:marTop w:val="0"/>
      <w:marBottom w:val="0"/>
      <w:divBdr>
        <w:top w:val="none" w:sz="0" w:space="0" w:color="auto"/>
        <w:left w:val="none" w:sz="0" w:space="0" w:color="auto"/>
        <w:bottom w:val="none" w:sz="0" w:space="0" w:color="auto"/>
        <w:right w:val="none" w:sz="0" w:space="0" w:color="auto"/>
      </w:divBdr>
    </w:div>
    <w:div w:id="1520002959">
      <w:bodyDiv w:val="1"/>
      <w:marLeft w:val="0"/>
      <w:marRight w:val="0"/>
      <w:marTop w:val="0"/>
      <w:marBottom w:val="0"/>
      <w:divBdr>
        <w:top w:val="none" w:sz="0" w:space="0" w:color="auto"/>
        <w:left w:val="none" w:sz="0" w:space="0" w:color="auto"/>
        <w:bottom w:val="none" w:sz="0" w:space="0" w:color="auto"/>
        <w:right w:val="none" w:sz="0" w:space="0" w:color="auto"/>
      </w:divBdr>
    </w:div>
    <w:div w:id="1529177485">
      <w:bodyDiv w:val="1"/>
      <w:marLeft w:val="0"/>
      <w:marRight w:val="0"/>
      <w:marTop w:val="0"/>
      <w:marBottom w:val="0"/>
      <w:divBdr>
        <w:top w:val="none" w:sz="0" w:space="0" w:color="auto"/>
        <w:left w:val="none" w:sz="0" w:space="0" w:color="auto"/>
        <w:bottom w:val="none" w:sz="0" w:space="0" w:color="auto"/>
        <w:right w:val="none" w:sz="0" w:space="0" w:color="auto"/>
      </w:divBdr>
    </w:div>
    <w:div w:id="1530803142">
      <w:bodyDiv w:val="1"/>
      <w:marLeft w:val="0"/>
      <w:marRight w:val="0"/>
      <w:marTop w:val="0"/>
      <w:marBottom w:val="0"/>
      <w:divBdr>
        <w:top w:val="none" w:sz="0" w:space="0" w:color="auto"/>
        <w:left w:val="none" w:sz="0" w:space="0" w:color="auto"/>
        <w:bottom w:val="none" w:sz="0" w:space="0" w:color="auto"/>
        <w:right w:val="none" w:sz="0" w:space="0" w:color="auto"/>
      </w:divBdr>
    </w:div>
    <w:div w:id="1533878829">
      <w:bodyDiv w:val="1"/>
      <w:marLeft w:val="0"/>
      <w:marRight w:val="0"/>
      <w:marTop w:val="0"/>
      <w:marBottom w:val="0"/>
      <w:divBdr>
        <w:top w:val="none" w:sz="0" w:space="0" w:color="auto"/>
        <w:left w:val="none" w:sz="0" w:space="0" w:color="auto"/>
        <w:bottom w:val="none" w:sz="0" w:space="0" w:color="auto"/>
        <w:right w:val="none" w:sz="0" w:space="0" w:color="auto"/>
      </w:divBdr>
    </w:div>
    <w:div w:id="1537542479">
      <w:bodyDiv w:val="1"/>
      <w:marLeft w:val="0"/>
      <w:marRight w:val="0"/>
      <w:marTop w:val="0"/>
      <w:marBottom w:val="0"/>
      <w:divBdr>
        <w:top w:val="none" w:sz="0" w:space="0" w:color="auto"/>
        <w:left w:val="none" w:sz="0" w:space="0" w:color="auto"/>
        <w:bottom w:val="none" w:sz="0" w:space="0" w:color="auto"/>
        <w:right w:val="none" w:sz="0" w:space="0" w:color="auto"/>
      </w:divBdr>
    </w:div>
    <w:div w:id="1542783859">
      <w:bodyDiv w:val="1"/>
      <w:marLeft w:val="0"/>
      <w:marRight w:val="0"/>
      <w:marTop w:val="0"/>
      <w:marBottom w:val="0"/>
      <w:divBdr>
        <w:top w:val="none" w:sz="0" w:space="0" w:color="auto"/>
        <w:left w:val="none" w:sz="0" w:space="0" w:color="auto"/>
        <w:bottom w:val="none" w:sz="0" w:space="0" w:color="auto"/>
        <w:right w:val="none" w:sz="0" w:space="0" w:color="auto"/>
      </w:divBdr>
    </w:div>
    <w:div w:id="1545824395">
      <w:bodyDiv w:val="1"/>
      <w:marLeft w:val="0"/>
      <w:marRight w:val="0"/>
      <w:marTop w:val="0"/>
      <w:marBottom w:val="0"/>
      <w:divBdr>
        <w:top w:val="none" w:sz="0" w:space="0" w:color="auto"/>
        <w:left w:val="none" w:sz="0" w:space="0" w:color="auto"/>
        <w:bottom w:val="none" w:sz="0" w:space="0" w:color="auto"/>
        <w:right w:val="none" w:sz="0" w:space="0" w:color="auto"/>
      </w:divBdr>
    </w:div>
    <w:div w:id="1570387667">
      <w:bodyDiv w:val="1"/>
      <w:marLeft w:val="0"/>
      <w:marRight w:val="0"/>
      <w:marTop w:val="0"/>
      <w:marBottom w:val="0"/>
      <w:divBdr>
        <w:top w:val="none" w:sz="0" w:space="0" w:color="auto"/>
        <w:left w:val="none" w:sz="0" w:space="0" w:color="auto"/>
        <w:bottom w:val="none" w:sz="0" w:space="0" w:color="auto"/>
        <w:right w:val="none" w:sz="0" w:space="0" w:color="auto"/>
      </w:divBdr>
    </w:div>
    <w:div w:id="1571647964">
      <w:bodyDiv w:val="1"/>
      <w:marLeft w:val="0"/>
      <w:marRight w:val="0"/>
      <w:marTop w:val="0"/>
      <w:marBottom w:val="0"/>
      <w:divBdr>
        <w:top w:val="none" w:sz="0" w:space="0" w:color="auto"/>
        <w:left w:val="none" w:sz="0" w:space="0" w:color="auto"/>
        <w:bottom w:val="none" w:sz="0" w:space="0" w:color="auto"/>
        <w:right w:val="none" w:sz="0" w:space="0" w:color="auto"/>
      </w:divBdr>
    </w:div>
    <w:div w:id="1590967978">
      <w:bodyDiv w:val="1"/>
      <w:marLeft w:val="0"/>
      <w:marRight w:val="0"/>
      <w:marTop w:val="0"/>
      <w:marBottom w:val="0"/>
      <w:divBdr>
        <w:top w:val="none" w:sz="0" w:space="0" w:color="auto"/>
        <w:left w:val="none" w:sz="0" w:space="0" w:color="auto"/>
        <w:bottom w:val="none" w:sz="0" w:space="0" w:color="auto"/>
        <w:right w:val="none" w:sz="0" w:space="0" w:color="auto"/>
      </w:divBdr>
    </w:div>
    <w:div w:id="1592079932">
      <w:bodyDiv w:val="1"/>
      <w:marLeft w:val="0"/>
      <w:marRight w:val="0"/>
      <w:marTop w:val="0"/>
      <w:marBottom w:val="0"/>
      <w:divBdr>
        <w:top w:val="none" w:sz="0" w:space="0" w:color="auto"/>
        <w:left w:val="none" w:sz="0" w:space="0" w:color="auto"/>
        <w:bottom w:val="none" w:sz="0" w:space="0" w:color="auto"/>
        <w:right w:val="none" w:sz="0" w:space="0" w:color="auto"/>
      </w:divBdr>
    </w:div>
    <w:div w:id="1596523296">
      <w:bodyDiv w:val="1"/>
      <w:marLeft w:val="0"/>
      <w:marRight w:val="0"/>
      <w:marTop w:val="0"/>
      <w:marBottom w:val="0"/>
      <w:divBdr>
        <w:top w:val="none" w:sz="0" w:space="0" w:color="auto"/>
        <w:left w:val="none" w:sz="0" w:space="0" w:color="auto"/>
        <w:bottom w:val="none" w:sz="0" w:space="0" w:color="auto"/>
        <w:right w:val="none" w:sz="0" w:space="0" w:color="auto"/>
      </w:divBdr>
    </w:div>
    <w:div w:id="1598830036">
      <w:bodyDiv w:val="1"/>
      <w:marLeft w:val="0"/>
      <w:marRight w:val="0"/>
      <w:marTop w:val="0"/>
      <w:marBottom w:val="0"/>
      <w:divBdr>
        <w:top w:val="none" w:sz="0" w:space="0" w:color="auto"/>
        <w:left w:val="none" w:sz="0" w:space="0" w:color="auto"/>
        <w:bottom w:val="none" w:sz="0" w:space="0" w:color="auto"/>
        <w:right w:val="none" w:sz="0" w:space="0" w:color="auto"/>
      </w:divBdr>
    </w:div>
    <w:div w:id="1619532805">
      <w:bodyDiv w:val="1"/>
      <w:marLeft w:val="0"/>
      <w:marRight w:val="0"/>
      <w:marTop w:val="0"/>
      <w:marBottom w:val="0"/>
      <w:divBdr>
        <w:top w:val="none" w:sz="0" w:space="0" w:color="auto"/>
        <w:left w:val="none" w:sz="0" w:space="0" w:color="auto"/>
        <w:bottom w:val="none" w:sz="0" w:space="0" w:color="auto"/>
        <w:right w:val="none" w:sz="0" w:space="0" w:color="auto"/>
      </w:divBdr>
    </w:div>
    <w:div w:id="1627353301">
      <w:bodyDiv w:val="1"/>
      <w:marLeft w:val="0"/>
      <w:marRight w:val="0"/>
      <w:marTop w:val="0"/>
      <w:marBottom w:val="0"/>
      <w:divBdr>
        <w:top w:val="none" w:sz="0" w:space="0" w:color="auto"/>
        <w:left w:val="none" w:sz="0" w:space="0" w:color="auto"/>
        <w:bottom w:val="none" w:sz="0" w:space="0" w:color="auto"/>
        <w:right w:val="none" w:sz="0" w:space="0" w:color="auto"/>
      </w:divBdr>
    </w:div>
    <w:div w:id="1628003814">
      <w:bodyDiv w:val="1"/>
      <w:marLeft w:val="0"/>
      <w:marRight w:val="0"/>
      <w:marTop w:val="0"/>
      <w:marBottom w:val="0"/>
      <w:divBdr>
        <w:top w:val="none" w:sz="0" w:space="0" w:color="auto"/>
        <w:left w:val="none" w:sz="0" w:space="0" w:color="auto"/>
        <w:bottom w:val="none" w:sz="0" w:space="0" w:color="auto"/>
        <w:right w:val="none" w:sz="0" w:space="0" w:color="auto"/>
      </w:divBdr>
    </w:div>
    <w:div w:id="1628121139">
      <w:bodyDiv w:val="1"/>
      <w:marLeft w:val="0"/>
      <w:marRight w:val="0"/>
      <w:marTop w:val="0"/>
      <w:marBottom w:val="0"/>
      <w:divBdr>
        <w:top w:val="none" w:sz="0" w:space="0" w:color="auto"/>
        <w:left w:val="none" w:sz="0" w:space="0" w:color="auto"/>
        <w:bottom w:val="none" w:sz="0" w:space="0" w:color="auto"/>
        <w:right w:val="none" w:sz="0" w:space="0" w:color="auto"/>
      </w:divBdr>
    </w:div>
    <w:div w:id="1628122856">
      <w:bodyDiv w:val="1"/>
      <w:marLeft w:val="0"/>
      <w:marRight w:val="0"/>
      <w:marTop w:val="0"/>
      <w:marBottom w:val="0"/>
      <w:divBdr>
        <w:top w:val="none" w:sz="0" w:space="0" w:color="auto"/>
        <w:left w:val="none" w:sz="0" w:space="0" w:color="auto"/>
        <w:bottom w:val="none" w:sz="0" w:space="0" w:color="auto"/>
        <w:right w:val="none" w:sz="0" w:space="0" w:color="auto"/>
      </w:divBdr>
    </w:div>
    <w:div w:id="1636370827">
      <w:bodyDiv w:val="1"/>
      <w:marLeft w:val="0"/>
      <w:marRight w:val="0"/>
      <w:marTop w:val="0"/>
      <w:marBottom w:val="0"/>
      <w:divBdr>
        <w:top w:val="none" w:sz="0" w:space="0" w:color="auto"/>
        <w:left w:val="none" w:sz="0" w:space="0" w:color="auto"/>
        <w:bottom w:val="none" w:sz="0" w:space="0" w:color="auto"/>
        <w:right w:val="none" w:sz="0" w:space="0" w:color="auto"/>
      </w:divBdr>
    </w:div>
    <w:div w:id="1643384162">
      <w:bodyDiv w:val="1"/>
      <w:marLeft w:val="0"/>
      <w:marRight w:val="0"/>
      <w:marTop w:val="0"/>
      <w:marBottom w:val="0"/>
      <w:divBdr>
        <w:top w:val="none" w:sz="0" w:space="0" w:color="auto"/>
        <w:left w:val="none" w:sz="0" w:space="0" w:color="auto"/>
        <w:bottom w:val="none" w:sz="0" w:space="0" w:color="auto"/>
        <w:right w:val="none" w:sz="0" w:space="0" w:color="auto"/>
      </w:divBdr>
    </w:div>
    <w:div w:id="1648319162">
      <w:bodyDiv w:val="1"/>
      <w:marLeft w:val="0"/>
      <w:marRight w:val="0"/>
      <w:marTop w:val="0"/>
      <w:marBottom w:val="0"/>
      <w:divBdr>
        <w:top w:val="none" w:sz="0" w:space="0" w:color="auto"/>
        <w:left w:val="none" w:sz="0" w:space="0" w:color="auto"/>
        <w:bottom w:val="none" w:sz="0" w:space="0" w:color="auto"/>
        <w:right w:val="none" w:sz="0" w:space="0" w:color="auto"/>
      </w:divBdr>
    </w:div>
    <w:div w:id="1682970705">
      <w:bodyDiv w:val="1"/>
      <w:marLeft w:val="0"/>
      <w:marRight w:val="0"/>
      <w:marTop w:val="0"/>
      <w:marBottom w:val="0"/>
      <w:divBdr>
        <w:top w:val="none" w:sz="0" w:space="0" w:color="auto"/>
        <w:left w:val="none" w:sz="0" w:space="0" w:color="auto"/>
        <w:bottom w:val="none" w:sz="0" w:space="0" w:color="auto"/>
        <w:right w:val="none" w:sz="0" w:space="0" w:color="auto"/>
      </w:divBdr>
    </w:div>
    <w:div w:id="1686638496">
      <w:bodyDiv w:val="1"/>
      <w:marLeft w:val="0"/>
      <w:marRight w:val="0"/>
      <w:marTop w:val="0"/>
      <w:marBottom w:val="0"/>
      <w:divBdr>
        <w:top w:val="none" w:sz="0" w:space="0" w:color="auto"/>
        <w:left w:val="none" w:sz="0" w:space="0" w:color="auto"/>
        <w:bottom w:val="none" w:sz="0" w:space="0" w:color="auto"/>
        <w:right w:val="none" w:sz="0" w:space="0" w:color="auto"/>
      </w:divBdr>
    </w:div>
    <w:div w:id="1686976929">
      <w:bodyDiv w:val="1"/>
      <w:marLeft w:val="0"/>
      <w:marRight w:val="0"/>
      <w:marTop w:val="0"/>
      <w:marBottom w:val="0"/>
      <w:divBdr>
        <w:top w:val="none" w:sz="0" w:space="0" w:color="auto"/>
        <w:left w:val="none" w:sz="0" w:space="0" w:color="auto"/>
        <w:bottom w:val="none" w:sz="0" w:space="0" w:color="auto"/>
        <w:right w:val="none" w:sz="0" w:space="0" w:color="auto"/>
      </w:divBdr>
    </w:div>
    <w:div w:id="1687902553">
      <w:bodyDiv w:val="1"/>
      <w:marLeft w:val="0"/>
      <w:marRight w:val="0"/>
      <w:marTop w:val="0"/>
      <w:marBottom w:val="0"/>
      <w:divBdr>
        <w:top w:val="none" w:sz="0" w:space="0" w:color="auto"/>
        <w:left w:val="none" w:sz="0" w:space="0" w:color="auto"/>
        <w:bottom w:val="none" w:sz="0" w:space="0" w:color="auto"/>
        <w:right w:val="none" w:sz="0" w:space="0" w:color="auto"/>
      </w:divBdr>
    </w:div>
    <w:div w:id="1697273410">
      <w:bodyDiv w:val="1"/>
      <w:marLeft w:val="0"/>
      <w:marRight w:val="0"/>
      <w:marTop w:val="0"/>
      <w:marBottom w:val="0"/>
      <w:divBdr>
        <w:top w:val="none" w:sz="0" w:space="0" w:color="auto"/>
        <w:left w:val="none" w:sz="0" w:space="0" w:color="auto"/>
        <w:bottom w:val="none" w:sz="0" w:space="0" w:color="auto"/>
        <w:right w:val="none" w:sz="0" w:space="0" w:color="auto"/>
      </w:divBdr>
    </w:div>
    <w:div w:id="1705864876">
      <w:bodyDiv w:val="1"/>
      <w:marLeft w:val="0"/>
      <w:marRight w:val="0"/>
      <w:marTop w:val="0"/>
      <w:marBottom w:val="0"/>
      <w:divBdr>
        <w:top w:val="none" w:sz="0" w:space="0" w:color="auto"/>
        <w:left w:val="none" w:sz="0" w:space="0" w:color="auto"/>
        <w:bottom w:val="none" w:sz="0" w:space="0" w:color="auto"/>
        <w:right w:val="none" w:sz="0" w:space="0" w:color="auto"/>
      </w:divBdr>
    </w:div>
    <w:div w:id="1707440624">
      <w:bodyDiv w:val="1"/>
      <w:marLeft w:val="0"/>
      <w:marRight w:val="0"/>
      <w:marTop w:val="0"/>
      <w:marBottom w:val="0"/>
      <w:divBdr>
        <w:top w:val="none" w:sz="0" w:space="0" w:color="auto"/>
        <w:left w:val="none" w:sz="0" w:space="0" w:color="auto"/>
        <w:bottom w:val="none" w:sz="0" w:space="0" w:color="auto"/>
        <w:right w:val="none" w:sz="0" w:space="0" w:color="auto"/>
      </w:divBdr>
    </w:div>
    <w:div w:id="1708329315">
      <w:bodyDiv w:val="1"/>
      <w:marLeft w:val="0"/>
      <w:marRight w:val="0"/>
      <w:marTop w:val="0"/>
      <w:marBottom w:val="0"/>
      <w:divBdr>
        <w:top w:val="none" w:sz="0" w:space="0" w:color="auto"/>
        <w:left w:val="none" w:sz="0" w:space="0" w:color="auto"/>
        <w:bottom w:val="none" w:sz="0" w:space="0" w:color="auto"/>
        <w:right w:val="none" w:sz="0" w:space="0" w:color="auto"/>
      </w:divBdr>
    </w:div>
    <w:div w:id="1709066634">
      <w:bodyDiv w:val="1"/>
      <w:marLeft w:val="0"/>
      <w:marRight w:val="0"/>
      <w:marTop w:val="0"/>
      <w:marBottom w:val="0"/>
      <w:divBdr>
        <w:top w:val="none" w:sz="0" w:space="0" w:color="auto"/>
        <w:left w:val="none" w:sz="0" w:space="0" w:color="auto"/>
        <w:bottom w:val="none" w:sz="0" w:space="0" w:color="auto"/>
        <w:right w:val="none" w:sz="0" w:space="0" w:color="auto"/>
      </w:divBdr>
    </w:div>
    <w:div w:id="1712458718">
      <w:bodyDiv w:val="1"/>
      <w:marLeft w:val="0"/>
      <w:marRight w:val="0"/>
      <w:marTop w:val="0"/>
      <w:marBottom w:val="0"/>
      <w:divBdr>
        <w:top w:val="none" w:sz="0" w:space="0" w:color="auto"/>
        <w:left w:val="none" w:sz="0" w:space="0" w:color="auto"/>
        <w:bottom w:val="none" w:sz="0" w:space="0" w:color="auto"/>
        <w:right w:val="none" w:sz="0" w:space="0" w:color="auto"/>
      </w:divBdr>
    </w:div>
    <w:div w:id="1720473711">
      <w:bodyDiv w:val="1"/>
      <w:marLeft w:val="0"/>
      <w:marRight w:val="0"/>
      <w:marTop w:val="0"/>
      <w:marBottom w:val="0"/>
      <w:divBdr>
        <w:top w:val="none" w:sz="0" w:space="0" w:color="auto"/>
        <w:left w:val="none" w:sz="0" w:space="0" w:color="auto"/>
        <w:bottom w:val="none" w:sz="0" w:space="0" w:color="auto"/>
        <w:right w:val="none" w:sz="0" w:space="0" w:color="auto"/>
      </w:divBdr>
    </w:div>
    <w:div w:id="1734310923">
      <w:bodyDiv w:val="1"/>
      <w:marLeft w:val="0"/>
      <w:marRight w:val="0"/>
      <w:marTop w:val="0"/>
      <w:marBottom w:val="0"/>
      <w:divBdr>
        <w:top w:val="none" w:sz="0" w:space="0" w:color="auto"/>
        <w:left w:val="none" w:sz="0" w:space="0" w:color="auto"/>
        <w:bottom w:val="none" w:sz="0" w:space="0" w:color="auto"/>
        <w:right w:val="none" w:sz="0" w:space="0" w:color="auto"/>
      </w:divBdr>
    </w:div>
    <w:div w:id="1746218866">
      <w:bodyDiv w:val="1"/>
      <w:marLeft w:val="0"/>
      <w:marRight w:val="0"/>
      <w:marTop w:val="0"/>
      <w:marBottom w:val="0"/>
      <w:divBdr>
        <w:top w:val="none" w:sz="0" w:space="0" w:color="auto"/>
        <w:left w:val="none" w:sz="0" w:space="0" w:color="auto"/>
        <w:bottom w:val="none" w:sz="0" w:space="0" w:color="auto"/>
        <w:right w:val="none" w:sz="0" w:space="0" w:color="auto"/>
      </w:divBdr>
    </w:div>
    <w:div w:id="1758359280">
      <w:bodyDiv w:val="1"/>
      <w:marLeft w:val="0"/>
      <w:marRight w:val="0"/>
      <w:marTop w:val="0"/>
      <w:marBottom w:val="0"/>
      <w:divBdr>
        <w:top w:val="none" w:sz="0" w:space="0" w:color="auto"/>
        <w:left w:val="none" w:sz="0" w:space="0" w:color="auto"/>
        <w:bottom w:val="none" w:sz="0" w:space="0" w:color="auto"/>
        <w:right w:val="none" w:sz="0" w:space="0" w:color="auto"/>
      </w:divBdr>
    </w:div>
    <w:div w:id="1790931262">
      <w:bodyDiv w:val="1"/>
      <w:marLeft w:val="0"/>
      <w:marRight w:val="0"/>
      <w:marTop w:val="0"/>
      <w:marBottom w:val="0"/>
      <w:divBdr>
        <w:top w:val="none" w:sz="0" w:space="0" w:color="auto"/>
        <w:left w:val="none" w:sz="0" w:space="0" w:color="auto"/>
        <w:bottom w:val="none" w:sz="0" w:space="0" w:color="auto"/>
        <w:right w:val="none" w:sz="0" w:space="0" w:color="auto"/>
      </w:divBdr>
    </w:div>
    <w:div w:id="1800030697">
      <w:bodyDiv w:val="1"/>
      <w:marLeft w:val="0"/>
      <w:marRight w:val="0"/>
      <w:marTop w:val="0"/>
      <w:marBottom w:val="0"/>
      <w:divBdr>
        <w:top w:val="none" w:sz="0" w:space="0" w:color="auto"/>
        <w:left w:val="none" w:sz="0" w:space="0" w:color="auto"/>
        <w:bottom w:val="none" w:sz="0" w:space="0" w:color="auto"/>
        <w:right w:val="none" w:sz="0" w:space="0" w:color="auto"/>
      </w:divBdr>
    </w:div>
    <w:div w:id="1816676664">
      <w:bodyDiv w:val="1"/>
      <w:marLeft w:val="0"/>
      <w:marRight w:val="0"/>
      <w:marTop w:val="0"/>
      <w:marBottom w:val="0"/>
      <w:divBdr>
        <w:top w:val="none" w:sz="0" w:space="0" w:color="auto"/>
        <w:left w:val="none" w:sz="0" w:space="0" w:color="auto"/>
        <w:bottom w:val="none" w:sz="0" w:space="0" w:color="auto"/>
        <w:right w:val="none" w:sz="0" w:space="0" w:color="auto"/>
      </w:divBdr>
    </w:div>
    <w:div w:id="1816794541">
      <w:bodyDiv w:val="1"/>
      <w:marLeft w:val="0"/>
      <w:marRight w:val="0"/>
      <w:marTop w:val="0"/>
      <w:marBottom w:val="0"/>
      <w:divBdr>
        <w:top w:val="none" w:sz="0" w:space="0" w:color="auto"/>
        <w:left w:val="none" w:sz="0" w:space="0" w:color="auto"/>
        <w:bottom w:val="none" w:sz="0" w:space="0" w:color="auto"/>
        <w:right w:val="none" w:sz="0" w:space="0" w:color="auto"/>
      </w:divBdr>
    </w:div>
    <w:div w:id="1821001071">
      <w:bodyDiv w:val="1"/>
      <w:marLeft w:val="0"/>
      <w:marRight w:val="0"/>
      <w:marTop w:val="0"/>
      <w:marBottom w:val="0"/>
      <w:divBdr>
        <w:top w:val="none" w:sz="0" w:space="0" w:color="auto"/>
        <w:left w:val="none" w:sz="0" w:space="0" w:color="auto"/>
        <w:bottom w:val="none" w:sz="0" w:space="0" w:color="auto"/>
        <w:right w:val="none" w:sz="0" w:space="0" w:color="auto"/>
      </w:divBdr>
    </w:div>
    <w:div w:id="1827742121">
      <w:bodyDiv w:val="1"/>
      <w:marLeft w:val="0"/>
      <w:marRight w:val="0"/>
      <w:marTop w:val="0"/>
      <w:marBottom w:val="0"/>
      <w:divBdr>
        <w:top w:val="none" w:sz="0" w:space="0" w:color="auto"/>
        <w:left w:val="none" w:sz="0" w:space="0" w:color="auto"/>
        <w:bottom w:val="none" w:sz="0" w:space="0" w:color="auto"/>
        <w:right w:val="none" w:sz="0" w:space="0" w:color="auto"/>
      </w:divBdr>
    </w:div>
    <w:div w:id="1843621772">
      <w:bodyDiv w:val="1"/>
      <w:marLeft w:val="0"/>
      <w:marRight w:val="0"/>
      <w:marTop w:val="0"/>
      <w:marBottom w:val="0"/>
      <w:divBdr>
        <w:top w:val="none" w:sz="0" w:space="0" w:color="auto"/>
        <w:left w:val="none" w:sz="0" w:space="0" w:color="auto"/>
        <w:bottom w:val="none" w:sz="0" w:space="0" w:color="auto"/>
        <w:right w:val="none" w:sz="0" w:space="0" w:color="auto"/>
      </w:divBdr>
    </w:div>
    <w:div w:id="1845630105">
      <w:bodyDiv w:val="1"/>
      <w:marLeft w:val="0"/>
      <w:marRight w:val="0"/>
      <w:marTop w:val="0"/>
      <w:marBottom w:val="0"/>
      <w:divBdr>
        <w:top w:val="none" w:sz="0" w:space="0" w:color="auto"/>
        <w:left w:val="none" w:sz="0" w:space="0" w:color="auto"/>
        <w:bottom w:val="none" w:sz="0" w:space="0" w:color="auto"/>
        <w:right w:val="none" w:sz="0" w:space="0" w:color="auto"/>
      </w:divBdr>
    </w:div>
    <w:div w:id="1862429228">
      <w:bodyDiv w:val="1"/>
      <w:marLeft w:val="0"/>
      <w:marRight w:val="0"/>
      <w:marTop w:val="0"/>
      <w:marBottom w:val="0"/>
      <w:divBdr>
        <w:top w:val="none" w:sz="0" w:space="0" w:color="auto"/>
        <w:left w:val="none" w:sz="0" w:space="0" w:color="auto"/>
        <w:bottom w:val="none" w:sz="0" w:space="0" w:color="auto"/>
        <w:right w:val="none" w:sz="0" w:space="0" w:color="auto"/>
      </w:divBdr>
    </w:div>
    <w:div w:id="1865943475">
      <w:bodyDiv w:val="1"/>
      <w:marLeft w:val="0"/>
      <w:marRight w:val="0"/>
      <w:marTop w:val="0"/>
      <w:marBottom w:val="0"/>
      <w:divBdr>
        <w:top w:val="none" w:sz="0" w:space="0" w:color="auto"/>
        <w:left w:val="none" w:sz="0" w:space="0" w:color="auto"/>
        <w:bottom w:val="none" w:sz="0" w:space="0" w:color="auto"/>
        <w:right w:val="none" w:sz="0" w:space="0" w:color="auto"/>
      </w:divBdr>
    </w:div>
    <w:div w:id="1892304883">
      <w:bodyDiv w:val="1"/>
      <w:marLeft w:val="0"/>
      <w:marRight w:val="0"/>
      <w:marTop w:val="0"/>
      <w:marBottom w:val="0"/>
      <w:divBdr>
        <w:top w:val="none" w:sz="0" w:space="0" w:color="auto"/>
        <w:left w:val="none" w:sz="0" w:space="0" w:color="auto"/>
        <w:bottom w:val="none" w:sz="0" w:space="0" w:color="auto"/>
        <w:right w:val="none" w:sz="0" w:space="0" w:color="auto"/>
      </w:divBdr>
    </w:div>
    <w:div w:id="1893613703">
      <w:bodyDiv w:val="1"/>
      <w:marLeft w:val="0"/>
      <w:marRight w:val="0"/>
      <w:marTop w:val="0"/>
      <w:marBottom w:val="0"/>
      <w:divBdr>
        <w:top w:val="none" w:sz="0" w:space="0" w:color="auto"/>
        <w:left w:val="none" w:sz="0" w:space="0" w:color="auto"/>
        <w:bottom w:val="none" w:sz="0" w:space="0" w:color="auto"/>
        <w:right w:val="none" w:sz="0" w:space="0" w:color="auto"/>
      </w:divBdr>
    </w:div>
    <w:div w:id="1916016702">
      <w:bodyDiv w:val="1"/>
      <w:marLeft w:val="0"/>
      <w:marRight w:val="0"/>
      <w:marTop w:val="0"/>
      <w:marBottom w:val="0"/>
      <w:divBdr>
        <w:top w:val="none" w:sz="0" w:space="0" w:color="auto"/>
        <w:left w:val="none" w:sz="0" w:space="0" w:color="auto"/>
        <w:bottom w:val="none" w:sz="0" w:space="0" w:color="auto"/>
        <w:right w:val="none" w:sz="0" w:space="0" w:color="auto"/>
      </w:divBdr>
    </w:div>
    <w:div w:id="1917519145">
      <w:bodyDiv w:val="1"/>
      <w:marLeft w:val="0"/>
      <w:marRight w:val="0"/>
      <w:marTop w:val="0"/>
      <w:marBottom w:val="0"/>
      <w:divBdr>
        <w:top w:val="none" w:sz="0" w:space="0" w:color="auto"/>
        <w:left w:val="none" w:sz="0" w:space="0" w:color="auto"/>
        <w:bottom w:val="none" w:sz="0" w:space="0" w:color="auto"/>
        <w:right w:val="none" w:sz="0" w:space="0" w:color="auto"/>
      </w:divBdr>
    </w:div>
    <w:div w:id="1919053409">
      <w:bodyDiv w:val="1"/>
      <w:marLeft w:val="0"/>
      <w:marRight w:val="0"/>
      <w:marTop w:val="0"/>
      <w:marBottom w:val="0"/>
      <w:divBdr>
        <w:top w:val="none" w:sz="0" w:space="0" w:color="auto"/>
        <w:left w:val="none" w:sz="0" w:space="0" w:color="auto"/>
        <w:bottom w:val="none" w:sz="0" w:space="0" w:color="auto"/>
        <w:right w:val="none" w:sz="0" w:space="0" w:color="auto"/>
      </w:divBdr>
    </w:div>
    <w:div w:id="1926257097">
      <w:bodyDiv w:val="1"/>
      <w:marLeft w:val="0"/>
      <w:marRight w:val="0"/>
      <w:marTop w:val="0"/>
      <w:marBottom w:val="0"/>
      <w:divBdr>
        <w:top w:val="none" w:sz="0" w:space="0" w:color="auto"/>
        <w:left w:val="none" w:sz="0" w:space="0" w:color="auto"/>
        <w:bottom w:val="none" w:sz="0" w:space="0" w:color="auto"/>
        <w:right w:val="none" w:sz="0" w:space="0" w:color="auto"/>
      </w:divBdr>
    </w:div>
    <w:div w:id="1935821605">
      <w:bodyDiv w:val="1"/>
      <w:marLeft w:val="0"/>
      <w:marRight w:val="0"/>
      <w:marTop w:val="0"/>
      <w:marBottom w:val="0"/>
      <w:divBdr>
        <w:top w:val="none" w:sz="0" w:space="0" w:color="auto"/>
        <w:left w:val="none" w:sz="0" w:space="0" w:color="auto"/>
        <w:bottom w:val="none" w:sz="0" w:space="0" w:color="auto"/>
        <w:right w:val="none" w:sz="0" w:space="0" w:color="auto"/>
      </w:divBdr>
    </w:div>
    <w:div w:id="1942450394">
      <w:bodyDiv w:val="1"/>
      <w:marLeft w:val="0"/>
      <w:marRight w:val="0"/>
      <w:marTop w:val="0"/>
      <w:marBottom w:val="0"/>
      <w:divBdr>
        <w:top w:val="none" w:sz="0" w:space="0" w:color="auto"/>
        <w:left w:val="none" w:sz="0" w:space="0" w:color="auto"/>
        <w:bottom w:val="none" w:sz="0" w:space="0" w:color="auto"/>
        <w:right w:val="none" w:sz="0" w:space="0" w:color="auto"/>
      </w:divBdr>
    </w:div>
    <w:div w:id="1954053521">
      <w:bodyDiv w:val="1"/>
      <w:marLeft w:val="0"/>
      <w:marRight w:val="0"/>
      <w:marTop w:val="0"/>
      <w:marBottom w:val="0"/>
      <w:divBdr>
        <w:top w:val="none" w:sz="0" w:space="0" w:color="auto"/>
        <w:left w:val="none" w:sz="0" w:space="0" w:color="auto"/>
        <w:bottom w:val="none" w:sz="0" w:space="0" w:color="auto"/>
        <w:right w:val="none" w:sz="0" w:space="0" w:color="auto"/>
      </w:divBdr>
    </w:div>
    <w:div w:id="1956254305">
      <w:bodyDiv w:val="1"/>
      <w:marLeft w:val="0"/>
      <w:marRight w:val="0"/>
      <w:marTop w:val="0"/>
      <w:marBottom w:val="0"/>
      <w:divBdr>
        <w:top w:val="none" w:sz="0" w:space="0" w:color="auto"/>
        <w:left w:val="none" w:sz="0" w:space="0" w:color="auto"/>
        <w:bottom w:val="none" w:sz="0" w:space="0" w:color="auto"/>
        <w:right w:val="none" w:sz="0" w:space="0" w:color="auto"/>
      </w:divBdr>
    </w:div>
    <w:div w:id="1960527483">
      <w:bodyDiv w:val="1"/>
      <w:marLeft w:val="0"/>
      <w:marRight w:val="0"/>
      <w:marTop w:val="0"/>
      <w:marBottom w:val="0"/>
      <w:divBdr>
        <w:top w:val="none" w:sz="0" w:space="0" w:color="auto"/>
        <w:left w:val="none" w:sz="0" w:space="0" w:color="auto"/>
        <w:bottom w:val="none" w:sz="0" w:space="0" w:color="auto"/>
        <w:right w:val="none" w:sz="0" w:space="0" w:color="auto"/>
      </w:divBdr>
    </w:div>
    <w:div w:id="1961182210">
      <w:bodyDiv w:val="1"/>
      <w:marLeft w:val="0"/>
      <w:marRight w:val="0"/>
      <w:marTop w:val="0"/>
      <w:marBottom w:val="0"/>
      <w:divBdr>
        <w:top w:val="none" w:sz="0" w:space="0" w:color="auto"/>
        <w:left w:val="none" w:sz="0" w:space="0" w:color="auto"/>
        <w:bottom w:val="none" w:sz="0" w:space="0" w:color="auto"/>
        <w:right w:val="none" w:sz="0" w:space="0" w:color="auto"/>
      </w:divBdr>
    </w:div>
    <w:div w:id="1962301153">
      <w:bodyDiv w:val="1"/>
      <w:marLeft w:val="0"/>
      <w:marRight w:val="0"/>
      <w:marTop w:val="0"/>
      <w:marBottom w:val="0"/>
      <w:divBdr>
        <w:top w:val="none" w:sz="0" w:space="0" w:color="auto"/>
        <w:left w:val="none" w:sz="0" w:space="0" w:color="auto"/>
        <w:bottom w:val="none" w:sz="0" w:space="0" w:color="auto"/>
        <w:right w:val="none" w:sz="0" w:space="0" w:color="auto"/>
      </w:divBdr>
    </w:div>
    <w:div w:id="1971015719">
      <w:bodyDiv w:val="1"/>
      <w:marLeft w:val="0"/>
      <w:marRight w:val="0"/>
      <w:marTop w:val="0"/>
      <w:marBottom w:val="0"/>
      <w:divBdr>
        <w:top w:val="none" w:sz="0" w:space="0" w:color="auto"/>
        <w:left w:val="none" w:sz="0" w:space="0" w:color="auto"/>
        <w:bottom w:val="none" w:sz="0" w:space="0" w:color="auto"/>
        <w:right w:val="none" w:sz="0" w:space="0" w:color="auto"/>
      </w:divBdr>
    </w:div>
    <w:div w:id="1990012589">
      <w:bodyDiv w:val="1"/>
      <w:marLeft w:val="0"/>
      <w:marRight w:val="0"/>
      <w:marTop w:val="0"/>
      <w:marBottom w:val="0"/>
      <w:divBdr>
        <w:top w:val="none" w:sz="0" w:space="0" w:color="auto"/>
        <w:left w:val="none" w:sz="0" w:space="0" w:color="auto"/>
        <w:bottom w:val="none" w:sz="0" w:space="0" w:color="auto"/>
        <w:right w:val="none" w:sz="0" w:space="0" w:color="auto"/>
      </w:divBdr>
    </w:div>
    <w:div w:id="1994022266">
      <w:bodyDiv w:val="1"/>
      <w:marLeft w:val="0"/>
      <w:marRight w:val="0"/>
      <w:marTop w:val="0"/>
      <w:marBottom w:val="0"/>
      <w:divBdr>
        <w:top w:val="none" w:sz="0" w:space="0" w:color="auto"/>
        <w:left w:val="none" w:sz="0" w:space="0" w:color="auto"/>
        <w:bottom w:val="none" w:sz="0" w:space="0" w:color="auto"/>
        <w:right w:val="none" w:sz="0" w:space="0" w:color="auto"/>
      </w:divBdr>
    </w:div>
    <w:div w:id="2001347610">
      <w:bodyDiv w:val="1"/>
      <w:marLeft w:val="0"/>
      <w:marRight w:val="0"/>
      <w:marTop w:val="0"/>
      <w:marBottom w:val="0"/>
      <w:divBdr>
        <w:top w:val="none" w:sz="0" w:space="0" w:color="auto"/>
        <w:left w:val="none" w:sz="0" w:space="0" w:color="auto"/>
        <w:bottom w:val="none" w:sz="0" w:space="0" w:color="auto"/>
        <w:right w:val="none" w:sz="0" w:space="0" w:color="auto"/>
      </w:divBdr>
    </w:div>
    <w:div w:id="2003124788">
      <w:bodyDiv w:val="1"/>
      <w:marLeft w:val="0"/>
      <w:marRight w:val="0"/>
      <w:marTop w:val="0"/>
      <w:marBottom w:val="0"/>
      <w:divBdr>
        <w:top w:val="none" w:sz="0" w:space="0" w:color="auto"/>
        <w:left w:val="none" w:sz="0" w:space="0" w:color="auto"/>
        <w:bottom w:val="none" w:sz="0" w:space="0" w:color="auto"/>
        <w:right w:val="none" w:sz="0" w:space="0" w:color="auto"/>
      </w:divBdr>
    </w:div>
    <w:div w:id="2016809413">
      <w:bodyDiv w:val="1"/>
      <w:marLeft w:val="0"/>
      <w:marRight w:val="0"/>
      <w:marTop w:val="0"/>
      <w:marBottom w:val="0"/>
      <w:divBdr>
        <w:top w:val="none" w:sz="0" w:space="0" w:color="auto"/>
        <w:left w:val="none" w:sz="0" w:space="0" w:color="auto"/>
        <w:bottom w:val="none" w:sz="0" w:space="0" w:color="auto"/>
        <w:right w:val="none" w:sz="0" w:space="0" w:color="auto"/>
      </w:divBdr>
    </w:div>
    <w:div w:id="2019036066">
      <w:bodyDiv w:val="1"/>
      <w:marLeft w:val="0"/>
      <w:marRight w:val="0"/>
      <w:marTop w:val="0"/>
      <w:marBottom w:val="0"/>
      <w:divBdr>
        <w:top w:val="none" w:sz="0" w:space="0" w:color="auto"/>
        <w:left w:val="none" w:sz="0" w:space="0" w:color="auto"/>
        <w:bottom w:val="none" w:sz="0" w:space="0" w:color="auto"/>
        <w:right w:val="none" w:sz="0" w:space="0" w:color="auto"/>
      </w:divBdr>
    </w:div>
    <w:div w:id="2023118319">
      <w:bodyDiv w:val="1"/>
      <w:marLeft w:val="0"/>
      <w:marRight w:val="0"/>
      <w:marTop w:val="0"/>
      <w:marBottom w:val="0"/>
      <w:divBdr>
        <w:top w:val="none" w:sz="0" w:space="0" w:color="auto"/>
        <w:left w:val="none" w:sz="0" w:space="0" w:color="auto"/>
        <w:bottom w:val="none" w:sz="0" w:space="0" w:color="auto"/>
        <w:right w:val="none" w:sz="0" w:space="0" w:color="auto"/>
      </w:divBdr>
    </w:div>
    <w:div w:id="2031373475">
      <w:bodyDiv w:val="1"/>
      <w:marLeft w:val="0"/>
      <w:marRight w:val="0"/>
      <w:marTop w:val="0"/>
      <w:marBottom w:val="0"/>
      <w:divBdr>
        <w:top w:val="none" w:sz="0" w:space="0" w:color="auto"/>
        <w:left w:val="none" w:sz="0" w:space="0" w:color="auto"/>
        <w:bottom w:val="none" w:sz="0" w:space="0" w:color="auto"/>
        <w:right w:val="none" w:sz="0" w:space="0" w:color="auto"/>
      </w:divBdr>
    </w:div>
    <w:div w:id="2041661471">
      <w:bodyDiv w:val="1"/>
      <w:marLeft w:val="0"/>
      <w:marRight w:val="0"/>
      <w:marTop w:val="0"/>
      <w:marBottom w:val="0"/>
      <w:divBdr>
        <w:top w:val="none" w:sz="0" w:space="0" w:color="auto"/>
        <w:left w:val="none" w:sz="0" w:space="0" w:color="auto"/>
        <w:bottom w:val="none" w:sz="0" w:space="0" w:color="auto"/>
        <w:right w:val="none" w:sz="0" w:space="0" w:color="auto"/>
      </w:divBdr>
    </w:div>
    <w:div w:id="2046715046">
      <w:bodyDiv w:val="1"/>
      <w:marLeft w:val="0"/>
      <w:marRight w:val="0"/>
      <w:marTop w:val="0"/>
      <w:marBottom w:val="0"/>
      <w:divBdr>
        <w:top w:val="none" w:sz="0" w:space="0" w:color="auto"/>
        <w:left w:val="none" w:sz="0" w:space="0" w:color="auto"/>
        <w:bottom w:val="none" w:sz="0" w:space="0" w:color="auto"/>
        <w:right w:val="none" w:sz="0" w:space="0" w:color="auto"/>
      </w:divBdr>
    </w:div>
    <w:div w:id="2047674901">
      <w:bodyDiv w:val="1"/>
      <w:marLeft w:val="0"/>
      <w:marRight w:val="0"/>
      <w:marTop w:val="0"/>
      <w:marBottom w:val="0"/>
      <w:divBdr>
        <w:top w:val="none" w:sz="0" w:space="0" w:color="auto"/>
        <w:left w:val="none" w:sz="0" w:space="0" w:color="auto"/>
        <w:bottom w:val="none" w:sz="0" w:space="0" w:color="auto"/>
        <w:right w:val="none" w:sz="0" w:space="0" w:color="auto"/>
      </w:divBdr>
    </w:div>
    <w:div w:id="2057779470">
      <w:bodyDiv w:val="1"/>
      <w:marLeft w:val="0"/>
      <w:marRight w:val="0"/>
      <w:marTop w:val="0"/>
      <w:marBottom w:val="0"/>
      <w:divBdr>
        <w:top w:val="none" w:sz="0" w:space="0" w:color="auto"/>
        <w:left w:val="none" w:sz="0" w:space="0" w:color="auto"/>
        <w:bottom w:val="none" w:sz="0" w:space="0" w:color="auto"/>
        <w:right w:val="none" w:sz="0" w:space="0" w:color="auto"/>
      </w:divBdr>
    </w:div>
    <w:div w:id="2068844950">
      <w:bodyDiv w:val="1"/>
      <w:marLeft w:val="0"/>
      <w:marRight w:val="0"/>
      <w:marTop w:val="0"/>
      <w:marBottom w:val="0"/>
      <w:divBdr>
        <w:top w:val="none" w:sz="0" w:space="0" w:color="auto"/>
        <w:left w:val="none" w:sz="0" w:space="0" w:color="auto"/>
        <w:bottom w:val="none" w:sz="0" w:space="0" w:color="auto"/>
        <w:right w:val="none" w:sz="0" w:space="0" w:color="auto"/>
      </w:divBdr>
    </w:div>
    <w:div w:id="2079281566">
      <w:bodyDiv w:val="1"/>
      <w:marLeft w:val="0"/>
      <w:marRight w:val="0"/>
      <w:marTop w:val="0"/>
      <w:marBottom w:val="0"/>
      <w:divBdr>
        <w:top w:val="none" w:sz="0" w:space="0" w:color="auto"/>
        <w:left w:val="none" w:sz="0" w:space="0" w:color="auto"/>
        <w:bottom w:val="none" w:sz="0" w:space="0" w:color="auto"/>
        <w:right w:val="none" w:sz="0" w:space="0" w:color="auto"/>
      </w:divBdr>
    </w:div>
    <w:div w:id="2081973841">
      <w:bodyDiv w:val="1"/>
      <w:marLeft w:val="0"/>
      <w:marRight w:val="0"/>
      <w:marTop w:val="0"/>
      <w:marBottom w:val="0"/>
      <w:divBdr>
        <w:top w:val="none" w:sz="0" w:space="0" w:color="auto"/>
        <w:left w:val="none" w:sz="0" w:space="0" w:color="auto"/>
        <w:bottom w:val="none" w:sz="0" w:space="0" w:color="auto"/>
        <w:right w:val="none" w:sz="0" w:space="0" w:color="auto"/>
      </w:divBdr>
    </w:div>
    <w:div w:id="2089688632">
      <w:bodyDiv w:val="1"/>
      <w:marLeft w:val="0"/>
      <w:marRight w:val="0"/>
      <w:marTop w:val="0"/>
      <w:marBottom w:val="0"/>
      <w:divBdr>
        <w:top w:val="none" w:sz="0" w:space="0" w:color="auto"/>
        <w:left w:val="none" w:sz="0" w:space="0" w:color="auto"/>
        <w:bottom w:val="none" w:sz="0" w:space="0" w:color="auto"/>
        <w:right w:val="none" w:sz="0" w:space="0" w:color="auto"/>
      </w:divBdr>
    </w:div>
    <w:div w:id="2090730896">
      <w:bodyDiv w:val="1"/>
      <w:marLeft w:val="0"/>
      <w:marRight w:val="0"/>
      <w:marTop w:val="0"/>
      <w:marBottom w:val="0"/>
      <w:divBdr>
        <w:top w:val="none" w:sz="0" w:space="0" w:color="auto"/>
        <w:left w:val="none" w:sz="0" w:space="0" w:color="auto"/>
        <w:bottom w:val="none" w:sz="0" w:space="0" w:color="auto"/>
        <w:right w:val="none" w:sz="0" w:space="0" w:color="auto"/>
      </w:divBdr>
    </w:div>
    <w:div w:id="2098284762">
      <w:bodyDiv w:val="1"/>
      <w:marLeft w:val="0"/>
      <w:marRight w:val="0"/>
      <w:marTop w:val="0"/>
      <w:marBottom w:val="0"/>
      <w:divBdr>
        <w:top w:val="none" w:sz="0" w:space="0" w:color="auto"/>
        <w:left w:val="none" w:sz="0" w:space="0" w:color="auto"/>
        <w:bottom w:val="none" w:sz="0" w:space="0" w:color="auto"/>
        <w:right w:val="none" w:sz="0" w:space="0" w:color="auto"/>
      </w:divBdr>
    </w:div>
    <w:div w:id="2099859920">
      <w:bodyDiv w:val="1"/>
      <w:marLeft w:val="0"/>
      <w:marRight w:val="0"/>
      <w:marTop w:val="0"/>
      <w:marBottom w:val="0"/>
      <w:divBdr>
        <w:top w:val="none" w:sz="0" w:space="0" w:color="auto"/>
        <w:left w:val="none" w:sz="0" w:space="0" w:color="auto"/>
        <w:bottom w:val="none" w:sz="0" w:space="0" w:color="auto"/>
        <w:right w:val="none" w:sz="0" w:space="0" w:color="auto"/>
      </w:divBdr>
    </w:div>
    <w:div w:id="2112968818">
      <w:bodyDiv w:val="1"/>
      <w:marLeft w:val="0"/>
      <w:marRight w:val="0"/>
      <w:marTop w:val="0"/>
      <w:marBottom w:val="0"/>
      <w:divBdr>
        <w:top w:val="none" w:sz="0" w:space="0" w:color="auto"/>
        <w:left w:val="none" w:sz="0" w:space="0" w:color="auto"/>
        <w:bottom w:val="none" w:sz="0" w:space="0" w:color="auto"/>
        <w:right w:val="none" w:sz="0" w:space="0" w:color="auto"/>
      </w:divBdr>
    </w:div>
    <w:div w:id="2116318716">
      <w:bodyDiv w:val="1"/>
      <w:marLeft w:val="0"/>
      <w:marRight w:val="0"/>
      <w:marTop w:val="0"/>
      <w:marBottom w:val="0"/>
      <w:divBdr>
        <w:top w:val="none" w:sz="0" w:space="0" w:color="auto"/>
        <w:left w:val="none" w:sz="0" w:space="0" w:color="auto"/>
        <w:bottom w:val="none" w:sz="0" w:space="0" w:color="auto"/>
        <w:right w:val="none" w:sz="0" w:space="0" w:color="auto"/>
      </w:divBdr>
    </w:div>
    <w:div w:id="2121680774">
      <w:bodyDiv w:val="1"/>
      <w:marLeft w:val="0"/>
      <w:marRight w:val="0"/>
      <w:marTop w:val="0"/>
      <w:marBottom w:val="0"/>
      <w:divBdr>
        <w:top w:val="none" w:sz="0" w:space="0" w:color="auto"/>
        <w:left w:val="none" w:sz="0" w:space="0" w:color="auto"/>
        <w:bottom w:val="none" w:sz="0" w:space="0" w:color="auto"/>
        <w:right w:val="none" w:sz="0" w:space="0" w:color="auto"/>
      </w:divBdr>
    </w:div>
    <w:div w:id="2137023012">
      <w:bodyDiv w:val="1"/>
      <w:marLeft w:val="0"/>
      <w:marRight w:val="0"/>
      <w:marTop w:val="0"/>
      <w:marBottom w:val="0"/>
      <w:divBdr>
        <w:top w:val="none" w:sz="0" w:space="0" w:color="auto"/>
        <w:left w:val="none" w:sz="0" w:space="0" w:color="auto"/>
        <w:bottom w:val="none" w:sz="0" w:space="0" w:color="auto"/>
        <w:right w:val="none" w:sz="0" w:space="0" w:color="auto"/>
      </w:divBdr>
    </w:div>
    <w:div w:id="2137218456">
      <w:bodyDiv w:val="1"/>
      <w:marLeft w:val="0"/>
      <w:marRight w:val="0"/>
      <w:marTop w:val="0"/>
      <w:marBottom w:val="0"/>
      <w:divBdr>
        <w:top w:val="none" w:sz="0" w:space="0" w:color="auto"/>
        <w:left w:val="none" w:sz="0" w:space="0" w:color="auto"/>
        <w:bottom w:val="none" w:sz="0" w:space="0" w:color="auto"/>
        <w:right w:val="none" w:sz="0" w:space="0" w:color="auto"/>
      </w:divBdr>
    </w:div>
    <w:div w:id="2143300225">
      <w:bodyDiv w:val="1"/>
      <w:marLeft w:val="0"/>
      <w:marRight w:val="0"/>
      <w:marTop w:val="0"/>
      <w:marBottom w:val="0"/>
      <w:divBdr>
        <w:top w:val="none" w:sz="0" w:space="0" w:color="auto"/>
        <w:left w:val="none" w:sz="0" w:space="0" w:color="auto"/>
        <w:bottom w:val="none" w:sz="0" w:space="0" w:color="auto"/>
        <w:right w:val="none" w:sz="0" w:space="0" w:color="auto"/>
      </w:divBdr>
    </w:div>
    <w:div w:id="214461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header" Target="header3.xml"/><Relationship Id="rId26" Type="http://schemas.openxmlformats.org/officeDocument/2006/relationships/footer" Target="footer6.xml"/><Relationship Id="rId39" Type="http://schemas.openxmlformats.org/officeDocument/2006/relationships/header" Target="header14.xml"/><Relationship Id="rId21" Type="http://schemas.openxmlformats.org/officeDocument/2006/relationships/header" Target="header5.xml"/><Relationship Id="rId34" Type="http://schemas.openxmlformats.org/officeDocument/2006/relationships/footer" Target="footer10.xml"/><Relationship Id="rId42" Type="http://schemas.openxmlformats.org/officeDocument/2006/relationships/footer" Target="footer14.xml"/><Relationship Id="rId47" Type="http://schemas.openxmlformats.org/officeDocument/2006/relationships/header" Target="header18.xml"/><Relationship Id="rId50" Type="http://schemas.openxmlformats.org/officeDocument/2006/relationships/footer" Target="footer18.xml"/><Relationship Id="rId55" Type="http://schemas.openxmlformats.org/officeDocument/2006/relationships/header" Target="header22.xml"/><Relationship Id="rId63" Type="http://schemas.openxmlformats.org/officeDocument/2006/relationships/header" Target="header26.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header" Target="header9.xml"/><Relationship Id="rId41" Type="http://schemas.openxmlformats.org/officeDocument/2006/relationships/header" Target="header15.xml"/><Relationship Id="rId54" Type="http://schemas.openxmlformats.org/officeDocument/2006/relationships/footer" Target="footer20.xml"/><Relationship Id="rId62" Type="http://schemas.openxmlformats.org/officeDocument/2006/relationships/footer" Target="footer2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3.xml"/><Relationship Id="rId40" Type="http://schemas.openxmlformats.org/officeDocument/2006/relationships/footer" Target="footer13.xml"/><Relationship Id="rId45" Type="http://schemas.openxmlformats.org/officeDocument/2006/relationships/header" Target="header17.xml"/><Relationship Id="rId53" Type="http://schemas.openxmlformats.org/officeDocument/2006/relationships/header" Target="header21.xml"/><Relationship Id="rId58" Type="http://schemas.openxmlformats.org/officeDocument/2006/relationships/footer" Target="footer22.xml"/><Relationship Id="rId66"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footer" Target="footer7.xml"/><Relationship Id="rId36" Type="http://schemas.openxmlformats.org/officeDocument/2006/relationships/footer" Target="footer11.xml"/><Relationship Id="rId49" Type="http://schemas.openxmlformats.org/officeDocument/2006/relationships/header" Target="header19.xml"/><Relationship Id="rId57" Type="http://schemas.openxmlformats.org/officeDocument/2006/relationships/header" Target="header23.xml"/><Relationship Id="rId61" Type="http://schemas.openxmlformats.org/officeDocument/2006/relationships/header" Target="header25.xml"/><Relationship Id="rId10" Type="http://schemas.openxmlformats.org/officeDocument/2006/relationships/settings" Target="settings.xml"/><Relationship Id="rId19" Type="http://schemas.openxmlformats.org/officeDocument/2006/relationships/footer" Target="footer3.xml"/><Relationship Id="rId31" Type="http://schemas.openxmlformats.org/officeDocument/2006/relationships/header" Target="header10.xml"/><Relationship Id="rId44" Type="http://schemas.openxmlformats.org/officeDocument/2006/relationships/footer" Target="footer15.xml"/><Relationship Id="rId52" Type="http://schemas.openxmlformats.org/officeDocument/2006/relationships/footer" Target="footer19.xml"/><Relationship Id="rId60" Type="http://schemas.openxmlformats.org/officeDocument/2006/relationships/footer" Target="footer23.xml"/><Relationship Id="rId65" Type="http://schemas.openxmlformats.org/officeDocument/2006/relationships/fontTable" Target="fontTable.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footer" Target="footer8.xml"/><Relationship Id="rId35" Type="http://schemas.openxmlformats.org/officeDocument/2006/relationships/header" Target="header12.xml"/><Relationship Id="rId43" Type="http://schemas.openxmlformats.org/officeDocument/2006/relationships/header" Target="header16.xml"/><Relationship Id="rId48" Type="http://schemas.openxmlformats.org/officeDocument/2006/relationships/footer" Target="footer17.xml"/><Relationship Id="rId56" Type="http://schemas.openxmlformats.org/officeDocument/2006/relationships/footer" Target="footer21.xml"/><Relationship Id="rId64" Type="http://schemas.openxmlformats.org/officeDocument/2006/relationships/footer" Target="footer25.xml"/><Relationship Id="rId8" Type="http://schemas.openxmlformats.org/officeDocument/2006/relationships/styles" Target="styles.xml"/><Relationship Id="rId51" Type="http://schemas.openxmlformats.org/officeDocument/2006/relationships/header" Target="header20.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2.xml"/><Relationship Id="rId25" Type="http://schemas.openxmlformats.org/officeDocument/2006/relationships/header" Target="header7.xml"/><Relationship Id="rId33" Type="http://schemas.openxmlformats.org/officeDocument/2006/relationships/header" Target="header11.xml"/><Relationship Id="rId38" Type="http://schemas.openxmlformats.org/officeDocument/2006/relationships/footer" Target="footer12.xml"/><Relationship Id="rId46" Type="http://schemas.openxmlformats.org/officeDocument/2006/relationships/footer" Target="footer16.xml"/><Relationship Id="rId59" Type="http://schemas.openxmlformats.org/officeDocument/2006/relationships/header" Target="header2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1" Type="http://schemas.openxmlformats.org/officeDocument/2006/relationships/image" Target="media/image1.jpeg"/></Relationships>
</file>

<file path=word/_rels/header15.xml.rels><?xml version="1.0" encoding="UTF-8" standalone="yes"?>
<Relationships xmlns="http://schemas.openxmlformats.org/package/2006/relationships"><Relationship Id="rId1" Type="http://schemas.openxmlformats.org/officeDocument/2006/relationships/image" Target="media/image1.jpeg"/></Relationships>
</file>

<file path=word/_rels/header16.xml.rels><?xml version="1.0" encoding="UTF-8" standalone="yes"?>
<Relationships xmlns="http://schemas.openxmlformats.org/package/2006/relationships"><Relationship Id="rId1" Type="http://schemas.openxmlformats.org/officeDocument/2006/relationships/image" Target="media/image1.jpeg"/></Relationships>
</file>

<file path=word/_rels/header17.xml.rels><?xml version="1.0" encoding="UTF-8" standalone="yes"?>
<Relationships xmlns="http://schemas.openxmlformats.org/package/2006/relationships"><Relationship Id="rId1" Type="http://schemas.openxmlformats.org/officeDocument/2006/relationships/image" Target="media/image1.jpeg"/></Relationships>
</file>

<file path=word/_rels/header18.xml.rels><?xml version="1.0" encoding="UTF-8" standalone="yes"?>
<Relationships xmlns="http://schemas.openxmlformats.org/package/2006/relationships"><Relationship Id="rId1" Type="http://schemas.openxmlformats.org/officeDocument/2006/relationships/image" Target="media/image1.jpeg"/></Relationships>
</file>

<file path=word/_rels/header19.xml.rels><?xml version="1.0" encoding="UTF-8" standalone="yes"?>
<Relationships xmlns="http://schemas.openxmlformats.org/package/2006/relationships"><Relationship Id="rId1" Type="http://schemas.openxmlformats.org/officeDocument/2006/relationships/image" Target="media/image1.jpeg"/></Relationships>
</file>

<file path=word/_rels/header20.xml.rels><?xml version="1.0" encoding="UTF-8" standalone="yes"?>
<Relationships xmlns="http://schemas.openxmlformats.org/package/2006/relationships"><Relationship Id="rId1" Type="http://schemas.openxmlformats.org/officeDocument/2006/relationships/image" Target="media/image1.jpeg"/></Relationships>
</file>

<file path=word/_rels/header21.xml.rels><?xml version="1.0" encoding="UTF-8" standalone="yes"?>
<Relationships xmlns="http://schemas.openxmlformats.org/package/2006/relationships"><Relationship Id="rId1" Type="http://schemas.openxmlformats.org/officeDocument/2006/relationships/image" Target="media/image1.jpeg"/></Relationships>
</file>

<file path=word/_rels/header22.xml.rels><?xml version="1.0" encoding="UTF-8" standalone="yes"?>
<Relationships xmlns="http://schemas.openxmlformats.org/package/2006/relationships"><Relationship Id="rId1" Type="http://schemas.openxmlformats.org/officeDocument/2006/relationships/image" Target="media/image1.jpeg"/></Relationships>
</file>

<file path=word/_rels/header23.xml.rels><?xml version="1.0" encoding="UTF-8" standalone="yes"?>
<Relationships xmlns="http://schemas.openxmlformats.org/package/2006/relationships"><Relationship Id="rId1" Type="http://schemas.openxmlformats.org/officeDocument/2006/relationships/image" Target="media/image1.jpeg"/></Relationships>
</file>

<file path=word/_rels/header24.xml.rels><?xml version="1.0" encoding="UTF-8" standalone="yes"?>
<Relationships xmlns="http://schemas.openxmlformats.org/package/2006/relationships"><Relationship Id="rId1" Type="http://schemas.openxmlformats.org/officeDocument/2006/relationships/image" Target="media/image1.jpeg"/></Relationships>
</file>

<file path=word/_rels/header25.xml.rels><?xml version="1.0" encoding="UTF-8" standalone="yes"?>
<Relationships xmlns="http://schemas.openxmlformats.org/package/2006/relationships"><Relationship Id="rId1" Type="http://schemas.openxmlformats.org/officeDocument/2006/relationships/image" Target="media/image1.jpeg"/></Relationships>
</file>

<file path=word/_rels/header2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3E8F8-5008-4A6A-B375-DC4FB18A4A66}">
  <ds:schemaRefs>
    <ds:schemaRef ds:uri="http://schemas.openxmlformats.org/officeDocument/2006/bibliography"/>
  </ds:schemaRefs>
</ds:datastoreItem>
</file>

<file path=customXml/itemProps2.xml><?xml version="1.0" encoding="utf-8"?>
<ds:datastoreItem xmlns:ds="http://schemas.openxmlformats.org/officeDocument/2006/customXml" ds:itemID="{5A7D3969-959C-4C4A-963E-E597631149B9}">
  <ds:schemaRefs>
    <ds:schemaRef ds:uri="http://schemas.openxmlformats.org/officeDocument/2006/bibliography"/>
  </ds:schemaRefs>
</ds:datastoreItem>
</file>

<file path=customXml/itemProps3.xml><?xml version="1.0" encoding="utf-8"?>
<ds:datastoreItem xmlns:ds="http://schemas.openxmlformats.org/officeDocument/2006/customXml" ds:itemID="{93E6666B-9A88-450A-A129-51D377C9238B}">
  <ds:schemaRefs>
    <ds:schemaRef ds:uri="http://schemas.openxmlformats.org/officeDocument/2006/bibliography"/>
  </ds:schemaRefs>
</ds:datastoreItem>
</file>

<file path=customXml/itemProps4.xml><?xml version="1.0" encoding="utf-8"?>
<ds:datastoreItem xmlns:ds="http://schemas.openxmlformats.org/officeDocument/2006/customXml" ds:itemID="{E2952FB5-3E48-428C-B356-E4BB5E8FCB4B}">
  <ds:schemaRefs>
    <ds:schemaRef ds:uri="http://schemas.openxmlformats.org/officeDocument/2006/bibliography"/>
  </ds:schemaRefs>
</ds:datastoreItem>
</file>

<file path=customXml/itemProps5.xml><?xml version="1.0" encoding="utf-8"?>
<ds:datastoreItem xmlns:ds="http://schemas.openxmlformats.org/officeDocument/2006/customXml" ds:itemID="{D5A0E339-7213-4F0B-9E96-2DE28351272A}">
  <ds:schemaRefs>
    <ds:schemaRef ds:uri="http://schemas.openxmlformats.org/officeDocument/2006/bibliography"/>
  </ds:schemaRefs>
</ds:datastoreItem>
</file>

<file path=customXml/itemProps6.xml><?xml version="1.0" encoding="utf-8"?>
<ds:datastoreItem xmlns:ds="http://schemas.openxmlformats.org/officeDocument/2006/customXml" ds:itemID="{92D780B0-C1A5-4040-A846-78A6F1692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CL-BIL CONS ITA GAAP 2016 con caselle ok</Template>
  <TotalTime>2</TotalTime>
  <Pages>123</Pages>
  <Words>134985</Words>
  <Characters>769416</Characters>
  <Application>Microsoft Office Word</Application>
  <DocSecurity>0</DocSecurity>
  <Lines>6411</Lines>
  <Paragraphs>1805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E</vt:lpstr>
      <vt:lpstr>E</vt:lpstr>
    </vt:vector>
  </TitlesOfParts>
  <Company>Assirevi</Company>
  <LinksUpToDate>false</LinksUpToDate>
  <CharactersWithSpaces>902596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 BIL CONS ITA GAAP 2016</dc:title>
  <dc:creator>Assirevi</dc:creator>
  <cp:keywords>disclosure checklist standard requirement account</cp:keywords>
  <cp:lastModifiedBy>Ufficio Studi Assirevi</cp:lastModifiedBy>
  <cp:revision>4</cp:revision>
  <cp:lastPrinted>2017-03-02T16:03:00Z</cp:lastPrinted>
  <dcterms:created xsi:type="dcterms:W3CDTF">2017-03-08T16:33:00Z</dcterms:created>
  <dcterms:modified xsi:type="dcterms:W3CDTF">2017-03-08T16:34:00Z</dcterms:modified>
</cp:coreProperties>
</file>